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6353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Style w:val="11"/>
          <w:rFonts w:hint="eastAsia" w:ascii="方正小标宋简体" w:hAnsi="方正小标宋简体" w:eastAsia="方正小标宋简体" w:cs="方正小标宋简体"/>
          <w:b w:val="0"/>
          <w:bCs/>
          <w:i w:val="0"/>
          <w:caps w:val="0"/>
          <w:color w:val="auto"/>
          <w:spacing w:val="0"/>
          <w:kern w:val="0"/>
          <w:sz w:val="44"/>
          <w:szCs w:val="44"/>
          <w:highlight w:val="none"/>
          <w:shd w:val="clear" w:color="auto" w:fill="FFFFFF"/>
          <w:lang w:val="en-US" w:eastAsia="zh-CN" w:bidi="ar"/>
        </w:rPr>
      </w:pPr>
      <w:r>
        <w:rPr>
          <w:rStyle w:val="11"/>
          <w:rFonts w:hint="eastAsia" w:ascii="方正小标宋简体" w:hAnsi="方正小标宋简体" w:eastAsia="方正小标宋简体" w:cs="方正小标宋简体"/>
          <w:b w:val="0"/>
          <w:bCs/>
          <w:i w:val="0"/>
          <w:caps w:val="0"/>
          <w:color w:val="auto"/>
          <w:spacing w:val="0"/>
          <w:kern w:val="0"/>
          <w:sz w:val="44"/>
          <w:szCs w:val="44"/>
          <w:highlight w:val="none"/>
          <w:shd w:val="clear" w:color="auto" w:fill="FFFFFF"/>
          <w:lang w:val="en-US" w:eastAsia="zh-CN" w:bidi="ar"/>
        </w:rPr>
        <w:t>焦作市举办体育赛</w:t>
      </w:r>
      <w:bookmarkStart w:id="0" w:name="_GoBack"/>
      <w:bookmarkEnd w:id="0"/>
      <w:r>
        <w:rPr>
          <w:rStyle w:val="11"/>
          <w:rFonts w:hint="eastAsia" w:ascii="方正小标宋简体" w:hAnsi="方正小标宋简体" w:eastAsia="方正小标宋简体" w:cs="方正小标宋简体"/>
          <w:b w:val="0"/>
          <w:bCs/>
          <w:i w:val="0"/>
          <w:caps w:val="0"/>
          <w:color w:val="auto"/>
          <w:spacing w:val="0"/>
          <w:kern w:val="0"/>
          <w:sz w:val="44"/>
          <w:szCs w:val="44"/>
          <w:highlight w:val="none"/>
          <w:shd w:val="clear" w:color="auto" w:fill="FFFFFF"/>
          <w:lang w:val="en-US" w:eastAsia="zh-CN" w:bidi="ar"/>
        </w:rPr>
        <w:t>事活动奖励实施办法</w:t>
      </w:r>
    </w:p>
    <w:p w14:paraId="0E0753C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Style w:val="11"/>
          <w:rFonts w:hint="eastAsia" w:ascii="仿宋_GB2312" w:hAnsi="仿宋_GB2312" w:eastAsia="仿宋_GB2312" w:cs="仿宋_GB2312"/>
          <w:b w:val="0"/>
          <w:bCs/>
          <w:i w:val="0"/>
          <w:caps w:val="0"/>
          <w:color w:val="auto"/>
          <w:spacing w:val="0"/>
          <w:kern w:val="0"/>
          <w:sz w:val="32"/>
          <w:szCs w:val="32"/>
          <w:highlight w:val="none"/>
          <w:shd w:val="clear" w:color="auto" w:fill="FFFFFF"/>
          <w:lang w:val="en-US" w:eastAsia="zh-CN" w:bidi="ar"/>
        </w:rPr>
      </w:pPr>
      <w:r>
        <w:rPr>
          <w:rStyle w:val="11"/>
          <w:rFonts w:hint="eastAsia" w:ascii="楷体_GB2312" w:hAnsi="楷体_GB2312" w:eastAsia="楷体_GB2312" w:cs="楷体_GB2312"/>
          <w:b w:val="0"/>
          <w:bCs/>
          <w:i w:val="0"/>
          <w:caps w:val="0"/>
          <w:color w:val="auto"/>
          <w:spacing w:val="0"/>
          <w:kern w:val="0"/>
          <w:sz w:val="32"/>
          <w:szCs w:val="32"/>
          <w:highlight w:val="none"/>
          <w:shd w:val="clear" w:color="auto" w:fill="FFFFFF"/>
          <w:lang w:val="en-US" w:eastAsia="zh-CN" w:bidi="ar"/>
        </w:rPr>
        <w:t>（修订稿）</w:t>
      </w:r>
    </w:p>
    <w:p w14:paraId="42420F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w:t>
      </w:r>
    </w:p>
    <w:p w14:paraId="31F66C1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Fonts w:hint="eastAsia" w:ascii="黑体" w:hAnsi="黑体" w:eastAsia="黑体" w:cs="黑体"/>
          <w:i w:val="0"/>
          <w:caps w:val="0"/>
          <w:color w:val="auto"/>
          <w:spacing w:val="0"/>
          <w:sz w:val="32"/>
          <w:szCs w:val="32"/>
          <w:highlight w:val="none"/>
        </w:rPr>
      </w:pPr>
      <w:r>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t>第一章  总  则</w:t>
      </w:r>
    </w:p>
    <w:p w14:paraId="26099C5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第一条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为贯彻落实党的二十大和二十届历次全会精神，深入贯彻习近平总书记关于体育的重要论述，深入实施《关于加快建设体育强市的实施意见》，推动体育开放交流，促进体育竞赛产业发展，鼓励我市更多的体育类社会组织举办各类体育赛事活动，不断提升我市体育赛事活动的办赛规模和水平，结合我市体育工作实际，制定本实施办法。</w:t>
      </w:r>
    </w:p>
    <w:p w14:paraId="6DF9D37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第二条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焦作市举办体育赛事活动奖励资金（以下简称“奖励资金”）是指从体彩公益金安排用于奖励焦作市举办体育赛事活动的资金。</w:t>
      </w:r>
    </w:p>
    <w:p w14:paraId="317FC6A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第三条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本办法奖励对象为依法在焦作市举办体育赛事活动的县（市）区体育部门、</w:t>
      </w:r>
      <w:r>
        <w:rPr>
          <w:rFonts w:hint="eastAsia" w:ascii="仿宋_GB2312" w:hAnsi="仿宋_GB2312" w:eastAsia="仿宋_GB2312" w:cs="仿宋_GB2312"/>
          <w:sz w:val="32"/>
          <w:szCs w:val="32"/>
          <w:highlight w:val="none"/>
          <w:lang w:val="en-US" w:eastAsia="zh-CN"/>
        </w:rPr>
        <w:t>局属各单位</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和体育类社会组织。</w:t>
      </w:r>
    </w:p>
    <w:p w14:paraId="18BC4E0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第四条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赛事活动奖励将遵循公平、公正、公开的原则，注重择优奖励、突出实效。</w:t>
      </w:r>
    </w:p>
    <w:p w14:paraId="4C8DB8C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pPr>
      <w:r>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t>第二章  奖励标准</w:t>
      </w:r>
    </w:p>
    <w:p w14:paraId="0F9800E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第五条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赛事活动奖励每年评审一次，依据得分排名情况给予奖励。奖励数量原则上一等奖不超过2个、二等奖不超过3个、三等奖不超过5个，具体奖励金额标准为一等奖30万元、二等奖10万元、三等奖5万元。</w:t>
      </w:r>
    </w:p>
    <w:p w14:paraId="59F5B8F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pPr>
      <w:r>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t>第三章  申报和审核</w:t>
      </w:r>
    </w:p>
    <w:p w14:paraId="1B05496D">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第六条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拟申请奖励的赛事活动必须严格按照申报通知和申报指南要求进行申报。</w:t>
      </w:r>
    </w:p>
    <w:p w14:paraId="7ADE5F3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第七条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申报条件</w:t>
      </w:r>
    </w:p>
    <w:p w14:paraId="58B69A9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（一）依法在焦作市举办体育赛事活动的县（市）区体育部门、</w:t>
      </w:r>
      <w:r>
        <w:rPr>
          <w:rFonts w:hint="eastAsia" w:ascii="仿宋_GB2312" w:hAnsi="仿宋_GB2312" w:eastAsia="仿宋_GB2312" w:cs="仿宋_GB2312"/>
          <w:sz w:val="32"/>
          <w:szCs w:val="32"/>
          <w:highlight w:val="none"/>
          <w:lang w:val="en-US" w:eastAsia="zh-CN"/>
        </w:rPr>
        <w:t>局属各单位</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和体育类社会组织；</w:t>
      </w:r>
    </w:p>
    <w:p w14:paraId="3294AD1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（二）同一单位同一年度内申请奖励的赛事活动不超过2项。由各级政府部门主办，或已获得市级、县（市）区级、街镇级政府部门办赛经费支持的项目不得申报；</w:t>
      </w:r>
    </w:p>
    <w:p w14:paraId="09D4F46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（三）本办法所指体育赛事活动为面向广大市民的体育赛事活动和高水平体育赛事活动；</w:t>
      </w:r>
    </w:p>
    <w:p w14:paraId="48FCB0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（四）赛事举办方对赛事活动安全负主体责任，负责安全隐患排查，且第一时间整改到位；</w:t>
      </w:r>
    </w:p>
    <w:p w14:paraId="720D5A1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（五）各申报单位应在规定时间内主动完成赛事报备、组织和相关资料的提交。</w:t>
      </w:r>
    </w:p>
    <w:p w14:paraId="343DC05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w:t>
      </w:r>
      <w:r>
        <w:rPr>
          <w:rFonts w:hint="eastAsia" w:ascii="楷体_GB2312" w:hAnsi="楷体_GB2312" w:eastAsia="楷体_GB2312" w:cs="楷体_GB2312"/>
          <w:b w:val="0"/>
          <w:bCs w:val="0"/>
          <w:i w:val="0"/>
          <w:caps w:val="0"/>
          <w:color w:val="auto"/>
          <w:spacing w:val="0"/>
          <w:kern w:val="0"/>
          <w:sz w:val="32"/>
          <w:szCs w:val="32"/>
          <w:highlight w:val="none"/>
          <w:shd w:val="clear" w:color="auto" w:fill="FFFFFF"/>
          <w:lang w:val="en-US" w:eastAsia="zh-CN" w:bidi="ar"/>
        </w:rPr>
        <w:t>第八条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有下列情况之一的，不得申请奖励资金：</w:t>
      </w:r>
    </w:p>
    <w:p w14:paraId="2ACE3937">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（一）体育类社会组织近两年未参加年检或年检结论不合格的；　　</w:t>
      </w:r>
    </w:p>
    <w:p w14:paraId="16205936">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（二）因失信行为被列入公共信用“黑名单”的；</w:t>
      </w:r>
    </w:p>
    <w:p w14:paraId="63929F4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（三）年内在申请过程中提供虚假材料或在举办赛事活动中存在弄虚作假行为的；</w:t>
      </w:r>
    </w:p>
    <w:p w14:paraId="04D60A1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（四）三年内发生较大以上安全责任事故的。</w:t>
      </w:r>
    </w:p>
    <w:p w14:paraId="19BC02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default"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楷体_GB2312" w:hAnsi="楷体_GB2312" w:eastAsia="楷体_GB2312" w:cs="楷体_GB2312"/>
          <w:b w:val="0"/>
          <w:bCs w:val="0"/>
          <w:i w:val="0"/>
          <w:caps w:val="0"/>
          <w:color w:val="auto"/>
          <w:spacing w:val="0"/>
          <w:kern w:val="0"/>
          <w:sz w:val="32"/>
          <w:szCs w:val="32"/>
          <w:highlight w:val="none"/>
          <w:shd w:val="clear" w:color="auto" w:fill="FFFFFF"/>
          <w:lang w:val="en-US" w:eastAsia="zh-CN" w:bidi="ar"/>
        </w:rPr>
        <w:t>第九条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申报时间及材料</w:t>
      </w:r>
    </w:p>
    <w:p w14:paraId="52B3724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每年1月（具体以市体育局发布申报时间为准）。</w:t>
      </w:r>
    </w:p>
    <w:p w14:paraId="571658B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default"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2.申报材料</w:t>
      </w:r>
    </w:p>
    <w:p w14:paraId="6B4BA667">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（1）赛事活动申报表（见附件1）。</w:t>
      </w:r>
    </w:p>
    <w:p w14:paraId="724B1A70">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（2）赛事活动经费决算单。</w:t>
      </w:r>
    </w:p>
    <w:p w14:paraId="3AC09D8A">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（3）赛事活动方案（含赛事组织方案、安保方案、应急处置预案等）。</w:t>
      </w:r>
    </w:p>
    <w:p w14:paraId="3F58D24B">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（4）赛事活动申办报告及批复（文件）。</w:t>
      </w:r>
    </w:p>
    <w:p w14:paraId="15D8D1DA">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（5）申报单位法人登记证书复印件。</w:t>
      </w:r>
    </w:p>
    <w:p w14:paraId="422D3040">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（6）体育类社会组织需提供近两年年检报告。</w:t>
      </w:r>
    </w:p>
    <w:p w14:paraId="449154FD">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（7）评分指标体系（见附件2）要求的其他相关证明材料。</w:t>
      </w:r>
    </w:p>
    <w:p w14:paraId="5E2E5537">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（8）申报材料一式三份。</w:t>
      </w:r>
    </w:p>
    <w:p w14:paraId="3DD764F8">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3.各申请单位应对所提交材料内容的真实有效性负责，所提交的复印件须与原件核对一致，并加盖本单位公章，提供联系人及联系方式。</w:t>
      </w:r>
    </w:p>
    <w:p w14:paraId="2D21E6C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在申报截止日期结束后，由市体育局负责组织相关领域专家组成评审小组，开展赛事活动奖励申报的评审工作。</w:t>
      </w:r>
    </w:p>
    <w:p w14:paraId="2DFDEBF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第十一条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参与评审工作的评审小组成员有下列情形之一的，应当回避：</w:t>
      </w:r>
    </w:p>
    <w:p w14:paraId="3145A7D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（一）在申请奖励的单位中任职，或离职不满3年的；</w:t>
      </w:r>
    </w:p>
    <w:p w14:paraId="629B44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（二）与申请奖励单位的工作人员有关联关系的，如夫妻关系、直系血亲关系、三代以内旁系血亲关系、近姻亲关系等；</w:t>
      </w:r>
    </w:p>
    <w:p w14:paraId="0F64949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（三）与申请奖励的单位有其他可能影响评审结果公正关系的；</w:t>
      </w:r>
    </w:p>
    <w:p w14:paraId="74B8DC4B">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（四）参评单位提出回避申请，经市体育局审核认为应当回避的。</w:t>
      </w:r>
    </w:p>
    <w:p w14:paraId="46A96E9D">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第十二条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申报单位对照赛事活动奖励评分标准，按照申报要求制作申报材料，并装订成册。评审小组根据申报材料进行评审，必要时可以请申报单位进一步展示相关佐证材料。</w:t>
      </w:r>
    </w:p>
    <w:p w14:paraId="204B44C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第十三条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评审小组按照评分标准对申报单位提供的申报材料和展示情况进行评审打分，并根据得分高低进行排序。</w:t>
      </w:r>
    </w:p>
    <w:p w14:paraId="5B66102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4"/>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第十四条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赛事活动评审结果和获奖情况在市体育局网站进行为期5个工作日的公示。</w:t>
      </w:r>
    </w:p>
    <w:p w14:paraId="56ABA5D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4"/>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 xml:space="preserve">第十五条 </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公示期满无异议后，由相关科室提出奖励方案，提请焦作市体育局党组研究后实施。</w:t>
      </w:r>
    </w:p>
    <w:p w14:paraId="2780C9F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4"/>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第十六条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奖励项目及金额确定后，被奖励单位为体育行政机构或体育事业单位的，列入下一年度预算并按财政渠道拨付；被奖励单位为体育企业、社会团体和机构的，需与市体育局签订协议并开具合规票据后，按相关规定拨付奖励资金。</w:t>
      </w:r>
    </w:p>
    <w:p w14:paraId="787758F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第十七条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外聘专家的评审费用依据相关规定标准执行。</w:t>
      </w:r>
    </w:p>
    <w:p w14:paraId="47ABDBF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pPr>
      <w:r>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t>第四章  监督管理</w:t>
      </w:r>
    </w:p>
    <w:p w14:paraId="069593A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第十八条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市体育局负责奖励资金预算的编制、执行、绩效监控和评价，以及组织项目申报、评审、公示和资金拨付。</w:t>
      </w:r>
    </w:p>
    <w:p w14:paraId="63A515D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第十九条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w:t>
      </w:r>
      <w:r>
        <w:rPr>
          <w:rFonts w:hint="eastAsia" w:ascii="仿宋_GB2312" w:hAnsi="仿宋_GB2312" w:eastAsia="仿宋_GB2312" w:cs="仿宋_GB2312"/>
          <w:color w:val="auto"/>
          <w:spacing w:val="12"/>
          <w:sz w:val="32"/>
          <w:szCs w:val="32"/>
          <w:highlight w:val="none"/>
        </w:rPr>
        <w:t>奖励资金专项用于被奖励赛事活动支出，不得用于发放人员工资及单位运行其他支出，</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资金使用单位应切实加强资金管理和规范核算，自觉接受财政审计、纪检监察、体育部门的监督检查。资金使用单位以虚报、冒领等手段骗取专项资金的，按照有关规定对违法行为予以处理，由市体育局追回已拨付的资金；涉嫌犯罪的，依法移送司法机关处理。</w:t>
      </w:r>
    </w:p>
    <w:p w14:paraId="1888FD3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0"/>
        <w:jc w:val="center"/>
        <w:textAlignment w:val="auto"/>
        <w:rPr>
          <w:rFonts w:hint="eastAsia" w:ascii="仿宋_GB2312" w:hAnsi="仿宋_GB2312" w:eastAsia="仿宋_GB2312" w:cs="仿宋_GB2312"/>
          <w:i w:val="0"/>
          <w:caps w:val="0"/>
          <w:color w:val="auto"/>
          <w:spacing w:val="0"/>
          <w:sz w:val="32"/>
          <w:szCs w:val="32"/>
          <w:highlight w:val="none"/>
        </w:rPr>
      </w:pPr>
      <w:r>
        <w:rPr>
          <w:rStyle w:val="11"/>
          <w:rFonts w:hint="eastAsia" w:ascii="黑体" w:hAnsi="黑体" w:eastAsia="黑体" w:cs="黑体"/>
          <w:b w:val="0"/>
          <w:bCs/>
          <w:i w:val="0"/>
          <w:caps w:val="0"/>
          <w:color w:val="auto"/>
          <w:spacing w:val="0"/>
          <w:kern w:val="0"/>
          <w:sz w:val="32"/>
          <w:szCs w:val="32"/>
          <w:highlight w:val="none"/>
          <w:shd w:val="clear" w:color="auto" w:fill="FFFFFF"/>
          <w:lang w:val="en-US" w:eastAsia="zh-CN" w:bidi="ar"/>
        </w:rPr>
        <w:t>第五章  附    则</w:t>
      </w:r>
    </w:p>
    <w:p w14:paraId="5C482CC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jc w:val="both"/>
        <w:textAlignment w:val="auto"/>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第二十条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本办法由市体育局负责解释。</w:t>
      </w:r>
    </w:p>
    <w:p w14:paraId="3B22047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jc w:val="both"/>
        <w:textAlignment w:val="auto"/>
        <w:rPr>
          <w:rFonts w:hint="eastAsia" w:ascii="仿宋_GB2312" w:hAnsi="仿宋_GB2312" w:eastAsia="仿宋_GB2312" w:cs="仿宋_GB2312"/>
          <w:i w:val="0"/>
          <w:caps w:val="0"/>
          <w:color w:val="auto"/>
          <w:spacing w:val="0"/>
          <w:sz w:val="32"/>
          <w:szCs w:val="32"/>
          <w:highlight w:val="none"/>
        </w:rPr>
      </w:pPr>
      <w:r>
        <w:rPr>
          <w:rFonts w:hint="eastAsia" w:ascii="楷体_GB2312" w:hAnsi="楷体_GB2312" w:eastAsia="楷体_GB2312" w:cs="楷体_GB2312"/>
          <w:i w:val="0"/>
          <w:caps w:val="0"/>
          <w:color w:val="auto"/>
          <w:spacing w:val="0"/>
          <w:kern w:val="0"/>
          <w:sz w:val="32"/>
          <w:szCs w:val="32"/>
          <w:highlight w:val="none"/>
          <w:shd w:val="clear" w:color="auto" w:fill="FFFFFF"/>
          <w:lang w:val="en-US" w:eastAsia="zh-CN" w:bidi="ar"/>
        </w:rPr>
        <w:t>第二十一条</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 xml:space="preserve"> 本办法自印发之日起实施。</w:t>
      </w:r>
    </w:p>
    <w:p w14:paraId="1422AEF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eastAsia" w:ascii="仿宋_GB2312" w:hAnsi="仿宋_GB2312" w:eastAsia="仿宋_GB2312" w:cs="仿宋_GB2312"/>
          <w:b w:val="0"/>
          <w:bCs/>
          <w:i w:val="0"/>
          <w:caps w:val="0"/>
          <w:color w:val="auto"/>
          <w:spacing w:val="0"/>
          <w:sz w:val="32"/>
          <w:szCs w:val="32"/>
          <w:highlight w:val="none"/>
          <w:shd w:val="clear" w:color="auto" w:fill="FFFFFF"/>
          <w:lang w:eastAsia="zh-CN"/>
        </w:rPr>
      </w:pPr>
    </w:p>
    <w:p w14:paraId="4100AE3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640" w:firstLineChars="200"/>
        <w:jc w:val="both"/>
        <w:textAlignment w:val="auto"/>
        <w:rPr>
          <w:rFonts w:hint="default" w:ascii="仿宋_GB2312" w:hAnsi="仿宋_GB2312" w:eastAsia="仿宋_GB2312" w:cs="仿宋_GB2312"/>
          <w:b w:val="0"/>
          <w:bCs/>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i w:val="0"/>
          <w:caps w:val="0"/>
          <w:color w:val="auto"/>
          <w:spacing w:val="0"/>
          <w:sz w:val="32"/>
          <w:szCs w:val="32"/>
          <w:highlight w:val="none"/>
          <w:shd w:val="clear" w:color="auto" w:fill="FFFFFF"/>
          <w:lang w:eastAsia="zh-CN"/>
        </w:rPr>
        <w:t>附件：</w:t>
      </w:r>
      <w:r>
        <w:rPr>
          <w:rFonts w:hint="eastAsia" w:ascii="仿宋_GB2312" w:hAnsi="仿宋_GB2312" w:eastAsia="仿宋_GB2312" w:cs="仿宋_GB2312"/>
          <w:b w:val="0"/>
          <w:bCs/>
          <w:i w:val="0"/>
          <w:caps w:val="0"/>
          <w:color w:val="auto"/>
          <w:spacing w:val="0"/>
          <w:sz w:val="32"/>
          <w:szCs w:val="32"/>
          <w:highlight w:val="none"/>
          <w:shd w:val="clear" w:color="auto" w:fill="FFFFFF"/>
          <w:lang w:val="en-US" w:eastAsia="zh-CN"/>
        </w:rPr>
        <w:t>1.焦作市体育局赛事活动奖励申报表</w:t>
      </w:r>
    </w:p>
    <w:p w14:paraId="44C3AA2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right="0" w:rightChars="0" w:firstLine="1600" w:firstLineChars="500"/>
        <w:jc w:val="both"/>
        <w:textAlignment w:val="auto"/>
        <w:rPr>
          <w:rFonts w:hint="eastAsia" w:ascii="方正仿宋_GBK" w:hAnsi="方正仿宋_GBK" w:eastAsia="仿宋_GB2312" w:cs="方正仿宋_GBK"/>
          <w:i w:val="0"/>
          <w:caps w:val="0"/>
          <w:color w:val="auto"/>
          <w:spacing w:val="0"/>
          <w:sz w:val="32"/>
          <w:szCs w:val="32"/>
          <w:highlight w:val="none"/>
          <w:lang w:eastAsia="zh-CN"/>
        </w:rPr>
      </w:pPr>
      <w:r>
        <w:rPr>
          <w:rFonts w:hint="eastAsia" w:ascii="仿宋_GB2312" w:hAnsi="仿宋_GB2312" w:eastAsia="仿宋_GB2312" w:cs="仿宋_GB2312"/>
          <w:b w:val="0"/>
          <w:bCs/>
          <w:i w:val="0"/>
          <w:caps w:val="0"/>
          <w:color w:val="auto"/>
          <w:spacing w:val="0"/>
          <w:sz w:val="32"/>
          <w:szCs w:val="32"/>
          <w:highlight w:val="none"/>
          <w:shd w:val="clear" w:color="auto" w:fill="FFFFFF"/>
          <w:lang w:val="en-US" w:eastAsia="zh-CN"/>
        </w:rPr>
        <w:t>2.</w:t>
      </w:r>
      <w:r>
        <w:rPr>
          <w:rFonts w:hint="eastAsia" w:ascii="仿宋_GB2312" w:hAnsi="仿宋_GB2312" w:eastAsia="仿宋_GB2312" w:cs="仿宋_GB2312"/>
          <w:b w:val="0"/>
          <w:bCs/>
          <w:i w:val="0"/>
          <w:caps w:val="0"/>
          <w:color w:val="auto"/>
          <w:spacing w:val="0"/>
          <w:sz w:val="32"/>
          <w:szCs w:val="32"/>
          <w:highlight w:val="none"/>
          <w:shd w:val="clear" w:color="auto" w:fill="FFFFFF"/>
        </w:rPr>
        <w:t>焦作市举办体育赛事活动奖励评审标准</w:t>
      </w:r>
    </w:p>
    <w:p w14:paraId="6823A34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rPr>
          <w:rFonts w:hint="eastAsia" w:ascii="微软雅黑" w:hAnsi="微软雅黑" w:eastAsia="微软雅黑" w:cs="微软雅黑"/>
          <w:b/>
          <w:i w:val="0"/>
          <w:caps w:val="0"/>
          <w:color w:val="auto"/>
          <w:spacing w:val="0"/>
          <w:sz w:val="32"/>
          <w:szCs w:val="32"/>
          <w:highlight w:val="none"/>
          <w:shd w:val="clear" w:color="auto" w:fill="FFFFFF"/>
          <w:lang w:eastAsia="zh-CN"/>
        </w:rPr>
      </w:pPr>
    </w:p>
    <w:p w14:paraId="36B0F793">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rPr>
          <w:rFonts w:hint="eastAsia" w:ascii="黑体" w:hAnsi="黑体" w:eastAsia="黑体" w:cs="黑体"/>
          <w:b w:val="0"/>
          <w:bCs/>
          <w:i w:val="0"/>
          <w:caps w:val="0"/>
          <w:color w:val="auto"/>
          <w:spacing w:val="0"/>
          <w:sz w:val="32"/>
          <w:szCs w:val="32"/>
          <w:highlight w:val="none"/>
          <w:shd w:val="clear" w:color="auto" w:fill="FFFFFF"/>
          <w:lang w:val="en-US" w:eastAsia="zh-CN"/>
        </w:rPr>
        <w:sectPr>
          <w:footerReference r:id="rId3" w:type="default"/>
          <w:pgSz w:w="11906" w:h="16838"/>
          <w:pgMar w:top="2041" w:right="1531" w:bottom="2041" w:left="1531" w:header="851" w:footer="1134" w:gutter="0"/>
          <w:pgNumType w:fmt="numberInDash"/>
          <w:cols w:space="0" w:num="1"/>
          <w:rtlGutter w:val="0"/>
          <w:docGrid w:type="lines" w:linePitch="510" w:charSpace="0"/>
        </w:sectPr>
      </w:pPr>
    </w:p>
    <w:p w14:paraId="1D674C5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7" w:lineRule="atLeast"/>
        <w:ind w:left="0" w:right="0" w:firstLine="0"/>
        <w:jc w:val="left"/>
        <w:rPr>
          <w:rFonts w:hint="default" w:ascii="微软雅黑" w:hAnsi="微软雅黑" w:eastAsia="微软雅黑" w:cs="微软雅黑"/>
          <w:b/>
          <w:i w:val="0"/>
          <w:caps w:val="0"/>
          <w:color w:val="auto"/>
          <w:spacing w:val="0"/>
          <w:sz w:val="32"/>
          <w:szCs w:val="32"/>
          <w:highlight w:val="none"/>
          <w:shd w:val="clear" w:color="auto" w:fill="FFFFFF"/>
          <w:lang w:val="en-US" w:eastAsia="zh-CN"/>
        </w:rPr>
      </w:pPr>
      <w:r>
        <w:rPr>
          <w:rFonts w:hint="eastAsia" w:ascii="黑体" w:hAnsi="黑体" w:eastAsia="黑体" w:cs="黑体"/>
          <w:b w:val="0"/>
          <w:bCs/>
          <w:i w:val="0"/>
          <w:caps w:val="0"/>
          <w:color w:val="auto"/>
          <w:spacing w:val="0"/>
          <w:sz w:val="32"/>
          <w:szCs w:val="32"/>
          <w:highlight w:val="none"/>
          <w:shd w:val="clear" w:color="auto" w:fill="FFFFFF"/>
          <w:lang w:val="en-US" w:eastAsia="zh-CN"/>
        </w:rPr>
        <w:t>附件1</w:t>
      </w:r>
    </w:p>
    <w:p w14:paraId="38C8A68F">
      <w:pPr>
        <w:spacing w:line="240" w:lineRule="auto"/>
        <w:jc w:val="center"/>
        <w:rPr>
          <w:rFonts w:ascii="宋体" w:hAnsi="宋体" w:eastAsia="宋体"/>
          <w:color w:val="auto"/>
          <w:sz w:val="44"/>
          <w:szCs w:val="44"/>
          <w:highlight w:val="none"/>
        </w:rPr>
      </w:pP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val="en-US" w:eastAsia="zh-CN"/>
        </w:rPr>
        <w:t>焦作市体育局</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赛事活动</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val="en-US" w:eastAsia="zh-CN"/>
        </w:rPr>
        <w:t>奖励</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申</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val="en-US" w:eastAsia="zh-CN"/>
        </w:rPr>
        <w:t>报</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表</w:t>
      </w:r>
    </w:p>
    <w:tbl>
      <w:tblPr>
        <w:tblStyle w:val="9"/>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2633"/>
        <w:gridCol w:w="689"/>
        <w:gridCol w:w="3699"/>
      </w:tblGrid>
      <w:tr w14:paraId="0656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2162" w:type="dxa"/>
            <w:vMerge w:val="restart"/>
            <w:vAlign w:val="center"/>
          </w:tcPr>
          <w:p w14:paraId="56703D59">
            <w:pPr>
              <w:spacing w:line="24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基本信息</w:t>
            </w:r>
          </w:p>
        </w:tc>
        <w:tc>
          <w:tcPr>
            <w:tcW w:w="7021" w:type="dxa"/>
            <w:gridSpan w:val="3"/>
            <w:vAlign w:val="center"/>
          </w:tcPr>
          <w:p w14:paraId="5C137DD9">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申报</w:t>
            </w:r>
            <w:r>
              <w:rPr>
                <w:rFonts w:hint="eastAsia" w:ascii="仿宋" w:hAnsi="仿宋" w:eastAsia="仿宋"/>
                <w:color w:val="auto"/>
                <w:sz w:val="32"/>
                <w:szCs w:val="32"/>
                <w:highlight w:val="none"/>
              </w:rPr>
              <w:t>单位名称：</w:t>
            </w:r>
          </w:p>
        </w:tc>
      </w:tr>
      <w:tr w14:paraId="5CC53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162" w:type="dxa"/>
            <w:vMerge w:val="continue"/>
            <w:vAlign w:val="center"/>
          </w:tcPr>
          <w:p w14:paraId="71088786">
            <w:pPr>
              <w:spacing w:line="240" w:lineRule="auto"/>
              <w:jc w:val="center"/>
              <w:rPr>
                <w:rFonts w:ascii="仿宋" w:hAnsi="仿宋" w:eastAsia="仿宋"/>
                <w:color w:val="auto"/>
                <w:sz w:val="32"/>
                <w:szCs w:val="32"/>
                <w:highlight w:val="none"/>
              </w:rPr>
            </w:pPr>
          </w:p>
        </w:tc>
        <w:tc>
          <w:tcPr>
            <w:tcW w:w="3322" w:type="dxa"/>
            <w:gridSpan w:val="2"/>
            <w:vAlign w:val="center"/>
          </w:tcPr>
          <w:p w14:paraId="78A5B000">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法人代表：</w:t>
            </w:r>
          </w:p>
        </w:tc>
        <w:tc>
          <w:tcPr>
            <w:tcW w:w="3699" w:type="dxa"/>
            <w:vAlign w:val="center"/>
          </w:tcPr>
          <w:p w14:paraId="27620526">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所属行业：</w:t>
            </w:r>
          </w:p>
        </w:tc>
      </w:tr>
      <w:tr w14:paraId="424D8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2162" w:type="dxa"/>
            <w:vMerge w:val="continue"/>
            <w:vAlign w:val="center"/>
          </w:tcPr>
          <w:p w14:paraId="5B7E03A8">
            <w:pPr>
              <w:spacing w:line="240" w:lineRule="auto"/>
              <w:jc w:val="center"/>
              <w:rPr>
                <w:rFonts w:ascii="仿宋" w:hAnsi="仿宋" w:eastAsia="仿宋"/>
                <w:color w:val="auto"/>
                <w:sz w:val="32"/>
                <w:szCs w:val="32"/>
                <w:highlight w:val="none"/>
              </w:rPr>
            </w:pPr>
          </w:p>
        </w:tc>
        <w:tc>
          <w:tcPr>
            <w:tcW w:w="7021" w:type="dxa"/>
            <w:gridSpan w:val="3"/>
            <w:vAlign w:val="center"/>
          </w:tcPr>
          <w:p w14:paraId="10D07691">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地址：</w:t>
            </w:r>
          </w:p>
        </w:tc>
      </w:tr>
      <w:tr w14:paraId="5D6CB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162" w:type="dxa"/>
            <w:vMerge w:val="restart"/>
            <w:vAlign w:val="center"/>
          </w:tcPr>
          <w:p w14:paraId="1FEB4458">
            <w:pPr>
              <w:spacing w:line="240" w:lineRule="auto"/>
              <w:jc w:val="center"/>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申报单位</w:t>
            </w:r>
          </w:p>
          <w:p w14:paraId="280DD6CB">
            <w:pPr>
              <w:spacing w:line="24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联系人信息</w:t>
            </w:r>
          </w:p>
        </w:tc>
        <w:tc>
          <w:tcPr>
            <w:tcW w:w="3322" w:type="dxa"/>
            <w:gridSpan w:val="2"/>
            <w:vAlign w:val="center"/>
          </w:tcPr>
          <w:p w14:paraId="1E482965">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联系人1：</w:t>
            </w:r>
          </w:p>
        </w:tc>
        <w:tc>
          <w:tcPr>
            <w:tcW w:w="3699" w:type="dxa"/>
            <w:vAlign w:val="center"/>
          </w:tcPr>
          <w:p w14:paraId="440D9587">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电话：</w:t>
            </w:r>
          </w:p>
        </w:tc>
      </w:tr>
      <w:tr w14:paraId="1A5B5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162" w:type="dxa"/>
            <w:vMerge w:val="continue"/>
            <w:vAlign w:val="center"/>
          </w:tcPr>
          <w:p w14:paraId="2EB8C5F2">
            <w:pPr>
              <w:spacing w:line="240" w:lineRule="auto"/>
              <w:jc w:val="center"/>
              <w:rPr>
                <w:rFonts w:ascii="仿宋" w:hAnsi="仿宋" w:eastAsia="仿宋"/>
                <w:color w:val="auto"/>
                <w:sz w:val="32"/>
                <w:szCs w:val="32"/>
                <w:highlight w:val="none"/>
              </w:rPr>
            </w:pPr>
          </w:p>
        </w:tc>
        <w:tc>
          <w:tcPr>
            <w:tcW w:w="7021" w:type="dxa"/>
            <w:gridSpan w:val="3"/>
            <w:vAlign w:val="center"/>
          </w:tcPr>
          <w:p w14:paraId="273A2E15">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电子邮件：</w:t>
            </w:r>
          </w:p>
        </w:tc>
      </w:tr>
      <w:tr w14:paraId="199A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162" w:type="dxa"/>
            <w:vMerge w:val="restart"/>
            <w:vAlign w:val="center"/>
          </w:tcPr>
          <w:p w14:paraId="7E94695A">
            <w:pPr>
              <w:spacing w:line="24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申</w:t>
            </w:r>
            <w:r>
              <w:rPr>
                <w:rFonts w:hint="eastAsia" w:ascii="仿宋" w:hAnsi="仿宋" w:eastAsia="仿宋"/>
                <w:color w:val="auto"/>
                <w:sz w:val="32"/>
                <w:szCs w:val="32"/>
                <w:highlight w:val="none"/>
                <w:lang w:val="en-US" w:eastAsia="zh-CN"/>
              </w:rPr>
              <w:t>报</w:t>
            </w:r>
            <w:r>
              <w:rPr>
                <w:rFonts w:hint="eastAsia" w:ascii="仿宋" w:hAnsi="仿宋" w:eastAsia="仿宋"/>
                <w:color w:val="auto"/>
                <w:sz w:val="32"/>
                <w:szCs w:val="32"/>
                <w:highlight w:val="none"/>
              </w:rPr>
              <w:t>赛事意向</w:t>
            </w:r>
          </w:p>
        </w:tc>
        <w:tc>
          <w:tcPr>
            <w:tcW w:w="7021" w:type="dxa"/>
            <w:gridSpan w:val="3"/>
            <w:vAlign w:val="center"/>
          </w:tcPr>
          <w:p w14:paraId="4D4468AB">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申</w:t>
            </w:r>
            <w:r>
              <w:rPr>
                <w:rFonts w:hint="eastAsia" w:ascii="仿宋" w:hAnsi="仿宋" w:eastAsia="仿宋"/>
                <w:color w:val="auto"/>
                <w:sz w:val="32"/>
                <w:szCs w:val="32"/>
                <w:highlight w:val="none"/>
                <w:lang w:val="en-US" w:eastAsia="zh-CN"/>
              </w:rPr>
              <w:t>报</w:t>
            </w:r>
            <w:r>
              <w:rPr>
                <w:rFonts w:hint="eastAsia" w:ascii="仿宋" w:hAnsi="仿宋" w:eastAsia="仿宋"/>
                <w:color w:val="auto"/>
                <w:sz w:val="32"/>
                <w:szCs w:val="32"/>
                <w:highlight w:val="none"/>
              </w:rPr>
              <w:t>赛事</w:t>
            </w:r>
            <w:r>
              <w:rPr>
                <w:rFonts w:hint="eastAsia" w:ascii="仿宋" w:hAnsi="仿宋" w:eastAsia="仿宋"/>
                <w:color w:val="auto"/>
                <w:sz w:val="32"/>
                <w:szCs w:val="32"/>
                <w:highlight w:val="none"/>
                <w:lang w:val="en-US" w:eastAsia="zh-CN"/>
              </w:rPr>
              <w:t>活动</w:t>
            </w:r>
            <w:r>
              <w:rPr>
                <w:rFonts w:hint="eastAsia" w:ascii="仿宋" w:hAnsi="仿宋" w:eastAsia="仿宋"/>
                <w:color w:val="auto"/>
                <w:sz w:val="32"/>
                <w:szCs w:val="32"/>
                <w:highlight w:val="none"/>
              </w:rPr>
              <w:t>名称：</w:t>
            </w:r>
          </w:p>
        </w:tc>
      </w:tr>
      <w:tr w14:paraId="1ADD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162" w:type="dxa"/>
            <w:vMerge w:val="continue"/>
            <w:vAlign w:val="center"/>
          </w:tcPr>
          <w:p w14:paraId="09D47A2D">
            <w:pPr>
              <w:spacing w:line="240" w:lineRule="auto"/>
              <w:jc w:val="center"/>
              <w:rPr>
                <w:rFonts w:ascii="仿宋" w:hAnsi="仿宋" w:eastAsia="仿宋"/>
                <w:color w:val="auto"/>
                <w:sz w:val="32"/>
                <w:szCs w:val="32"/>
                <w:highlight w:val="none"/>
              </w:rPr>
            </w:pPr>
          </w:p>
        </w:tc>
        <w:tc>
          <w:tcPr>
            <w:tcW w:w="7021" w:type="dxa"/>
            <w:gridSpan w:val="3"/>
            <w:vAlign w:val="center"/>
          </w:tcPr>
          <w:p w14:paraId="0A277305">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申报</w:t>
            </w:r>
            <w:r>
              <w:rPr>
                <w:rFonts w:hint="eastAsia" w:ascii="仿宋" w:hAnsi="仿宋" w:eastAsia="仿宋"/>
                <w:color w:val="auto"/>
                <w:sz w:val="32"/>
                <w:szCs w:val="32"/>
                <w:highlight w:val="none"/>
              </w:rPr>
              <w:t>赛事</w:t>
            </w:r>
            <w:r>
              <w:rPr>
                <w:rFonts w:hint="eastAsia" w:ascii="仿宋" w:hAnsi="仿宋" w:eastAsia="仿宋"/>
                <w:color w:val="auto"/>
                <w:sz w:val="32"/>
                <w:szCs w:val="32"/>
                <w:highlight w:val="none"/>
                <w:lang w:val="en-US" w:eastAsia="zh-CN"/>
              </w:rPr>
              <w:t>活动</w:t>
            </w:r>
            <w:r>
              <w:rPr>
                <w:rFonts w:hint="eastAsia" w:ascii="仿宋" w:hAnsi="仿宋" w:eastAsia="仿宋"/>
                <w:color w:val="auto"/>
                <w:sz w:val="32"/>
                <w:szCs w:val="32"/>
                <w:highlight w:val="none"/>
              </w:rPr>
              <w:t>日期：</w:t>
            </w:r>
          </w:p>
        </w:tc>
      </w:tr>
      <w:tr w14:paraId="1F7EB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62" w:type="dxa"/>
            <w:vMerge w:val="continue"/>
            <w:vAlign w:val="center"/>
          </w:tcPr>
          <w:p w14:paraId="60D2DAB4">
            <w:pPr>
              <w:spacing w:line="240" w:lineRule="auto"/>
              <w:jc w:val="center"/>
              <w:rPr>
                <w:rFonts w:ascii="仿宋" w:hAnsi="仿宋" w:eastAsia="仿宋"/>
                <w:color w:val="auto"/>
                <w:sz w:val="32"/>
                <w:szCs w:val="32"/>
                <w:highlight w:val="none"/>
              </w:rPr>
            </w:pPr>
          </w:p>
        </w:tc>
        <w:tc>
          <w:tcPr>
            <w:tcW w:w="7021" w:type="dxa"/>
            <w:gridSpan w:val="3"/>
            <w:vAlign w:val="center"/>
          </w:tcPr>
          <w:p w14:paraId="0281F7DF">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申报赛事活动举办地</w:t>
            </w:r>
            <w:r>
              <w:rPr>
                <w:rFonts w:hint="eastAsia" w:ascii="仿宋" w:hAnsi="仿宋" w:eastAsia="仿宋"/>
                <w:color w:val="auto"/>
                <w:sz w:val="32"/>
                <w:szCs w:val="32"/>
                <w:highlight w:val="none"/>
              </w:rPr>
              <w:t>：</w:t>
            </w:r>
          </w:p>
        </w:tc>
      </w:tr>
      <w:tr w14:paraId="4E368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1" w:hRule="atLeast"/>
          <w:jc w:val="center"/>
        </w:trPr>
        <w:tc>
          <w:tcPr>
            <w:tcW w:w="4795" w:type="dxa"/>
            <w:gridSpan w:val="2"/>
            <w:vAlign w:val="center"/>
          </w:tcPr>
          <w:p w14:paraId="70F51C70">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填表人：</w:t>
            </w:r>
          </w:p>
          <w:p w14:paraId="567B56FE">
            <w:pPr>
              <w:spacing w:line="240" w:lineRule="auto"/>
              <w:jc w:val="both"/>
              <w:rPr>
                <w:rFonts w:ascii="仿宋" w:hAnsi="仿宋" w:eastAsia="仿宋"/>
                <w:color w:val="auto"/>
                <w:sz w:val="32"/>
                <w:szCs w:val="32"/>
                <w:highlight w:val="none"/>
              </w:rPr>
            </w:pPr>
          </w:p>
          <w:p w14:paraId="575BDF19">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rPr>
              <w:t xml:space="preserve">日期： </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rPr>
              <w:t xml:space="preserve">年 </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rPr>
              <w:t xml:space="preserve">月 </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rPr>
              <w:t>日</w:t>
            </w:r>
          </w:p>
        </w:tc>
        <w:tc>
          <w:tcPr>
            <w:tcW w:w="4388" w:type="dxa"/>
            <w:gridSpan w:val="2"/>
            <w:vAlign w:val="center"/>
          </w:tcPr>
          <w:p w14:paraId="711EAB74">
            <w:pPr>
              <w:spacing w:line="240" w:lineRule="auto"/>
              <w:jc w:val="both"/>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申报</w:t>
            </w:r>
            <w:r>
              <w:rPr>
                <w:rFonts w:hint="eastAsia" w:ascii="仿宋" w:hAnsi="仿宋" w:eastAsia="仿宋"/>
                <w:color w:val="auto"/>
                <w:sz w:val="32"/>
                <w:szCs w:val="32"/>
                <w:highlight w:val="none"/>
              </w:rPr>
              <w:t>单位公章：</w:t>
            </w:r>
          </w:p>
        </w:tc>
      </w:tr>
    </w:tbl>
    <w:p w14:paraId="1FAB102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7" w:lineRule="atLeast"/>
        <w:ind w:left="0" w:right="0" w:firstLine="0"/>
        <w:jc w:val="left"/>
        <w:rPr>
          <w:rFonts w:hint="eastAsia" w:ascii="黑体" w:hAnsi="黑体" w:eastAsia="黑体" w:cs="黑体"/>
          <w:b w:val="0"/>
          <w:bCs/>
          <w:i w:val="0"/>
          <w:caps w:val="0"/>
          <w:color w:val="auto"/>
          <w:spacing w:val="0"/>
          <w:sz w:val="32"/>
          <w:szCs w:val="32"/>
          <w:highlight w:val="none"/>
          <w:shd w:val="clear" w:color="auto" w:fill="FFFFFF"/>
          <w:lang w:val="en-US" w:eastAsia="zh-CN"/>
        </w:rPr>
      </w:pPr>
      <w:r>
        <w:rPr>
          <w:rFonts w:hint="eastAsia" w:ascii="黑体" w:hAnsi="黑体" w:eastAsia="黑体" w:cs="黑体"/>
          <w:b w:val="0"/>
          <w:bCs/>
          <w:i w:val="0"/>
          <w:caps w:val="0"/>
          <w:color w:val="auto"/>
          <w:spacing w:val="0"/>
          <w:sz w:val="32"/>
          <w:szCs w:val="32"/>
          <w:highlight w:val="none"/>
          <w:shd w:val="clear" w:color="auto" w:fill="FFFFFF"/>
          <w:lang w:val="en-US" w:eastAsia="zh-CN"/>
        </w:rPr>
        <w:t>附件2</w:t>
      </w:r>
    </w:p>
    <w:p w14:paraId="403C86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default" w:ascii="黑体" w:hAnsi="黑体" w:eastAsia="黑体" w:cs="黑体"/>
          <w:b w:val="0"/>
          <w:bCs/>
          <w:i w:val="0"/>
          <w:caps w:val="0"/>
          <w:color w:val="auto"/>
          <w:spacing w:val="0"/>
          <w:sz w:val="32"/>
          <w:szCs w:val="32"/>
          <w:highlight w:val="none"/>
          <w:shd w:val="clear" w:color="auto" w:fill="FFFFFF"/>
          <w:lang w:val="en-US" w:eastAsia="zh-CN"/>
        </w:rPr>
      </w:pPr>
    </w:p>
    <w:p w14:paraId="276E28D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pP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eastAsia="zh-CN"/>
        </w:rPr>
        <w:t>焦作市举</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办</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eastAsia="zh-CN"/>
        </w:rPr>
        <w:t>体育</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赛事活动</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lang w:eastAsia="zh-CN"/>
        </w:rPr>
        <w:t>奖励</w:t>
      </w:r>
      <w:r>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t>评审标准</w:t>
      </w:r>
    </w:p>
    <w:p w14:paraId="4E62C9E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auto"/>
          <w:spacing w:val="0"/>
          <w:sz w:val="44"/>
          <w:szCs w:val="44"/>
          <w:highlight w:val="none"/>
          <w:shd w:val="clear" w:color="auto" w:fill="FFFFFF"/>
        </w:rPr>
      </w:pPr>
    </w:p>
    <w:tbl>
      <w:tblPr>
        <w:tblStyle w:val="8"/>
        <w:tblW w:w="9842"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07"/>
        <w:gridCol w:w="1270"/>
        <w:gridCol w:w="1307"/>
        <w:gridCol w:w="4295"/>
        <w:gridCol w:w="2263"/>
      </w:tblGrid>
      <w:tr w14:paraId="366FFA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35" w:hRule="atLeast"/>
          <w:jc w:val="center"/>
        </w:trPr>
        <w:tc>
          <w:tcPr>
            <w:tcW w:w="707" w:type="dxa"/>
            <w:tcBorders>
              <w:top w:val="single" w:color="000000" w:sz="8" w:space="0"/>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030D8EF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黑体" w:hAnsi="黑体" w:eastAsia="黑体" w:cs="黑体"/>
                <w:i w:val="0"/>
                <w:color w:val="auto"/>
                <w:sz w:val="24"/>
                <w:szCs w:val="24"/>
                <w:highlight w:val="none"/>
                <w:shd w:val="clear" w:color="auto" w:fill="auto"/>
              </w:rPr>
            </w:pPr>
            <w:r>
              <w:rPr>
                <w:rFonts w:hint="eastAsia" w:ascii="黑体" w:hAnsi="黑体" w:eastAsia="黑体" w:cs="黑体"/>
                <w:i w:val="0"/>
                <w:caps w:val="0"/>
                <w:color w:val="auto"/>
                <w:spacing w:val="0"/>
                <w:sz w:val="24"/>
                <w:szCs w:val="24"/>
                <w:highlight w:val="none"/>
                <w:shd w:val="clear" w:color="auto" w:fill="auto"/>
              </w:rPr>
              <w:t>序号</w:t>
            </w:r>
          </w:p>
        </w:tc>
        <w:tc>
          <w:tcPr>
            <w:tcW w:w="1270" w:type="dxa"/>
            <w:tcBorders>
              <w:top w:val="single" w:color="000000" w:sz="8" w:space="0"/>
              <w:left w:val="nil"/>
              <w:bottom w:val="single" w:color="000000" w:sz="8" w:space="0"/>
              <w:right w:val="single" w:color="000000" w:sz="8" w:space="0"/>
            </w:tcBorders>
            <w:shd w:val="clear" w:color="auto" w:fill="auto"/>
            <w:noWrap w:val="0"/>
            <w:tcMar>
              <w:left w:w="108" w:type="dxa"/>
              <w:right w:w="108" w:type="dxa"/>
            </w:tcMar>
            <w:vAlign w:val="center"/>
          </w:tcPr>
          <w:p w14:paraId="0098AC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黑体" w:hAnsi="黑体" w:eastAsia="黑体" w:cs="黑体"/>
                <w:i w:val="0"/>
                <w:color w:val="auto"/>
                <w:sz w:val="24"/>
                <w:szCs w:val="24"/>
                <w:highlight w:val="none"/>
                <w:shd w:val="clear" w:color="auto" w:fill="auto"/>
              </w:rPr>
            </w:pPr>
            <w:r>
              <w:rPr>
                <w:rFonts w:hint="eastAsia" w:ascii="黑体" w:hAnsi="黑体" w:eastAsia="黑体" w:cs="黑体"/>
                <w:i w:val="0"/>
                <w:caps w:val="0"/>
                <w:color w:val="auto"/>
                <w:spacing w:val="0"/>
                <w:sz w:val="24"/>
                <w:szCs w:val="24"/>
                <w:highlight w:val="none"/>
                <w:shd w:val="clear" w:color="auto" w:fill="auto"/>
              </w:rPr>
              <w:t>一级指标</w:t>
            </w:r>
          </w:p>
        </w:tc>
        <w:tc>
          <w:tcPr>
            <w:tcW w:w="1307" w:type="dxa"/>
            <w:tcBorders>
              <w:top w:val="single" w:color="000000" w:sz="8" w:space="0"/>
              <w:left w:val="nil"/>
              <w:bottom w:val="single" w:color="000000" w:sz="8" w:space="0"/>
              <w:right w:val="single" w:color="000000" w:sz="8" w:space="0"/>
            </w:tcBorders>
            <w:shd w:val="clear" w:color="auto" w:fill="auto"/>
            <w:noWrap w:val="0"/>
            <w:tcMar>
              <w:left w:w="108" w:type="dxa"/>
              <w:right w:w="108" w:type="dxa"/>
            </w:tcMar>
            <w:vAlign w:val="center"/>
          </w:tcPr>
          <w:p w14:paraId="1741477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黑体" w:hAnsi="黑体" w:eastAsia="黑体" w:cs="黑体"/>
                <w:i w:val="0"/>
                <w:color w:val="auto"/>
                <w:sz w:val="24"/>
                <w:szCs w:val="24"/>
                <w:highlight w:val="none"/>
                <w:shd w:val="clear" w:color="auto" w:fill="auto"/>
              </w:rPr>
            </w:pPr>
            <w:r>
              <w:rPr>
                <w:rFonts w:hint="eastAsia" w:ascii="黑体" w:hAnsi="黑体" w:eastAsia="黑体" w:cs="黑体"/>
                <w:i w:val="0"/>
                <w:caps w:val="0"/>
                <w:color w:val="auto"/>
                <w:spacing w:val="0"/>
                <w:sz w:val="24"/>
                <w:szCs w:val="24"/>
                <w:highlight w:val="none"/>
                <w:shd w:val="clear" w:color="auto" w:fill="auto"/>
              </w:rPr>
              <w:t>二级指标</w:t>
            </w:r>
          </w:p>
        </w:tc>
        <w:tc>
          <w:tcPr>
            <w:tcW w:w="4295" w:type="dxa"/>
            <w:tcBorders>
              <w:top w:val="single" w:color="000000" w:sz="8" w:space="0"/>
              <w:left w:val="nil"/>
              <w:bottom w:val="single" w:color="000000" w:sz="8" w:space="0"/>
              <w:right w:val="single" w:color="000000" w:sz="8" w:space="0"/>
            </w:tcBorders>
            <w:shd w:val="clear" w:color="auto" w:fill="auto"/>
            <w:noWrap w:val="0"/>
            <w:tcMar>
              <w:left w:w="108" w:type="dxa"/>
              <w:right w:w="108" w:type="dxa"/>
            </w:tcMar>
            <w:vAlign w:val="center"/>
          </w:tcPr>
          <w:p w14:paraId="0D28CBF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黑体" w:hAnsi="黑体" w:eastAsia="黑体" w:cs="黑体"/>
                <w:i w:val="0"/>
                <w:color w:val="auto"/>
                <w:sz w:val="24"/>
                <w:szCs w:val="24"/>
                <w:highlight w:val="none"/>
                <w:shd w:val="clear" w:color="auto" w:fill="auto"/>
              </w:rPr>
            </w:pPr>
            <w:r>
              <w:rPr>
                <w:rFonts w:hint="eastAsia" w:ascii="黑体" w:hAnsi="黑体" w:eastAsia="黑体" w:cs="黑体"/>
                <w:i w:val="0"/>
                <w:caps w:val="0"/>
                <w:color w:val="auto"/>
                <w:spacing w:val="0"/>
                <w:sz w:val="24"/>
                <w:szCs w:val="24"/>
                <w:highlight w:val="none"/>
                <w:shd w:val="clear" w:color="auto" w:fill="auto"/>
              </w:rPr>
              <w:t>评分标准</w:t>
            </w:r>
          </w:p>
        </w:tc>
        <w:tc>
          <w:tcPr>
            <w:tcW w:w="2263" w:type="dxa"/>
            <w:tcBorders>
              <w:top w:val="single" w:color="000000" w:sz="8" w:space="0"/>
              <w:left w:val="nil"/>
              <w:bottom w:val="single" w:color="000000" w:sz="8" w:space="0"/>
              <w:right w:val="single" w:color="000000" w:sz="8" w:space="0"/>
            </w:tcBorders>
            <w:shd w:val="clear" w:color="auto" w:fill="auto"/>
            <w:noWrap w:val="0"/>
            <w:tcMar>
              <w:left w:w="108" w:type="dxa"/>
              <w:right w:w="108" w:type="dxa"/>
            </w:tcMar>
            <w:vAlign w:val="center"/>
          </w:tcPr>
          <w:p w14:paraId="1B8AE2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黑体" w:hAnsi="黑体" w:eastAsia="黑体" w:cs="黑体"/>
                <w:i w:val="0"/>
                <w:color w:val="auto"/>
                <w:sz w:val="24"/>
                <w:szCs w:val="24"/>
                <w:highlight w:val="none"/>
                <w:shd w:val="clear" w:color="auto" w:fill="auto"/>
              </w:rPr>
            </w:pPr>
            <w:r>
              <w:rPr>
                <w:rFonts w:hint="eastAsia" w:ascii="黑体" w:hAnsi="黑体" w:eastAsia="黑体" w:cs="黑体"/>
                <w:i w:val="0"/>
                <w:caps w:val="0"/>
                <w:color w:val="auto"/>
                <w:spacing w:val="0"/>
                <w:sz w:val="24"/>
                <w:szCs w:val="24"/>
                <w:highlight w:val="none"/>
                <w:shd w:val="clear" w:color="auto" w:fill="auto"/>
              </w:rPr>
              <w:t>需提交材料</w:t>
            </w:r>
          </w:p>
        </w:tc>
      </w:tr>
      <w:tr w14:paraId="204317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80" w:hRule="atLeast"/>
          <w:jc w:val="center"/>
        </w:trPr>
        <w:tc>
          <w:tcPr>
            <w:tcW w:w="707" w:type="dxa"/>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7B69485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1</w:t>
            </w:r>
          </w:p>
        </w:tc>
        <w:tc>
          <w:tcPr>
            <w:tcW w:w="1270"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B7DE11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赛事规模</w:t>
            </w:r>
          </w:p>
          <w:p w14:paraId="38C721E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20</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262F936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参赛人数</w:t>
            </w:r>
          </w:p>
          <w:p w14:paraId="5921345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20</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1875A71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lang w:val="en-US" w:eastAsia="zh-CN"/>
              </w:rPr>
            </w:pPr>
            <w:r>
              <w:rPr>
                <w:rFonts w:hint="eastAsia" w:ascii="仿宋_GB2312" w:hAnsi="仿宋_GB2312" w:eastAsia="仿宋_GB2312" w:cs="仿宋_GB2312"/>
                <w:i w:val="0"/>
                <w:caps w:val="0"/>
                <w:color w:val="auto"/>
                <w:spacing w:val="0"/>
                <w:sz w:val="21"/>
                <w:szCs w:val="21"/>
                <w:highlight w:val="none"/>
                <w:shd w:val="clear" w:color="auto" w:fill="auto"/>
              </w:rPr>
              <w:t>1000人以上</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20</w:t>
            </w:r>
            <w:r>
              <w:rPr>
                <w:rFonts w:hint="eastAsia" w:ascii="仿宋_GB2312" w:hAnsi="仿宋_GB2312" w:eastAsia="仿宋_GB2312" w:cs="仿宋_GB2312"/>
                <w:i w:val="0"/>
                <w:caps w:val="0"/>
                <w:color w:val="auto"/>
                <w:spacing w:val="0"/>
                <w:sz w:val="21"/>
                <w:szCs w:val="21"/>
                <w:highlight w:val="none"/>
                <w:shd w:val="clear" w:color="auto" w:fill="auto"/>
              </w:rPr>
              <w:t>分；700—999人</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15</w:t>
            </w:r>
            <w:r>
              <w:rPr>
                <w:rFonts w:hint="eastAsia" w:ascii="仿宋_GB2312" w:hAnsi="仿宋_GB2312" w:eastAsia="仿宋_GB2312" w:cs="仿宋_GB2312"/>
                <w:i w:val="0"/>
                <w:caps w:val="0"/>
                <w:color w:val="auto"/>
                <w:spacing w:val="0"/>
                <w:sz w:val="21"/>
                <w:szCs w:val="21"/>
                <w:highlight w:val="none"/>
                <w:shd w:val="clear" w:color="auto" w:fill="auto"/>
              </w:rPr>
              <w:t>分；500—699人</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12</w:t>
            </w:r>
            <w:r>
              <w:rPr>
                <w:rFonts w:hint="eastAsia" w:ascii="仿宋_GB2312" w:hAnsi="仿宋_GB2312" w:eastAsia="仿宋_GB2312" w:cs="仿宋_GB2312"/>
                <w:i w:val="0"/>
                <w:caps w:val="0"/>
                <w:color w:val="auto"/>
                <w:spacing w:val="0"/>
                <w:sz w:val="21"/>
                <w:szCs w:val="21"/>
                <w:highlight w:val="none"/>
                <w:shd w:val="clear" w:color="auto" w:fill="auto"/>
              </w:rPr>
              <w:t>分；200—499人</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10</w:t>
            </w:r>
            <w:r>
              <w:rPr>
                <w:rFonts w:hint="eastAsia" w:ascii="仿宋_GB2312" w:hAnsi="仿宋_GB2312" w:eastAsia="仿宋_GB2312" w:cs="仿宋_GB2312"/>
                <w:i w:val="0"/>
                <w:caps w:val="0"/>
                <w:color w:val="auto"/>
                <w:spacing w:val="0"/>
                <w:sz w:val="21"/>
                <w:szCs w:val="21"/>
                <w:highlight w:val="none"/>
                <w:shd w:val="clear" w:color="auto" w:fill="auto"/>
              </w:rPr>
              <w:t>分；200人以下</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6</w:t>
            </w:r>
            <w:r>
              <w:rPr>
                <w:rFonts w:hint="eastAsia" w:ascii="仿宋_GB2312" w:hAnsi="仿宋_GB2312" w:eastAsia="仿宋_GB2312" w:cs="仿宋_GB2312"/>
                <w:i w:val="0"/>
                <w:caps w:val="0"/>
                <w:color w:val="auto"/>
                <w:spacing w:val="0"/>
                <w:sz w:val="21"/>
                <w:szCs w:val="21"/>
                <w:highlight w:val="none"/>
                <w:shd w:val="clear" w:color="auto" w:fill="auto"/>
              </w:rPr>
              <w:t>分。</w:t>
            </w:r>
            <w:r>
              <w:rPr>
                <w:rFonts w:hint="eastAsia" w:ascii="仿宋_GB2312" w:hAnsi="仿宋_GB2312" w:eastAsia="仿宋_GB2312" w:cs="仿宋_GB2312"/>
                <w:i w:val="0"/>
                <w:caps w:val="0"/>
                <w:color w:val="auto"/>
                <w:spacing w:val="0"/>
                <w:sz w:val="21"/>
                <w:szCs w:val="21"/>
                <w:highlight w:val="none"/>
                <w:shd w:val="clear" w:color="auto" w:fill="auto"/>
                <w:lang w:eastAsia="zh-CN"/>
              </w:rPr>
              <w:t>（不含国家级以上高水平赛事活动）</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996C6A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提供竞赛规程，体现报名队数、人数计划，（赛后需提供秩序册对应）</w:t>
            </w:r>
          </w:p>
        </w:tc>
      </w:tr>
      <w:tr w14:paraId="0DB373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615" w:hRule="atLeast"/>
          <w:jc w:val="center"/>
        </w:trPr>
        <w:tc>
          <w:tcPr>
            <w:tcW w:w="707" w:type="dxa"/>
            <w:vMerge w:val="restart"/>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488260C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2</w:t>
            </w:r>
          </w:p>
        </w:tc>
        <w:tc>
          <w:tcPr>
            <w:tcW w:w="1270" w:type="dxa"/>
            <w:vMerge w:val="restart"/>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55B8327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安全保障</w:t>
            </w:r>
          </w:p>
          <w:p w14:paraId="1E92B4E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15</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23B8C9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竞赛安全保障</w:t>
            </w:r>
          </w:p>
          <w:p w14:paraId="791E38D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（10分）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A2CB5F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根据竞赛项目举办要求，制定竞赛安全风险防控方案、应急处理方案，对赛事活动全面梳理，保障到位得10分，其余根据评审专家意见打分，若无不得分。</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54C1554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提供竞赛安全风险防控方案、应急处理方案</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及安全检查照片或视频等材料</w:t>
            </w:r>
            <w:r>
              <w:rPr>
                <w:rFonts w:hint="eastAsia" w:ascii="仿宋_GB2312" w:hAnsi="仿宋_GB2312" w:eastAsia="仿宋_GB2312" w:cs="仿宋_GB2312"/>
                <w:i w:val="0"/>
                <w:caps w:val="0"/>
                <w:color w:val="auto"/>
                <w:spacing w:val="0"/>
                <w:sz w:val="21"/>
                <w:szCs w:val="21"/>
                <w:highlight w:val="none"/>
                <w:shd w:val="clear" w:color="auto" w:fill="auto"/>
              </w:rPr>
              <w:t>。</w:t>
            </w:r>
          </w:p>
        </w:tc>
      </w:tr>
      <w:tr w14:paraId="33A014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707" w:type="dxa"/>
            <w:vMerge w:val="continue"/>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752BB08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0A319E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4162E82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疫情防控保障</w:t>
            </w:r>
          </w:p>
          <w:p w14:paraId="6D5996B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
              </w:rPr>
              <w:t>5</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0465088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根据市疫情防控指挥部要求，制定疫情防控方案，对赛事场所、人员等疫情防控做出具体部署，保障到位得</w:t>
            </w:r>
            <w:r>
              <w:rPr>
                <w:rFonts w:hint="eastAsia" w:ascii="仿宋_GB2312" w:hAnsi="仿宋_GB2312" w:eastAsia="仿宋_GB2312" w:cs="仿宋_GB2312"/>
                <w:i w:val="0"/>
                <w:caps w:val="0"/>
                <w:color w:val="auto"/>
                <w:spacing w:val="0"/>
                <w:sz w:val="21"/>
                <w:szCs w:val="21"/>
                <w:highlight w:val="none"/>
                <w:shd w:val="clear" w:color="auto" w:fill="auto"/>
                <w:lang w:val="en"/>
              </w:rPr>
              <w:t>5</w:t>
            </w:r>
            <w:r>
              <w:rPr>
                <w:rFonts w:hint="eastAsia" w:ascii="仿宋_GB2312" w:hAnsi="仿宋_GB2312" w:eastAsia="仿宋_GB2312" w:cs="仿宋_GB2312"/>
                <w:i w:val="0"/>
                <w:caps w:val="0"/>
                <w:color w:val="auto"/>
                <w:spacing w:val="0"/>
                <w:sz w:val="21"/>
                <w:szCs w:val="21"/>
                <w:highlight w:val="none"/>
                <w:shd w:val="clear" w:color="auto" w:fill="auto"/>
              </w:rPr>
              <w:t>分，其余根据评审专家意见打分，若无不得分。</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2A68C9B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疫情期间，应提供疫情防控方案。</w:t>
            </w:r>
          </w:p>
        </w:tc>
      </w:tr>
      <w:tr w14:paraId="7ABB69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71" w:hRule="atLeast"/>
          <w:jc w:val="center"/>
        </w:trPr>
        <w:tc>
          <w:tcPr>
            <w:tcW w:w="707" w:type="dxa"/>
            <w:vMerge w:val="restart"/>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30B6AEE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3</w:t>
            </w:r>
          </w:p>
        </w:tc>
        <w:tc>
          <w:tcPr>
            <w:tcW w:w="1270" w:type="dxa"/>
            <w:vMerge w:val="restart"/>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090935F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办赛水平</w:t>
            </w:r>
          </w:p>
          <w:p w14:paraId="741D04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48</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4C4F4D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rPr>
              <w:t>赛事</w:t>
            </w:r>
            <w:r>
              <w:rPr>
                <w:rFonts w:hint="eastAsia" w:ascii="仿宋_GB2312" w:hAnsi="仿宋_GB2312" w:eastAsia="仿宋_GB2312" w:cs="仿宋_GB2312"/>
                <w:i w:val="0"/>
                <w:caps w:val="0"/>
                <w:color w:val="auto"/>
                <w:spacing w:val="0"/>
                <w:sz w:val="21"/>
                <w:szCs w:val="21"/>
                <w:highlight w:val="none"/>
                <w:shd w:val="clear" w:color="auto" w:fill="auto"/>
                <w:lang w:eastAsia="zh-CN"/>
              </w:rPr>
              <w:t>级别</w:t>
            </w:r>
          </w:p>
          <w:p w14:paraId="50A8A63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30</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06D1DE6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举办的赛事</w:t>
            </w:r>
            <w:r>
              <w:rPr>
                <w:rFonts w:hint="eastAsia" w:ascii="仿宋_GB2312" w:hAnsi="仿宋_GB2312" w:eastAsia="仿宋_GB2312" w:cs="仿宋_GB2312"/>
                <w:i w:val="0"/>
                <w:caps w:val="0"/>
                <w:color w:val="auto"/>
                <w:spacing w:val="0"/>
                <w:sz w:val="21"/>
                <w:szCs w:val="21"/>
                <w:highlight w:val="none"/>
                <w:shd w:val="clear" w:color="auto" w:fill="auto"/>
                <w:lang w:eastAsia="zh-CN"/>
              </w:rPr>
              <w:t>级别</w:t>
            </w:r>
            <w:r>
              <w:rPr>
                <w:rFonts w:hint="eastAsia" w:ascii="仿宋_GB2312" w:hAnsi="仿宋_GB2312" w:eastAsia="仿宋_GB2312" w:cs="仿宋_GB2312"/>
                <w:i w:val="0"/>
                <w:caps w:val="0"/>
                <w:color w:val="auto"/>
                <w:spacing w:val="0"/>
                <w:sz w:val="21"/>
                <w:szCs w:val="21"/>
                <w:highlight w:val="none"/>
                <w:shd w:val="clear" w:color="auto" w:fill="auto"/>
              </w:rPr>
              <w:t>为</w:t>
            </w:r>
            <w:r>
              <w:rPr>
                <w:rFonts w:hint="eastAsia" w:ascii="仿宋_GB2312" w:hAnsi="仿宋_GB2312" w:eastAsia="仿宋_GB2312" w:cs="仿宋_GB2312"/>
                <w:i w:val="0"/>
                <w:caps w:val="0"/>
                <w:color w:val="auto"/>
                <w:spacing w:val="0"/>
                <w:sz w:val="21"/>
                <w:szCs w:val="21"/>
                <w:highlight w:val="none"/>
                <w:shd w:val="clear" w:color="auto" w:fill="auto"/>
                <w:lang w:eastAsia="zh-CN"/>
              </w:rPr>
              <w:t>国际级</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30分，</w:t>
            </w:r>
            <w:r>
              <w:rPr>
                <w:rFonts w:hint="eastAsia" w:ascii="仿宋_GB2312" w:hAnsi="仿宋_GB2312" w:eastAsia="仿宋_GB2312" w:cs="仿宋_GB2312"/>
                <w:i w:val="0"/>
                <w:caps w:val="0"/>
                <w:color w:val="auto"/>
                <w:spacing w:val="0"/>
                <w:sz w:val="21"/>
                <w:szCs w:val="21"/>
                <w:highlight w:val="none"/>
                <w:shd w:val="clear" w:color="auto" w:fill="auto"/>
              </w:rPr>
              <w:t>国家级</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25</w:t>
            </w:r>
            <w:r>
              <w:rPr>
                <w:rFonts w:hint="eastAsia" w:ascii="仿宋_GB2312" w:hAnsi="仿宋_GB2312" w:eastAsia="仿宋_GB2312" w:cs="仿宋_GB2312"/>
                <w:i w:val="0"/>
                <w:caps w:val="0"/>
                <w:color w:val="auto"/>
                <w:spacing w:val="0"/>
                <w:sz w:val="21"/>
                <w:szCs w:val="21"/>
                <w:highlight w:val="none"/>
                <w:shd w:val="clear" w:color="auto" w:fill="auto"/>
              </w:rPr>
              <w:t>分，省级</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20</w:t>
            </w:r>
            <w:r>
              <w:rPr>
                <w:rFonts w:hint="eastAsia" w:ascii="仿宋_GB2312" w:hAnsi="仿宋_GB2312" w:eastAsia="仿宋_GB2312" w:cs="仿宋_GB2312"/>
                <w:i w:val="0"/>
                <w:caps w:val="0"/>
                <w:color w:val="auto"/>
                <w:spacing w:val="0"/>
                <w:sz w:val="21"/>
                <w:szCs w:val="21"/>
                <w:highlight w:val="none"/>
                <w:shd w:val="clear" w:color="auto" w:fill="auto"/>
              </w:rPr>
              <w:t>分，市级</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15</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4B2306E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提供申办报告</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及批复等</w:t>
            </w:r>
            <w:r>
              <w:rPr>
                <w:rFonts w:hint="eastAsia" w:ascii="仿宋_GB2312" w:hAnsi="仿宋_GB2312" w:eastAsia="仿宋_GB2312" w:cs="仿宋_GB2312"/>
                <w:i w:val="0"/>
                <w:caps w:val="0"/>
                <w:color w:val="auto"/>
                <w:spacing w:val="0"/>
                <w:sz w:val="21"/>
                <w:szCs w:val="21"/>
                <w:highlight w:val="none"/>
                <w:shd w:val="clear" w:color="auto" w:fill="auto"/>
                <w:lang w:eastAsia="zh-CN"/>
              </w:rPr>
              <w:t>相关</w:t>
            </w:r>
            <w:r>
              <w:rPr>
                <w:rFonts w:hint="eastAsia" w:ascii="仿宋_GB2312" w:hAnsi="仿宋_GB2312" w:eastAsia="仿宋_GB2312" w:cs="仿宋_GB2312"/>
                <w:i w:val="0"/>
                <w:caps w:val="0"/>
                <w:color w:val="auto"/>
                <w:spacing w:val="0"/>
                <w:sz w:val="21"/>
                <w:szCs w:val="21"/>
                <w:highlight w:val="none"/>
                <w:shd w:val="clear" w:color="auto" w:fill="auto"/>
              </w:rPr>
              <w:t>证明材料。</w:t>
            </w:r>
          </w:p>
        </w:tc>
      </w:tr>
      <w:tr w14:paraId="36AE27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8" w:hRule="atLeast"/>
          <w:jc w:val="center"/>
        </w:trPr>
        <w:tc>
          <w:tcPr>
            <w:tcW w:w="707" w:type="dxa"/>
            <w:vMerge w:val="continue"/>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5CF6D70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2D42D0A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97A577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医疗保障</w:t>
            </w:r>
          </w:p>
          <w:p w14:paraId="3AA8E1A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5</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5772CE1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按规定承诺配备专业医务人员的得</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5</w:t>
            </w:r>
            <w:r>
              <w:rPr>
                <w:rFonts w:hint="eastAsia" w:ascii="仿宋_GB2312" w:hAnsi="仿宋_GB2312" w:eastAsia="仿宋_GB2312" w:cs="仿宋_GB2312"/>
                <w:i w:val="0"/>
                <w:caps w:val="0"/>
                <w:color w:val="auto"/>
                <w:spacing w:val="0"/>
                <w:sz w:val="21"/>
                <w:szCs w:val="21"/>
                <w:highlight w:val="none"/>
                <w:shd w:val="clear" w:color="auto" w:fill="auto"/>
              </w:rPr>
              <w:t>分，如未承诺或未配备不得分。</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4A995D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rPr>
              <w:t>需提供秩序册</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及照片</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p>
        </w:tc>
      </w:tr>
      <w:tr w14:paraId="3418C9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61" w:hRule="atLeast"/>
          <w:jc w:val="center"/>
        </w:trPr>
        <w:tc>
          <w:tcPr>
            <w:tcW w:w="707" w:type="dxa"/>
            <w:vMerge w:val="continue"/>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75A57AD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5E872F8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8C293F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裁判员队伍</w:t>
            </w:r>
          </w:p>
          <w:p w14:paraId="2AFDE6F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
              </w:rPr>
              <w:t>4</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544D6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有国家级裁判长的得</w:t>
            </w:r>
            <w:r>
              <w:rPr>
                <w:rFonts w:hint="eastAsia" w:ascii="仿宋_GB2312" w:hAnsi="仿宋_GB2312" w:eastAsia="仿宋_GB2312" w:cs="仿宋_GB2312"/>
                <w:i w:val="0"/>
                <w:caps w:val="0"/>
                <w:color w:val="auto"/>
                <w:spacing w:val="0"/>
                <w:sz w:val="21"/>
                <w:szCs w:val="21"/>
                <w:highlight w:val="none"/>
                <w:shd w:val="clear" w:color="auto" w:fill="auto"/>
                <w:lang w:val="en"/>
              </w:rPr>
              <w:t>4</w:t>
            </w:r>
            <w:r>
              <w:rPr>
                <w:rFonts w:hint="eastAsia" w:ascii="仿宋_GB2312" w:hAnsi="仿宋_GB2312" w:eastAsia="仿宋_GB2312" w:cs="仿宋_GB2312"/>
                <w:i w:val="0"/>
                <w:caps w:val="0"/>
                <w:color w:val="auto"/>
                <w:spacing w:val="0"/>
                <w:sz w:val="21"/>
                <w:szCs w:val="21"/>
                <w:highlight w:val="none"/>
                <w:shd w:val="clear" w:color="auto" w:fill="auto"/>
              </w:rPr>
              <w:t>分，有一级裁判长的得</w:t>
            </w:r>
            <w:r>
              <w:rPr>
                <w:rFonts w:hint="eastAsia" w:ascii="仿宋_GB2312" w:hAnsi="仿宋_GB2312" w:eastAsia="仿宋_GB2312" w:cs="仿宋_GB2312"/>
                <w:i w:val="0"/>
                <w:caps w:val="0"/>
                <w:color w:val="auto"/>
                <w:spacing w:val="0"/>
                <w:sz w:val="21"/>
                <w:szCs w:val="21"/>
                <w:highlight w:val="none"/>
                <w:shd w:val="clear" w:color="auto" w:fill="auto"/>
                <w:lang w:val="en"/>
              </w:rPr>
              <w:t>2</w:t>
            </w:r>
            <w:r>
              <w:rPr>
                <w:rFonts w:hint="eastAsia" w:ascii="仿宋_GB2312" w:hAnsi="仿宋_GB2312" w:eastAsia="仿宋_GB2312" w:cs="仿宋_GB2312"/>
                <w:i w:val="0"/>
                <w:caps w:val="0"/>
                <w:color w:val="auto"/>
                <w:spacing w:val="0"/>
                <w:sz w:val="21"/>
                <w:szCs w:val="21"/>
                <w:highlight w:val="none"/>
                <w:shd w:val="clear" w:color="auto" w:fill="auto"/>
              </w:rPr>
              <w:t>分，比赛必须有二级以上裁判员担任裁判长得基础分</w:t>
            </w:r>
            <w:r>
              <w:rPr>
                <w:rFonts w:hint="eastAsia" w:ascii="仿宋_GB2312" w:hAnsi="仿宋_GB2312" w:eastAsia="仿宋_GB2312" w:cs="仿宋_GB2312"/>
                <w:i w:val="0"/>
                <w:caps w:val="0"/>
                <w:color w:val="auto"/>
                <w:spacing w:val="0"/>
                <w:sz w:val="21"/>
                <w:szCs w:val="21"/>
                <w:highlight w:val="none"/>
                <w:shd w:val="clear" w:color="auto" w:fill="auto"/>
                <w:lang w:val="en"/>
              </w:rPr>
              <w:t>1</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D909C8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提交</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秩序册及</w:t>
            </w:r>
            <w:r>
              <w:rPr>
                <w:rFonts w:hint="eastAsia" w:ascii="仿宋_GB2312" w:hAnsi="仿宋_GB2312" w:eastAsia="仿宋_GB2312" w:cs="仿宋_GB2312"/>
                <w:i w:val="0"/>
                <w:caps w:val="0"/>
                <w:color w:val="auto"/>
                <w:spacing w:val="0"/>
                <w:sz w:val="21"/>
                <w:szCs w:val="21"/>
                <w:highlight w:val="none"/>
                <w:shd w:val="clear" w:color="auto" w:fill="auto"/>
              </w:rPr>
              <w:t>拟选聘裁判长名单。</w:t>
            </w:r>
          </w:p>
        </w:tc>
      </w:tr>
      <w:tr w14:paraId="3D6DF4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continue"/>
            <w:tcBorders>
              <w:top w:val="nil"/>
              <w:left w:val="single" w:color="000000" w:sz="8" w:space="0"/>
              <w:bottom w:val="single" w:color="000000" w:sz="8" w:space="0"/>
              <w:right w:val="single" w:color="000000" w:sz="8" w:space="0"/>
            </w:tcBorders>
            <w:shd w:val="clear" w:color="auto" w:fill="auto"/>
            <w:noWrap w:val="0"/>
            <w:tcMar>
              <w:left w:w="108" w:type="dxa"/>
              <w:right w:w="108" w:type="dxa"/>
            </w:tcMar>
            <w:vAlign w:val="center"/>
          </w:tcPr>
          <w:p w14:paraId="2CA10BE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F47F56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10465C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社会体育指导员</w:t>
            </w:r>
          </w:p>
          <w:p w14:paraId="627BB1F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
              </w:rPr>
              <w:t>3</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BD73AD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工作人员有国家级社会体育指导员的得</w:t>
            </w:r>
            <w:r>
              <w:rPr>
                <w:rFonts w:hint="eastAsia" w:ascii="仿宋_GB2312" w:hAnsi="仿宋_GB2312" w:eastAsia="仿宋_GB2312" w:cs="仿宋_GB2312"/>
                <w:i w:val="0"/>
                <w:caps w:val="0"/>
                <w:color w:val="auto"/>
                <w:spacing w:val="0"/>
                <w:sz w:val="21"/>
                <w:szCs w:val="21"/>
                <w:highlight w:val="none"/>
                <w:shd w:val="clear" w:color="auto" w:fill="auto"/>
                <w:lang w:val="en"/>
              </w:rPr>
              <w:t>3</w:t>
            </w:r>
            <w:r>
              <w:rPr>
                <w:rFonts w:hint="eastAsia" w:ascii="仿宋_GB2312" w:hAnsi="仿宋_GB2312" w:eastAsia="仿宋_GB2312" w:cs="仿宋_GB2312"/>
                <w:i w:val="0"/>
                <w:caps w:val="0"/>
                <w:color w:val="auto"/>
                <w:spacing w:val="0"/>
                <w:sz w:val="21"/>
                <w:szCs w:val="21"/>
                <w:highlight w:val="none"/>
                <w:shd w:val="clear" w:color="auto" w:fill="auto"/>
              </w:rPr>
              <w:t>分，有一级社会体育指导员的得</w:t>
            </w:r>
            <w:r>
              <w:rPr>
                <w:rFonts w:hint="eastAsia" w:ascii="仿宋_GB2312" w:hAnsi="仿宋_GB2312" w:eastAsia="仿宋_GB2312" w:cs="仿宋_GB2312"/>
                <w:i w:val="0"/>
                <w:caps w:val="0"/>
                <w:color w:val="auto"/>
                <w:spacing w:val="0"/>
                <w:sz w:val="21"/>
                <w:szCs w:val="21"/>
                <w:highlight w:val="none"/>
                <w:shd w:val="clear" w:color="auto" w:fill="auto"/>
                <w:lang w:val="en"/>
              </w:rPr>
              <w:t>2</w:t>
            </w:r>
            <w:r>
              <w:rPr>
                <w:rFonts w:hint="eastAsia" w:ascii="仿宋_GB2312" w:hAnsi="仿宋_GB2312" w:eastAsia="仿宋_GB2312" w:cs="仿宋_GB2312"/>
                <w:i w:val="0"/>
                <w:caps w:val="0"/>
                <w:color w:val="auto"/>
                <w:spacing w:val="0"/>
                <w:sz w:val="21"/>
                <w:szCs w:val="21"/>
                <w:highlight w:val="none"/>
                <w:shd w:val="clear" w:color="auto" w:fill="auto"/>
              </w:rPr>
              <w:t>分，有二级社会体育指导员的得</w:t>
            </w:r>
            <w:r>
              <w:rPr>
                <w:rFonts w:hint="eastAsia" w:ascii="仿宋_GB2312" w:hAnsi="仿宋_GB2312" w:eastAsia="仿宋_GB2312" w:cs="仿宋_GB2312"/>
                <w:i w:val="0"/>
                <w:caps w:val="0"/>
                <w:color w:val="auto"/>
                <w:spacing w:val="0"/>
                <w:sz w:val="21"/>
                <w:szCs w:val="21"/>
                <w:highlight w:val="none"/>
                <w:shd w:val="clear" w:color="auto" w:fill="auto"/>
                <w:lang w:val="en"/>
              </w:rPr>
              <w:t>1</w:t>
            </w:r>
            <w:r>
              <w:rPr>
                <w:rFonts w:hint="eastAsia" w:ascii="仿宋_GB2312" w:hAnsi="仿宋_GB2312" w:eastAsia="仿宋_GB2312" w:cs="仿宋_GB2312"/>
                <w:i w:val="0"/>
                <w:caps w:val="0"/>
                <w:color w:val="auto"/>
                <w:spacing w:val="0"/>
                <w:sz w:val="21"/>
                <w:szCs w:val="21"/>
                <w:highlight w:val="none"/>
                <w:shd w:val="clear" w:color="auto" w:fill="auto"/>
              </w:rPr>
              <w:t>分，若无不得分。</w:t>
            </w:r>
            <w:r>
              <w:rPr>
                <w:rFonts w:hint="eastAsia" w:ascii="仿宋_GB2312" w:hAnsi="仿宋_GB2312" w:eastAsia="仿宋_GB2312" w:cs="仿宋_GB2312"/>
                <w:i w:val="0"/>
                <w:caps w:val="0"/>
                <w:color w:val="auto"/>
                <w:spacing w:val="0"/>
                <w:sz w:val="21"/>
                <w:szCs w:val="21"/>
                <w:highlight w:val="none"/>
                <w:shd w:val="clear" w:color="auto" w:fill="auto"/>
                <w:lang w:eastAsia="zh-CN"/>
              </w:rPr>
              <w:t>（不含国家级以上高水平赛事活动）</w:t>
            </w:r>
          </w:p>
        </w:tc>
        <w:tc>
          <w:tcPr>
            <w:tcW w:w="2263"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5AFD76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提交拟选聘社会体育指导员担任的工作人员名单</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及证明材料</w:t>
            </w:r>
            <w:r>
              <w:rPr>
                <w:rFonts w:hint="eastAsia" w:ascii="仿宋_GB2312" w:hAnsi="仿宋_GB2312" w:eastAsia="仿宋_GB2312" w:cs="仿宋_GB2312"/>
                <w:i w:val="0"/>
                <w:caps w:val="0"/>
                <w:color w:val="auto"/>
                <w:spacing w:val="0"/>
                <w:sz w:val="21"/>
                <w:szCs w:val="21"/>
                <w:highlight w:val="none"/>
                <w:shd w:val="clear" w:color="auto" w:fill="auto"/>
              </w:rPr>
              <w:t>。</w:t>
            </w:r>
          </w:p>
        </w:tc>
      </w:tr>
      <w:tr w14:paraId="176888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continue"/>
            <w:tcBorders>
              <w:top w:val="nil"/>
              <w:left w:val="single" w:color="000000" w:sz="8" w:space="0"/>
              <w:bottom w:val="single" w:color="auto" w:sz="4" w:space="0"/>
              <w:right w:val="single" w:color="000000" w:sz="8" w:space="0"/>
            </w:tcBorders>
            <w:shd w:val="clear" w:color="auto" w:fill="auto"/>
            <w:noWrap w:val="0"/>
            <w:tcMar>
              <w:left w:w="108" w:type="dxa"/>
              <w:right w:w="108" w:type="dxa"/>
            </w:tcMar>
            <w:vAlign w:val="center"/>
          </w:tcPr>
          <w:p w14:paraId="7332EBB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2A815BA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0C302B8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赛事服务保障</w:t>
            </w:r>
          </w:p>
          <w:p w14:paraId="3EF5C3D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（6分）</w:t>
            </w:r>
          </w:p>
        </w:tc>
        <w:tc>
          <w:tcPr>
            <w:tcW w:w="4295" w:type="dxa"/>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1960BFB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评审根据提交的竞赛规程总则和单项规程的完整性和可操作程度进行打分，满分6分。</w:t>
            </w:r>
          </w:p>
        </w:tc>
        <w:tc>
          <w:tcPr>
            <w:tcW w:w="2263" w:type="dxa"/>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5A46C4F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提供竞赛规程</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rPr>
              <w:t>方案。</w:t>
            </w:r>
          </w:p>
        </w:tc>
      </w:tr>
      <w:tr w14:paraId="1FD16A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restart"/>
            <w:tcBorders>
              <w:top w:val="single" w:color="auto" w:sz="4" w:space="0"/>
              <w:left w:val="single" w:color="auto" w:sz="4" w:space="0"/>
              <w:bottom w:val="single" w:color="000000" w:sz="8" w:space="0"/>
              <w:right w:val="single" w:color="000000" w:sz="8" w:space="0"/>
            </w:tcBorders>
            <w:shd w:val="clear" w:color="auto" w:fill="auto"/>
            <w:noWrap w:val="0"/>
            <w:tcMar>
              <w:left w:w="108" w:type="dxa"/>
              <w:right w:w="108" w:type="dxa"/>
            </w:tcMar>
            <w:vAlign w:val="center"/>
          </w:tcPr>
          <w:p w14:paraId="2F35760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4</w:t>
            </w:r>
          </w:p>
        </w:tc>
        <w:tc>
          <w:tcPr>
            <w:tcW w:w="1270" w:type="dxa"/>
            <w:vMerge w:val="restart"/>
            <w:tcBorders>
              <w:top w:val="single" w:color="auto" w:sz="4" w:space="0"/>
              <w:left w:val="nil"/>
              <w:bottom w:val="single" w:color="000000" w:sz="8" w:space="0"/>
              <w:right w:val="single" w:color="000000" w:sz="8" w:space="0"/>
            </w:tcBorders>
            <w:shd w:val="clear" w:color="auto" w:fill="auto"/>
            <w:noWrap w:val="0"/>
            <w:tcMar>
              <w:left w:w="108" w:type="dxa"/>
              <w:right w:w="108" w:type="dxa"/>
            </w:tcMar>
            <w:vAlign w:val="center"/>
          </w:tcPr>
          <w:p w14:paraId="102672F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lang w:eastAsia="zh-CN"/>
              </w:rPr>
            </w:pPr>
            <w:r>
              <w:rPr>
                <w:rFonts w:hint="eastAsia" w:ascii="仿宋_GB2312" w:hAnsi="仿宋_GB2312" w:eastAsia="仿宋_GB2312" w:cs="仿宋_GB2312"/>
                <w:i w:val="0"/>
                <w:caps w:val="0"/>
                <w:color w:val="auto"/>
                <w:spacing w:val="0"/>
                <w:sz w:val="21"/>
                <w:szCs w:val="21"/>
                <w:highlight w:val="none"/>
                <w:shd w:val="clear" w:color="auto" w:fill="auto"/>
              </w:rPr>
              <w:t>赛事影响</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17</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p>
        </w:tc>
        <w:tc>
          <w:tcPr>
            <w:tcW w:w="1307" w:type="dxa"/>
            <w:tcBorders>
              <w:top w:val="single" w:color="auto" w:sz="4" w:space="0"/>
              <w:left w:val="nil"/>
              <w:bottom w:val="single" w:color="000000" w:sz="8" w:space="0"/>
              <w:right w:val="single" w:color="000000" w:sz="8" w:space="0"/>
            </w:tcBorders>
            <w:shd w:val="clear" w:color="auto" w:fill="auto"/>
            <w:noWrap w:val="0"/>
            <w:tcMar>
              <w:left w:w="108" w:type="dxa"/>
              <w:right w:w="108" w:type="dxa"/>
            </w:tcMar>
            <w:vAlign w:val="center"/>
          </w:tcPr>
          <w:p w14:paraId="0D5C3BB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赛事活动覆盖</w:t>
            </w:r>
          </w:p>
          <w:p w14:paraId="4DD08D3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（4分）</w:t>
            </w:r>
          </w:p>
        </w:tc>
        <w:tc>
          <w:tcPr>
            <w:tcW w:w="4295" w:type="dxa"/>
            <w:tcBorders>
              <w:top w:val="single" w:color="auto" w:sz="4" w:space="0"/>
              <w:left w:val="nil"/>
              <w:bottom w:val="single" w:color="000000" w:sz="8" w:space="0"/>
              <w:right w:val="single" w:color="000000" w:sz="8" w:space="0"/>
            </w:tcBorders>
            <w:shd w:val="clear" w:color="auto" w:fill="auto"/>
            <w:noWrap w:val="0"/>
            <w:tcMar>
              <w:left w:w="108" w:type="dxa"/>
              <w:right w:w="108" w:type="dxa"/>
            </w:tcMar>
            <w:vAlign w:val="center"/>
          </w:tcPr>
          <w:p w14:paraId="621A77A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竞赛活动包含分别在市、县</w:t>
            </w:r>
            <w:r>
              <w:rPr>
                <w:rFonts w:hint="eastAsia" w:ascii="仿宋_GB2312" w:hAnsi="仿宋_GB2312" w:eastAsia="仿宋_GB2312" w:cs="仿宋_GB2312"/>
                <w:i w:val="0"/>
                <w:caps w:val="0"/>
                <w:color w:val="auto"/>
                <w:spacing w:val="0"/>
                <w:sz w:val="21"/>
                <w:szCs w:val="21"/>
                <w:highlight w:val="none"/>
                <w:shd w:val="clear" w:color="auto" w:fill="auto"/>
                <w:lang w:eastAsia="zh-CN"/>
              </w:rPr>
              <w:t>（市）区</w:t>
            </w:r>
            <w:r>
              <w:rPr>
                <w:rFonts w:hint="eastAsia" w:ascii="仿宋_GB2312" w:hAnsi="仿宋_GB2312" w:eastAsia="仿宋_GB2312" w:cs="仿宋_GB2312"/>
                <w:i w:val="0"/>
                <w:caps w:val="0"/>
                <w:color w:val="auto"/>
                <w:spacing w:val="0"/>
                <w:sz w:val="21"/>
                <w:szCs w:val="21"/>
                <w:highlight w:val="none"/>
                <w:shd w:val="clear" w:color="auto" w:fill="auto"/>
              </w:rPr>
              <w:t>两级选拔举办的方案得4分，包含市本级比赛的举办方案得2分。</w:t>
            </w:r>
            <w:r>
              <w:rPr>
                <w:rFonts w:hint="eastAsia" w:ascii="仿宋_GB2312" w:hAnsi="仿宋_GB2312" w:eastAsia="仿宋_GB2312" w:cs="仿宋_GB2312"/>
                <w:i w:val="0"/>
                <w:caps w:val="0"/>
                <w:color w:val="auto"/>
                <w:spacing w:val="0"/>
                <w:sz w:val="21"/>
                <w:szCs w:val="21"/>
                <w:highlight w:val="none"/>
                <w:shd w:val="clear" w:color="auto" w:fill="auto"/>
                <w:lang w:eastAsia="zh-CN"/>
              </w:rPr>
              <w:t>（不含国家级以上高水平赛事活动）</w:t>
            </w:r>
          </w:p>
        </w:tc>
        <w:tc>
          <w:tcPr>
            <w:tcW w:w="2263" w:type="dxa"/>
            <w:tcBorders>
              <w:top w:val="single" w:color="auto" w:sz="4" w:space="0"/>
              <w:left w:val="nil"/>
              <w:bottom w:val="single" w:color="000000" w:sz="8" w:space="0"/>
              <w:right w:val="single" w:color="auto" w:sz="4" w:space="0"/>
            </w:tcBorders>
            <w:shd w:val="clear" w:color="auto" w:fill="auto"/>
            <w:noWrap w:val="0"/>
            <w:tcMar>
              <w:left w:w="108" w:type="dxa"/>
              <w:right w:w="108" w:type="dxa"/>
            </w:tcMar>
            <w:vAlign w:val="center"/>
          </w:tcPr>
          <w:p w14:paraId="1A9A724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提供竞赛规程</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rPr>
              <w:t>方案。</w:t>
            </w:r>
          </w:p>
        </w:tc>
      </w:tr>
      <w:tr w14:paraId="73CB03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continue"/>
            <w:tcBorders>
              <w:top w:val="nil"/>
              <w:left w:val="single" w:color="auto" w:sz="4" w:space="0"/>
              <w:bottom w:val="single" w:color="000000" w:sz="8" w:space="0"/>
              <w:right w:val="single" w:color="000000" w:sz="8" w:space="0"/>
            </w:tcBorders>
            <w:shd w:val="clear" w:color="auto" w:fill="auto"/>
            <w:noWrap w:val="0"/>
            <w:tcMar>
              <w:left w:w="108" w:type="dxa"/>
              <w:right w:w="108" w:type="dxa"/>
            </w:tcMar>
            <w:vAlign w:val="center"/>
          </w:tcPr>
          <w:p w14:paraId="2E0FA6B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34B4489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01733ED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企业赞助情况</w:t>
            </w:r>
          </w:p>
          <w:p w14:paraId="06B90E3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6</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12DA2C8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竞赛活动获得社会赞助10万元（含）以上的得6分；获得5万以上，10万以下的得4分；获得1万以上，5万以下的得2分，获得1万元（含）以下的得1分</w:t>
            </w:r>
          </w:p>
        </w:tc>
        <w:tc>
          <w:tcPr>
            <w:tcW w:w="2263" w:type="dxa"/>
            <w:tcBorders>
              <w:top w:val="nil"/>
              <w:left w:val="nil"/>
              <w:bottom w:val="single" w:color="000000" w:sz="8" w:space="0"/>
              <w:right w:val="single" w:color="auto" w:sz="4" w:space="0"/>
            </w:tcBorders>
            <w:shd w:val="clear" w:color="auto" w:fill="auto"/>
            <w:noWrap w:val="0"/>
            <w:tcMar>
              <w:left w:w="108" w:type="dxa"/>
              <w:right w:w="108" w:type="dxa"/>
            </w:tcMar>
            <w:vAlign w:val="center"/>
          </w:tcPr>
          <w:p w14:paraId="4AFDE78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赛后需提供财务账目备查。</w:t>
            </w:r>
          </w:p>
        </w:tc>
      </w:tr>
      <w:tr w14:paraId="6024DB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continue"/>
            <w:tcBorders>
              <w:top w:val="nil"/>
              <w:left w:val="single" w:color="auto" w:sz="4" w:space="0"/>
              <w:bottom w:val="single" w:color="000000" w:sz="8" w:space="0"/>
              <w:right w:val="single" w:color="000000" w:sz="8" w:space="0"/>
            </w:tcBorders>
            <w:shd w:val="clear" w:color="auto" w:fill="auto"/>
            <w:noWrap w:val="0"/>
            <w:tcMar>
              <w:left w:w="108" w:type="dxa"/>
              <w:right w:w="108" w:type="dxa"/>
            </w:tcMar>
            <w:vAlign w:val="center"/>
          </w:tcPr>
          <w:p w14:paraId="486D7DE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6A0E9E3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4DAB265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赛事公益性</w:t>
            </w:r>
          </w:p>
          <w:p w14:paraId="4F62D7D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3</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000000" w:sz="8" w:space="0"/>
              <w:right w:val="single" w:color="000000" w:sz="8" w:space="0"/>
            </w:tcBorders>
            <w:shd w:val="clear" w:color="auto" w:fill="auto"/>
            <w:noWrap w:val="0"/>
            <w:tcMar>
              <w:left w:w="108" w:type="dxa"/>
              <w:right w:w="108" w:type="dxa"/>
            </w:tcMar>
            <w:vAlign w:val="center"/>
          </w:tcPr>
          <w:p w14:paraId="78AB2EB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赛事不收取</w:t>
            </w:r>
            <w:r>
              <w:rPr>
                <w:rFonts w:hint="eastAsia" w:ascii="仿宋_GB2312" w:hAnsi="仿宋_GB2312" w:eastAsia="仿宋_GB2312" w:cs="仿宋_GB2312"/>
                <w:i w:val="0"/>
                <w:caps w:val="0"/>
                <w:color w:val="auto"/>
                <w:spacing w:val="0"/>
                <w:sz w:val="21"/>
                <w:szCs w:val="21"/>
                <w:highlight w:val="none"/>
                <w:shd w:val="clear" w:color="auto" w:fill="auto"/>
                <w:lang w:eastAsia="zh-CN"/>
              </w:rPr>
              <w:t>除食宿费外</w:t>
            </w:r>
            <w:r>
              <w:rPr>
                <w:rFonts w:hint="eastAsia" w:ascii="仿宋_GB2312" w:hAnsi="仿宋_GB2312" w:eastAsia="仿宋_GB2312" w:cs="仿宋_GB2312"/>
                <w:i w:val="0"/>
                <w:caps w:val="0"/>
                <w:color w:val="auto"/>
                <w:spacing w:val="0"/>
                <w:sz w:val="21"/>
                <w:szCs w:val="21"/>
                <w:highlight w:val="none"/>
                <w:shd w:val="clear" w:color="auto" w:fill="auto"/>
              </w:rPr>
              <w:t>任何费用的得</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3</w:t>
            </w:r>
            <w:r>
              <w:rPr>
                <w:rFonts w:hint="eastAsia" w:ascii="仿宋_GB2312" w:hAnsi="仿宋_GB2312" w:eastAsia="仿宋_GB2312" w:cs="仿宋_GB2312"/>
                <w:i w:val="0"/>
                <w:caps w:val="0"/>
                <w:color w:val="auto"/>
                <w:spacing w:val="0"/>
                <w:sz w:val="21"/>
                <w:szCs w:val="21"/>
                <w:highlight w:val="none"/>
                <w:shd w:val="clear" w:color="auto" w:fill="auto"/>
              </w:rPr>
              <w:t>分，若收取费用得0分。</w:t>
            </w:r>
          </w:p>
        </w:tc>
        <w:tc>
          <w:tcPr>
            <w:tcW w:w="2263" w:type="dxa"/>
            <w:tcBorders>
              <w:top w:val="nil"/>
              <w:left w:val="nil"/>
              <w:bottom w:val="single" w:color="000000" w:sz="8" w:space="0"/>
              <w:right w:val="single" w:color="auto" w:sz="4" w:space="0"/>
            </w:tcBorders>
            <w:shd w:val="clear" w:color="auto" w:fill="auto"/>
            <w:noWrap w:val="0"/>
            <w:tcMar>
              <w:left w:w="108" w:type="dxa"/>
              <w:right w:w="108" w:type="dxa"/>
            </w:tcMar>
            <w:vAlign w:val="center"/>
          </w:tcPr>
          <w:p w14:paraId="3B8DC55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提供竞赛规程</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rPr>
              <w:t>方案。</w:t>
            </w:r>
          </w:p>
        </w:tc>
      </w:tr>
      <w:tr w14:paraId="04E376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07" w:type="dxa"/>
            <w:vMerge w:val="continue"/>
            <w:tcBorders>
              <w:top w:val="nil"/>
              <w:left w:val="single" w:color="auto" w:sz="4" w:space="0"/>
              <w:bottom w:val="single" w:color="auto" w:sz="4" w:space="0"/>
              <w:right w:val="single" w:color="000000" w:sz="8" w:space="0"/>
            </w:tcBorders>
            <w:shd w:val="clear" w:color="auto" w:fill="auto"/>
            <w:noWrap w:val="0"/>
            <w:tcMar>
              <w:left w:w="108" w:type="dxa"/>
              <w:right w:w="108" w:type="dxa"/>
            </w:tcMar>
            <w:vAlign w:val="center"/>
          </w:tcPr>
          <w:p w14:paraId="3E57D6F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270" w:type="dxa"/>
            <w:vMerge w:val="continue"/>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09BCD03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仿宋_GB2312" w:hAnsi="仿宋_GB2312" w:eastAsia="仿宋_GB2312" w:cs="仿宋_GB2312"/>
                <w:i w:val="0"/>
                <w:caps w:val="0"/>
                <w:color w:val="auto"/>
                <w:spacing w:val="0"/>
                <w:sz w:val="21"/>
                <w:szCs w:val="21"/>
                <w:highlight w:val="none"/>
                <w:shd w:val="clear" w:color="auto" w:fill="auto"/>
              </w:rPr>
            </w:pPr>
          </w:p>
        </w:tc>
        <w:tc>
          <w:tcPr>
            <w:tcW w:w="1307" w:type="dxa"/>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6CC56A7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对外交流赛事</w:t>
            </w:r>
          </w:p>
          <w:p w14:paraId="52E7E32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4</w:t>
            </w:r>
            <w:r>
              <w:rPr>
                <w:rFonts w:hint="eastAsia" w:ascii="仿宋_GB2312" w:hAnsi="仿宋_GB2312" w:eastAsia="仿宋_GB2312" w:cs="仿宋_GB2312"/>
                <w:i w:val="0"/>
                <w:caps w:val="0"/>
                <w:color w:val="auto"/>
                <w:spacing w:val="0"/>
                <w:sz w:val="21"/>
                <w:szCs w:val="21"/>
                <w:highlight w:val="none"/>
                <w:shd w:val="clear" w:color="auto" w:fill="auto"/>
              </w:rPr>
              <w:t>分）</w:t>
            </w:r>
          </w:p>
        </w:tc>
        <w:tc>
          <w:tcPr>
            <w:tcW w:w="4295" w:type="dxa"/>
            <w:tcBorders>
              <w:top w:val="nil"/>
              <w:left w:val="nil"/>
              <w:bottom w:val="single" w:color="auto" w:sz="4" w:space="0"/>
              <w:right w:val="single" w:color="000000" w:sz="8" w:space="0"/>
            </w:tcBorders>
            <w:shd w:val="clear" w:color="auto" w:fill="auto"/>
            <w:noWrap w:val="0"/>
            <w:tcMar>
              <w:left w:w="108" w:type="dxa"/>
              <w:right w:w="108" w:type="dxa"/>
            </w:tcMar>
            <w:vAlign w:val="center"/>
          </w:tcPr>
          <w:p w14:paraId="10768B6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有邀请国外及港澳</w:t>
            </w:r>
            <w:r>
              <w:rPr>
                <w:rFonts w:hint="eastAsia" w:ascii="仿宋_GB2312" w:hAnsi="仿宋_GB2312" w:eastAsia="仿宋_GB2312" w:cs="仿宋_GB2312"/>
                <w:i w:val="0"/>
                <w:caps w:val="0"/>
                <w:color w:val="auto"/>
                <w:spacing w:val="0"/>
                <w:sz w:val="21"/>
                <w:szCs w:val="21"/>
                <w:highlight w:val="none"/>
                <w:shd w:val="clear" w:color="auto" w:fill="auto"/>
                <w:lang w:eastAsia="zh-CN"/>
              </w:rPr>
              <w:t>台</w:t>
            </w:r>
            <w:r>
              <w:rPr>
                <w:rFonts w:hint="eastAsia" w:ascii="仿宋_GB2312" w:hAnsi="仿宋_GB2312" w:eastAsia="仿宋_GB2312" w:cs="仿宋_GB2312"/>
                <w:i w:val="0"/>
                <w:caps w:val="0"/>
                <w:color w:val="auto"/>
                <w:spacing w:val="0"/>
                <w:sz w:val="21"/>
                <w:szCs w:val="21"/>
                <w:highlight w:val="none"/>
                <w:shd w:val="clear" w:color="auto" w:fill="auto"/>
              </w:rPr>
              <w:t>地区人员参与的竞赛活动得</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4</w:t>
            </w:r>
            <w:r>
              <w:rPr>
                <w:rFonts w:hint="eastAsia" w:ascii="仿宋_GB2312" w:hAnsi="仿宋_GB2312" w:eastAsia="仿宋_GB2312" w:cs="仿宋_GB2312"/>
                <w:i w:val="0"/>
                <w:caps w:val="0"/>
                <w:color w:val="auto"/>
                <w:spacing w:val="0"/>
                <w:sz w:val="21"/>
                <w:szCs w:val="21"/>
                <w:highlight w:val="none"/>
                <w:shd w:val="clear" w:color="auto" w:fill="auto"/>
              </w:rPr>
              <w:t>分，有邀请国内其他省、市代表队参与的竞赛活动得2分，若无不得分。</w:t>
            </w:r>
          </w:p>
        </w:tc>
        <w:tc>
          <w:tcPr>
            <w:tcW w:w="2263" w:type="dxa"/>
            <w:tcBorders>
              <w:top w:val="nil"/>
              <w:left w:val="nil"/>
              <w:bottom w:val="single" w:color="auto" w:sz="4" w:space="0"/>
              <w:right w:val="single" w:color="auto" w:sz="4" w:space="0"/>
            </w:tcBorders>
            <w:shd w:val="clear" w:color="auto" w:fill="auto"/>
            <w:noWrap w:val="0"/>
            <w:tcMar>
              <w:left w:w="108" w:type="dxa"/>
              <w:right w:w="108" w:type="dxa"/>
            </w:tcMar>
            <w:vAlign w:val="center"/>
          </w:tcPr>
          <w:p w14:paraId="28BF8F1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_GB2312" w:hAnsi="仿宋_GB2312" w:eastAsia="仿宋_GB2312" w:cs="仿宋_GB2312"/>
                <w:i w:val="0"/>
                <w:color w:val="auto"/>
                <w:sz w:val="21"/>
                <w:szCs w:val="21"/>
                <w:highlight w:val="none"/>
                <w:shd w:val="clear" w:color="auto" w:fill="auto"/>
              </w:rPr>
            </w:pPr>
            <w:r>
              <w:rPr>
                <w:rFonts w:hint="eastAsia" w:ascii="仿宋_GB2312" w:hAnsi="仿宋_GB2312" w:eastAsia="仿宋_GB2312" w:cs="仿宋_GB2312"/>
                <w:i w:val="0"/>
                <w:caps w:val="0"/>
                <w:color w:val="auto"/>
                <w:spacing w:val="0"/>
                <w:sz w:val="21"/>
                <w:szCs w:val="21"/>
                <w:highlight w:val="none"/>
                <w:shd w:val="clear" w:color="auto" w:fill="auto"/>
              </w:rPr>
              <w:t>提供竞赛规程</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rPr>
              <w:t>方案。（赛后需提供秩序册</w:t>
            </w:r>
            <w:r>
              <w:rPr>
                <w:rFonts w:hint="eastAsia" w:ascii="仿宋_GB2312" w:hAnsi="仿宋_GB2312" w:eastAsia="仿宋_GB2312" w:cs="仿宋_GB2312"/>
                <w:i w:val="0"/>
                <w:caps w:val="0"/>
                <w:color w:val="auto"/>
                <w:spacing w:val="0"/>
                <w:sz w:val="21"/>
                <w:szCs w:val="21"/>
                <w:highlight w:val="none"/>
                <w:shd w:val="clear" w:color="auto" w:fill="auto"/>
                <w:lang w:eastAsia="zh-CN"/>
              </w:rPr>
              <w:t>、</w:t>
            </w:r>
            <w:r>
              <w:rPr>
                <w:rFonts w:hint="eastAsia" w:ascii="仿宋_GB2312" w:hAnsi="仿宋_GB2312" w:eastAsia="仿宋_GB2312" w:cs="仿宋_GB2312"/>
                <w:i w:val="0"/>
                <w:caps w:val="0"/>
                <w:color w:val="auto"/>
                <w:spacing w:val="0"/>
                <w:sz w:val="21"/>
                <w:szCs w:val="21"/>
                <w:highlight w:val="none"/>
                <w:shd w:val="clear" w:color="auto" w:fill="auto"/>
                <w:lang w:val="en-US" w:eastAsia="zh-CN"/>
              </w:rPr>
              <w:t>成绩册</w:t>
            </w:r>
            <w:r>
              <w:rPr>
                <w:rFonts w:hint="eastAsia" w:ascii="仿宋_GB2312" w:hAnsi="仿宋_GB2312" w:eastAsia="仿宋_GB2312" w:cs="仿宋_GB2312"/>
                <w:i w:val="0"/>
                <w:caps w:val="0"/>
                <w:color w:val="auto"/>
                <w:spacing w:val="0"/>
                <w:sz w:val="21"/>
                <w:szCs w:val="21"/>
                <w:highlight w:val="none"/>
                <w:shd w:val="clear" w:color="auto" w:fill="auto"/>
              </w:rPr>
              <w:t>对应）</w:t>
            </w:r>
          </w:p>
        </w:tc>
      </w:tr>
    </w:tbl>
    <w:p w14:paraId="3CD8824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7" w:lineRule="atLeast"/>
        <w:ind w:right="0" w:firstLine="640" w:firstLineChars="200"/>
        <w:jc w:val="left"/>
        <w:rPr>
          <w:rFonts w:hint="eastAsia" w:ascii="方正仿宋_GBK" w:hAnsi="方正仿宋_GBK" w:eastAsia="方正仿宋_GBK" w:cs="方正仿宋_GBK"/>
          <w:i w:val="0"/>
          <w:caps w:val="0"/>
          <w:color w:val="auto"/>
          <w:spacing w:val="0"/>
          <w:sz w:val="32"/>
          <w:szCs w:val="32"/>
          <w:highlight w:val="none"/>
          <w:lang w:eastAsia="zh-CN"/>
        </w:rPr>
      </w:pPr>
      <w:r>
        <w:rPr>
          <w:rFonts w:hint="eastAsia" w:ascii="仿宋_GB2312" w:hAnsi="仿宋_GB2312" w:eastAsia="仿宋_GB2312" w:cs="仿宋_GB2312"/>
          <w:i w:val="0"/>
          <w:caps w:val="0"/>
          <w:color w:val="auto"/>
          <w:spacing w:val="0"/>
          <w:sz w:val="32"/>
          <w:szCs w:val="32"/>
          <w:highlight w:val="none"/>
          <w:shd w:val="clear" w:color="auto" w:fill="FFFFFF"/>
        </w:rPr>
        <w:t>备注：总得分</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90</w:t>
      </w:r>
      <w:r>
        <w:rPr>
          <w:rFonts w:hint="eastAsia" w:ascii="仿宋_GB2312" w:hAnsi="仿宋_GB2312" w:eastAsia="仿宋_GB2312" w:cs="仿宋_GB2312"/>
          <w:i w:val="0"/>
          <w:caps w:val="0"/>
          <w:color w:val="auto"/>
          <w:spacing w:val="0"/>
          <w:sz w:val="32"/>
          <w:szCs w:val="32"/>
          <w:highlight w:val="none"/>
          <w:shd w:val="clear" w:color="auto" w:fill="FFFFFF"/>
        </w:rPr>
        <w:t>分以上</w:t>
      </w:r>
      <w:r>
        <w:rPr>
          <w:rFonts w:hint="eastAsia" w:ascii="仿宋_GB2312" w:hAnsi="仿宋_GB2312" w:eastAsia="仿宋_GB2312" w:cs="仿宋_GB2312"/>
          <w:i w:val="0"/>
          <w:caps w:val="0"/>
          <w:color w:val="auto"/>
          <w:spacing w:val="0"/>
          <w:sz w:val="32"/>
          <w:szCs w:val="32"/>
          <w:highlight w:val="none"/>
          <w:shd w:val="clear" w:color="auto" w:fill="FFFFFF"/>
          <w:lang w:eastAsia="zh-CN"/>
        </w:rPr>
        <w:t>计</w:t>
      </w:r>
      <w:r>
        <w:rPr>
          <w:rFonts w:hint="eastAsia" w:ascii="仿宋_GB2312" w:hAnsi="仿宋_GB2312" w:eastAsia="仿宋_GB2312" w:cs="仿宋_GB2312"/>
          <w:i w:val="0"/>
          <w:caps w:val="0"/>
          <w:color w:val="auto"/>
          <w:spacing w:val="0"/>
          <w:sz w:val="32"/>
          <w:szCs w:val="32"/>
          <w:highlight w:val="none"/>
          <w:shd w:val="clear" w:color="auto" w:fill="FFFFFF"/>
        </w:rPr>
        <w:t>一等</w:t>
      </w:r>
      <w:r>
        <w:rPr>
          <w:rFonts w:hint="eastAsia" w:ascii="仿宋_GB2312" w:hAnsi="仿宋_GB2312" w:eastAsia="仿宋_GB2312" w:cs="仿宋_GB2312"/>
          <w:i w:val="0"/>
          <w:caps w:val="0"/>
          <w:color w:val="auto"/>
          <w:spacing w:val="0"/>
          <w:sz w:val="32"/>
          <w:szCs w:val="32"/>
          <w:highlight w:val="none"/>
          <w:shd w:val="clear" w:color="auto" w:fill="FFFFFF"/>
          <w:lang w:eastAsia="zh-CN"/>
        </w:rPr>
        <w:t>奖，</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80</w:t>
      </w:r>
      <w:r>
        <w:rPr>
          <w:rFonts w:hint="eastAsia" w:ascii="仿宋_GB2312" w:hAnsi="仿宋_GB2312" w:eastAsia="仿宋_GB2312" w:cs="仿宋_GB2312"/>
          <w:i w:val="0"/>
          <w:caps w:val="0"/>
          <w:color w:val="auto"/>
          <w:spacing w:val="0"/>
          <w:sz w:val="32"/>
          <w:szCs w:val="32"/>
          <w:highlight w:val="none"/>
          <w:shd w:val="clear" w:color="auto" w:fill="FFFFFF"/>
        </w:rPr>
        <w:t>分</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-89</w:t>
      </w:r>
      <w:r>
        <w:rPr>
          <w:rFonts w:hint="eastAsia" w:ascii="仿宋_GB2312" w:hAnsi="仿宋_GB2312" w:eastAsia="仿宋_GB2312" w:cs="仿宋_GB2312"/>
          <w:i w:val="0"/>
          <w:caps w:val="0"/>
          <w:color w:val="auto"/>
          <w:spacing w:val="0"/>
          <w:sz w:val="32"/>
          <w:szCs w:val="32"/>
          <w:highlight w:val="none"/>
          <w:shd w:val="clear" w:color="auto" w:fill="FFFFFF"/>
        </w:rPr>
        <w:t>分</w:t>
      </w:r>
      <w:r>
        <w:rPr>
          <w:rFonts w:hint="eastAsia" w:ascii="仿宋_GB2312" w:hAnsi="仿宋_GB2312" w:eastAsia="仿宋_GB2312" w:cs="仿宋_GB2312"/>
          <w:i w:val="0"/>
          <w:caps w:val="0"/>
          <w:color w:val="auto"/>
          <w:spacing w:val="0"/>
          <w:sz w:val="32"/>
          <w:szCs w:val="32"/>
          <w:highlight w:val="none"/>
          <w:shd w:val="clear" w:color="auto" w:fill="FFFFFF"/>
          <w:lang w:eastAsia="zh-CN"/>
        </w:rPr>
        <w:t>计</w:t>
      </w:r>
      <w:r>
        <w:rPr>
          <w:rFonts w:hint="eastAsia" w:ascii="仿宋_GB2312" w:hAnsi="仿宋_GB2312" w:eastAsia="仿宋_GB2312" w:cs="仿宋_GB2312"/>
          <w:i w:val="0"/>
          <w:caps w:val="0"/>
          <w:color w:val="auto"/>
          <w:spacing w:val="0"/>
          <w:sz w:val="32"/>
          <w:szCs w:val="32"/>
          <w:highlight w:val="none"/>
          <w:shd w:val="clear" w:color="auto" w:fill="FFFFFF"/>
        </w:rPr>
        <w:t>二等</w:t>
      </w:r>
      <w:r>
        <w:rPr>
          <w:rFonts w:hint="eastAsia" w:ascii="仿宋_GB2312" w:hAnsi="仿宋_GB2312" w:eastAsia="仿宋_GB2312" w:cs="仿宋_GB2312"/>
          <w:i w:val="0"/>
          <w:caps w:val="0"/>
          <w:color w:val="auto"/>
          <w:spacing w:val="0"/>
          <w:sz w:val="32"/>
          <w:szCs w:val="32"/>
          <w:highlight w:val="none"/>
          <w:shd w:val="clear" w:color="auto" w:fill="FFFFFF"/>
          <w:lang w:eastAsia="zh-CN"/>
        </w:rPr>
        <w:t>奖，</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60分-79</w:t>
      </w:r>
      <w:r>
        <w:rPr>
          <w:rFonts w:hint="eastAsia" w:ascii="仿宋_GB2312" w:hAnsi="仿宋_GB2312" w:eastAsia="仿宋_GB2312" w:cs="仿宋_GB2312"/>
          <w:i w:val="0"/>
          <w:caps w:val="0"/>
          <w:color w:val="auto"/>
          <w:spacing w:val="0"/>
          <w:sz w:val="32"/>
          <w:szCs w:val="32"/>
          <w:highlight w:val="none"/>
          <w:shd w:val="clear" w:color="auto" w:fill="FFFFFF"/>
        </w:rPr>
        <w:t>分</w:t>
      </w:r>
      <w:r>
        <w:rPr>
          <w:rFonts w:hint="eastAsia" w:ascii="仿宋_GB2312" w:hAnsi="仿宋_GB2312" w:eastAsia="仿宋_GB2312" w:cs="仿宋_GB2312"/>
          <w:i w:val="0"/>
          <w:caps w:val="0"/>
          <w:color w:val="auto"/>
          <w:spacing w:val="0"/>
          <w:sz w:val="32"/>
          <w:szCs w:val="32"/>
          <w:highlight w:val="none"/>
          <w:shd w:val="clear" w:color="auto" w:fill="FFFFFF"/>
          <w:lang w:eastAsia="zh-CN"/>
        </w:rPr>
        <w:t>计</w:t>
      </w:r>
      <w:r>
        <w:rPr>
          <w:rFonts w:hint="eastAsia" w:ascii="仿宋_GB2312" w:hAnsi="仿宋_GB2312" w:eastAsia="仿宋_GB2312" w:cs="仿宋_GB2312"/>
          <w:i w:val="0"/>
          <w:caps w:val="0"/>
          <w:color w:val="auto"/>
          <w:spacing w:val="0"/>
          <w:sz w:val="32"/>
          <w:szCs w:val="32"/>
          <w:highlight w:val="none"/>
          <w:shd w:val="clear" w:color="auto" w:fill="FFFFFF"/>
        </w:rPr>
        <w:t>三等</w:t>
      </w:r>
      <w:r>
        <w:rPr>
          <w:rFonts w:hint="eastAsia" w:ascii="仿宋_GB2312" w:hAnsi="仿宋_GB2312" w:eastAsia="仿宋_GB2312" w:cs="仿宋_GB2312"/>
          <w:i w:val="0"/>
          <w:caps w:val="0"/>
          <w:color w:val="auto"/>
          <w:spacing w:val="0"/>
          <w:sz w:val="32"/>
          <w:szCs w:val="32"/>
          <w:highlight w:val="none"/>
          <w:shd w:val="clear" w:color="auto" w:fill="FFFFFF"/>
          <w:lang w:eastAsia="zh-CN"/>
        </w:rPr>
        <w:t>奖。</w:t>
      </w:r>
    </w:p>
    <w:p w14:paraId="29E44E73">
      <w:pPr>
        <w:keepNext w:val="0"/>
        <w:keepLines w:val="0"/>
        <w:pageBreakBefore w:val="0"/>
        <w:widowControl w:val="0"/>
        <w:kinsoku/>
        <w:wordWrap/>
        <w:overflowPunct/>
        <w:topLinePunct w:val="0"/>
        <w:autoSpaceDE/>
        <w:autoSpaceDN/>
        <w:bidi w:val="0"/>
        <w:adjustRightInd/>
        <w:snapToGrid/>
        <w:spacing w:line="20" w:lineRule="exact"/>
        <w:textAlignment w:val="auto"/>
        <w:rPr>
          <w:color w:val="auto"/>
        </w:rPr>
      </w:pPr>
    </w:p>
    <w:p w14:paraId="1FED2294">
      <w:pPr>
        <w:pStyle w:val="3"/>
        <w:rPr>
          <w:color w:val="auto"/>
        </w:rPr>
      </w:pPr>
    </w:p>
    <w:p w14:paraId="78F2CF0A">
      <w:pPr>
        <w:pStyle w:val="3"/>
        <w:rPr>
          <w:color w:val="auto"/>
        </w:rPr>
      </w:pPr>
    </w:p>
    <w:p w14:paraId="2DEFA8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98A5F6-E77A-4B1D-ABFC-80370C27A4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4DE8AD-77E1-422A-BD46-F829FCDD4BEA}"/>
  </w:font>
  <w:font w:name="仿宋_GB2312">
    <w:altName w:val="仿宋"/>
    <w:panose1 w:val="02010609030101010101"/>
    <w:charset w:val="86"/>
    <w:family w:val="auto"/>
    <w:pitch w:val="default"/>
    <w:sig w:usb0="00000000" w:usb1="00000000" w:usb2="00000000" w:usb3="00000000" w:csb0="00040000" w:csb1="00000000"/>
    <w:embedRegular r:id="rId3" w:fontKey="{67B5FCF2-441D-4293-935C-B87CDB6398C0}"/>
  </w:font>
  <w:font w:name="仿宋">
    <w:panose1 w:val="02010609060101010101"/>
    <w:charset w:val="86"/>
    <w:family w:val="auto"/>
    <w:pitch w:val="default"/>
    <w:sig w:usb0="800002BF" w:usb1="38CF7CFA" w:usb2="00000016" w:usb3="00000000" w:csb0="00040001" w:csb1="00000000"/>
    <w:embedRegular r:id="rId4" w:fontKey="{29B3B35D-E597-45AA-82ED-992BBD03A475}"/>
  </w:font>
  <w:font w:name="方正小标宋简体">
    <w:panose1 w:val="02010600010101010101"/>
    <w:charset w:val="86"/>
    <w:family w:val="auto"/>
    <w:pitch w:val="default"/>
    <w:sig w:usb0="00000001" w:usb1="080E0000" w:usb2="00000000" w:usb3="00000000" w:csb0="00040000" w:csb1="00000000"/>
    <w:embedRegular r:id="rId5" w:fontKey="{A9107F41-A916-4A87-9B45-450037E98B40}"/>
  </w:font>
  <w:font w:name="楷体_GB2312">
    <w:altName w:val="楷体"/>
    <w:panose1 w:val="02010609030101010101"/>
    <w:charset w:val="86"/>
    <w:family w:val="modern"/>
    <w:pitch w:val="default"/>
    <w:sig w:usb0="00000000" w:usb1="00000000" w:usb2="00000000" w:usb3="00000000" w:csb0="00040000" w:csb1="00000000"/>
    <w:embedRegular r:id="rId6" w:fontKey="{4B1F7470-B0B0-44B7-92D2-55B3ABD62911}"/>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embedRegular r:id="rId7" w:fontKey="{2273B4BB-1956-4C8E-B36D-5AF8D349B7F9}"/>
  </w:font>
  <w:font w:name="微软雅黑">
    <w:panose1 w:val="020B0503020204020204"/>
    <w:charset w:val="86"/>
    <w:family w:val="auto"/>
    <w:pitch w:val="default"/>
    <w:sig w:usb0="80000287" w:usb1="2ACF3C50" w:usb2="00000016" w:usb3="00000000" w:csb0="0004001F" w:csb1="00000000"/>
    <w:embedRegular r:id="rId8" w:fontKey="{C98F1B8C-A838-48EB-9E72-95B9774CC164}"/>
  </w:font>
  <w:font w:name="KSOFE44F9426">
    <w:panose1 w:val="02010609060101010101"/>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B646">
    <w:pPr>
      <w:pStyle w:val="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8C566">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5C8C566">
                    <w:pPr>
                      <w:pStyle w:val="5"/>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C2712A"/>
    <w:rsid w:val="06606BFB"/>
    <w:rsid w:val="32877139"/>
    <w:rsid w:val="4C5E420F"/>
    <w:rsid w:val="6C2B720B"/>
    <w:rsid w:val="71CE1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宋体" w:eastAsia="宋体" w:cs="宋体"/>
      <w:sz w:val="30"/>
      <w:szCs w:val="30"/>
      <w:lang w:val="zh-CN" w:eastAsia="zh-CN" w:bidi="zh-CN"/>
    </w:rPr>
  </w:style>
  <w:style w:type="paragraph" w:styleId="3">
    <w:name w:val="Body Text First Indent 2"/>
    <w:basedOn w:val="4"/>
    <w:unhideWhenUsed/>
    <w:qFormat/>
    <w:uiPriority w:val="99"/>
    <w:pPr>
      <w:ind w:firstLine="420"/>
    </w:pPr>
  </w:style>
  <w:style w:type="paragraph" w:styleId="4">
    <w:name w:val="Body Text Indent"/>
    <w:basedOn w:val="1"/>
    <w:qFormat/>
    <w:uiPriority w:val="0"/>
    <w:pPr>
      <w:spacing w:line="500" w:lineRule="exact"/>
      <w:ind w:firstLine="640" w:firstLineChars="200"/>
    </w:pPr>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2"/>
    <w:next w:val="3"/>
    <w:qFormat/>
    <w:uiPriority w:val="0"/>
    <w:pPr>
      <w:spacing w:before="100" w:beforeAutospacing="1"/>
      <w:ind w:firstLine="420" w:firstLineChars="100"/>
    </w:pPr>
  </w:style>
  <w:style w:type="table" w:styleId="9">
    <w:name w:val="Table Grid"/>
    <w:basedOn w:val="8"/>
    <w:qFormat/>
    <w:uiPriority w:val="39"/>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2171</Words>
  <Characters>2193</Characters>
  <Lines>0</Lines>
  <Paragraphs>0</Paragraphs>
  <TotalTime>2</TotalTime>
  <ScaleCrop>false</ScaleCrop>
  <LinksUpToDate>false</LinksUpToDate>
  <CharactersWithSpaces>2268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2026-01-22T02:17:00Z</dcterms:created>
  <dc:creator>lenovo</dc:creator>
  <cp:lastModifiedBy>乔山°</cp:lastModifiedBy>
  <dcterms:modified xsi:type="dcterms:W3CDTF">2026-01-22T02:53:28Z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eyJoZGlkIjoiZWUwNjFjNDRmZDIzNDFhZTk2YWI4NzczMmI5NmIzODIiLCJ1c2VySWQiOiIyNjg3MjE5MzYifQ==</vt:lpwstr>
  </property>
  <property fmtid="{D5CDD505-2E9C-101B-9397-08002B2CF9AE}" pid="4" name="ICV">
    <vt:lpwstr>CE54B655CBFC4F81853CA00F2EE3BF1A_13</vt:lpwstr>
  </property>
</Properties>
</file>