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255"/>
          <w:numId w:val="0"/>
        </w:numPr>
        <w:spacing w:line="580" w:lineRule="exact"/>
        <w:jc w:val="center"/>
        <w:rPr>
          <w:rFonts w:ascii="Times New Roman" w:hAnsi="Times New Roman" w:eastAsia="方正小标宋简体" w:cs="Times New Roman"/>
          <w:sz w:val="44"/>
          <w:szCs w:val="44"/>
        </w:rPr>
      </w:pPr>
      <w:r>
        <w:rPr>
          <w:rFonts w:hint="eastAsia" w:eastAsia="方正小标宋简体" w:cs="Times New Roman"/>
          <w:sz w:val="44"/>
          <w:szCs w:val="44"/>
        </w:rPr>
        <w:t>温县引黄</w:t>
      </w:r>
      <w:r>
        <w:rPr>
          <w:rFonts w:hint="eastAsia" w:ascii="Times New Roman" w:hAnsi="Times New Roman" w:eastAsia="方正小标宋简体" w:cs="Times New Roman"/>
          <w:sz w:val="44"/>
          <w:szCs w:val="44"/>
        </w:rPr>
        <w:t>灌区2025年度工作报告</w:t>
      </w:r>
    </w:p>
    <w:p>
      <w:pPr>
        <w:spacing w:line="580" w:lineRule="exact"/>
        <w:ind w:firstLine="640" w:firstLineChars="200"/>
        <w:rPr>
          <w:sz w:val="32"/>
          <w:szCs w:val="32"/>
        </w:rPr>
      </w:pP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一、概述</w:t>
      </w:r>
    </w:p>
    <w:p>
      <w:pPr>
        <w:pStyle w:val="8"/>
        <w:spacing w:line="6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温县引黄灌区位于焦作市温县西南部，是河南省在册的中型灌区，灌区所属黄河流域，涉及温县祥云镇、</w:t>
      </w:r>
      <w:r>
        <w:rPr>
          <w:rFonts w:hint="eastAsia" w:ascii="仿宋" w:hAnsi="仿宋" w:eastAsia="仿宋" w:cs="仿宋"/>
          <w:color w:val="000000"/>
          <w:sz w:val="32"/>
          <w:szCs w:val="32"/>
        </w:rPr>
        <w:t>岳村街道、温泉街道、张羌街道和赵堡镇等5个乡镇（街道），灌区内共有75个行政村，总人口13.41万人，其中农业人口13.10万人。灌区规划设计灌溉面积5万亩，补源灌溉面积10万亩，有效灌溉面积5万亩，灌区自2003年开始建设，至201</w:t>
      </w:r>
      <w:r>
        <w:rPr>
          <w:rFonts w:hint="eastAsia" w:ascii="仿宋" w:hAnsi="仿宋" w:eastAsia="仿宋" w:cs="仿宋"/>
          <w:sz w:val="32"/>
          <w:szCs w:val="32"/>
        </w:rPr>
        <w:t>0年建成。</w:t>
      </w:r>
    </w:p>
    <w:p>
      <w:pPr>
        <w:ind w:firstLine="640" w:firstLineChars="200"/>
      </w:pPr>
      <w:r>
        <w:rPr>
          <w:rFonts w:hint="eastAsia" w:ascii="仿宋" w:hAnsi="仿宋" w:eastAsia="仿宋" w:cs="仿宋"/>
          <w:sz w:val="32"/>
          <w:szCs w:val="32"/>
        </w:rPr>
        <w:t>工程的总体布局是从大玉兰控导工程24-25号坝建闸引提水，设计引水流量7m</w:t>
      </w:r>
      <w:r>
        <w:rPr>
          <w:rFonts w:hint="eastAsia" w:ascii="仿宋" w:hAnsi="仿宋" w:eastAsia="仿宋" w:cs="仿宋"/>
          <w:sz w:val="32"/>
          <w:szCs w:val="32"/>
          <w:vertAlign w:val="superscript"/>
        </w:rPr>
        <w:t>3</w:t>
      </w:r>
      <w:r>
        <w:rPr>
          <w:rFonts w:hint="eastAsia" w:ascii="仿宋" w:hAnsi="仿宋" w:eastAsia="仿宋" w:cs="仿宋"/>
          <w:sz w:val="32"/>
          <w:szCs w:val="32"/>
        </w:rPr>
        <w:t>/s，加大流量10m</w:t>
      </w:r>
      <w:r>
        <w:rPr>
          <w:rFonts w:hint="eastAsia" w:ascii="仿宋" w:hAnsi="仿宋" w:eastAsia="仿宋" w:cs="仿宋"/>
          <w:sz w:val="32"/>
          <w:szCs w:val="32"/>
          <w:vertAlign w:val="superscript"/>
        </w:rPr>
        <w:t>3</w:t>
      </w:r>
      <w:r>
        <w:rPr>
          <w:rFonts w:hint="eastAsia" w:ascii="仿宋" w:hAnsi="仿宋" w:eastAsia="仿宋" w:cs="仿宋"/>
          <w:sz w:val="32"/>
          <w:szCs w:val="32"/>
        </w:rPr>
        <w:t>/s。干渠走向自渠首闸向北通过沉沙池后偏向西北，从平王村西穿过，通过新蟒河后，在王羊店村南汇入老蟒河，沿老蟒河向东到边沟村南折向北进入城区。尾水也可沿老蟒河进入武陟。灌区内主要作物结构为粮食作物和经济作物，引黄灌区全年引水指标4950万立方米，2025年灌区累计引水2556万立方米</w:t>
      </w:r>
      <w:r>
        <w:rPr>
          <w:rFonts w:hint="eastAsia" w:ascii="仿宋_GB2312" w:hAnsi="仿宋_GB2312" w:eastAsia="仿宋_GB2312" w:cs="仿宋_GB2312"/>
          <w:sz w:val="32"/>
          <w:szCs w:val="32"/>
        </w:rPr>
        <w:t>，</w:t>
      </w:r>
      <w:r>
        <w:rPr>
          <w:rFonts w:hint="eastAsia" w:ascii="仿宋" w:hAnsi="仿宋" w:eastAsia="仿宋" w:cs="仿宋"/>
          <w:sz w:val="32"/>
          <w:szCs w:val="32"/>
        </w:rPr>
        <w:t xml:space="preserve">有效改善温县水环境，具有显著的工程效益、社会效益和经济效益。 </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二、灌区水资源利用及骨干工程现状</w:t>
      </w:r>
    </w:p>
    <w:p>
      <w:pPr>
        <w:spacing w:line="580" w:lineRule="exact"/>
        <w:ind w:firstLine="640" w:firstLineChars="200"/>
        <w:rPr>
          <w:rFonts w:hint="eastAsia" w:ascii="仿宋" w:hAnsi="仿宋" w:eastAsia="仿宋" w:cs="仿宋"/>
          <w:color w:val="000000"/>
          <w:sz w:val="32"/>
          <w:szCs w:val="32"/>
        </w:rPr>
      </w:pPr>
      <w:r>
        <w:rPr>
          <w:rFonts w:hint="eastAsia" w:ascii="仿宋" w:hAnsi="仿宋" w:eastAsia="仿宋" w:cs="仿宋"/>
          <w:sz w:val="32"/>
          <w:szCs w:val="32"/>
        </w:rPr>
        <w:t>温县引黄灌区通过大玉兰控导工程24-25号坝建闸引提水，温县引黄干渠、老蟒河进行引水灌溉，其中引黄干渠全场3.05公里，全部为混凝土衬砌，干渠内建有与新蟒河补水涵闸，枯水期时可以通过补水涵闸向新蟒河内输水灌溉，下游老蟒河全长8公里。灌区内耕地通过农业农村</w:t>
      </w:r>
      <w:r>
        <w:rPr>
          <w:rFonts w:hint="eastAsia" w:ascii="仿宋" w:hAnsi="仿宋" w:eastAsia="仿宋" w:cs="仿宋"/>
          <w:color w:val="000000"/>
          <w:sz w:val="32"/>
          <w:szCs w:val="32"/>
        </w:rPr>
        <w:t>部门进行改造，耕地内配套近860眼机井，已全部建成高标准农田，灌区已实现井灌渠灌双配套灌溉。</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三、工程管理情况</w:t>
      </w:r>
    </w:p>
    <w:p>
      <w:pPr>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（一）灌区管理体制与运行机制</w:t>
      </w:r>
    </w:p>
    <w:p>
      <w:pPr>
        <w:spacing w:line="5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温县引黄灌区管理单位为温县水利综合服务中心，是温县水利局下属的事业二级机构，人员定编16人，实有在岗13人。</w:t>
      </w:r>
    </w:p>
    <w:p>
      <w:pPr>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（二）“两费”落实及使用情况</w:t>
      </w:r>
    </w:p>
    <w:p>
      <w:pPr>
        <w:spacing w:line="580" w:lineRule="exact"/>
        <w:ind w:firstLine="640" w:firstLineChars="200"/>
        <w:rPr>
          <w:rFonts w:hint="eastAsia" w:ascii="楷体_GB2312" w:hAnsi="楷体_GB2312" w:eastAsia="楷体_GB2312" w:cs="楷体_GB2312"/>
          <w:sz w:val="32"/>
          <w:szCs w:val="32"/>
        </w:rPr>
      </w:pPr>
      <w:r>
        <w:rPr>
          <w:rFonts w:hint="eastAsia" w:ascii="仿宋" w:hAnsi="仿宋" w:eastAsia="仿宋" w:cs="仿宋"/>
          <w:color w:val="000000"/>
          <w:sz w:val="32"/>
          <w:szCs w:val="32"/>
        </w:rPr>
        <w:t>温县水利综合服务中心人员定编16人，年度管理人员经费为57.69万元，主要用于管理单位人员工资等经费，地方财政每年足额拨付；年度维修养护经费20万元，主要用于灌区渠道及设施维修养护，地方财政每年足额拨付</w:t>
      </w:r>
      <w:r>
        <w:rPr>
          <w:rFonts w:hint="eastAsia" w:ascii="楷体_GB2312" w:hAnsi="楷体_GB2312" w:eastAsia="楷体_GB2312" w:cs="楷体_GB2312"/>
          <w:sz w:val="32"/>
          <w:szCs w:val="32"/>
        </w:rPr>
        <w:t>。</w:t>
      </w:r>
    </w:p>
    <w:p>
      <w:pPr>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（三）灌区标准化评价和节水型灌区创建情况</w:t>
      </w:r>
    </w:p>
    <w:p>
      <w:pPr>
        <w:spacing w:line="580" w:lineRule="exact"/>
        <w:ind w:firstLine="640" w:firstLineChars="200"/>
        <w:rPr>
          <w:rFonts w:hint="eastAsia" w:ascii="仿宋" w:hAnsi="仿宋" w:eastAsia="仿宋" w:cs="仿宋"/>
          <w:color w:val="000000"/>
          <w:sz w:val="32"/>
          <w:szCs w:val="32"/>
        </w:rPr>
      </w:pPr>
      <w:r>
        <w:rPr>
          <w:rFonts w:hint="eastAsia" w:ascii="仿宋" w:hAnsi="仿宋" w:eastAsia="仿宋" w:cs="仿宋"/>
          <w:color w:val="000000"/>
          <w:sz w:val="32"/>
          <w:szCs w:val="32"/>
        </w:rPr>
        <w:t>温县引黄灌区于2025年11月完成标准化评价，结果已上报省水利厅。</w:t>
      </w:r>
    </w:p>
    <w:p>
      <w:pPr>
        <w:spacing w:line="580" w:lineRule="exact"/>
        <w:ind w:firstLine="640" w:firstLineChars="200"/>
        <w:rPr>
          <w:rFonts w:hint="eastAsia" w:ascii="黑体" w:hAnsi="黑体" w:eastAsia="黑体" w:cs="黑体"/>
          <w:sz w:val="32"/>
          <w:szCs w:val="32"/>
        </w:rPr>
      </w:pPr>
      <w:r>
        <w:rPr>
          <w:rFonts w:hint="eastAsia" w:ascii="黑体" w:hAnsi="黑体" w:eastAsia="黑体" w:cs="黑体"/>
          <w:sz w:val="32"/>
          <w:szCs w:val="32"/>
        </w:rPr>
        <w:t>四、用水管理及水价改革情况</w:t>
      </w:r>
    </w:p>
    <w:p>
      <w:pPr>
        <w:spacing w:line="580" w:lineRule="exact"/>
        <w:ind w:firstLine="640" w:firstLineChars="200"/>
        <w:rPr>
          <w:rFonts w:hint="eastAsia" w:ascii="楷体" w:hAnsi="楷体" w:eastAsia="楷体" w:cs="楷体_GB2312"/>
          <w:sz w:val="32"/>
          <w:szCs w:val="32"/>
        </w:rPr>
      </w:pPr>
      <w:r>
        <w:rPr>
          <w:rFonts w:hint="eastAsia" w:ascii="楷体" w:hAnsi="楷体" w:eastAsia="楷体" w:cs="楷体_GB2312"/>
          <w:sz w:val="32"/>
          <w:szCs w:val="32"/>
        </w:rPr>
        <w:t>（一）供用水管理</w:t>
      </w:r>
    </w:p>
    <w:p>
      <w:pPr>
        <w:spacing w:line="58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温县引黄灌区本年度累计引水2556万立方米，全部为农业用水。灌区内主要水源为黄河地表水，供水单位为黄河水务集团西北分公司，黄河水通过黄河温县段大玉兰控导工程24-25坝之间大玉兰引水泵站提灌引水至温县引黄干渠内并流入老蟒河渠道沿线群众自行引水灌溉。</w:t>
      </w:r>
      <w:r>
        <w:rPr>
          <w:rFonts w:hint="eastAsia" w:ascii="仿宋_GB2312" w:hAnsi="仿宋_GB2312" w:eastAsia="仿宋_GB2312" w:cs="仿宋_GB2312"/>
          <w:sz w:val="32"/>
          <w:szCs w:val="32"/>
        </w:rPr>
        <w:t xml:space="preserve">   </w:t>
      </w:r>
    </w:p>
    <w:p>
      <w:pPr>
        <w:spacing w:line="580" w:lineRule="exact"/>
        <w:ind w:firstLine="640" w:firstLineChars="200"/>
        <w:rPr>
          <w:rFonts w:hint="eastAsia" w:ascii="楷体_GB2312" w:hAnsi="楷体_GB2312" w:eastAsia="楷体_GB2312" w:cs="楷体_GB2312"/>
          <w:color w:val="000000" w:themeColor="text1"/>
          <w:sz w:val="32"/>
          <w:szCs w:val="32"/>
          <w14:textFill>
            <w14:solidFill>
              <w14:schemeClr w14:val="tx1"/>
            </w14:solidFill>
          </w14:textFill>
        </w:rPr>
      </w:pPr>
      <w:r>
        <w:rPr>
          <w:rFonts w:hint="eastAsia" w:ascii="楷体_GB2312" w:hAnsi="楷体_GB2312" w:eastAsia="楷体_GB2312" w:cs="楷体_GB2312"/>
          <w:color w:val="000000" w:themeColor="text1"/>
          <w:sz w:val="32"/>
          <w:szCs w:val="32"/>
          <w14:textFill>
            <w14:solidFill>
              <w14:schemeClr w14:val="tx1"/>
            </w14:solidFill>
          </w14:textFill>
        </w:rPr>
        <w:t>（二）农业水价综合改革</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引黄灌区核定农业水价0.23元/立方米，累计完成</w:t>
      </w:r>
      <w:r>
        <w:rPr>
          <w:rFonts w:ascii="仿宋" w:hAnsi="仿宋" w:eastAsia="仿宋" w:cs="仿宋"/>
          <w:sz w:val="32"/>
          <w:szCs w:val="32"/>
        </w:rPr>
        <w:t>农业水价综合改革实施面积</w:t>
      </w:r>
      <w:r>
        <w:rPr>
          <w:rFonts w:hint="eastAsia" w:ascii="仿宋" w:hAnsi="仿宋" w:eastAsia="仿宋" w:cs="仿宋"/>
          <w:sz w:val="32"/>
          <w:szCs w:val="32"/>
        </w:rPr>
        <w:t>5万亩。</w:t>
      </w:r>
    </w:p>
    <w:p>
      <w:pPr>
        <w:spacing w:line="580" w:lineRule="exact"/>
        <w:ind w:firstLine="640" w:firstLineChars="200"/>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w:t>
      </w:r>
      <w:r>
        <w:rPr>
          <w:rFonts w:ascii="楷体_GB2312" w:hAnsi="楷体_GB2312" w:eastAsia="楷体_GB2312" w:cs="楷体_GB2312"/>
          <w:sz w:val="32"/>
          <w:szCs w:val="32"/>
        </w:rPr>
        <w:t>灌区</w:t>
      </w:r>
      <w:r>
        <w:rPr>
          <w:rFonts w:hint="eastAsia" w:ascii="楷体_GB2312" w:hAnsi="楷体_GB2312" w:eastAsia="楷体_GB2312" w:cs="楷体_GB2312"/>
          <w:sz w:val="32"/>
          <w:szCs w:val="32"/>
        </w:rPr>
        <w:t>量测水设施设备等</w:t>
      </w:r>
      <w:r>
        <w:rPr>
          <w:rFonts w:ascii="楷体_GB2312" w:hAnsi="楷体_GB2312" w:eastAsia="楷体_GB2312" w:cs="楷体_GB2312"/>
          <w:sz w:val="32"/>
          <w:szCs w:val="32"/>
        </w:rPr>
        <w:t>信息化建设和应用情况</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温县引黄灌区渠首安装设置有在线计量设施，渠道沿线设置有在线监控。灌区灌区一张图编制完成并上报省厅数据入库、工程上图工作。</w:t>
      </w:r>
    </w:p>
    <w:p>
      <w:pPr>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五、投资改造情况</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2020年，温县实施了温县引黄灌区节水配套改造项目，项目总投资1200万元，其中中央820万元、省级380万元，主要建设内容为：引黄干渠渠道清淤疏浚长3.05km，2处沉砂池清淤，岸坡整治1.6km(两岸)，新修左岸管理路2.81km，新建防护栏杆2.81km。工程实施后，干渠系畅通，提高了灌溉用水调度能力，骨干工程灌溉水利用系数由原来的0.48提高到0.6，年可节约水量148.50万m3。</w:t>
      </w:r>
    </w:p>
    <w:p>
      <w:pPr>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2025年度无投资。</w:t>
      </w:r>
    </w:p>
    <w:p>
      <w:pPr>
        <w:adjustRightInd w:val="0"/>
        <w:snapToGrid w:val="0"/>
        <w:spacing w:line="580" w:lineRule="exact"/>
        <w:ind w:firstLine="640" w:firstLineChars="200"/>
        <w:rPr>
          <w:rFonts w:hint="eastAsia" w:ascii="黑体" w:hAnsi="黑体" w:eastAsia="黑体" w:cs="黑体"/>
          <w:bCs/>
          <w:sz w:val="32"/>
          <w:szCs w:val="32"/>
        </w:rPr>
      </w:pPr>
      <w:r>
        <w:rPr>
          <w:rFonts w:hint="eastAsia" w:ascii="黑体" w:hAnsi="黑体" w:eastAsia="黑体" w:cs="黑体"/>
          <w:kern w:val="0"/>
          <w:sz w:val="32"/>
          <w:szCs w:val="32"/>
        </w:rPr>
        <w:t>六、</w:t>
      </w:r>
      <w:r>
        <w:rPr>
          <w:rFonts w:hint="eastAsia" w:ascii="黑体" w:hAnsi="黑体" w:eastAsia="黑体" w:cs="黑体"/>
          <w:bCs/>
          <w:sz w:val="32"/>
          <w:szCs w:val="32"/>
        </w:rPr>
        <w:t>主要典型经验</w:t>
      </w:r>
    </w:p>
    <w:p>
      <w:pPr>
        <w:spacing w:line="580" w:lineRule="exact"/>
        <w:ind w:firstLine="640" w:firstLineChars="200"/>
        <w:rPr>
          <w:rFonts w:ascii="仿宋_GB2312" w:eastAsia="仿宋_GB2312"/>
          <w:color w:val="FF0000"/>
          <w:kern w:val="0"/>
          <w:sz w:val="32"/>
          <w:szCs w:val="32"/>
        </w:rPr>
      </w:pPr>
      <w:r>
        <w:rPr>
          <w:rFonts w:hint="eastAsia" w:ascii="仿宋" w:hAnsi="仿宋" w:eastAsia="仿宋" w:cs="仿宋"/>
          <w:sz w:val="32"/>
          <w:szCs w:val="32"/>
        </w:rPr>
        <w:t>灌区管理组织、实行按渠系统一管理、分级负责的原则，实行专业管理与群众管理相结合的管理体制，项目建设完成后交温县水利局水利综合服务中心，负责灌区骨干工程管理维护工作，管理处严格执行国家有关岗位设置和定员标准，建立健全岗位责任制，完善严格的管理制度。田间工程由群众组织管理，组织用水者参与的专业延伸管理等多种形式，实行渠渠有主。</w:t>
      </w:r>
    </w:p>
    <w:p>
      <w:pPr>
        <w:pStyle w:val="2"/>
        <w:ind w:firstLine="320"/>
        <w:rPr>
          <w:rFonts w:ascii="仿宋_GB2312" w:eastAsia="仿宋_GB2312"/>
          <w:color w:val="FF0000"/>
          <w:kern w:val="0"/>
          <w:sz w:val="32"/>
          <w:szCs w:val="32"/>
        </w:rPr>
      </w:pPr>
      <w:bookmarkStart w:id="0" w:name="_GoBack"/>
      <w:bookmarkEnd w:id="0"/>
    </w:p>
    <w:p>
      <w:pPr>
        <w:pStyle w:val="2"/>
        <w:ind w:firstLine="4800" w:firstLineChars="1500"/>
        <w:rPr>
          <w:rFonts w:ascii="仿宋_GB2312" w:eastAsia="仿宋_GB2312"/>
          <w:color w:val="000000" w:themeColor="text1"/>
          <w:kern w:val="0"/>
          <w:sz w:val="32"/>
          <w:szCs w:val="32"/>
          <w14:textFill>
            <w14:solidFill>
              <w14:schemeClr w14:val="tx1"/>
            </w14:solidFill>
          </w14:textFill>
        </w:rPr>
      </w:pPr>
      <w:r>
        <w:rPr>
          <w:rFonts w:hint="eastAsia" w:ascii="仿宋_GB2312" w:eastAsia="仿宋_GB2312"/>
          <w:color w:val="FF0000"/>
          <w:kern w:val="0"/>
          <w:sz w:val="32"/>
          <w:szCs w:val="32"/>
        </w:rPr>
        <w:t xml:space="preserve">                             </w:t>
      </w:r>
      <w:r>
        <w:rPr>
          <w:rFonts w:hint="eastAsia" w:ascii="仿宋_GB2312" w:eastAsia="仿宋_GB2312"/>
          <w:color w:val="000000" w:themeColor="text1"/>
          <w:kern w:val="0"/>
          <w:sz w:val="32"/>
          <w:szCs w:val="32"/>
          <w14:textFill>
            <w14:solidFill>
              <w14:schemeClr w14:val="tx1"/>
            </w14:solidFill>
          </w14:textFill>
        </w:rPr>
        <w:t xml:space="preserve"> </w:t>
      </w:r>
    </w:p>
    <w:p>
      <w:pPr>
        <w:rPr>
          <w:color w:val="000000" w:themeColor="text1"/>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FAB5185"/>
    <w:rsid w:val="000700D9"/>
    <w:rsid w:val="001D7FF4"/>
    <w:rsid w:val="0079741D"/>
    <w:rsid w:val="00AE2607"/>
    <w:rsid w:val="00F051AD"/>
    <w:rsid w:val="018D0F17"/>
    <w:rsid w:val="01D425CC"/>
    <w:rsid w:val="06FC3783"/>
    <w:rsid w:val="07642491"/>
    <w:rsid w:val="07C75DD6"/>
    <w:rsid w:val="0A58063D"/>
    <w:rsid w:val="0FAB5185"/>
    <w:rsid w:val="133631BD"/>
    <w:rsid w:val="2EE63891"/>
    <w:rsid w:val="39BB4412"/>
    <w:rsid w:val="3B9B5A04"/>
    <w:rsid w:val="42B95AA3"/>
    <w:rsid w:val="44226CC2"/>
    <w:rsid w:val="520143BB"/>
    <w:rsid w:val="541D549B"/>
    <w:rsid w:val="5BA45951"/>
    <w:rsid w:val="5C7D6D34"/>
    <w:rsid w:val="66B94E0C"/>
    <w:rsid w:val="6F80296B"/>
    <w:rsid w:val="73497956"/>
    <w:rsid w:val="7BA1695C"/>
    <w:rsid w:val="7F0901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tabs>
        <w:tab w:val="left" w:pos="8222"/>
      </w:tabs>
      <w:overflowPunct w:val="0"/>
      <w:adjustRightInd w:val="0"/>
      <w:spacing w:line="520" w:lineRule="exact"/>
      <w:ind w:firstLine="420" w:firstLineChars="100"/>
    </w:pPr>
    <w:rPr>
      <w:rFonts w:ascii="Times New Roman"/>
      <w:szCs w:val="28"/>
    </w:rPr>
  </w:style>
  <w:style w:type="paragraph" w:styleId="3">
    <w:name w:val="Body Text"/>
    <w:basedOn w:val="1"/>
    <w:qFormat/>
    <w:uiPriority w:val="0"/>
    <w:pPr>
      <w:spacing w:after="120"/>
    </w:pPr>
  </w:style>
  <w:style w:type="paragraph" w:styleId="4">
    <w:name w:val="footer"/>
    <w:basedOn w:val="1"/>
    <w:link w:val="11"/>
    <w:qFormat/>
    <w:uiPriority w:val="0"/>
    <w:pPr>
      <w:tabs>
        <w:tab w:val="center" w:pos="4153"/>
        <w:tab w:val="right" w:pos="8306"/>
      </w:tabs>
      <w:snapToGrid w:val="0"/>
      <w:jc w:val="left"/>
    </w:pPr>
    <w:rPr>
      <w:sz w:val="18"/>
      <w:szCs w:val="18"/>
    </w:rPr>
  </w:style>
  <w:style w:type="paragraph" w:styleId="5">
    <w:name w:val="header"/>
    <w:basedOn w:val="1"/>
    <w:link w:val="10"/>
    <w:qFormat/>
    <w:uiPriority w:val="0"/>
    <w:pPr>
      <w:tabs>
        <w:tab w:val="center" w:pos="4153"/>
        <w:tab w:val="right" w:pos="8306"/>
      </w:tabs>
      <w:snapToGrid w:val="0"/>
      <w:jc w:val="center"/>
    </w:pPr>
    <w:rPr>
      <w:sz w:val="18"/>
      <w:szCs w:val="18"/>
    </w:rPr>
  </w:style>
  <w:style w:type="paragraph" w:customStyle="1" w:styleId="8">
    <w:name w:val="样式 (中文) 仿宋_GB2312 行距: 固定值 23 磅"/>
    <w:basedOn w:val="1"/>
    <w:qFormat/>
    <w:uiPriority w:val="2"/>
    <w:pPr>
      <w:tabs>
        <w:tab w:val="left" w:pos="7615"/>
      </w:tabs>
      <w:spacing w:line="500" w:lineRule="exact"/>
      <w:ind w:firstLine="400" w:firstLineChars="400"/>
    </w:pPr>
    <w:rPr>
      <w:rFonts w:eastAsia="仿宋_GB2312" w:cs="宋体"/>
    </w:rPr>
  </w:style>
  <w:style w:type="paragraph" w:customStyle="1" w:styleId="9">
    <w:name w:val="正文格式"/>
    <w:basedOn w:val="1"/>
    <w:next w:val="1"/>
    <w:qFormat/>
    <w:uiPriority w:val="0"/>
    <w:pPr>
      <w:adjustRightInd w:val="0"/>
      <w:spacing w:line="360" w:lineRule="auto"/>
      <w:ind w:firstLine="480" w:firstLineChars="200"/>
      <w:jc w:val="left"/>
    </w:pPr>
    <w:rPr>
      <w:rFonts w:ascii="宋体" w:hAnsi="宋体"/>
      <w:kern w:val="0"/>
      <w:sz w:val="24"/>
      <w:szCs w:val="28"/>
    </w:rPr>
  </w:style>
  <w:style w:type="character" w:customStyle="1" w:styleId="10">
    <w:name w:val="页眉 字符"/>
    <w:basedOn w:val="7"/>
    <w:link w:val="5"/>
    <w:qFormat/>
    <w:uiPriority w:val="0"/>
    <w:rPr>
      <w:kern w:val="2"/>
      <w:sz w:val="18"/>
      <w:szCs w:val="18"/>
    </w:rPr>
  </w:style>
  <w:style w:type="character" w:customStyle="1" w:styleId="11">
    <w:name w:val="页脚 字符"/>
    <w:basedOn w:val="7"/>
    <w:link w:val="4"/>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769</Words>
  <Characters>831</Characters>
  <Lines>43</Lines>
  <Paragraphs>30</Paragraphs>
  <TotalTime>29</TotalTime>
  <ScaleCrop>false</ScaleCrop>
  <LinksUpToDate>false</LinksUpToDate>
  <CharactersWithSpaces>1570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2024-12-23T01:26:00Z</dcterms:created>
  <dc:creator>平常心</dc:creator>
  <cp:lastModifiedBy>农村水利</cp:lastModifiedBy>
  <cp:lastPrinted>2024-12-26T01:48:00Z</cp:lastPrinted>
  <dcterms:modified xsi:type="dcterms:W3CDTF">2025-12-31T01:38:35Z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93C324ED3357436C9868424684AFF24D_11</vt:lpwstr>
  </property>
</Properties>
</file>