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1"/>
          <w:numId w:val="0"/>
        </w:numPr>
        <w:kinsoku/>
        <w:wordWrap/>
        <w:overflowPunct/>
        <w:topLinePunct w:val="0"/>
        <w:autoSpaceDE/>
        <w:autoSpaceDN/>
        <w:bidi w:val="0"/>
        <w:adjustRightInd/>
        <w:snapToGrid/>
        <w:spacing w:after="0" w:line="580" w:lineRule="exact"/>
        <w:ind w:left="0" w:leftChars="0" w:right="0" w:firstLine="0" w:firstLineChars="0"/>
        <w:jc w:val="center"/>
        <w:textAlignment w:val="auto"/>
        <w:outlineLvl w:val="9"/>
        <w:rPr>
          <w:rFonts w:hint="default" w:ascii="Times New Roman" w:hAnsi="Times New Roman" w:eastAsia="方正小标宋简体" w:cs="Times New Roman"/>
          <w:kern w:val="2"/>
          <w:sz w:val="44"/>
          <w:szCs w:val="44"/>
          <w:lang w:val="en-US" w:eastAsia="zh-CN"/>
        </w:rPr>
      </w:pPr>
      <w:r>
        <w:rPr>
          <w:rFonts w:hint="eastAsia" w:eastAsia="方正小标宋简体" w:cs="Times New Roman"/>
          <w:kern w:val="2"/>
          <w:sz w:val="44"/>
          <w:szCs w:val="44"/>
          <w:lang w:val="en-US" w:eastAsia="zh-CN"/>
        </w:rPr>
        <w:t>武陟县白马泉</w:t>
      </w:r>
      <w:r>
        <w:rPr>
          <w:rFonts w:hint="eastAsia" w:ascii="Times New Roman" w:hAnsi="Times New Roman" w:eastAsia="方正小标宋简体" w:cs="Times New Roman"/>
          <w:kern w:val="2"/>
          <w:sz w:val="44"/>
          <w:szCs w:val="44"/>
          <w:lang w:val="en-US" w:eastAsia="zh-CN"/>
        </w:rPr>
        <w:t>灌区2025年度工作报告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一、概述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武陟县白马泉灌区设计灌溉面积</w:t>
      </w:r>
      <w:r>
        <w:rPr>
          <w:rFonts w:hint="default" w:ascii="仿宋" w:hAnsi="仿宋" w:eastAsia="仿宋" w:cs="仿宋"/>
          <w:sz w:val="32"/>
          <w:szCs w:val="32"/>
          <w:lang w:val="en-US" w:eastAsia="zh-CN"/>
        </w:rPr>
        <w:t>10</w:t>
      </w:r>
      <w:r>
        <w:rPr>
          <w:rFonts w:hint="eastAsia" w:ascii="仿宋" w:hAnsi="仿宋" w:eastAsia="仿宋" w:cs="仿宋"/>
          <w:sz w:val="32"/>
          <w:szCs w:val="32"/>
          <w:lang w:val="en-US" w:eastAsia="zh-CN"/>
        </w:rPr>
        <w:t>万亩。灌区始建于</w:t>
      </w:r>
      <w:r>
        <w:rPr>
          <w:rFonts w:hint="default" w:ascii="仿宋" w:hAnsi="仿宋" w:eastAsia="仿宋" w:cs="仿宋"/>
          <w:sz w:val="32"/>
          <w:szCs w:val="32"/>
          <w:lang w:val="en-US" w:eastAsia="zh-CN"/>
        </w:rPr>
        <w:t>1973</w:t>
      </w:r>
      <w:r>
        <w:rPr>
          <w:rFonts w:hint="eastAsia" w:ascii="仿宋" w:hAnsi="仿宋" w:eastAsia="仿宋" w:cs="仿宋"/>
          <w:sz w:val="32"/>
          <w:szCs w:val="32"/>
          <w:lang w:val="en-US" w:eastAsia="zh-CN"/>
        </w:rPr>
        <w:t>年，</w:t>
      </w:r>
      <w:r>
        <w:rPr>
          <w:rFonts w:hint="default" w:ascii="仿宋" w:hAnsi="仿宋" w:eastAsia="仿宋" w:cs="仿宋"/>
          <w:sz w:val="32"/>
          <w:szCs w:val="32"/>
          <w:lang w:val="en-US" w:eastAsia="zh-CN"/>
        </w:rPr>
        <w:t>1974</w:t>
      </w:r>
      <w:r>
        <w:rPr>
          <w:rFonts w:hint="eastAsia" w:ascii="仿宋" w:hAnsi="仿宋" w:eastAsia="仿宋" w:cs="仿宋"/>
          <w:sz w:val="32"/>
          <w:szCs w:val="32"/>
          <w:lang w:val="en-US" w:eastAsia="zh-CN"/>
        </w:rPr>
        <w:t>年开始发挥效益。经过近半个世纪的发展，白马泉干渠片区大部分灌溉面积已被县城侵占，黄二涝河以北均变为城区，白马泉干渠片区现覆盖范围仅剩嘉应观乡后小庄、东小庄、吴小营、范村、东水寨、中水寨、二铺营等</w:t>
      </w:r>
      <w:r>
        <w:rPr>
          <w:rFonts w:hint="default" w:ascii="仿宋" w:hAnsi="仿宋" w:eastAsia="仿宋" w:cs="仿宋"/>
          <w:sz w:val="32"/>
          <w:szCs w:val="32"/>
          <w:lang w:val="en-US" w:eastAsia="zh-CN"/>
        </w:rPr>
        <w:t>7</w:t>
      </w:r>
      <w:r>
        <w:rPr>
          <w:rFonts w:hint="eastAsia" w:ascii="仿宋" w:hAnsi="仿宋" w:eastAsia="仿宋" w:cs="仿宋"/>
          <w:sz w:val="32"/>
          <w:szCs w:val="32"/>
          <w:lang w:val="en-US" w:eastAsia="zh-CN"/>
        </w:rPr>
        <w:t xml:space="preserve">个行政村的 </w:t>
      </w:r>
      <w:r>
        <w:rPr>
          <w:rFonts w:hint="default" w:ascii="仿宋" w:hAnsi="仿宋" w:eastAsia="仿宋" w:cs="仿宋"/>
          <w:sz w:val="32"/>
          <w:szCs w:val="32"/>
          <w:lang w:val="en-US" w:eastAsia="zh-CN"/>
        </w:rPr>
        <w:t>1.35</w:t>
      </w:r>
      <w:r>
        <w:rPr>
          <w:rFonts w:hint="eastAsia" w:ascii="仿宋" w:hAnsi="仿宋" w:eastAsia="仿宋" w:cs="仿宋"/>
          <w:sz w:val="32"/>
          <w:szCs w:val="32"/>
          <w:lang w:val="en-US" w:eastAsia="zh-CN"/>
        </w:rPr>
        <w:t>万亩耕地。</w:t>
      </w:r>
      <w:r>
        <w:rPr>
          <w:rFonts w:hint="default" w:ascii="仿宋" w:hAnsi="仿宋" w:eastAsia="仿宋" w:cs="仿宋"/>
          <w:sz w:val="32"/>
          <w:szCs w:val="32"/>
          <w:lang w:val="en-US" w:eastAsia="zh-CN"/>
        </w:rPr>
        <w:t>2014</w:t>
      </w:r>
      <w:r>
        <w:rPr>
          <w:rFonts w:hint="eastAsia" w:ascii="仿宋" w:hAnsi="仿宋" w:eastAsia="仿宋" w:cs="仿宋"/>
          <w:sz w:val="32"/>
          <w:szCs w:val="32"/>
          <w:lang w:val="en-US" w:eastAsia="zh-CN"/>
        </w:rPr>
        <w:t xml:space="preserve">年沁北干渠修建后，武陟县将沁北干渠两侧小董、三阳两个乡镇的 </w:t>
      </w:r>
      <w:r>
        <w:rPr>
          <w:rFonts w:hint="default" w:ascii="仿宋" w:hAnsi="仿宋" w:eastAsia="仿宋" w:cs="仿宋"/>
          <w:sz w:val="32"/>
          <w:szCs w:val="32"/>
          <w:lang w:val="en-US" w:eastAsia="zh-CN"/>
        </w:rPr>
        <w:t>8.65</w:t>
      </w:r>
      <w:r>
        <w:rPr>
          <w:rFonts w:hint="eastAsia" w:ascii="仿宋" w:hAnsi="仿宋" w:eastAsia="仿宋" w:cs="仿宋"/>
          <w:sz w:val="32"/>
          <w:szCs w:val="32"/>
          <w:lang w:val="en-US" w:eastAsia="zh-CN"/>
        </w:rPr>
        <w:t>万亩耕地纳入白马泉灌区范围。当前灌区范围为：沁北干渠片区范围为沁北左岸大堤以北，</w:t>
      </w:r>
      <w:r>
        <w:rPr>
          <w:rFonts w:hint="default" w:ascii="仿宋" w:hAnsi="仿宋" w:eastAsia="仿宋" w:cs="仿宋"/>
          <w:sz w:val="32"/>
          <w:szCs w:val="32"/>
          <w:lang w:val="en-US" w:eastAsia="zh-CN"/>
        </w:rPr>
        <w:t>G327</w:t>
      </w:r>
      <w:r>
        <w:rPr>
          <w:rFonts w:hint="eastAsia" w:ascii="仿宋" w:hAnsi="仿宋" w:eastAsia="仿宋" w:cs="仿宋"/>
          <w:sz w:val="32"/>
          <w:szCs w:val="32"/>
          <w:lang w:val="en-US" w:eastAsia="zh-CN"/>
        </w:rPr>
        <w:t>国道、晋新高速以南，西苑大道以西；白马泉灌区范围为王沁线以北，宜业路、</w:t>
      </w:r>
      <w:r>
        <w:rPr>
          <w:rFonts w:hint="default" w:ascii="仿宋" w:hAnsi="仿宋" w:eastAsia="仿宋" w:cs="仿宋"/>
          <w:sz w:val="32"/>
          <w:szCs w:val="32"/>
          <w:lang w:val="en-US" w:eastAsia="zh-CN"/>
        </w:rPr>
        <w:t>S311</w:t>
      </w:r>
      <w:r>
        <w:rPr>
          <w:rFonts w:hint="eastAsia" w:ascii="仿宋" w:hAnsi="仿宋" w:eastAsia="仿宋" w:cs="仿宋"/>
          <w:sz w:val="32"/>
          <w:szCs w:val="32"/>
          <w:lang w:val="en-US" w:eastAsia="zh-CN"/>
        </w:rPr>
        <w:t>以南，白马泉干渠以东，龙园线以西。2022年10月白马泉灌区被水利部优先列入全国中型灌区续建配套与节水改造项目范围，规划完善</w:t>
      </w:r>
      <w:r>
        <w:rPr>
          <w:rFonts w:hint="eastAsia" w:ascii="仿宋" w:hAnsi="仿宋" w:eastAsia="仿宋" w:cs="仿宋"/>
          <w:sz w:val="32"/>
          <w:szCs w:val="32"/>
        </w:rPr>
        <w:t>沁北干渠、白马泉干渠的灌溉体系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改善三阳、小董、嘉应观三个乡镇64个行政村的农业灌溉条件。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2023年—2025年计划新建泵站6座，新建用水量测设施104处等，项目已全部完工，改善灌溉面积7.96万亩，年新增加水能力898万立方米。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二、灌区水资源利用及骨干工程现状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白马泉灌区可利用过境水资源为黄河水，现有取水工程</w:t>
      </w:r>
      <w:r>
        <w:rPr>
          <w:rFonts w:hint="default" w:ascii="仿宋" w:hAnsi="仿宋" w:eastAsia="仿宋" w:cs="仿宋"/>
          <w:sz w:val="32"/>
          <w:szCs w:val="32"/>
          <w:lang w:val="en-US" w:eastAsia="zh-CN"/>
        </w:rPr>
        <w:t>3</w:t>
      </w:r>
      <w:r>
        <w:rPr>
          <w:rFonts w:hint="eastAsia" w:ascii="仿宋" w:hAnsi="仿宋" w:eastAsia="仿宋" w:cs="仿宋"/>
          <w:sz w:val="32"/>
          <w:szCs w:val="32"/>
          <w:lang w:val="en-US" w:eastAsia="zh-CN"/>
        </w:rPr>
        <w:t>处，分别为白马泉闸、驾部闸、陶村闸。白马泉闸年取水量</w:t>
      </w:r>
      <w:r>
        <w:rPr>
          <w:rFonts w:hint="default" w:ascii="仿宋" w:hAnsi="仿宋" w:eastAsia="仿宋" w:cs="仿宋"/>
          <w:sz w:val="32"/>
          <w:szCs w:val="32"/>
          <w:lang w:val="en-US" w:eastAsia="zh-CN"/>
        </w:rPr>
        <w:t>964</w:t>
      </w:r>
      <w:r>
        <w:rPr>
          <w:rFonts w:hint="eastAsia" w:ascii="仿宋" w:hAnsi="仿宋" w:eastAsia="仿宋" w:cs="仿宋"/>
          <w:sz w:val="32"/>
          <w:szCs w:val="32"/>
          <w:lang w:val="en-US" w:eastAsia="zh-CN"/>
        </w:rPr>
        <w:t>万</w:t>
      </w:r>
      <w:r>
        <w:rPr>
          <w:rFonts w:hint="default" w:ascii="仿宋" w:hAnsi="仿宋" w:eastAsia="仿宋" w:cs="仿宋"/>
          <w:sz w:val="32"/>
          <w:szCs w:val="32"/>
          <w:lang w:val="en-US" w:eastAsia="zh-CN"/>
        </w:rPr>
        <w:t>m</w:t>
      </w:r>
      <w:r>
        <w:rPr>
          <w:rFonts w:hint="default"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，取水用途为农业生产、工业用水。驾部闸年取水量指标为</w:t>
      </w:r>
      <w:r>
        <w:rPr>
          <w:rFonts w:hint="default" w:ascii="仿宋" w:hAnsi="仿宋" w:eastAsia="仿宋" w:cs="仿宋"/>
          <w:sz w:val="32"/>
          <w:szCs w:val="32"/>
          <w:lang w:val="en-US" w:eastAsia="zh-CN"/>
        </w:rPr>
        <w:t>2840</w:t>
      </w:r>
      <w:r>
        <w:rPr>
          <w:rFonts w:hint="eastAsia" w:ascii="仿宋" w:hAnsi="仿宋" w:eastAsia="仿宋" w:cs="仿宋"/>
          <w:sz w:val="32"/>
          <w:szCs w:val="32"/>
          <w:lang w:val="en-US" w:eastAsia="zh-CN"/>
        </w:rPr>
        <w:t>万</w:t>
      </w:r>
      <w:r>
        <w:rPr>
          <w:rFonts w:hint="default" w:ascii="仿宋" w:hAnsi="仿宋" w:eastAsia="仿宋" w:cs="仿宋"/>
          <w:sz w:val="32"/>
          <w:szCs w:val="32"/>
          <w:lang w:val="en-US" w:eastAsia="zh-CN"/>
        </w:rPr>
        <w:t>m</w:t>
      </w:r>
      <w:r>
        <w:rPr>
          <w:rFonts w:hint="default"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 xml:space="preserve">。陶村闸取水指标 </w:t>
      </w:r>
      <w:r>
        <w:rPr>
          <w:rFonts w:hint="default" w:ascii="仿宋" w:hAnsi="仿宋" w:eastAsia="仿宋" w:cs="仿宋"/>
          <w:sz w:val="32"/>
          <w:szCs w:val="32"/>
          <w:lang w:val="en-US" w:eastAsia="zh-CN"/>
        </w:rPr>
        <w:t>80</w:t>
      </w:r>
      <w:r>
        <w:rPr>
          <w:rFonts w:hint="eastAsia" w:ascii="仿宋" w:hAnsi="仿宋" w:eastAsia="仿宋" w:cs="仿宋"/>
          <w:sz w:val="32"/>
          <w:szCs w:val="32"/>
          <w:lang w:val="en-US" w:eastAsia="zh-CN"/>
        </w:rPr>
        <w:t>0万</w:t>
      </w:r>
      <w:r>
        <w:rPr>
          <w:rFonts w:hint="default" w:ascii="仿宋" w:hAnsi="仿宋" w:eastAsia="仿宋" w:cs="仿宋"/>
          <w:sz w:val="32"/>
          <w:szCs w:val="32"/>
          <w:lang w:val="en-US" w:eastAsia="zh-CN"/>
        </w:rPr>
        <w:t>m</w:t>
      </w:r>
      <w:r>
        <w:rPr>
          <w:rFonts w:hint="default"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。白马泉灌区分为两个片区，分别为白马泉干渠片区、沁北干渠片区。通过白马泉灌区项目建设，可以节约农业灌溉用水，缓解当地水资源供需矛盾，维护当地地下水的采补平衡。2025年，累计引水416万立方米。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三、工程管理情况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（一）灌区管理体制与运行机制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根据中共武陟县委机构编制委员会《关于武陟县水利局所属事业单位重塑性改革有关机构编制事项的批复》规定，</w:t>
      </w:r>
      <w:r>
        <w:rPr>
          <w:rFonts w:hint="eastAsia" w:ascii="仿宋" w:hAnsi="仿宋" w:eastAsia="仿宋" w:cs="仿宋"/>
          <w:b w:val="0"/>
          <w:bCs w:val="0"/>
          <w:sz w:val="32"/>
          <w:szCs w:val="32"/>
          <w:lang w:val="en-US" w:eastAsia="zh-CN"/>
        </w:rPr>
        <w:t>白马泉灌区挂靠在武陟县河湖水利事务中心，该中心为公益一类事业单位。根</w:t>
      </w:r>
      <w:r>
        <w:rPr>
          <w:rFonts w:hint="eastAsia" w:ascii="仿宋" w:hAnsi="仿宋" w:eastAsia="仿宋" w:cs="仿宋"/>
          <w:sz w:val="32"/>
          <w:szCs w:val="32"/>
          <w:lang w:val="en-US" w:eastAsia="zh-CN"/>
        </w:rPr>
        <w:t>据国务院办公厅转发的《水利工程管理体制改革实施意见》（国发办﹝2002﹞45号）精神，水利部、财政部共同制定了《水利工程管理单位定岗标准（试点）》和《水利工程维修养护定额标准（试点）》规定，测算灌区人员15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武陟县河湖水利事务中心：</w:t>
      </w:r>
      <w:r>
        <w:rPr>
          <w:rFonts w:hint="eastAsia" w:ascii="仿宋" w:hAnsi="仿宋" w:eastAsia="仿宋" w:cs="仿宋"/>
          <w:sz w:val="32"/>
          <w:szCs w:val="32"/>
          <w:lang w:val="en-US" w:eastAsia="zh-CN"/>
        </w:rPr>
        <w:t>负责沁北干渠、白马泉干渠、1#—6#提水泵站、水闸、主管道及其附属设施运行管理、维修及水价征收工作。</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乡级或村级农民用水协会：负责支管道、田间管道及其附属设施运行管理维修及水价征收工作。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（二）“两费”落实及使用情况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人员经费、运行维护经费结合发改部门正在测算，拟定上级部门划拨人员经费和从水费内支出。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（三）灌区标准化评价和节水型灌区创建情况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白马泉灌区标准化评价于2025年11月份完成，评价成果已报省水利厅。</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四、用水管理及水价改革情况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（一）供用水管理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2025年累计引水416万立方米，主要用于工业和生态，因支渠（管道）改造，目前，灌区范围内农业灌溉暂利用地下水，用水量大约1000万立方米。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（二）农业水价综合改革</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灌区统筹项目实施和农业水价综合改革，完成井灌区分档水价制定，积极兑现奖补资金，促进农业节水。渠灌水价目前正在与发改部门沟通，进行水价测算。</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w:t>
      </w:r>
      <w:r>
        <w:rPr>
          <w:rFonts w:hint="default" w:ascii="楷体_GB2312" w:hAnsi="楷体_GB2312" w:eastAsia="楷体_GB2312" w:cs="楷体_GB2312"/>
          <w:sz w:val="32"/>
          <w:szCs w:val="32"/>
          <w:lang w:val="en-US" w:eastAsia="zh-CN"/>
        </w:rPr>
        <w:t>灌区</w:t>
      </w:r>
      <w:r>
        <w:rPr>
          <w:rFonts w:hint="eastAsia" w:ascii="楷体_GB2312" w:hAnsi="楷体_GB2312" w:eastAsia="楷体_GB2312" w:cs="楷体_GB2312"/>
          <w:sz w:val="32"/>
          <w:szCs w:val="32"/>
          <w:lang w:val="en-US" w:eastAsia="zh-CN"/>
        </w:rPr>
        <w:t>量测水设施设备等</w:t>
      </w:r>
      <w:r>
        <w:rPr>
          <w:rFonts w:hint="default" w:ascii="楷体_GB2312" w:hAnsi="楷体_GB2312" w:eastAsia="楷体_GB2312" w:cs="楷体_GB2312"/>
          <w:sz w:val="32"/>
          <w:szCs w:val="32"/>
          <w:lang w:val="en-US" w:eastAsia="zh-CN"/>
        </w:rPr>
        <w:t>信息化建设和应用情况</w:t>
      </w:r>
    </w:p>
    <w:p>
      <w:pPr>
        <w:keepNext w:val="0"/>
        <w:keepLines w:val="0"/>
        <w:pageBreakBefore w:val="0"/>
        <w:widowControl/>
        <w:suppressLineNumbers w:val="0"/>
        <w:kinsoku/>
        <w:wordWrap/>
        <w:overflowPunct/>
        <w:topLinePunct w:val="0"/>
        <w:autoSpaceDE/>
        <w:autoSpaceDN/>
        <w:bidi w:val="0"/>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2025年度项目新建灌区信息化平台1处，负责与数据通信系统及分水口量测系统进行信息传输，可以实时获取分水口流量数据，通过数据分析后实现流量调控，并将这些数据存入数据库为水费征收和农业用水投入产出评价指标体系的构建与评价提供数据支撑。灌区管理中心设置 </w:t>
      </w:r>
      <w:r>
        <w:rPr>
          <w:rFonts w:hint="default" w:ascii="仿宋_GB2312" w:hAnsi="仿宋_GB2312" w:eastAsia="仿宋_GB2312" w:cs="仿宋_GB2312"/>
          <w:sz w:val="32"/>
          <w:szCs w:val="32"/>
          <w:lang w:val="en-US" w:eastAsia="zh-CN"/>
        </w:rPr>
        <w:t xml:space="preserve">IC </w:t>
      </w:r>
      <w:r>
        <w:rPr>
          <w:rFonts w:hint="eastAsia" w:ascii="仿宋_GB2312" w:hAnsi="仿宋_GB2312" w:eastAsia="仿宋_GB2312" w:cs="仿宋_GB2312"/>
          <w:sz w:val="32"/>
          <w:szCs w:val="32"/>
          <w:lang w:val="en-US" w:eastAsia="zh-CN"/>
        </w:rPr>
        <w:t xml:space="preserve">卡充值系统，根据不同灌溉区域给用户制作智能 </w:t>
      </w:r>
      <w:r>
        <w:rPr>
          <w:rFonts w:hint="default" w:ascii="仿宋_GB2312" w:hAnsi="仿宋_GB2312" w:eastAsia="仿宋_GB2312" w:cs="仿宋_GB2312"/>
          <w:sz w:val="32"/>
          <w:szCs w:val="32"/>
          <w:lang w:val="en-US" w:eastAsia="zh-CN"/>
        </w:rPr>
        <w:t xml:space="preserve">IC </w:t>
      </w:r>
      <w:r>
        <w:rPr>
          <w:rFonts w:hint="eastAsia" w:ascii="仿宋_GB2312" w:hAnsi="仿宋_GB2312" w:eastAsia="仿宋_GB2312" w:cs="仿宋_GB2312"/>
          <w:sz w:val="32"/>
          <w:szCs w:val="32"/>
          <w:lang w:val="en-US" w:eastAsia="zh-CN"/>
        </w:rPr>
        <w:t>卡，实现充值与退费管理。用户灌溉时，在分干管上的分水口智能量测系统上进行刷卡，分水口阀门自动开启，用户的刷卡信息通过分水口的智能量测系统远传模块上传至管理中心灌区信息化平台，管理中心工作人员在监测到用户灌溉用水需求时，下发泵站运行管理权限，远程开启泵站恒压供水，用户刷卡分水口并计量扣费。用户灌溉结束时，在分水口的智能量测系统上刷卡完成灌溉。</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五、投资改造情况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武陟县白马泉灌区续建配套与节水改造2023年度项目规划节水配套改造面积4.318万亩，</w:t>
      </w:r>
      <w:r>
        <w:rPr>
          <w:rFonts w:hint="eastAsia" w:ascii="仿宋" w:hAnsi="仿宋" w:eastAsia="仿宋" w:cs="仿宋"/>
          <w:color w:val="auto"/>
          <w:sz w:val="32"/>
          <w:szCs w:val="32"/>
          <w:lang w:val="en-US" w:eastAsia="zh-CN"/>
        </w:rPr>
        <w:t>涉及小董乡、三阳乡两个乡镇20个行政村。</w:t>
      </w:r>
      <w:r>
        <w:rPr>
          <w:rFonts w:hint="eastAsia" w:ascii="仿宋" w:hAnsi="仿宋" w:eastAsia="仿宋" w:cs="仿宋"/>
          <w:sz w:val="32"/>
          <w:szCs w:val="32"/>
          <w:lang w:val="en-US" w:eastAsia="zh-CN"/>
        </w:rPr>
        <w:t>项目主要建设内容为新建泵站3座，配套水泵8台，铺设输水管道41km，新建用水量测设施49套，新建管护道路500m，新建信息化中心1座，新建变压器台区3台等。工程总投资3700万元，其中中央资金1986万元，省级资金1287万元，县级配套资金427万元。目前项目已完工。</w:t>
      </w:r>
    </w:p>
    <w:p>
      <w:pPr>
        <w:pStyle w:val="10"/>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640" w:firstLineChars="200"/>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武陟县白马泉灌区续建配套与节水改造2024年度项目规划节水配套改造面积5.682万亩，</w:t>
      </w:r>
      <w:r>
        <w:rPr>
          <w:rFonts w:hint="eastAsia" w:ascii="仿宋" w:hAnsi="仿宋" w:eastAsia="仿宋" w:cs="仿宋"/>
          <w:color w:val="auto"/>
          <w:sz w:val="32"/>
          <w:szCs w:val="32"/>
          <w:lang w:val="en-US" w:eastAsia="zh-CN"/>
        </w:rPr>
        <w:t>涉及小董乡、三阳乡、嘉应观三个乡镇43个行政村。</w:t>
      </w:r>
      <w:r>
        <w:rPr>
          <w:rFonts w:hint="eastAsia" w:ascii="仿宋" w:hAnsi="仿宋" w:eastAsia="仿宋" w:cs="仿宋"/>
          <w:sz w:val="32"/>
          <w:szCs w:val="32"/>
          <w:lang w:val="en-US" w:eastAsia="zh-CN"/>
        </w:rPr>
        <w:t>项目主要建设内容为</w:t>
      </w:r>
      <w:r>
        <w:rPr>
          <w:rFonts w:hint="eastAsia" w:ascii="仿宋" w:hAnsi="仿宋" w:eastAsia="仿宋" w:cs="仿宋"/>
          <w:sz w:val="32"/>
          <w:szCs w:val="32"/>
          <w:highlight w:val="none"/>
          <w:lang w:val="en-US" w:eastAsia="zh-CN"/>
        </w:rPr>
        <w:t>新建泵站3座，新建水闸2座，铺设输水管道约60公里，新建用水量测设施53套，维修水闸3处，拆除重建桥梁1座，清淤渠道7.5公里等</w:t>
      </w:r>
      <w:r>
        <w:rPr>
          <w:rFonts w:hint="eastAsia" w:ascii="仿宋" w:hAnsi="仿宋" w:eastAsia="仿宋" w:cs="仿宋"/>
          <w:sz w:val="32"/>
          <w:szCs w:val="32"/>
          <w:lang w:val="en-US" w:eastAsia="zh-CN"/>
        </w:rPr>
        <w:t>。工程总投资6301万元，其中中央资金3104万元，省级资金2888万元，县级配套资金309万元。目前项目已完工。</w:t>
      </w:r>
    </w:p>
    <w:p>
      <w:pPr>
        <w:pStyle w:val="4"/>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该项目的实施</w:t>
      </w:r>
      <w:bookmarkStart w:id="0" w:name="_GoBack"/>
      <w:bookmarkEnd w:id="0"/>
      <w:r>
        <w:rPr>
          <w:rFonts w:hint="eastAsia" w:ascii="仿宋" w:hAnsi="仿宋" w:eastAsia="仿宋" w:cs="仿宋"/>
          <w:sz w:val="32"/>
          <w:szCs w:val="32"/>
          <w:lang w:val="en-US" w:eastAsia="zh-CN"/>
        </w:rPr>
        <w:t>可为区域农业灌溉提供稳定优质的水源，有效改善当地的水资源配置，逐步缓解沁北漏斗区的用水压力，进一步遏制地下水水位持续下降，累计改善灌溉面积7.96万亩，年新增节水能力837.05万m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，新增粮食生产能力537.3万kg，社会效益、经济效益、生态效益比较显著。下一步将围绕标准化管理，打造“设施完善、节水高效、管理科学、生态良好”的现代化示范灌区。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6D352A"/>
    <w:rsid w:val="00F441B3"/>
    <w:rsid w:val="09B23B82"/>
    <w:rsid w:val="09DB0A57"/>
    <w:rsid w:val="113849FC"/>
    <w:rsid w:val="1F6C5C00"/>
    <w:rsid w:val="2BCE636C"/>
    <w:rsid w:val="3DEC38A8"/>
    <w:rsid w:val="456D352A"/>
    <w:rsid w:val="48E116D1"/>
    <w:rsid w:val="4DB20B35"/>
    <w:rsid w:val="589131B6"/>
    <w:rsid w:val="5B840E3D"/>
    <w:rsid w:val="5BDC37A3"/>
    <w:rsid w:val="5C606182"/>
    <w:rsid w:val="5CA01E31"/>
    <w:rsid w:val="5EC37668"/>
    <w:rsid w:val="62301C8E"/>
    <w:rsid w:val="66245F4B"/>
    <w:rsid w:val="69197DE4"/>
    <w:rsid w:val="6A492970"/>
    <w:rsid w:val="6D800432"/>
    <w:rsid w:val="72CA214F"/>
    <w:rsid w:val="733D0B73"/>
    <w:rsid w:val="7DBA34EC"/>
    <w:rsid w:val="7DC477E3"/>
    <w:rsid w:val="7EC46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 Text First Indent"/>
    <w:basedOn w:val="3"/>
    <w:next w:val="4"/>
    <w:qFormat/>
    <w:uiPriority w:val="0"/>
    <w:pPr>
      <w:ind w:firstLine="420" w:firstLineChars="100"/>
    </w:pPr>
  </w:style>
  <w:style w:type="paragraph" w:styleId="3">
    <w:name w:val="Body Text"/>
    <w:basedOn w:val="1"/>
    <w:next w:val="1"/>
    <w:qFormat/>
    <w:uiPriority w:val="0"/>
    <w:pPr>
      <w:spacing w:after="120"/>
    </w:pPr>
  </w:style>
  <w:style w:type="paragraph" w:customStyle="1" w:styleId="4">
    <w:name w:val="Body Text First Indent 2"/>
    <w:basedOn w:val="5"/>
    <w:qFormat/>
    <w:uiPriority w:val="0"/>
    <w:pPr>
      <w:ind w:right="0" w:firstLine="420" w:firstLineChars="200"/>
    </w:pPr>
    <w:rPr>
      <w:rFonts w:ascii="Times New Roman" w:hAnsi="Times New Roman"/>
      <w:sz w:val="21"/>
    </w:rPr>
  </w:style>
  <w:style w:type="paragraph" w:customStyle="1" w:styleId="5">
    <w:name w:val="Body Text Indent"/>
    <w:basedOn w:val="1"/>
    <w:qFormat/>
    <w:uiPriority w:val="0"/>
    <w:pPr>
      <w:ind w:firstLine="600" w:firstLineChars="200"/>
    </w:pPr>
    <w:rPr>
      <w:rFonts w:eastAsia="仿宋_GB2312"/>
      <w:sz w:val="30"/>
    </w:rPr>
  </w:style>
  <w:style w:type="paragraph" w:styleId="6">
    <w:name w:val="footer"/>
    <w:basedOn w:val="1"/>
    <w:qFormat/>
    <w:uiPriority w:val="0"/>
    <w:pPr>
      <w:tabs>
        <w:tab w:val="center" w:pos="4153"/>
        <w:tab w:val="right" w:pos="8306"/>
      </w:tabs>
      <w:snapToGrid w:val="0"/>
      <w:jc w:val="left"/>
    </w:pPr>
    <w:rPr>
      <w:sz w:val="18"/>
    </w:rPr>
  </w:style>
  <w:style w:type="character" w:styleId="9">
    <w:name w:val="Hyperlink"/>
    <w:basedOn w:val="8"/>
    <w:qFormat/>
    <w:uiPriority w:val="0"/>
    <w:rPr>
      <w:color w:val="0000FF"/>
      <w:u w:val="single"/>
    </w:rPr>
  </w:style>
  <w:style w:type="paragraph" w:customStyle="1" w:styleId="10">
    <w:name w:val="NormalIndent"/>
    <w:basedOn w:val="1"/>
    <w:qFormat/>
    <w:uiPriority w:val="0"/>
    <w:pPr>
      <w:ind w:firstLine="420"/>
      <w:jc w:val="both"/>
      <w:textAlignment w:val="baseline"/>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1840</Words>
  <Characters>1896</Characters>
  <Lines>0</Lines>
  <Paragraphs>0</Paragraphs>
  <TotalTime>1</TotalTime>
  <ScaleCrop>false</ScaleCrop>
  <LinksUpToDate>false</LinksUpToDate>
  <CharactersWithSpaces>1896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2024-12-18T07:43:00Z</dcterms:created>
  <dc:creator>农村水利</dc:creator>
  <cp:lastModifiedBy>农村水利</cp:lastModifiedBy>
  <dcterms:modified xsi:type="dcterms:W3CDTF">2025-12-31T01:22:12Z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E7C4B0C0C1E64AF9B59528191AA238EC</vt:lpwstr>
  </property>
  <property fmtid="{D5CDD505-2E9C-101B-9397-08002B2CF9AE}" pid="4" name="KSOTemplateDocerSaveRecord">
    <vt:lpwstr>eyJoZGlkIjoiNDc2ZTZhMjg5YWQyMDgyNDY1MTBhMTcxNTE5OTVhYmUiLCJ1c2VySWQiOiIzNzYyNzEwMDUifQ==</vt:lpwstr>
  </property>
</Properties>
</file>