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560" w:lineRule="exact"/>
        <w:ind w:left="0"/>
        <w:jc w:val="center"/>
        <w:textAlignment w:val="auto"/>
        <w:rPr>
          <w:rFonts w:hint="eastAsia" w:eastAsia="FZXiaoBiaoSong-B05" w:cs="Times New Roman"/>
          <w:b w:val="0"/>
          <w:bCs/>
          <w:color w:val="auto"/>
          <w:sz w:val="44"/>
          <w:szCs w:val="44"/>
          <w:lang w:eastAsia="zh-CN"/>
        </w:rPr>
      </w:pPr>
    </w:p>
    <w:p>
      <w:pPr>
        <w:widowControl w:val="0"/>
        <w:wordWrap/>
        <w:adjustRightInd/>
        <w:snapToGrid w:val="0"/>
        <w:spacing w:line="560" w:lineRule="exact"/>
        <w:ind w:left="0"/>
        <w:jc w:val="center"/>
        <w:textAlignment w:val="auto"/>
        <w:outlineLvl w:val="0"/>
        <w:rPr>
          <w:rFonts w:hint="default" w:ascii="Times New Roman" w:hAnsi="Times New Roman" w:eastAsia="FZXiaoBiaoSong-B05" w:cs="Times New Roman"/>
          <w:b w:val="0"/>
          <w:color w:val="auto"/>
          <w:sz w:val="44"/>
          <w:szCs w:val="44"/>
        </w:rPr>
      </w:pPr>
      <w:bookmarkStart w:id="0" w:name="_Toc4669"/>
      <w:bookmarkStart w:id="1" w:name="_Toc21388"/>
      <w:bookmarkStart w:id="2" w:name="_Toc16112"/>
    </w:p>
    <w:p>
      <w:pPr>
        <w:widowControl w:val="0"/>
        <w:wordWrap/>
        <w:adjustRightInd/>
        <w:snapToGrid w:val="0"/>
        <w:spacing w:before="157" w:beforeLines="50" w:line="560" w:lineRule="exact"/>
        <w:ind w:left="0"/>
        <w:jc w:val="center"/>
        <w:textAlignment w:val="auto"/>
        <w:outlineLvl w:val="0"/>
        <w:rPr>
          <w:rFonts w:hint="eastAsia" w:ascii="方正小标宋简体" w:hAnsi="方正小标宋简体" w:eastAsia="方正小标宋简体" w:cs="方正小标宋简体"/>
          <w:b w:val="0"/>
          <w:color w:val="auto"/>
          <w:sz w:val="44"/>
          <w:szCs w:val="44"/>
        </w:rPr>
      </w:pPr>
      <w:r>
        <w:rPr>
          <w:rFonts w:hint="eastAsia" w:ascii="方正小标宋简体" w:hAnsi="方正小标宋简体" w:eastAsia="方正小标宋简体" w:cs="方正小标宋简体"/>
          <w:b w:val="0"/>
          <w:color w:val="auto"/>
          <w:sz w:val="44"/>
          <w:szCs w:val="44"/>
          <w:lang w:eastAsia="zh-CN"/>
        </w:rPr>
        <w:t>焦作市生态环境局</w:t>
      </w:r>
      <w:r>
        <w:rPr>
          <w:rFonts w:hint="eastAsia" w:ascii="方正小标宋简体" w:hAnsi="方正小标宋简体" w:eastAsia="方正小标宋简体" w:cs="方正小标宋简体"/>
          <w:b w:val="0"/>
          <w:color w:val="auto"/>
          <w:sz w:val="44"/>
          <w:szCs w:val="44"/>
        </w:rPr>
        <w:t>查封决定书</w:t>
      </w:r>
      <w:bookmarkEnd w:id="0"/>
      <w:bookmarkEnd w:id="1"/>
      <w:bookmarkEnd w:id="2"/>
    </w:p>
    <w:p>
      <w:pPr>
        <w:widowControl w:val="0"/>
        <w:wordWrap w:val="0"/>
        <w:adjustRightInd/>
        <w:snapToGrid w:val="0"/>
        <w:spacing w:line="560" w:lineRule="exact"/>
        <w:ind w:left="0" w:leftChars="0" w:right="0"/>
        <w:jc w:val="center"/>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焦</w:t>
      </w:r>
      <w:r>
        <w:rPr>
          <w:rFonts w:hint="eastAsia" w:ascii="仿宋_GB2312" w:hAnsi="仿宋_GB2312" w:eastAsia="仿宋_GB2312" w:cs="仿宋_GB2312"/>
          <w:color w:val="auto"/>
          <w:sz w:val="32"/>
          <w:szCs w:val="32"/>
        </w:rPr>
        <w:t>环</w:t>
      </w:r>
      <w:r>
        <w:rPr>
          <w:rFonts w:hint="eastAsia" w:ascii="仿宋_GB2312" w:hAnsi="仿宋_GB2312" w:eastAsia="仿宋_GB2312" w:cs="仿宋_GB2312"/>
          <w:color w:val="auto"/>
          <w:sz w:val="32"/>
          <w:szCs w:val="32"/>
          <w:lang w:val="en-US" w:eastAsia="zh-CN"/>
        </w:rPr>
        <w:t>查封</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2025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号</w:t>
      </w:r>
    </w:p>
    <w:p>
      <w:pPr>
        <w:widowControl w:val="0"/>
        <w:tabs>
          <w:tab w:val="left" w:pos="2555"/>
        </w:tabs>
        <w:wordWrap/>
        <w:adjustRightInd/>
        <w:snapToGrid w:val="0"/>
        <w:spacing w:line="560" w:lineRule="exact"/>
        <w:ind w:left="0" w:leftChars="0" w:right="0"/>
        <w:jc w:val="left"/>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ab/>
      </w:r>
    </w:p>
    <w:p>
      <w:pPr>
        <w:widowControl w:val="0"/>
        <w:wordWrap/>
        <w:adjustRightInd/>
        <w:snapToGrid/>
        <w:spacing w:line="560" w:lineRule="exact"/>
        <w:ind w:left="0" w:leftChars="0" w:right="0"/>
        <w:jc w:val="left"/>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焦作元森新材料科技有限公司</w:t>
      </w:r>
    </w:p>
    <w:p>
      <w:pPr>
        <w:widowControl w:val="0"/>
        <w:wordWrap/>
        <w:adjustRightInd/>
        <w:snapToGrid/>
        <w:spacing w:line="560" w:lineRule="exact"/>
        <w:ind w:left="0" w:leftChars="0" w:right="0"/>
        <w:jc w:val="left"/>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统一社会信用代码：</w:t>
      </w:r>
      <w:r>
        <w:rPr>
          <w:rFonts w:hint="eastAsia" w:ascii="仿宋_GB2312" w:hAnsi="仿宋_GB2312" w:eastAsia="仿宋_GB2312" w:cs="仿宋_GB2312"/>
          <w:color w:val="000000"/>
          <w:sz w:val="32"/>
          <w:szCs w:val="32"/>
          <w:lang w:val="en-US" w:eastAsia="zh-CN"/>
        </w:rPr>
        <w:t>91410825MA9KXLE163</w:t>
      </w:r>
    </w:p>
    <w:p>
      <w:pPr>
        <w:widowControl w:val="0"/>
        <w:wordWrap/>
        <w:adjustRightInd/>
        <w:snapToGrid/>
        <w:spacing w:line="560" w:lineRule="exact"/>
        <w:ind w:left="0" w:leftChars="0" w:right="0"/>
        <w:jc w:val="left"/>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地址：温县黄河街道鑫源路69号</w:t>
      </w:r>
    </w:p>
    <w:p>
      <w:pPr>
        <w:widowControl w:val="0"/>
        <w:wordWrap/>
        <w:adjustRightInd/>
        <w:snapToGrid/>
        <w:spacing w:line="560" w:lineRule="exact"/>
        <w:ind w:left="0" w:leftChars="0" w:right="0"/>
        <w:jc w:val="left"/>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法定代表人（负责人）：</w:t>
      </w:r>
      <w:r>
        <w:rPr>
          <w:rFonts w:hint="eastAsia" w:ascii="仿宋_GB2312" w:hAnsi="仿宋_GB2312" w:eastAsia="仿宋_GB2312" w:cs="仿宋_GB2312"/>
          <w:color w:val="000000"/>
          <w:sz w:val="32"/>
          <w:szCs w:val="32"/>
          <w:lang w:val="en-US" w:eastAsia="zh-CN"/>
        </w:rPr>
        <w:t>宋明伟</w:t>
      </w:r>
      <w:r>
        <w:rPr>
          <w:rFonts w:hint="eastAsia" w:ascii="仿宋_GB2312" w:hAnsi="仿宋_GB2312" w:eastAsia="仿宋_GB2312" w:cs="仿宋_GB2312"/>
          <w:color w:val="000000"/>
          <w:sz w:val="32"/>
          <w:szCs w:val="32"/>
          <w:lang w:eastAsia="zh-CN"/>
        </w:rPr>
        <w:t xml:space="preserve"> </w:t>
      </w:r>
    </w:p>
    <w:p>
      <w:pPr>
        <w:widowControl w:val="0"/>
        <w:wordWrap/>
        <w:adjustRightInd/>
        <w:snapToGrid/>
        <w:spacing w:line="560" w:lineRule="exact"/>
        <w:ind w:left="0" w:leftChars="0" w:right="0" w:firstLine="480"/>
        <w:jc w:val="both"/>
        <w:textAlignment w:val="auto"/>
        <w:outlineLvl w:val="9"/>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我</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于</w:t>
      </w:r>
      <w:r>
        <w:rPr>
          <w:rFonts w:hint="eastAsia" w:ascii="仿宋_GB2312" w:hAnsi="仿宋_GB2312" w:eastAsia="仿宋_GB2312" w:cs="仿宋_GB2312"/>
          <w:color w:val="auto"/>
          <w:sz w:val="32"/>
          <w:szCs w:val="32"/>
          <w:lang w:val="en-US" w:eastAsia="zh-CN"/>
        </w:rPr>
        <w:t>2025</w:t>
      </w:r>
      <w:r>
        <w:rPr>
          <w:rFonts w:hint="eastAsia" w:ascii="仿宋_GB2312" w:hAnsi="仿宋_GB2312" w:eastAsia="仿宋_GB2312" w:cs="仿宋_GB2312"/>
          <w:color w:val="auto"/>
          <w:sz w:val="32"/>
          <w:szCs w:val="32"/>
        </w:rPr>
        <w:t xml:space="preserve">年 </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至5月12日</w:t>
      </w:r>
      <w:r>
        <w:rPr>
          <w:rFonts w:hint="eastAsia" w:ascii="仿宋_GB2312" w:hAnsi="仿宋_GB2312" w:eastAsia="仿宋_GB2312" w:cs="仿宋_GB2312"/>
          <w:color w:val="auto"/>
          <w:sz w:val="32"/>
          <w:szCs w:val="32"/>
        </w:rPr>
        <w:t>对你</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rPr>
        <w:t>进行了调查，发现你实施了以下环境违法行为：</w:t>
      </w:r>
      <w:r>
        <w:rPr>
          <w:rFonts w:hint="eastAsia" w:ascii="仿宋_GB2312" w:hAnsi="仿宋_GB2312" w:eastAsia="仿宋_GB2312" w:cs="仿宋_GB2312"/>
          <w:color w:val="auto"/>
          <w:sz w:val="32"/>
          <w:szCs w:val="32"/>
          <w:lang w:val="en-US" w:eastAsia="zh-CN"/>
        </w:rPr>
        <w:t>5月8日现场检查你公司生产车间内筛分工序正在生产，现场建设有颚式破碎机1台、细碎机1台、球磨机1台、分选机1台。你公司年加工20000吨含锂废料项目已获立项，环境影响报告表于2024年12月报送焦作市生态环境局温县分局审核，目前该项目还未取得环评手续。</w:t>
      </w:r>
    </w:p>
    <w:p>
      <w:pPr>
        <w:widowControl w:val="0"/>
        <w:wordWrap/>
        <w:adjustRightInd/>
        <w:snapToGrid w:val="0"/>
        <w:spacing w:line="560" w:lineRule="exact"/>
        <w:ind w:left="0" w:leftChars="0" w:right="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以上事实，有</w:t>
      </w:r>
      <w:r>
        <w:rPr>
          <w:rFonts w:hint="eastAsia" w:ascii="仿宋_GB2312" w:hAnsi="仿宋_GB2312" w:eastAsia="仿宋_GB2312" w:cs="仿宋_GB2312"/>
          <w:color w:val="auto"/>
          <w:sz w:val="32"/>
          <w:szCs w:val="32"/>
          <w:lang w:val="en-US" w:eastAsia="zh-CN"/>
        </w:rPr>
        <w:t>现场照片、视频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现场检查（勘验）记录、查封（扣押）现场笔录</w:t>
      </w:r>
      <w:r>
        <w:rPr>
          <w:rFonts w:hint="eastAsia" w:ascii="仿宋_GB2312" w:hAnsi="仿宋_GB2312" w:eastAsia="仿宋_GB2312" w:cs="仿宋_GB2312"/>
          <w:color w:val="auto"/>
          <w:sz w:val="32"/>
          <w:szCs w:val="32"/>
        </w:rPr>
        <w:t>等证据为凭。</w:t>
      </w:r>
    </w:p>
    <w:p>
      <w:pPr>
        <w:widowControl w:val="0"/>
        <w:wordWrap/>
        <w:adjustRightInd/>
        <w:snapToGrid w:val="0"/>
        <w:spacing w:line="560" w:lineRule="exact"/>
        <w:ind w:left="0" w:leftChars="0" w:right="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本机关认为你单位的上述行为</w:t>
      </w:r>
      <w:r>
        <w:rPr>
          <w:rFonts w:hint="eastAsia" w:ascii="仿宋_GB2312" w:hAnsi="仿宋_GB2312" w:eastAsia="仿宋_GB2312" w:cs="仿宋_GB2312"/>
          <w:color w:val="auto"/>
          <w:sz w:val="32"/>
          <w:szCs w:val="32"/>
          <w:lang w:val="en-US" w:eastAsia="zh-CN"/>
        </w:rPr>
        <w:t>违反了《建设项目环境保护管理条例》第十九条第一款“编制环境影响报告书、环境影响报告表的建设项目，其配套建设的环境保护设施经验收合格，方可投入生产或者使用；未经验收或者验收不合格的，不得投入生产或者使用。”</w:t>
      </w:r>
      <w:r>
        <w:rPr>
          <w:rFonts w:hint="eastAsia" w:ascii="仿宋_GB2312" w:hAnsi="仿宋_GB2312" w:eastAsia="仿宋_GB2312" w:cs="仿宋_GB2312"/>
          <w:color w:val="auto"/>
          <w:sz w:val="32"/>
          <w:szCs w:val="32"/>
        </w:rPr>
        <w:t>的规定。</w:t>
      </w:r>
    </w:p>
    <w:p>
      <w:pPr>
        <w:widowControl w:val="0"/>
        <w:wordWrap/>
        <w:adjustRightInd/>
        <w:spacing w:line="560" w:lineRule="exact"/>
        <w:ind w:left="0" w:leftChars="0" w:right="0" w:firstLine="640" w:firstLineChars="20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环境保护部门实施查封扣押办法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（六）法律、法规规定的其他造成或者可能造成严重污染的违法排污行为的规定，本机关决定对你</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lang w:eastAsia="zh-CN"/>
        </w:rPr>
        <w:t>所有的</w:t>
      </w:r>
      <w:r>
        <w:rPr>
          <w:rFonts w:hint="eastAsia" w:ascii="仿宋_GB2312" w:hAnsi="仿宋_GB2312" w:eastAsia="仿宋_GB2312" w:cs="仿宋_GB2312"/>
          <w:color w:val="auto"/>
          <w:sz w:val="32"/>
          <w:szCs w:val="32"/>
          <w:lang w:val="en-US" w:eastAsia="zh-CN"/>
        </w:rPr>
        <w:t>颚式破碎机1台、细碎机1台、球磨机1台、分选机1台进行查封。</w:t>
      </w:r>
      <w:r>
        <w:rPr>
          <w:rFonts w:hint="eastAsia" w:ascii="仿宋_GB2312" w:hAnsi="仿宋_GB2312" w:eastAsia="仿宋_GB2312" w:cs="仿宋_GB2312"/>
          <w:color w:val="auto"/>
          <w:sz w:val="32"/>
          <w:szCs w:val="32"/>
        </w:rPr>
        <w:t>查封期限为</w:t>
      </w:r>
      <w:bookmarkStart w:id="3" w:name="_GoBack"/>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日（时间从</w:t>
      </w:r>
      <w:r>
        <w:rPr>
          <w:rFonts w:hint="eastAsia" w:ascii="仿宋_GB2312" w:hAnsi="仿宋_GB2312" w:eastAsia="仿宋_GB2312" w:cs="仿宋_GB2312"/>
          <w:color w:val="auto"/>
          <w:sz w:val="32"/>
          <w:szCs w:val="32"/>
          <w:lang w:val="en-US" w:eastAsia="zh-CN"/>
        </w:rPr>
        <w:t>2025年5月27日起至2025年 6月26日止</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查封</w:t>
      </w:r>
      <w:r>
        <w:rPr>
          <w:rFonts w:hint="eastAsia" w:ascii="仿宋_GB2312" w:hAnsi="仿宋_GB2312" w:eastAsia="仿宋_GB2312" w:cs="仿宋_GB2312"/>
          <w:color w:val="auto"/>
          <w:sz w:val="32"/>
          <w:szCs w:val="32"/>
        </w:rPr>
        <w:t>期限不包括检测或技术鉴定的时间。</w:t>
      </w:r>
      <w:r>
        <w:rPr>
          <w:rFonts w:hint="eastAsia" w:ascii="仿宋_GB2312" w:hAnsi="仿宋_GB2312" w:eastAsia="仿宋_GB2312" w:cs="仿宋_GB2312"/>
          <w:color w:val="auto"/>
          <w:sz w:val="32"/>
          <w:szCs w:val="32"/>
          <w:lang w:eastAsia="zh-CN"/>
        </w:rPr>
        <w:t>查封</w:t>
      </w:r>
      <w:r>
        <w:rPr>
          <w:rFonts w:hint="eastAsia" w:ascii="仿宋_GB2312" w:hAnsi="仿宋_GB2312" w:eastAsia="仿宋_GB2312" w:cs="仿宋_GB2312"/>
          <w:color w:val="auto"/>
          <w:sz w:val="32"/>
          <w:szCs w:val="32"/>
        </w:rPr>
        <w:t>设施、设备</w:t>
      </w:r>
      <w:r>
        <w:rPr>
          <w:rFonts w:hint="eastAsia" w:ascii="仿宋_GB2312" w:hAnsi="仿宋_GB2312" w:eastAsia="仿宋_GB2312" w:cs="仿宋_GB2312"/>
          <w:color w:val="auto"/>
          <w:sz w:val="32"/>
          <w:szCs w:val="32"/>
          <w:lang w:eastAsia="zh-CN"/>
        </w:rPr>
        <w:t>就地存</w:t>
      </w:r>
      <w:bookmarkEnd w:id="3"/>
      <w:r>
        <w:rPr>
          <w:rFonts w:hint="eastAsia" w:ascii="仿宋_GB2312" w:hAnsi="仿宋_GB2312" w:eastAsia="仿宋_GB2312" w:cs="仿宋_GB2312"/>
          <w:color w:val="auto"/>
          <w:sz w:val="32"/>
          <w:szCs w:val="32"/>
          <w:lang w:eastAsia="zh-CN"/>
        </w:rPr>
        <w:t>放</w:t>
      </w:r>
      <w:r>
        <w:rPr>
          <w:rFonts w:hint="eastAsia" w:ascii="仿宋_GB2312" w:hAnsi="仿宋_GB2312" w:eastAsia="仿宋_GB2312" w:cs="仿宋_GB2312"/>
          <w:color w:val="auto"/>
          <w:sz w:val="32"/>
          <w:szCs w:val="32"/>
        </w:rPr>
        <w:t>。在此期间，你单位不得擅自损毁封条、变更查封状态或者启用已查封的设施、设备。</w:t>
      </w:r>
    </w:p>
    <w:p>
      <w:pPr>
        <w:widowControl w:val="0"/>
        <w:wordWrap/>
        <w:adjustRightInd/>
        <w:spacing w:line="560" w:lineRule="exact"/>
        <w:ind w:left="0" w:leftChars="0" w:right="0" w:firstLine="640" w:firstLineChars="20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如你单位对本行政强制措施不服，可以在收到本决定书之日起六十日内向</w:t>
      </w:r>
      <w:r>
        <w:rPr>
          <w:rFonts w:hint="eastAsia" w:ascii="仿宋_GB2312" w:hAnsi="仿宋_GB2312" w:eastAsia="仿宋_GB2312" w:cs="仿宋_GB2312"/>
          <w:color w:val="auto"/>
          <w:sz w:val="32"/>
          <w:szCs w:val="32"/>
          <w:lang w:eastAsia="zh-CN"/>
        </w:rPr>
        <w:t>焦作市人民政府</w:t>
      </w:r>
      <w:r>
        <w:rPr>
          <w:rFonts w:hint="eastAsia" w:ascii="仿宋_GB2312" w:hAnsi="仿宋_GB2312" w:eastAsia="仿宋_GB2312" w:cs="仿宋_GB2312"/>
          <w:color w:val="auto"/>
          <w:sz w:val="32"/>
          <w:szCs w:val="32"/>
        </w:rPr>
        <w:t>申请行政复议，也可以在收到本决定书之日起六个月内向郑州铁路运输法院提起行政诉讼。申请行政复议或者提起行政诉讼，不停止本决定的执行。</w:t>
      </w:r>
    </w:p>
    <w:p>
      <w:pPr>
        <w:widowControl w:val="0"/>
        <w:wordWrap/>
        <w:adjustRightInd/>
        <w:spacing w:line="560" w:lineRule="exact"/>
        <w:ind w:left="0" w:leftChars="0" w:right="0" w:firstLine="640" w:firstLineChars="200"/>
        <w:jc w:val="left"/>
        <w:textAlignment w:val="auto"/>
        <w:outlineLvl w:val="9"/>
        <w:rPr>
          <w:rFonts w:hint="eastAsia" w:ascii="仿宋_GB2312" w:hAnsi="仿宋_GB2312" w:eastAsia="仿宋_GB2312" w:cs="仿宋_GB2312"/>
          <w:color w:val="auto"/>
          <w:sz w:val="32"/>
          <w:szCs w:val="32"/>
        </w:rPr>
      </w:pPr>
    </w:p>
    <w:p>
      <w:pPr>
        <w:pStyle w:val="2"/>
        <w:widowControl w:val="0"/>
        <w:wordWrap/>
        <w:adjustRightInd/>
        <w:spacing w:line="560" w:lineRule="exact"/>
        <w:ind w:left="0" w:leftChars="0" w:right="0"/>
        <w:textAlignment w:val="auto"/>
        <w:outlineLvl w:val="9"/>
        <w:rPr>
          <w:rFonts w:hint="eastAsia" w:ascii="仿宋_GB2312" w:hAnsi="仿宋_GB2312" w:eastAsia="仿宋_GB2312" w:cs="仿宋_GB2312"/>
          <w:color w:val="auto"/>
          <w:sz w:val="32"/>
          <w:szCs w:val="32"/>
        </w:rPr>
      </w:pPr>
    </w:p>
    <w:p>
      <w:pPr>
        <w:pStyle w:val="2"/>
        <w:widowControl w:val="0"/>
        <w:wordWrap/>
        <w:adjustRightInd/>
        <w:spacing w:line="560" w:lineRule="exact"/>
        <w:ind w:left="0" w:leftChars="0" w:right="0"/>
        <w:textAlignment w:val="auto"/>
        <w:outlineLvl w:val="9"/>
        <w:rPr>
          <w:rFonts w:hint="eastAsia" w:ascii="仿宋_GB2312" w:hAnsi="仿宋_GB2312" w:eastAsia="仿宋_GB2312" w:cs="仿宋_GB2312"/>
          <w:color w:val="auto"/>
          <w:sz w:val="32"/>
          <w:szCs w:val="32"/>
        </w:rPr>
      </w:pPr>
    </w:p>
    <w:p>
      <w:pPr>
        <w:widowControl w:val="0"/>
        <w:wordWrap/>
        <w:adjustRightInd/>
        <w:spacing w:line="560" w:lineRule="exact"/>
        <w:ind w:left="0" w:leftChars="0" w:right="0" w:firstLine="320" w:firstLineChars="100"/>
        <w:textAlignment w:val="auto"/>
        <w:outlineLvl w:val="9"/>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27</w:t>
      </w:r>
      <w:r>
        <w:rPr>
          <w:rFonts w:hint="eastAsia" w:ascii="仿宋_GB2312" w:hAnsi="仿宋_GB2312" w:eastAsia="仿宋_GB2312" w:cs="仿宋_GB2312"/>
          <w:color w:val="auto"/>
          <w:sz w:val="32"/>
          <w:szCs w:val="32"/>
        </w:rPr>
        <w:t>日</w:t>
      </w:r>
    </w:p>
    <w:p>
      <w:pPr>
        <w:widowControl w:val="0"/>
        <w:wordWrap/>
        <w:adjustRightInd/>
        <w:spacing w:line="560" w:lineRule="atLeast"/>
        <w:textAlignment w:val="auto"/>
      </w:pPr>
    </w:p>
    <w:sectPr>
      <w:pgSz w:w="11906" w:h="16838"/>
      <w:pgMar w:top="2154" w:right="1474" w:bottom="2041" w:left="1587" w:header="851" w:footer="992" w:gutter="0"/>
      <w:paperSrc w:first="0" w:other="0"/>
      <w:cols w:space="72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TZhongsong">
    <w:altName w:val="宋体"/>
    <w:panose1 w:val="02010600040101010101"/>
    <w:charset w:val="86"/>
    <w:family w:val="auto"/>
    <w:pitch w:val="default"/>
    <w:sig w:usb0="00000287" w:usb1="080F0000" w:usb2="00000000" w:usb3="00000000" w:csb0="0004009F" w:csb1="DFD70000"/>
  </w:font>
  <w:font w:name="Calibri">
    <w:panose1 w:val="020F0502020204030204"/>
    <w:charset w:val="00"/>
    <w:family w:val="auto"/>
    <w:pitch w:val="default"/>
    <w:sig w:usb0="E00002FF" w:usb1="4000ACFF" w:usb2="00000001" w:usb3="00000000" w:csb0="2000019F" w:csb1="00000000"/>
  </w:font>
  <w:font w:name="FangSong_GB2312">
    <w:altName w:val="仿宋_GB2312"/>
    <w:panose1 w:val="02010609030101010101"/>
    <w:charset w:val="86"/>
    <w:family w:val="auto"/>
    <w:pitch w:val="default"/>
    <w:sig w:usb0="00000001" w:usb1="080E0000" w:usb2="00000000" w:usb3="00000000" w:csb0="00040000" w:csb1="00000000"/>
  </w:font>
  <w:font w:name="FZXiaoBiaoSong-B05">
    <w:altName w:val="宋体"/>
    <w:panose1 w:val="02000000000000000000"/>
    <w:charset w:val="86"/>
    <w:family w:val="auto"/>
    <w:pitch w:val="default"/>
    <w:sig w:usb0="A00002BF" w:usb1="38CF7CFA" w:usb2="00082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YzA3MjA4NTZkN2VmYTMyNDY0NGZkZTg2M2ZiZDRlZTEifQ=="/>
  </w:docVars>
  <w:rsids>
    <w:rsidRoot w:val="00000000"/>
    <w:rsid w:val="04FE4A00"/>
    <w:rsid w:val="12217B86"/>
    <w:rsid w:val="25ED5D6F"/>
    <w:rsid w:val="26B55BDA"/>
    <w:rsid w:val="2CDF2C7A"/>
    <w:rsid w:val="2F7DAE99"/>
    <w:rsid w:val="34EB5D90"/>
    <w:rsid w:val="363D2001"/>
    <w:rsid w:val="3DA73EB1"/>
    <w:rsid w:val="3F6F0B3A"/>
    <w:rsid w:val="416555A0"/>
    <w:rsid w:val="44EB61B5"/>
    <w:rsid w:val="490006E2"/>
    <w:rsid w:val="521A1920"/>
    <w:rsid w:val="568A7075"/>
    <w:rsid w:val="58461609"/>
    <w:rsid w:val="5BEDEDFB"/>
    <w:rsid w:val="60E9D136"/>
    <w:rsid w:val="62D70887"/>
    <w:rsid w:val="6FFBCECF"/>
    <w:rsid w:val="715651C7"/>
    <w:rsid w:val="74577F64"/>
    <w:rsid w:val="75D83E8B"/>
    <w:rsid w:val="77FD7A01"/>
    <w:rsid w:val="7ABF97E8"/>
    <w:rsid w:val="7C0B3F04"/>
    <w:rsid w:val="7EFEDD12"/>
    <w:rsid w:val="7F7FC724"/>
    <w:rsid w:val="7FE71139"/>
    <w:rsid w:val="9DFEC77D"/>
    <w:rsid w:val="BFCDAF4A"/>
    <w:rsid w:val="DF7F1AFB"/>
    <w:rsid w:val="DFFF3F19"/>
    <w:rsid w:val="DFFF7F36"/>
    <w:rsid w:val="EDFF8E07"/>
    <w:rsid w:val="EF3F8C17"/>
    <w:rsid w:val="F6FF3FA5"/>
    <w:rsid w:val="FB7B63E5"/>
    <w:rsid w:val="FBBFC4E1"/>
    <w:rsid w:val="FC960FF1"/>
    <w:rsid w:val="FEF28B4A"/>
    <w:rsid w:val="FFEBE06E"/>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Style w:val="4"/>
      <w:tblLayout w:type="fixed"/>
      <w:tblCellMar>
        <w:top w:w="0" w:type="dxa"/>
        <w:left w:w="108" w:type="dxa"/>
        <w:bottom w:w="0" w:type="dxa"/>
        <w:right w:w="108" w:type="dxa"/>
      </w:tblCellMar>
    </w:tblPr>
    <w:tcPr>
      <w:textDirection w:val="lrTb"/>
    </w:tcPr>
  </w:style>
  <w:style w:type="paragraph" w:styleId="2">
    <w:name w:val="Body Text"/>
    <w:basedOn w:val="1"/>
    <w:next w:val="1"/>
    <w:qFormat/>
    <w:uiPriority w:val="0"/>
    <w:pPr>
      <w:jc w:val="center"/>
    </w:pPr>
    <w:rPr>
      <w:rFonts w:ascii="STZhongsong" w:eastAsia="STZhongsong"/>
      <w:b/>
      <w:bCs/>
      <w:sz w:val="44"/>
      <w:szCs w:val="36"/>
    </w:rPr>
  </w:style>
  <w:style w:type="paragraph" w:customStyle="1" w:styleId="5">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939</Words>
  <Characters>980</Characters>
  <Lines>0</Lines>
  <Paragraphs>0</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2024-04-12T00:08:00Z</dcterms:created>
  <dc:creator>Administrator</dc:creator>
  <cp:lastModifiedBy>Administrator</cp:lastModifiedBy>
  <cp:lastPrinted>2025-05-27T00:07:00Z</cp:lastPrinted>
  <dcterms:modified xsi:type="dcterms:W3CDTF">2025-05-27T02:50:02Z</dcterms:modified>
  <dc:title>焦作市生态环境局查封决定书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1060C37C5B04458EBAB43012900FB71E_12</vt:lpwstr>
  </property>
</Properties>
</file>