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autoSpaceDN w:val="0"/>
        <w:spacing w:line="560" w:lineRule="atLeast"/>
        <w:jc w:val="center"/>
        <w:rPr>
          <w:rFonts w:ascii="方正小标宋简体" w:hAnsi="方正小标宋简体" w:eastAsia="方正小标宋简体"/>
          <w:color w:val="auto"/>
          <w:sz w:val="44"/>
          <w:shd w:val="clear" w:color="auto" w:fill="FFFFFF"/>
        </w:rPr>
      </w:pPr>
      <w:r>
        <w:rPr>
          <w:rFonts w:hint="eastAsia" w:ascii="方正小标宋简体" w:hAnsi="方正小标宋简体" w:eastAsia="方正小标宋简体"/>
          <w:color w:val="000000"/>
          <w:sz w:val="44"/>
          <w:shd w:val="clear" w:color="auto" w:fill="FFFFFF"/>
        </w:rPr>
        <w:t>焦作市生态环境局修武分局</w:t>
      </w:r>
      <w:r>
        <w:rPr>
          <w:rFonts w:ascii="方正小标宋简体" w:hAnsi="方正小标宋简体" w:eastAsia="方正小标宋简体"/>
          <w:color w:val="000000"/>
          <w:sz w:val="44"/>
          <w:shd w:val="clear" w:color="auto" w:fill="FFFFFF"/>
        </w:rPr>
        <w:t>关</w:t>
      </w:r>
      <w:r>
        <w:rPr>
          <w:rFonts w:ascii="方正小标宋简体" w:hAnsi="方正小标宋简体" w:eastAsia="方正小标宋简体"/>
          <w:color w:val="auto"/>
          <w:sz w:val="44"/>
          <w:shd w:val="clear" w:color="auto" w:fill="FFFFFF"/>
        </w:rPr>
        <w:t>于202</w:t>
      </w:r>
      <w:r>
        <w:rPr>
          <w:rFonts w:hint="eastAsia" w:ascii="方正小标宋简体" w:hAnsi="方正小标宋简体" w:eastAsia="方正小标宋简体"/>
          <w:color w:val="auto"/>
          <w:sz w:val="44"/>
          <w:shd w:val="clear" w:color="auto" w:fill="FFFFFF"/>
          <w:lang w:val="en-US" w:eastAsia="zh-CN"/>
        </w:rPr>
        <w:t>5</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7</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17</w:t>
      </w:r>
      <w:r>
        <w:rPr>
          <w:rFonts w:ascii="方正小标宋简体" w:hAnsi="方正小标宋简体" w:eastAsia="方正小标宋简体"/>
          <w:color w:val="auto"/>
          <w:sz w:val="44"/>
          <w:shd w:val="clear" w:color="auto" w:fill="FFFFFF"/>
        </w:rPr>
        <w:t>日</w:t>
      </w:r>
    </w:p>
    <w:p>
      <w:pPr>
        <w:shd w:val="solid" w:color="FFFFFF" w:fill="auto"/>
        <w:autoSpaceDN w:val="0"/>
        <w:spacing w:line="560" w:lineRule="atLeast"/>
        <w:jc w:val="center"/>
        <w:rPr>
          <w:rFonts w:ascii="宋体" w:hAnsi="宋体"/>
          <w:color w:val="auto"/>
          <w:sz w:val="24"/>
          <w:shd w:val="clear" w:color="auto" w:fill="FFFFFF"/>
        </w:rPr>
      </w:pPr>
      <w:r>
        <w:rPr>
          <w:rFonts w:ascii="方正小标宋简体" w:hAnsi="方正小标宋简体" w:eastAsia="方正小标宋简体"/>
          <w:color w:val="auto"/>
          <w:sz w:val="44"/>
          <w:shd w:val="clear" w:color="auto" w:fill="FFFFFF"/>
        </w:rPr>
        <w:t>拟作出的建设项目环境影响评价文件批复决定的公示</w:t>
      </w:r>
    </w:p>
    <w:p>
      <w:pPr>
        <w:shd w:val="solid" w:color="FFFFFF" w:fill="auto"/>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w:t>
      </w:r>
    </w:p>
    <w:p>
      <w:pPr>
        <w:shd w:val="solid" w:color="FFFFFF" w:fill="auto"/>
        <w:autoSpaceDN w:val="0"/>
        <w:spacing w:line="560" w:lineRule="atLeast"/>
        <w:ind w:firstLine="640"/>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根据建设项目环境影响评价审批程序的有关规定，经审议，我</w:t>
      </w:r>
      <w:r>
        <w:rPr>
          <w:rFonts w:hint="eastAsia" w:ascii="仿宋_GB2312" w:hAnsi="仿宋_GB2312" w:eastAsia="仿宋_GB2312"/>
          <w:color w:val="auto"/>
          <w:sz w:val="32"/>
          <w:shd w:val="clear" w:color="auto" w:fill="FFFFFF"/>
        </w:rPr>
        <w:t>局</w:t>
      </w:r>
      <w:r>
        <w:rPr>
          <w:rFonts w:ascii="仿宋_GB2312" w:hAnsi="仿宋_GB2312" w:eastAsia="仿宋_GB2312"/>
          <w:color w:val="auto"/>
          <w:sz w:val="32"/>
          <w:shd w:val="clear" w:color="auto" w:fill="FFFFFF"/>
        </w:rPr>
        <w:t>拟对</w:t>
      </w:r>
      <w:r>
        <w:rPr>
          <w:rFonts w:hint="eastAsia" w:ascii="仿宋_GB2312" w:hAnsi="仿宋_GB2312" w:eastAsia="仿宋_GB2312"/>
          <w:color w:val="auto"/>
          <w:sz w:val="32"/>
          <w:shd w:val="clear" w:color="auto" w:fill="FFFFFF"/>
        </w:rPr>
        <w:t>1</w:t>
      </w:r>
      <w:r>
        <w:rPr>
          <w:rFonts w:ascii="仿宋_GB2312" w:hAnsi="仿宋_GB2312" w:eastAsia="仿宋_GB2312"/>
          <w:color w:val="auto"/>
          <w:sz w:val="32"/>
          <w:shd w:val="clear" w:color="auto" w:fill="FFFFFF"/>
        </w:rPr>
        <w:t>个建设项目环境影响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作出批复决定。为保证此次审议工作的严肃性和公正性，现</w:t>
      </w:r>
      <w:bookmarkStart w:id="0" w:name="_GoBack"/>
      <w:bookmarkEnd w:id="0"/>
      <w:r>
        <w:rPr>
          <w:rFonts w:ascii="仿宋_GB2312" w:hAnsi="仿宋_GB2312" w:eastAsia="仿宋_GB2312"/>
          <w:color w:val="auto"/>
          <w:sz w:val="32"/>
          <w:shd w:val="clear" w:color="auto" w:fill="FFFFFF"/>
        </w:rPr>
        <w:t>将</w:t>
      </w:r>
      <w:r>
        <w:rPr>
          <w:rFonts w:hint="eastAsia" w:ascii="仿宋_GB2312" w:hAnsi="仿宋_GB2312" w:eastAsia="仿宋_GB2312"/>
          <w:color w:val="auto"/>
          <w:sz w:val="32"/>
          <w:shd w:val="clear" w:color="auto" w:fill="FFFFFF"/>
        </w:rPr>
        <w:t>该</w:t>
      </w:r>
      <w:r>
        <w:rPr>
          <w:rFonts w:ascii="仿宋_GB2312" w:hAnsi="仿宋_GB2312" w:eastAsia="仿宋_GB2312"/>
          <w:color w:val="auto"/>
          <w:sz w:val="32"/>
          <w:shd w:val="clear" w:color="auto" w:fill="FFFFFF"/>
        </w:rPr>
        <w:t>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的基本情况予以公示。如有异议，请在公示期内反馈我局</w:t>
      </w:r>
      <w:r>
        <w:rPr>
          <w:rFonts w:hint="eastAsia" w:ascii="仿宋_GB2312" w:hAnsi="仿宋_GB2312" w:eastAsia="仿宋_GB2312"/>
          <w:color w:val="auto"/>
          <w:sz w:val="32"/>
          <w:shd w:val="clear" w:color="auto" w:fill="FFFFFF"/>
        </w:rPr>
        <w:t>行政事项服务室</w:t>
      </w:r>
      <w:r>
        <w:rPr>
          <w:rFonts w:ascii="仿宋_GB2312" w:hAnsi="仿宋_GB2312" w:eastAsia="仿宋_GB2312"/>
          <w:color w:val="auto"/>
          <w:sz w:val="32"/>
          <w:shd w:val="clear" w:color="auto" w:fill="FFFFFF"/>
        </w:rPr>
        <w:t>。公示日期为202</w:t>
      </w:r>
      <w:r>
        <w:rPr>
          <w:rFonts w:hint="eastAsia" w:ascii="仿宋_GB2312" w:hAnsi="仿宋_GB2312" w:eastAsia="仿宋_GB2312"/>
          <w:color w:val="auto"/>
          <w:sz w:val="32"/>
          <w:shd w:val="clear" w:color="auto" w:fill="FFFFFF"/>
          <w:lang w:val="en-US" w:eastAsia="zh-CN"/>
        </w:rPr>
        <w:t>5</w:t>
      </w:r>
      <w:r>
        <w:rPr>
          <w:rFonts w:ascii="仿宋_GB2312" w:hAnsi="仿宋_GB2312" w:eastAsia="仿宋_GB2312"/>
          <w:color w:val="auto"/>
          <w:sz w:val="32"/>
          <w:shd w:val="clear" w:color="auto" w:fill="FFFFFF"/>
        </w:rPr>
        <w:t>年</w:t>
      </w:r>
      <w:r>
        <w:rPr>
          <w:rFonts w:hint="eastAsia" w:ascii="仿宋_GB2312" w:hAnsi="仿宋_GB2312" w:eastAsia="仿宋_GB2312"/>
          <w:color w:val="auto"/>
          <w:sz w:val="32"/>
          <w:shd w:val="clear" w:color="auto" w:fill="FFFFFF"/>
          <w:lang w:val="en-US" w:eastAsia="zh-CN"/>
        </w:rPr>
        <w:t>7</w:t>
      </w:r>
      <w:r>
        <w:rPr>
          <w:rFonts w:ascii="仿宋_GB2312" w:hAnsi="仿宋_GB2312" w:eastAsia="仿宋_GB2312"/>
          <w:color w:val="auto"/>
          <w:sz w:val="32"/>
          <w:shd w:val="clear" w:color="auto" w:fill="FFFFFF"/>
        </w:rPr>
        <w:t>月</w:t>
      </w:r>
      <w:r>
        <w:rPr>
          <w:rFonts w:hint="eastAsia" w:ascii="仿宋_GB2312" w:hAnsi="仿宋_GB2312" w:eastAsia="仿宋_GB2312"/>
          <w:color w:val="auto"/>
          <w:sz w:val="32"/>
          <w:shd w:val="clear" w:color="auto" w:fill="FFFFFF"/>
          <w:lang w:val="en-US" w:eastAsia="zh-CN"/>
        </w:rPr>
        <w:t>17</w:t>
      </w:r>
      <w:r>
        <w:rPr>
          <w:rFonts w:ascii="仿宋_GB2312" w:hAnsi="仿宋_GB2312" w:eastAsia="仿宋_GB2312"/>
          <w:color w:val="auto"/>
          <w:sz w:val="32"/>
          <w:shd w:val="clear" w:color="auto" w:fill="FFFFFF"/>
        </w:rPr>
        <w:t>日,公示期：五</w:t>
      </w:r>
      <w:r>
        <w:rPr>
          <w:rFonts w:hint="eastAsia" w:ascii="仿宋_GB2312" w:hAnsi="仿宋_GB2312" w:eastAsia="仿宋_GB2312"/>
          <w:color w:val="auto"/>
          <w:sz w:val="32"/>
          <w:shd w:val="clear" w:color="auto" w:fill="FFFFFF"/>
        </w:rPr>
        <w:t>个工作日</w:t>
      </w:r>
      <w:r>
        <w:rPr>
          <w:rFonts w:ascii="仿宋_GB2312" w:hAnsi="仿宋_GB2312" w:eastAsia="仿宋_GB2312"/>
          <w:color w:val="auto"/>
          <w:sz w:val="32"/>
          <w:shd w:val="clear" w:color="auto" w:fill="FFFFFF"/>
        </w:rPr>
        <w:t>。</w:t>
      </w:r>
    </w:p>
    <w:p>
      <w:pPr>
        <w:shd w:val="solid" w:color="FFFFFF" w:fill="auto"/>
        <w:wordWrap w:val="0"/>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电话：0391-71</w:t>
      </w:r>
      <w:r>
        <w:rPr>
          <w:rFonts w:hint="eastAsia" w:ascii="仿宋_GB2312" w:hAnsi="仿宋_GB2312" w:eastAsia="仿宋_GB2312"/>
          <w:color w:val="auto"/>
          <w:sz w:val="32"/>
          <w:shd w:val="clear" w:color="auto" w:fill="FFFFFF"/>
        </w:rPr>
        <w:t>18625</w:t>
      </w:r>
      <w:r>
        <w:rPr>
          <w:rFonts w:ascii="仿宋_GB2312" w:hAnsi="仿宋_GB2312" w:eastAsia="仿宋_GB2312"/>
          <w:color w:val="auto"/>
          <w:sz w:val="32"/>
          <w:shd w:val="clear" w:color="auto" w:fill="FFFFFF"/>
        </w:rPr>
        <w:t xml:space="preserve">   传真：0391-7192020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ascii="仿宋_GB2312" w:hAnsi="仿宋_GB2312" w:eastAsia="仿宋_GB2312"/>
          <w:color w:val="000000"/>
          <w:sz w:val="32"/>
          <w:shd w:val="clear" w:color="auto" w:fill="FFFFFF"/>
        </w:rPr>
        <w:t>通讯地址：修武县</w:t>
      </w:r>
      <w:r>
        <w:rPr>
          <w:rFonts w:hint="eastAsia" w:ascii="仿宋_GB2312" w:hAnsi="仿宋_GB2312" w:eastAsia="仿宋_GB2312"/>
          <w:color w:val="000000"/>
          <w:sz w:val="32"/>
          <w:shd w:val="clear" w:color="auto" w:fill="FFFFFF"/>
        </w:rPr>
        <w:t>宁城路69号</w:t>
      </w:r>
      <w:r>
        <w:rPr>
          <w:rFonts w:ascii="仿宋_GB2312" w:hAnsi="仿宋_GB2312" w:eastAsia="仿宋_GB2312"/>
          <w:color w:val="000000"/>
          <w:sz w:val="32"/>
          <w:shd w:val="clear" w:color="auto" w:fill="FFFFFF"/>
        </w:rPr>
        <w:t>（454350）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hint="eastAsia" w:ascii="仿宋_GB2312" w:hAnsi="仿宋_GB2312" w:eastAsia="仿宋_GB2312"/>
          <w:color w:val="000000"/>
          <w:sz w:val="32"/>
          <w:shd w:val="clear" w:color="auto" w:fill="FFFFFF"/>
        </w:rPr>
        <w:t>听证告知：依据《中华人民共和国行政许可法》，自公示起五个工作日内申请人、有重大利益关系的利害关系人可对以下拟作出的建设项目环境影响评价文件批复决定要求听证。</w:t>
      </w:r>
    </w:p>
    <w:p>
      <w:pPr>
        <w:shd w:val="solid" w:color="FFFFFF" w:fill="auto"/>
        <w:wordWrap w:val="0"/>
        <w:autoSpaceDN w:val="0"/>
        <w:spacing w:line="560" w:lineRule="atLeast"/>
        <w:ind w:firstLine="645"/>
        <w:jc w:val="center"/>
        <w:rPr>
          <w:rFonts w:ascii="方正小标宋简体" w:hAnsi="方正小标宋简体" w:eastAsia="方正小标宋简体"/>
          <w:color w:val="000000"/>
          <w:sz w:val="44"/>
          <w:shd w:val="clear" w:color="auto" w:fill="FFFFFF"/>
        </w:rPr>
      </w:pPr>
    </w:p>
    <w:p>
      <w:pPr>
        <w:shd w:val="solid" w:color="FFFFFF" w:fill="auto"/>
        <w:wordWrap w:val="0"/>
        <w:autoSpaceDN w:val="0"/>
        <w:spacing w:line="560" w:lineRule="atLeast"/>
        <w:ind w:firstLine="645"/>
        <w:jc w:val="center"/>
        <w:rPr>
          <w:rFonts w:hint="eastAsia" w:ascii="宋体" w:hAnsi="宋体" w:eastAsia="方正小标宋简体"/>
          <w:sz w:val="24"/>
          <w:shd w:val="clear" w:color="auto" w:fill="FFFFFF"/>
          <w:lang w:val="en-US" w:eastAsia="zh-CN"/>
        </w:rPr>
      </w:pPr>
      <w:r>
        <w:rPr>
          <w:rFonts w:ascii="方正小标宋简体" w:hAnsi="方正小标宋简体" w:eastAsia="方正小标宋简体"/>
          <w:color w:val="auto"/>
          <w:sz w:val="44"/>
          <w:shd w:val="clear" w:color="auto" w:fill="FFFFFF"/>
        </w:rPr>
        <w:t>202</w:t>
      </w:r>
      <w:r>
        <w:rPr>
          <w:rFonts w:hint="eastAsia" w:ascii="方正小标宋简体" w:hAnsi="方正小标宋简体" w:eastAsia="方正小标宋简体"/>
          <w:color w:val="auto"/>
          <w:sz w:val="44"/>
          <w:shd w:val="clear" w:color="auto" w:fill="FFFFFF"/>
          <w:lang w:val="en-US" w:eastAsia="zh-CN"/>
        </w:rPr>
        <w:t>5</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7</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17</w:t>
      </w:r>
      <w:r>
        <w:rPr>
          <w:rFonts w:ascii="方正小标宋简体" w:hAnsi="方正小标宋简体" w:eastAsia="方正小标宋简体"/>
          <w:color w:val="auto"/>
          <w:sz w:val="44"/>
          <w:shd w:val="clear" w:color="auto" w:fill="FFFFFF"/>
        </w:rPr>
        <w:t>日</w:t>
      </w:r>
      <w:r>
        <w:rPr>
          <w:rFonts w:ascii="方正小标宋简体" w:hAnsi="方正小标宋简体" w:eastAsia="方正小标宋简体"/>
          <w:color w:val="000000"/>
          <w:sz w:val="44"/>
          <w:shd w:val="clear" w:color="auto" w:fill="FFFFFF"/>
        </w:rPr>
        <w:t>拟批准的建设项目环境影响报告</w:t>
      </w:r>
      <w:r>
        <w:rPr>
          <w:rFonts w:hint="eastAsia" w:ascii="方正小标宋简体" w:hAnsi="方正小标宋简体" w:eastAsia="方正小标宋简体"/>
          <w:color w:val="000000"/>
          <w:sz w:val="44"/>
          <w:shd w:val="clear" w:color="auto" w:fill="FFFFFF"/>
          <w:lang w:val="en-US" w:eastAsia="zh-CN"/>
        </w:rPr>
        <w:t>表</w:t>
      </w:r>
    </w:p>
    <w:tbl>
      <w:tblPr>
        <w:tblStyle w:val="3"/>
        <w:tblW w:w="14824" w:type="dxa"/>
        <w:jc w:val="center"/>
        <w:tblLayout w:type="fixed"/>
        <w:tblCellMar>
          <w:top w:w="0" w:type="dxa"/>
          <w:left w:w="108" w:type="dxa"/>
          <w:bottom w:w="0" w:type="dxa"/>
          <w:right w:w="108" w:type="dxa"/>
        </w:tblCellMar>
      </w:tblPr>
      <w:tblGrid>
        <w:gridCol w:w="543"/>
        <w:gridCol w:w="1050"/>
        <w:gridCol w:w="1002"/>
        <w:gridCol w:w="966"/>
        <w:gridCol w:w="976"/>
        <w:gridCol w:w="2830"/>
        <w:gridCol w:w="7457"/>
      </w:tblGrid>
      <w:tr>
        <w:tblPrEx>
          <w:tblCellMar>
            <w:top w:w="0" w:type="dxa"/>
            <w:left w:w="108" w:type="dxa"/>
            <w:bottom w:w="0" w:type="dxa"/>
            <w:right w:w="108" w:type="dxa"/>
          </w:tblCellMar>
        </w:tblPrEx>
        <w:trPr>
          <w:trHeight w:val="537" w:hRule="atLeast"/>
          <w:jc w:val="center"/>
        </w:trPr>
        <w:tc>
          <w:tcPr>
            <w:tcW w:w="5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宋体" w:hAnsi="宋体"/>
                <w:sz w:val="24"/>
              </w:rPr>
            </w:pPr>
            <w:r>
              <w:rPr>
                <w:rFonts w:ascii="仿宋_GB2312" w:hAnsi="仿宋_GB2312" w:eastAsia="仿宋_GB2312"/>
                <w:b/>
                <w:color w:val="000000"/>
                <w:sz w:val="32"/>
              </w:rPr>
              <w:t>序号</w:t>
            </w:r>
          </w:p>
        </w:tc>
        <w:tc>
          <w:tcPr>
            <w:tcW w:w="105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名称</w:t>
            </w:r>
          </w:p>
        </w:tc>
        <w:tc>
          <w:tcPr>
            <w:tcW w:w="100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建设</w:t>
            </w:r>
          </w:p>
          <w:p>
            <w:pPr>
              <w:autoSpaceDN w:val="0"/>
              <w:spacing w:line="500" w:lineRule="exact"/>
              <w:jc w:val="center"/>
              <w:rPr>
                <w:rFonts w:ascii="宋体" w:hAnsi="宋体"/>
                <w:sz w:val="24"/>
              </w:rPr>
            </w:pPr>
            <w:r>
              <w:rPr>
                <w:rFonts w:ascii="仿宋_GB2312" w:hAnsi="仿宋_GB2312" w:eastAsia="仿宋_GB2312"/>
                <w:b/>
                <w:color w:val="000000"/>
                <w:sz w:val="32"/>
              </w:rPr>
              <w:t>地点</w:t>
            </w:r>
          </w:p>
        </w:tc>
        <w:tc>
          <w:tcPr>
            <w:tcW w:w="96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单位</w:t>
            </w:r>
          </w:p>
        </w:tc>
        <w:tc>
          <w:tcPr>
            <w:tcW w:w="97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hint="eastAsia" w:ascii="仿宋_GB2312" w:hAnsi="仿宋_GB2312" w:eastAsia="仿宋_GB2312"/>
                <w:b/>
                <w:color w:val="000000"/>
                <w:sz w:val="32"/>
                <w:lang w:eastAsia="zh-CN"/>
              </w:rPr>
            </w:pPr>
            <w:r>
              <w:rPr>
                <w:rFonts w:hint="eastAsia" w:ascii="仿宋_GB2312" w:hAnsi="仿宋_GB2312" w:eastAsia="仿宋_GB2312"/>
                <w:b/>
                <w:color w:val="000000"/>
                <w:sz w:val="32"/>
                <w:lang w:eastAsia="zh-CN"/>
              </w:rPr>
              <w:t>环评单位</w:t>
            </w:r>
          </w:p>
        </w:tc>
        <w:tc>
          <w:tcPr>
            <w:tcW w:w="28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概况</w:t>
            </w:r>
          </w:p>
        </w:tc>
        <w:tc>
          <w:tcPr>
            <w:tcW w:w="7457"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jc w:val="center"/>
              <w:rPr>
                <w:rFonts w:ascii="宋体" w:hAnsi="宋体"/>
                <w:sz w:val="24"/>
              </w:rPr>
            </w:pPr>
            <w:r>
              <w:rPr>
                <w:rFonts w:ascii="仿宋_GB2312" w:hAnsi="仿宋_GB2312" w:eastAsia="仿宋_GB2312"/>
                <w:b/>
                <w:color w:val="000000"/>
                <w:sz w:val="32"/>
                <w:shd w:val="clear" w:color="auto" w:fill="FFFFFF"/>
              </w:rPr>
              <w:t>主要环境影响及预防措施</w:t>
            </w:r>
            <w:r>
              <w:rPr>
                <w:rFonts w:ascii="仿宋_GB2312" w:hAnsi="仿宋_GB2312" w:eastAsia="仿宋_GB2312"/>
                <w:color w:val="000000"/>
                <w:sz w:val="32"/>
              </w:rPr>
              <w:t xml:space="preserve"> </w:t>
            </w:r>
          </w:p>
        </w:tc>
      </w:tr>
      <w:tr>
        <w:tblPrEx>
          <w:tblCellMar>
            <w:top w:w="0" w:type="dxa"/>
            <w:left w:w="108" w:type="dxa"/>
            <w:bottom w:w="0" w:type="dxa"/>
            <w:right w:w="108" w:type="dxa"/>
          </w:tblCellMar>
        </w:tblPrEx>
        <w:trPr>
          <w:trHeight w:val="1162" w:hRule="atLeast"/>
          <w:jc w:val="center"/>
        </w:trPr>
        <w:tc>
          <w:tcPr>
            <w:tcW w:w="5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400" w:lineRule="exact"/>
              <w:jc w:val="center"/>
              <w:rPr>
                <w:rFonts w:ascii="仿宋_GB2312" w:hAnsi="仿宋_GB2312" w:eastAsia="仿宋_GB2312"/>
                <w:sz w:val="28"/>
                <w:szCs w:val="18"/>
              </w:rPr>
            </w:pPr>
            <w:r>
              <w:rPr>
                <w:rFonts w:hint="eastAsia" w:ascii="仿宋_GB2312" w:hAnsi="仿宋_GB2312" w:eastAsia="仿宋_GB2312"/>
                <w:sz w:val="28"/>
                <w:szCs w:val="18"/>
              </w:rPr>
              <w:t>1</w:t>
            </w:r>
          </w:p>
        </w:tc>
        <w:tc>
          <w:tcPr>
            <w:tcW w:w="105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sz w:val="24"/>
                <w:szCs w:val="24"/>
              </w:rPr>
            </w:pPr>
            <w:r>
              <w:rPr>
                <w:rFonts w:hint="eastAsia" w:ascii="仿宋" w:hAnsi="仿宋" w:eastAsia="仿宋" w:cs="仿宋"/>
                <w:sz w:val="24"/>
                <w:szCs w:val="24"/>
                <w:lang w:val="en-US" w:eastAsia="zh-CN"/>
              </w:rPr>
              <w:t>年产7.5万吨有机肥（新型1.8万吨、普通5.7万吨）及2万吨复混肥技改项目</w:t>
            </w:r>
          </w:p>
        </w:tc>
        <w:tc>
          <w:tcPr>
            <w:tcW w:w="100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修武县农业实验场北侧，云台大道南侧</w:t>
            </w:r>
          </w:p>
        </w:tc>
        <w:tc>
          <w:tcPr>
            <w:tcW w:w="96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宗源生态肥业有限公司</w:t>
            </w:r>
          </w:p>
        </w:tc>
        <w:tc>
          <w:tcPr>
            <w:tcW w:w="97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中南金尚环境工程有限公司</w:t>
            </w:r>
          </w:p>
        </w:tc>
        <w:tc>
          <w:tcPr>
            <w:tcW w:w="28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pageBreakBefore w:val="0"/>
              <w:widowControl w:val="0"/>
              <w:kinsoku/>
              <w:wordWrap/>
              <w:overflowPunct/>
              <w:topLinePunct w:val="0"/>
              <w:autoSpaceDE/>
              <w:autoSpaceDN w:val="0"/>
              <w:bidi w:val="0"/>
              <w:adjustRightInd/>
              <w:snapToGrid/>
              <w:spacing w:line="300" w:lineRule="exact"/>
              <w:jc w:val="both"/>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项目建设性质为技改，总投资3000万元，产品为新型有机肥、普通有机肥和复混肥，新型有机肥产能为1.8万吨/年，普通有机肥产能为5.7万吨/年，复混肥产能为2万吨/年</w:t>
            </w:r>
            <w:r>
              <w:rPr>
                <w:rFonts w:hint="eastAsia" w:ascii="仿宋" w:hAnsi="仿宋" w:eastAsia="仿宋" w:cs="仿宋"/>
                <w:sz w:val="24"/>
                <w:szCs w:val="24"/>
                <w:vertAlign w:val="baseline"/>
                <w:lang w:val="en-US" w:eastAsia="zh-CN"/>
              </w:rPr>
              <w:t>。普通有机肥生产工艺</w:t>
            </w:r>
            <w:r>
              <w:rPr>
                <w:rFonts w:hint="eastAsia" w:ascii="仿宋" w:hAnsi="仿宋" w:eastAsia="仿宋" w:cs="仿宋"/>
                <w:sz w:val="24"/>
                <w:szCs w:val="24"/>
                <w:lang w:val="en-US" w:eastAsia="zh-CN"/>
              </w:rPr>
              <w:t>：堆肥—粉碎、投料—造粒一烘干、冷却—筛分—烘干、筛分、冷却—检验、包膜、包装；新型有机肥生产工艺：熔融—投料、混合—检验、包装；复混肥生产工艺：投料、粉碎—造粒—烘干、冷却—筛分—烘干、筛分、冷却—检验、包膜、包装。</w:t>
            </w:r>
            <w:r>
              <w:rPr>
                <w:rFonts w:hint="eastAsia" w:ascii="仿宋" w:hAnsi="仿宋" w:eastAsia="仿宋" w:cs="仿宋"/>
                <w:color w:val="auto"/>
                <w:sz w:val="24"/>
                <w:szCs w:val="24"/>
                <w:lang w:val="en-US" w:eastAsia="zh-CN"/>
              </w:rPr>
              <w:t>主要生产设备包括翻抛机、粉碎机、造粒机、筛分机、烘干机、包装机、锅炉等。</w:t>
            </w:r>
          </w:p>
        </w:tc>
        <w:tc>
          <w:tcPr>
            <w:tcW w:w="7457"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both"/>
              <w:rPr>
                <w:rFonts w:hint="eastAsia" w:ascii="仿宋" w:hAnsi="仿宋" w:eastAsia="仿宋" w:cs="Times New Roman"/>
                <w:sz w:val="24"/>
                <w:szCs w:val="24"/>
              </w:rPr>
            </w:pPr>
            <w:r>
              <w:rPr>
                <w:rFonts w:hint="eastAsia" w:ascii="仿宋" w:hAnsi="仿宋" w:eastAsia="仿宋" w:cs="Times New Roman"/>
                <w:sz w:val="24"/>
                <w:szCs w:val="24"/>
                <w:lang w:val="en-US" w:eastAsia="zh-CN"/>
              </w:rPr>
              <w:t>1.废气。1#锅炉天然气燃烧废气，采取低氮燃烧+烟气循环+20m排气筒（DA001）达标排放。投料、粉碎废气，采取集气系统+覆膜袋式除尘器+20m排气筒（DA002）达标排放。有机肥造粒、熔融、烘干废气(烘干机采用低氮燃烧），采取集气管道+旋风除尘（新增）+覆膜袋式除尘（新增）+生物除臭（新增）+20m排气筒（DA006）达标排放。有机肥混合、筛分、粉碎、冷却、包装废气，采取</w:t>
            </w:r>
            <w:r>
              <w:rPr>
                <w:rFonts w:hint="eastAsia" w:ascii="仿宋" w:hAnsi="仿宋" w:eastAsia="仿宋" w:cs="仿宋"/>
                <w:bCs/>
                <w:sz w:val="24"/>
                <w:szCs w:val="24"/>
              </w:rPr>
              <w:t>集气系统+覆膜袋式除尘器+20m排气筒（DA007）</w:t>
            </w:r>
            <w:r>
              <w:rPr>
                <w:rFonts w:hint="eastAsia" w:ascii="仿宋" w:hAnsi="仿宋" w:eastAsia="仿宋" w:cs="仿宋"/>
                <w:sz w:val="24"/>
                <w:szCs w:val="24"/>
                <w:lang w:val="en-US" w:eastAsia="zh-CN"/>
              </w:rPr>
              <w:t>达</w:t>
            </w:r>
            <w:r>
              <w:rPr>
                <w:rFonts w:hint="eastAsia" w:ascii="仿宋" w:hAnsi="仿宋" w:eastAsia="仿宋" w:cs="Times New Roman"/>
                <w:sz w:val="24"/>
                <w:szCs w:val="24"/>
                <w:lang w:val="en-US" w:eastAsia="zh-CN"/>
              </w:rPr>
              <w:t>标排放。有机肥堆肥废气，采取车间整体集气+生物除臭装置+20m排气筒（DA005）达标排放。复混肥造粒、烘干废气（烘干机采用低氮燃烧），采取集气管道+旋风除尘+重力沉降+湿式除尘+除雾+湿电除尘+生物除臭+25m排气筒（DA003）达标排放。复混肥筛分、粉碎、冷却、包装废气，采取集气系统+覆膜袋式除尘器+20m排气筒（DA004）达标排放。2#锅炉天然气燃烧废气，采取“低氮燃烧+烟气循环+20m排气筒（DA008）”达标排放。无组织废气，采取设置工业吸尘器，加强车间及设备的密闭，提高集气效率；加强设备管理和维护；安装视频监控；对厂区内及周围进行绿化等措施，降低对周围环境的影响。</w:t>
            </w:r>
            <w:r>
              <w:rPr>
                <w:rFonts w:hint="eastAsia" w:ascii="仿宋" w:hAnsi="仿宋" w:eastAsia="仿宋" w:cs="Times New Roman"/>
                <w:sz w:val="24"/>
                <w:szCs w:val="24"/>
              </w:rPr>
              <w:t>废气经相应污染治理措施处理后</w:t>
            </w:r>
            <w:r>
              <w:rPr>
                <w:rFonts w:hint="eastAsia" w:ascii="仿宋" w:hAnsi="仿宋" w:eastAsia="仿宋" w:cs="Times New Roman"/>
                <w:sz w:val="24"/>
                <w:szCs w:val="24"/>
                <w:lang w:eastAsia="zh-CN"/>
              </w:rPr>
              <w:t>达标</w:t>
            </w:r>
            <w:r>
              <w:rPr>
                <w:rFonts w:hint="eastAsia" w:ascii="仿宋" w:hAnsi="仿宋" w:eastAsia="仿宋" w:cs="Times New Roman"/>
                <w:sz w:val="24"/>
                <w:szCs w:val="24"/>
              </w:rPr>
              <w:t>排放，应满足《锅炉大气污染物排放标准》（DB41/2089-2021）表1</w:t>
            </w:r>
            <w:r>
              <w:rPr>
                <w:rFonts w:hint="eastAsia" w:ascii="仿宋" w:hAnsi="仿宋" w:eastAsia="仿宋" w:cs="Times New Roman"/>
                <w:sz w:val="24"/>
                <w:szCs w:val="24"/>
                <w:lang w:eastAsia="zh-CN"/>
              </w:rPr>
              <w:t>、《大气污染物综合排放标准》（GB16297-1996）表2、《化学肥料工业大气污染物排放标准》（DB41/2557-2023）、《焦作市生态环境保护委员会办公室关于印发焦作市2025年蓝天保卫战实施方案的通知》（焦环委办〔2025〕11号）、</w:t>
            </w:r>
            <w:r>
              <w:rPr>
                <w:rFonts w:hint="eastAsia" w:ascii="仿宋" w:hAnsi="仿宋" w:eastAsia="仿宋" w:cs="Times New Roman"/>
                <w:sz w:val="24"/>
                <w:szCs w:val="24"/>
                <w:lang w:val="en-US" w:eastAsia="zh-CN"/>
              </w:rPr>
              <w:t>《恶臭污染物排放标准》（GB14554-93）表2等</w:t>
            </w:r>
            <w:r>
              <w:rPr>
                <w:rFonts w:hint="eastAsia" w:ascii="仿宋" w:hAnsi="仿宋" w:eastAsia="仿宋" w:cs="Times New Roman"/>
                <w:sz w:val="24"/>
                <w:szCs w:val="24"/>
              </w:rPr>
              <w:t>相关污染因子控制排放要求。</w:t>
            </w:r>
          </w:p>
          <w:p>
            <w:pPr>
              <w:keepNext w:val="0"/>
              <w:keepLines w:val="0"/>
              <w:widowControl/>
              <w:suppressLineNumbers w:val="0"/>
              <w:jc w:val="both"/>
              <w:rPr>
                <w:rFonts w:hint="eastAsia" w:ascii="仿宋" w:hAnsi="仿宋" w:eastAsia="仿宋" w:cs="Times New Roman"/>
                <w:sz w:val="24"/>
                <w:szCs w:val="24"/>
                <w:lang w:val="en-US" w:eastAsia="zh-CN"/>
              </w:rPr>
            </w:pPr>
            <w:r>
              <w:rPr>
                <w:rFonts w:hint="eastAsia" w:ascii="仿宋" w:hAnsi="仿宋" w:eastAsia="仿宋" w:cs="Times New Roman"/>
                <w:sz w:val="24"/>
                <w:szCs w:val="24"/>
              </w:rPr>
              <w:t>2.废水</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项目采取雨污分流，初期雨水经初期雨水收集池收集后进入雨水管网。车辆冲洗废水经三级沉淀池沉淀处理后，与软水制备废水、湿式除尘废水、生物除臭废水均回用有机肥造粒工序。</w:t>
            </w:r>
          </w:p>
          <w:p>
            <w:pPr>
              <w:autoSpaceDN w:val="0"/>
              <w:spacing w:line="300" w:lineRule="exact"/>
              <w:jc w:val="both"/>
              <w:rPr>
                <w:rFonts w:hint="eastAsia" w:ascii="仿宋" w:hAnsi="仿宋" w:eastAsia="仿宋"/>
                <w:sz w:val="24"/>
                <w:szCs w:val="24"/>
              </w:rPr>
            </w:pPr>
            <w:r>
              <w:rPr>
                <w:rFonts w:hint="eastAsia" w:ascii="仿宋" w:hAnsi="仿宋" w:eastAsia="仿宋"/>
                <w:sz w:val="24"/>
                <w:szCs w:val="24"/>
              </w:rPr>
              <w:t>3.噪声。采取低室内布置、减振基础等降噪措施，厂界</w:t>
            </w:r>
            <w:r>
              <w:rPr>
                <w:rFonts w:hint="eastAsia" w:ascii="仿宋" w:hAnsi="仿宋" w:eastAsia="仿宋"/>
                <w:sz w:val="24"/>
                <w:szCs w:val="24"/>
                <w:lang w:eastAsia="zh-CN"/>
              </w:rPr>
              <w:t>环境</w:t>
            </w:r>
            <w:r>
              <w:rPr>
                <w:rFonts w:hint="eastAsia" w:ascii="仿宋" w:hAnsi="仿宋" w:eastAsia="仿宋"/>
                <w:sz w:val="24"/>
                <w:szCs w:val="24"/>
              </w:rPr>
              <w:t>噪声应满足《工业企业厂界环境噪声排放标准》（GB12348-2008）</w:t>
            </w:r>
            <w:r>
              <w:rPr>
                <w:rFonts w:hint="eastAsia" w:ascii="仿宋" w:hAnsi="仿宋" w:eastAsia="仿宋"/>
                <w:sz w:val="24"/>
                <w:szCs w:val="24"/>
                <w:lang w:val="en-US" w:eastAsia="zh-CN"/>
              </w:rPr>
              <w:t>2</w:t>
            </w:r>
            <w:r>
              <w:rPr>
                <w:rFonts w:hint="eastAsia" w:ascii="仿宋" w:hAnsi="仿宋" w:eastAsia="仿宋"/>
                <w:sz w:val="24"/>
                <w:szCs w:val="24"/>
              </w:rPr>
              <w:t>类标准要求。</w:t>
            </w:r>
          </w:p>
          <w:p>
            <w:pPr>
              <w:autoSpaceDN w:val="0"/>
              <w:spacing w:line="300" w:lineRule="exact"/>
              <w:jc w:val="both"/>
              <w:rPr>
                <w:rFonts w:ascii="仿宋" w:hAnsi="仿宋" w:eastAsia="仿宋"/>
                <w:sz w:val="24"/>
                <w:szCs w:val="24"/>
              </w:rPr>
            </w:pPr>
            <w:r>
              <w:rPr>
                <w:rFonts w:hint="eastAsia" w:ascii="仿宋" w:hAnsi="仿宋" w:eastAsia="仿宋"/>
                <w:sz w:val="24"/>
                <w:szCs w:val="24"/>
              </w:rPr>
              <w:t>4.固废。固体废物全部妥善和安全处置，各类固体废物贮存、处置应满足《危险废物贮存污染控制标准》（GB18597-20</w:t>
            </w:r>
            <w:r>
              <w:rPr>
                <w:rFonts w:hint="eastAsia" w:ascii="仿宋" w:hAnsi="仿宋" w:eastAsia="仿宋"/>
                <w:sz w:val="24"/>
                <w:szCs w:val="24"/>
                <w:lang w:val="en-US" w:eastAsia="zh-CN"/>
              </w:rPr>
              <w:t>23</w:t>
            </w:r>
            <w:r>
              <w:rPr>
                <w:rFonts w:hint="eastAsia" w:ascii="仿宋" w:hAnsi="仿宋" w:eastAsia="仿宋"/>
                <w:sz w:val="24"/>
                <w:szCs w:val="24"/>
              </w:rPr>
              <w:t>）、《一般工业固体废物贮存和填埋污染控制标准》（GB18599-2020）相关要求。</w:t>
            </w:r>
          </w:p>
        </w:tc>
      </w:tr>
    </w:tbl>
    <w:p>
      <w:pPr>
        <w:keepNext w:val="0"/>
        <w:keepLines w:val="0"/>
        <w:pageBreakBefore w:val="0"/>
        <w:widowControl w:val="0"/>
        <w:kinsoku/>
        <w:wordWrap/>
        <w:overflowPunct/>
        <w:topLinePunct w:val="0"/>
        <w:autoSpaceDE/>
        <w:autoSpaceDN w:val="0"/>
        <w:bidi w:val="0"/>
        <w:spacing w:line="460" w:lineRule="exact"/>
        <w:ind w:firstLine="642" w:firstLineChars="200"/>
        <w:textAlignment w:val="auto"/>
        <w:rPr>
          <w:rFonts w:ascii="仿宋_GB2312" w:hAnsi="仿宋_GB2312" w:eastAsia="仿宋_GB2312"/>
          <w:b/>
          <w:color w:val="auto"/>
          <w:sz w:val="32"/>
          <w:szCs w:val="22"/>
        </w:rPr>
      </w:pPr>
    </w:p>
    <w:p>
      <w:pPr>
        <w:keepNext w:val="0"/>
        <w:keepLines w:val="0"/>
        <w:pageBreakBefore w:val="0"/>
        <w:widowControl w:val="0"/>
        <w:kinsoku/>
        <w:wordWrap/>
        <w:overflowPunct/>
        <w:topLinePunct w:val="0"/>
        <w:autoSpaceDE/>
        <w:autoSpaceDN w:val="0"/>
        <w:bidi w:val="0"/>
        <w:spacing w:line="460" w:lineRule="exact"/>
        <w:ind w:firstLine="642" w:firstLineChars="200"/>
        <w:textAlignment w:val="auto"/>
        <w:rPr>
          <w:rFonts w:ascii="宋体" w:hAnsi="宋体"/>
          <w:color w:val="FF0000"/>
          <w:sz w:val="24"/>
        </w:rPr>
      </w:pPr>
      <w:r>
        <w:rPr>
          <w:rFonts w:ascii="仿宋_GB2312" w:hAnsi="仿宋_GB2312" w:eastAsia="仿宋_GB2312"/>
          <w:b/>
          <w:color w:val="auto"/>
          <w:sz w:val="32"/>
          <w:szCs w:val="22"/>
        </w:rPr>
        <w:t>拟对</w:t>
      </w:r>
      <w:r>
        <w:rPr>
          <w:rFonts w:hint="eastAsia" w:ascii="仿宋_GB2312" w:hAnsi="仿宋_GB2312" w:eastAsia="仿宋_GB2312"/>
          <w:b/>
          <w:color w:val="auto"/>
          <w:sz w:val="32"/>
          <w:szCs w:val="22"/>
          <w:lang w:val="en-US" w:eastAsia="zh-CN"/>
        </w:rPr>
        <w:t>宗源生态肥业有限公司年产7.5万吨有机肥（新型1.8万吨、普通5.7万吨）及2万吨复混肥技改项目</w:t>
      </w:r>
      <w:r>
        <w:rPr>
          <w:rFonts w:ascii="仿宋_GB2312" w:hAnsi="仿宋_GB2312" w:eastAsia="仿宋_GB2312"/>
          <w:b/>
          <w:color w:val="auto"/>
          <w:sz w:val="32"/>
          <w:szCs w:val="22"/>
        </w:rPr>
        <w:t>环评批复如</w:t>
      </w:r>
      <w:r>
        <w:rPr>
          <w:rFonts w:ascii="仿宋_GB2312" w:hAnsi="仿宋_GB2312" w:eastAsia="仿宋_GB2312"/>
          <w:b/>
          <w:color w:val="auto"/>
          <w:sz w:val="32"/>
        </w:rPr>
        <w:t>下：</w:t>
      </w:r>
    </w:p>
    <w:p>
      <w:pPr>
        <w:keepNext w:val="0"/>
        <w:keepLines w:val="0"/>
        <w:pageBreakBefore w:val="0"/>
        <w:widowControl w:val="0"/>
        <w:numPr>
          <w:ilvl w:val="0"/>
          <w:numId w:val="1"/>
        </w:numPr>
        <w:kinsoku/>
        <w:wordWrap/>
        <w:overflowPunct/>
        <w:topLinePunct w:val="0"/>
        <w:autoSpaceDE/>
        <w:autoSpaceDN w:val="0"/>
        <w:bidi w:val="0"/>
        <w:adjustRightInd/>
        <w:snapToGrid/>
        <w:spacing w:line="440" w:lineRule="exact"/>
        <w:ind w:firstLine="640"/>
        <w:textAlignment w:val="auto"/>
        <w:rPr>
          <w:rFonts w:hint="eastAsia" w:ascii="仿宋" w:hAnsi="仿宋" w:eastAsia="仿宋"/>
          <w:sz w:val="32"/>
          <w:lang w:val="en-US" w:eastAsia="zh-CN"/>
        </w:rPr>
      </w:pPr>
      <w:r>
        <w:rPr>
          <w:rFonts w:hint="eastAsia" w:ascii="仿宋" w:hAnsi="仿宋" w:eastAsia="仿宋"/>
          <w:sz w:val="32"/>
          <w:lang w:val="en-US" w:eastAsia="zh-CN"/>
        </w:rPr>
        <w:t>项目位于焦作市修武县农业实验场北侧，云台大道南侧，建设性质为技改，总投资3000万元，产品为新型有机肥、普通有机肥和复混肥，新型有机肥产能为1.8万吨/年，普通有机肥产能为5.7万吨/年，复混肥产能为2万吨/年。普通有机肥生产工艺：堆肥—粉碎、投料—造粒一烘干、冷却—筛分—烘干、筛分、冷却—检验、包膜、包装；新型有机肥生产工艺：熔融—投料、混合—检验、包装；复混肥生产工艺：投料、粉碎—造粒—烘干、冷却—筛分—烘干、筛分、冷却—检验、包膜、包装。主要生产设备包括翻抛机、粉碎机、造粒机、筛分机、烘干机、包装机、锅炉等。</w:t>
      </w:r>
    </w:p>
    <w:p>
      <w:pPr>
        <w:keepNext w:val="0"/>
        <w:keepLines w:val="0"/>
        <w:pageBreakBefore w:val="0"/>
        <w:widowControl w:val="0"/>
        <w:numPr>
          <w:ilvl w:val="0"/>
          <w:numId w:val="0"/>
        </w:numPr>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hint="eastAsia" w:ascii="仿宋" w:hAnsi="仿宋" w:eastAsia="仿宋"/>
          <w:sz w:val="32"/>
          <w:lang w:val="en-US" w:eastAsia="zh-CN"/>
        </w:rPr>
        <w:t>二、</w:t>
      </w:r>
      <w:r>
        <w:rPr>
          <w:rFonts w:hint="eastAsia" w:ascii="仿宋" w:hAnsi="仿宋" w:eastAsia="仿宋"/>
          <w:sz w:val="32"/>
        </w:rPr>
        <w:t>《</w:t>
      </w:r>
      <w:r>
        <w:rPr>
          <w:rFonts w:ascii="仿宋" w:hAnsi="仿宋" w:eastAsia="仿宋"/>
          <w:sz w:val="32"/>
        </w:rPr>
        <w:t>报告</w:t>
      </w:r>
      <w:r>
        <w:rPr>
          <w:rFonts w:hint="eastAsia" w:ascii="仿宋" w:hAnsi="仿宋" w:eastAsia="仿宋"/>
          <w:sz w:val="32"/>
          <w:lang w:val="en-US" w:eastAsia="zh-CN"/>
        </w:rPr>
        <w:t>表</w:t>
      </w:r>
      <w:r>
        <w:rPr>
          <w:rFonts w:ascii="仿宋" w:hAnsi="仿宋" w:eastAsia="仿宋"/>
          <w:sz w:val="32"/>
        </w:rPr>
        <w:t>》内容符合国家有关法律法规要求和建设项目环境管理规定，原则同意你</w:t>
      </w:r>
      <w:r>
        <w:rPr>
          <w:rFonts w:hint="eastAsia" w:ascii="仿宋" w:hAnsi="仿宋" w:eastAsia="仿宋"/>
          <w:sz w:val="32"/>
        </w:rPr>
        <w:t>公司</w:t>
      </w:r>
      <w:r>
        <w:rPr>
          <w:rFonts w:ascii="仿宋" w:hAnsi="仿宋" w:eastAsia="仿宋"/>
          <w:sz w:val="32"/>
        </w:rPr>
        <w:t>按照《报告</w:t>
      </w:r>
      <w:r>
        <w:rPr>
          <w:rFonts w:hint="eastAsia" w:ascii="仿宋" w:hAnsi="仿宋" w:eastAsia="仿宋"/>
          <w:sz w:val="32"/>
          <w:lang w:val="en-US" w:eastAsia="zh-CN"/>
        </w:rPr>
        <w:t>表</w:t>
      </w:r>
      <w:r>
        <w:rPr>
          <w:rFonts w:ascii="仿宋" w:hAnsi="仿宋" w:eastAsia="仿宋"/>
          <w:sz w:val="32"/>
        </w:rPr>
        <w:t>》中所列项目的性质、规模、地点、采用的工艺和环境保护对策措施进行建设。</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三、你公司应向社会公众主动公开经批准的《报告</w:t>
      </w:r>
      <w:r>
        <w:rPr>
          <w:rFonts w:hint="eastAsia" w:ascii="仿宋" w:hAnsi="仿宋" w:eastAsia="仿宋"/>
          <w:sz w:val="32"/>
          <w:lang w:val="en-US" w:eastAsia="zh-CN"/>
        </w:rPr>
        <w:t>表</w:t>
      </w:r>
      <w:r>
        <w:rPr>
          <w:rFonts w:ascii="仿宋" w:hAnsi="仿宋" w:eastAsia="仿宋"/>
          <w:sz w:val="32"/>
        </w:rPr>
        <w:t>》，并接受相关方的咨询。</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四、你公司应全面落实《报告</w:t>
      </w:r>
      <w:r>
        <w:rPr>
          <w:rFonts w:hint="eastAsia" w:ascii="仿宋" w:hAnsi="仿宋" w:eastAsia="仿宋"/>
          <w:sz w:val="32"/>
          <w:lang w:val="en-US" w:eastAsia="zh-CN"/>
        </w:rPr>
        <w:t>表</w:t>
      </w:r>
      <w:r>
        <w:rPr>
          <w:rFonts w:ascii="仿宋" w:hAnsi="仿宋" w:eastAsia="仿宋"/>
          <w:sz w:val="32"/>
        </w:rPr>
        <w:t>》提出的各项环保对策措施，确保各项环境保护设施与主体工程同时设计、同时施工、同时投产使用，各项污染物达标排放,确保环境安全。</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（一）按照《报告</w:t>
      </w:r>
      <w:r>
        <w:rPr>
          <w:rFonts w:hint="eastAsia" w:ascii="仿宋" w:hAnsi="仿宋" w:eastAsia="仿宋"/>
          <w:sz w:val="32"/>
          <w:lang w:val="en-US" w:eastAsia="zh-CN"/>
        </w:rPr>
        <w:t>表</w:t>
      </w:r>
      <w:r>
        <w:rPr>
          <w:rFonts w:ascii="仿宋" w:hAnsi="仿宋" w:eastAsia="仿宋"/>
          <w:sz w:val="32"/>
        </w:rPr>
        <w:t>》和本批复文件要求，根据环境保护设计规范要求进行项目设计，落实防治环境污染和生态破坏的措施以及环保设施投资概算。</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（二）依据《报告</w:t>
      </w:r>
      <w:r>
        <w:rPr>
          <w:rFonts w:hint="eastAsia" w:ascii="仿宋" w:hAnsi="仿宋" w:eastAsia="仿宋"/>
          <w:sz w:val="32"/>
          <w:lang w:val="en-US" w:eastAsia="zh-CN"/>
        </w:rPr>
        <w:t>表</w:t>
      </w:r>
      <w:r>
        <w:rPr>
          <w:rFonts w:ascii="仿宋" w:hAnsi="仿宋" w:eastAsia="仿宋"/>
          <w:sz w:val="32"/>
        </w:rPr>
        <w:t>》和本批复文件，对项目建设过程中产生的废</w:t>
      </w:r>
      <w:r>
        <w:rPr>
          <w:rFonts w:hint="eastAsia" w:ascii="仿宋" w:hAnsi="仿宋" w:eastAsia="仿宋"/>
          <w:sz w:val="32"/>
          <w:lang w:eastAsia="zh-CN"/>
        </w:rPr>
        <w:t>气</w:t>
      </w:r>
      <w:r>
        <w:rPr>
          <w:rFonts w:ascii="仿宋" w:hAnsi="仿宋" w:eastAsia="仿宋"/>
          <w:sz w:val="32"/>
        </w:rPr>
        <w:t>、废</w:t>
      </w:r>
      <w:r>
        <w:rPr>
          <w:rFonts w:hint="eastAsia" w:ascii="仿宋" w:hAnsi="仿宋" w:eastAsia="仿宋"/>
          <w:sz w:val="32"/>
          <w:lang w:eastAsia="zh-CN"/>
        </w:rPr>
        <w:t>水</w:t>
      </w:r>
      <w:r>
        <w:rPr>
          <w:rFonts w:ascii="仿宋" w:hAnsi="仿宋" w:eastAsia="仿宋"/>
          <w:sz w:val="32"/>
        </w:rPr>
        <w:t>、固体废物、噪声等污染，以及因施工对自然生态环境造成的破坏，采取相应的防治措施。</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（三）项目运行时，外排污染物应满足以下要求：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1.废气。1#锅炉天然气燃烧废气，采取低氮燃烧+烟气循环+20m排气筒（DA001）达标排放。投料、粉碎废气，采取集气系统+覆膜袋式除尘器+20m排气筒（DA002）达标排放。有机肥造粒、熔融、烘干废气(烘干机采用低氮燃烧），采取集气管道+旋风除尘（新增）+覆膜袋式除尘（新增）+生物除臭（新增）+20m排气筒（DA006）达标排放。有机肥混合、筛分、粉碎、冷却、包装废气，采取集气系统+覆膜袋式除尘器+20m排气筒（DA007）达标排放。有机肥堆肥废气，采取车间整体集气+生物除臭装置+20m排气筒（DA005）达标排放。复混肥造粒、烘干废气（烘干机采用低氮燃烧），采取集气管道+旋风除尘+重力沉降+湿式除尘+除雾+湿电除尘+生物除臭+25m排气筒（DA003）达标排放。复混肥筛分、粉碎、冷却、包装废气，采取集气系统+覆膜袋式除尘器+20m排气筒（DA004）达标排放。2#锅炉天然气燃烧废气，采取“低氮燃烧+烟气循环+20m排气筒（DA008）”达标排放。无组织废气，采取设置工业吸尘器，加强车间及设备的密闭，提高集气效率；加强设备管理和维护；安装视频监控；对厂区内及周围进行绿化等措施，降低对周围环境的影响。废气经相应污染治理措施处理后达标排放，应满足《锅炉大气污染物排放标准》（DB41/2089-2021）表1、《大气污染物综合排放标准》（GB16297-1996）表2、《化学肥料工业大气污染物排放标准》（DB41/2557-2023）、《焦作市生态环境保护委员会办公室关于印发焦作市2025年蓝天保卫战实施方案的通知》（焦环委办〔2025〕11号）、《恶臭污染物排放标准》（GB14554-93）表2等相关污染因子控制排放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2.废水。</w:t>
      </w:r>
      <w:r>
        <w:rPr>
          <w:rFonts w:hint="eastAsia" w:ascii="仿宋" w:hAnsi="仿宋" w:eastAsia="仿宋"/>
          <w:sz w:val="32"/>
          <w:lang w:val="en-US" w:eastAsia="zh-CN"/>
        </w:rPr>
        <w:t>项目采取雨污分流，初期雨水经初期雨水收集池收集后进入雨水管网。车辆冲洗废水经三级沉淀池沉淀处理后，与软水制备废水、湿式除尘废水、生物除臭废水均回用有机肥造粒工序。</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3.噪声。采取低室内布置、减振基础等降噪措施，厂界</w:t>
      </w:r>
      <w:r>
        <w:rPr>
          <w:rFonts w:hint="eastAsia" w:ascii="仿宋" w:hAnsi="仿宋" w:eastAsia="仿宋"/>
          <w:sz w:val="32"/>
          <w:lang w:eastAsia="zh-CN"/>
        </w:rPr>
        <w:t>环境</w:t>
      </w:r>
      <w:r>
        <w:rPr>
          <w:rFonts w:hint="eastAsia" w:ascii="仿宋" w:hAnsi="仿宋" w:eastAsia="仿宋"/>
          <w:sz w:val="32"/>
        </w:rPr>
        <w:t>噪声应满足《工业企业厂界环境噪声排放标准》（GB12348-2008）</w:t>
      </w:r>
      <w:r>
        <w:rPr>
          <w:rFonts w:hint="eastAsia" w:ascii="仿宋" w:hAnsi="仿宋" w:eastAsia="仿宋"/>
          <w:sz w:val="32"/>
          <w:lang w:val="en-US" w:eastAsia="zh-CN"/>
        </w:rPr>
        <w:t>2</w:t>
      </w:r>
      <w:r>
        <w:rPr>
          <w:rFonts w:hint="eastAsia" w:ascii="仿宋" w:hAnsi="仿宋" w:eastAsia="仿宋"/>
          <w:sz w:val="32"/>
        </w:rPr>
        <w:t>类标准要求。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4.固废。固体废物全部妥善和安全处置，各类固体废物贮存、处置应满足《危险废物贮存污染控制标准》（GB18597-20</w:t>
      </w:r>
      <w:r>
        <w:rPr>
          <w:rFonts w:hint="eastAsia" w:ascii="仿宋" w:hAnsi="仿宋" w:eastAsia="仿宋"/>
          <w:sz w:val="32"/>
          <w:lang w:val="en-US" w:eastAsia="zh-CN"/>
        </w:rPr>
        <w:t>23</w:t>
      </w:r>
      <w:r>
        <w:rPr>
          <w:rFonts w:hint="eastAsia" w:ascii="仿宋" w:hAnsi="仿宋" w:eastAsia="仿宋"/>
          <w:sz w:val="32"/>
        </w:rPr>
        <w:t>）、《一般工业固体废物贮存和填埋污染控制标准》（GB18599-2020）相关要求。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（四）落实土壤及地下水污染防治措施，采取源头控制、分区防渗等措施，加强厂区周围土壤及地下水水质监控，严防土壤和地下水污染。</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（五）落实环境风险防范措施，严防环境污染事故发生。</w:t>
      </w:r>
    </w:p>
    <w:p>
      <w:pPr>
        <w:keepNext w:val="0"/>
        <w:keepLines w:val="0"/>
        <w:pageBreakBefore w:val="0"/>
        <w:widowControl w:val="0"/>
        <w:kinsoku/>
        <w:wordWrap/>
        <w:overflowPunct/>
        <w:topLinePunct w:val="0"/>
        <w:autoSpaceDE/>
        <w:bidi w:val="0"/>
        <w:adjustRightInd/>
        <w:snapToGrid/>
        <w:spacing w:line="440" w:lineRule="exact"/>
        <w:ind w:left="0" w:leftChars="0" w:firstLine="640" w:firstLineChars="200"/>
        <w:textAlignment w:val="auto"/>
      </w:pPr>
      <w:r>
        <w:rPr>
          <w:rFonts w:hint="eastAsia" w:ascii="仿宋" w:hAnsi="仿宋" w:eastAsia="仿宋"/>
          <w:sz w:val="32"/>
          <w:lang w:val="en-US" w:eastAsia="zh-CN"/>
        </w:rPr>
        <w:t>（六）改建工程完成后全厂污染物总量控制指标为：颗粒物1.35t/a、SO</w:t>
      </w:r>
      <w:r>
        <w:rPr>
          <w:rFonts w:hint="eastAsia" w:ascii="仿宋" w:hAnsi="仿宋" w:eastAsia="仿宋"/>
          <w:sz w:val="32"/>
          <w:vertAlign w:val="subscript"/>
          <w:lang w:val="en-US" w:eastAsia="zh-CN"/>
        </w:rPr>
        <w:t>2</w:t>
      </w:r>
      <w:r>
        <w:rPr>
          <w:rFonts w:hint="eastAsia" w:ascii="仿宋" w:hAnsi="仿宋" w:eastAsia="仿宋"/>
          <w:sz w:val="32"/>
          <w:lang w:val="en-US" w:eastAsia="zh-CN"/>
        </w:rPr>
        <w:t>0.829t/a、NOx0.863t/a。</w:t>
      </w:r>
    </w:p>
    <w:sectPr>
      <w:pgSz w:w="16838" w:h="11906" w:orient="landscape"/>
      <w:pgMar w:top="1800" w:right="1440" w:bottom="148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00007A87" w:usb1="80000000" w:usb2="00000008"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5D9F4"/>
    <w:multiLevelType w:val="singleLevel"/>
    <w:tmpl w:val="8E65D9F4"/>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000F68E9"/>
    <w:rsid w:val="00024709"/>
    <w:rsid w:val="000F68E9"/>
    <w:rsid w:val="00235E07"/>
    <w:rsid w:val="00DB20F6"/>
    <w:rsid w:val="00E51CC5"/>
    <w:rsid w:val="012918ED"/>
    <w:rsid w:val="01B06EF5"/>
    <w:rsid w:val="023D34D7"/>
    <w:rsid w:val="0255217B"/>
    <w:rsid w:val="02963131"/>
    <w:rsid w:val="02C91B14"/>
    <w:rsid w:val="031876EE"/>
    <w:rsid w:val="035F182D"/>
    <w:rsid w:val="037D2D94"/>
    <w:rsid w:val="03BE3B52"/>
    <w:rsid w:val="04190476"/>
    <w:rsid w:val="04526978"/>
    <w:rsid w:val="04B92A3C"/>
    <w:rsid w:val="04BD7506"/>
    <w:rsid w:val="05502AD1"/>
    <w:rsid w:val="056F6F00"/>
    <w:rsid w:val="071E6B17"/>
    <w:rsid w:val="07CC0190"/>
    <w:rsid w:val="086A54C9"/>
    <w:rsid w:val="08E51BC3"/>
    <w:rsid w:val="0A0E6974"/>
    <w:rsid w:val="0B7D7413"/>
    <w:rsid w:val="0F4F5509"/>
    <w:rsid w:val="0F911044"/>
    <w:rsid w:val="10486BCC"/>
    <w:rsid w:val="10665A8F"/>
    <w:rsid w:val="10AF71CF"/>
    <w:rsid w:val="10C36A15"/>
    <w:rsid w:val="11BD491D"/>
    <w:rsid w:val="12B929BE"/>
    <w:rsid w:val="13E2466A"/>
    <w:rsid w:val="13ED065E"/>
    <w:rsid w:val="14B60DC7"/>
    <w:rsid w:val="14C74BBE"/>
    <w:rsid w:val="1505030C"/>
    <w:rsid w:val="15072263"/>
    <w:rsid w:val="158C212B"/>
    <w:rsid w:val="161E416A"/>
    <w:rsid w:val="16775464"/>
    <w:rsid w:val="16A023D8"/>
    <w:rsid w:val="16EF4516"/>
    <w:rsid w:val="179C32DF"/>
    <w:rsid w:val="18385C6F"/>
    <w:rsid w:val="18A52CE5"/>
    <w:rsid w:val="18A614BC"/>
    <w:rsid w:val="18EB2382"/>
    <w:rsid w:val="19841D0D"/>
    <w:rsid w:val="1B905A26"/>
    <w:rsid w:val="1BAE7CE8"/>
    <w:rsid w:val="1C34148C"/>
    <w:rsid w:val="1C9E2C3E"/>
    <w:rsid w:val="1D3D066A"/>
    <w:rsid w:val="1DAB4250"/>
    <w:rsid w:val="1DC81A61"/>
    <w:rsid w:val="1DFF73D8"/>
    <w:rsid w:val="1E324BE9"/>
    <w:rsid w:val="1F0A49D2"/>
    <w:rsid w:val="1FD54DF7"/>
    <w:rsid w:val="20D73D20"/>
    <w:rsid w:val="211406DC"/>
    <w:rsid w:val="22173DF2"/>
    <w:rsid w:val="2352501A"/>
    <w:rsid w:val="24517BC7"/>
    <w:rsid w:val="27562D2E"/>
    <w:rsid w:val="291F7E5A"/>
    <w:rsid w:val="29250D5D"/>
    <w:rsid w:val="29657727"/>
    <w:rsid w:val="298E37DF"/>
    <w:rsid w:val="29D36658"/>
    <w:rsid w:val="29FA6796"/>
    <w:rsid w:val="2A2E63F8"/>
    <w:rsid w:val="2CA2642C"/>
    <w:rsid w:val="2CD640B0"/>
    <w:rsid w:val="2DDD490C"/>
    <w:rsid w:val="2E731311"/>
    <w:rsid w:val="2EA72220"/>
    <w:rsid w:val="2EAB7659"/>
    <w:rsid w:val="2FC23563"/>
    <w:rsid w:val="30463F89"/>
    <w:rsid w:val="30C41F26"/>
    <w:rsid w:val="310D5873"/>
    <w:rsid w:val="315D3740"/>
    <w:rsid w:val="320E5ED2"/>
    <w:rsid w:val="33F05B15"/>
    <w:rsid w:val="34D00BCD"/>
    <w:rsid w:val="34D136C0"/>
    <w:rsid w:val="353F481F"/>
    <w:rsid w:val="367C6ADA"/>
    <w:rsid w:val="37F90696"/>
    <w:rsid w:val="388B2796"/>
    <w:rsid w:val="38D8347D"/>
    <w:rsid w:val="39223A4B"/>
    <w:rsid w:val="39505E8B"/>
    <w:rsid w:val="3A347756"/>
    <w:rsid w:val="3A6A7D68"/>
    <w:rsid w:val="3AC21CBC"/>
    <w:rsid w:val="3B651D43"/>
    <w:rsid w:val="3B6911DC"/>
    <w:rsid w:val="3BE70E0D"/>
    <w:rsid w:val="3C6B2E1E"/>
    <w:rsid w:val="3C7C5114"/>
    <w:rsid w:val="3D8F2351"/>
    <w:rsid w:val="3E990FD1"/>
    <w:rsid w:val="3E9FBE91"/>
    <w:rsid w:val="3EE619FA"/>
    <w:rsid w:val="3F983332"/>
    <w:rsid w:val="40186409"/>
    <w:rsid w:val="40DB4443"/>
    <w:rsid w:val="41BE2E83"/>
    <w:rsid w:val="44E010D8"/>
    <w:rsid w:val="46027F62"/>
    <w:rsid w:val="465A6194"/>
    <w:rsid w:val="4672380C"/>
    <w:rsid w:val="48974239"/>
    <w:rsid w:val="48A10C68"/>
    <w:rsid w:val="490315D5"/>
    <w:rsid w:val="4A8C5C0A"/>
    <w:rsid w:val="4C6D6A6A"/>
    <w:rsid w:val="4E17678F"/>
    <w:rsid w:val="4E6857AA"/>
    <w:rsid w:val="528B7562"/>
    <w:rsid w:val="52CE0438"/>
    <w:rsid w:val="52FF4DE6"/>
    <w:rsid w:val="54521413"/>
    <w:rsid w:val="54A55EF8"/>
    <w:rsid w:val="54FE711A"/>
    <w:rsid w:val="56052975"/>
    <w:rsid w:val="578552FC"/>
    <w:rsid w:val="5792036A"/>
    <w:rsid w:val="57A16045"/>
    <w:rsid w:val="58EE2B34"/>
    <w:rsid w:val="5A5771F3"/>
    <w:rsid w:val="5AE77C67"/>
    <w:rsid w:val="5BA871B9"/>
    <w:rsid w:val="5BFB3F1E"/>
    <w:rsid w:val="5CAC586B"/>
    <w:rsid w:val="5ED729FF"/>
    <w:rsid w:val="5F041F46"/>
    <w:rsid w:val="5F0846E4"/>
    <w:rsid w:val="5F1F5606"/>
    <w:rsid w:val="5F275C5F"/>
    <w:rsid w:val="5F5B4DD9"/>
    <w:rsid w:val="5F724EA5"/>
    <w:rsid w:val="5FAD0340"/>
    <w:rsid w:val="5FBF930C"/>
    <w:rsid w:val="5FFCA70E"/>
    <w:rsid w:val="5FFD10B4"/>
    <w:rsid w:val="604C6B8B"/>
    <w:rsid w:val="608019A3"/>
    <w:rsid w:val="614D5D3C"/>
    <w:rsid w:val="642546A3"/>
    <w:rsid w:val="648A2879"/>
    <w:rsid w:val="64DA6081"/>
    <w:rsid w:val="68332962"/>
    <w:rsid w:val="683A3F7B"/>
    <w:rsid w:val="687412E9"/>
    <w:rsid w:val="696C0341"/>
    <w:rsid w:val="6A0473BA"/>
    <w:rsid w:val="6B6F7B30"/>
    <w:rsid w:val="6BBD351C"/>
    <w:rsid w:val="6BC871B5"/>
    <w:rsid w:val="6C1001E7"/>
    <w:rsid w:val="6C222E7D"/>
    <w:rsid w:val="6C6D2176"/>
    <w:rsid w:val="6CC17B2F"/>
    <w:rsid w:val="6D0430AE"/>
    <w:rsid w:val="6DE52501"/>
    <w:rsid w:val="6E33613C"/>
    <w:rsid w:val="6E56722F"/>
    <w:rsid w:val="6EF42770"/>
    <w:rsid w:val="70170261"/>
    <w:rsid w:val="708D2BAE"/>
    <w:rsid w:val="71045729"/>
    <w:rsid w:val="71F10796"/>
    <w:rsid w:val="754937FF"/>
    <w:rsid w:val="755C5264"/>
    <w:rsid w:val="756605B9"/>
    <w:rsid w:val="75B81421"/>
    <w:rsid w:val="75F24811"/>
    <w:rsid w:val="75FFE778"/>
    <w:rsid w:val="766A7AA1"/>
    <w:rsid w:val="769D7D4B"/>
    <w:rsid w:val="772F26E2"/>
    <w:rsid w:val="77640984"/>
    <w:rsid w:val="7811546E"/>
    <w:rsid w:val="782C4C49"/>
    <w:rsid w:val="783B3C00"/>
    <w:rsid w:val="78F1288B"/>
    <w:rsid w:val="7900580B"/>
    <w:rsid w:val="79680A3E"/>
    <w:rsid w:val="7A516152"/>
    <w:rsid w:val="7AF112B3"/>
    <w:rsid w:val="7AFE4466"/>
    <w:rsid w:val="7B852066"/>
    <w:rsid w:val="7BC3D60C"/>
    <w:rsid w:val="7DA44071"/>
    <w:rsid w:val="7DB801AC"/>
    <w:rsid w:val="7E487708"/>
    <w:rsid w:val="7E6F2A98"/>
    <w:rsid w:val="7EAC6151"/>
    <w:rsid w:val="7ED6300D"/>
    <w:rsid w:val="7F491443"/>
    <w:rsid w:val="7F8E40FE"/>
    <w:rsid w:val="ADFB5EEB"/>
    <w:rsid w:val="D93D45F6"/>
    <w:rsid w:val="DA6F2D7C"/>
    <w:rsid w:val="DF7BDFD2"/>
    <w:rsid w:val="DFDF21B1"/>
    <w:rsid w:val="DFFB65C7"/>
    <w:rsid w:val="F1BF67B3"/>
    <w:rsid w:val="F5FB8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Block Text"/>
    <w:basedOn w:val="1"/>
    <w:next w:val="1"/>
    <w:qFormat/>
    <w:uiPriority w:val="0"/>
    <w:pPr>
      <w:autoSpaceDE w:val="0"/>
      <w:autoSpaceDN w:val="0"/>
      <w:adjustRightInd w:val="0"/>
      <w:spacing w:before="1" w:line="537" w:lineRule="exact"/>
      <w:ind w:left="88" w:right="6"/>
    </w:pPr>
    <w:rPr>
      <w:rFonts w:ascii="Calibri" w:hAnsi="Calibri"/>
      <w:color w:val="000000"/>
      <w:kern w:val="0"/>
      <w:sz w:val="2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
    <w:name w:val="font11"/>
    <w:basedOn w:val="5"/>
    <w:qFormat/>
    <w:uiPriority w:val="0"/>
    <w:rPr>
      <w:rFonts w:hint="eastAsia" w:ascii="宋体" w:hAnsi="宋体" w:eastAsia="宋体" w:cs="宋体"/>
      <w:color w:val="000000"/>
      <w:sz w:val="22"/>
      <w:szCs w:val="22"/>
      <w:u w:val="none"/>
    </w:rPr>
  </w:style>
  <w:style w:type="character" w:customStyle="1" w:styleId="7">
    <w:name w:val="font01"/>
    <w:basedOn w:val="5"/>
    <w:qFormat/>
    <w:uiPriority w:val="0"/>
    <w:rPr>
      <w:rFonts w:hint="eastAsia" w:ascii="宋体" w:hAnsi="宋体" w:eastAsia="宋体" w:cs="宋体"/>
      <w:color w:val="000000"/>
      <w:sz w:val="22"/>
      <w:szCs w:val="22"/>
      <w:u w:val="none"/>
      <w:vertAlign w:val="superscript"/>
    </w:rPr>
  </w:style>
  <w:style w:type="paragraph" w:customStyle="1" w:styleId="8">
    <w:name w:val="WPS Plain"/>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196</Words>
  <Characters>214</Characters>
  <Lines>1</Lines>
  <Paragraphs>1</Paragraphs>
  <TotalTime>16</TotalTime>
  <ScaleCrop>false</ScaleCrop>
  <LinksUpToDate>false</LinksUpToDate>
  <CharactersWithSpaces>214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2020-03-22T08:55:00Z</dcterms:created>
  <dc:creator>Administrator</dc:creator>
  <cp:lastModifiedBy>uos</cp:lastModifiedBy>
  <cp:lastPrinted>2025-07-17T11:44:29Z</cp:lastPrinted>
  <dcterms:modified xsi:type="dcterms:W3CDTF">2025-07-17T11:44:31Z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BA666442DB59428E9867F06FA53CC74D</vt:lpwstr>
  </property>
</Properties>
</file>