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149D5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jc w:val="both"/>
        <w:rPr>
          <w:rFonts w:hint="eastAsia"/>
          <w:sz w:val="32"/>
        </w:rPr>
      </w:pPr>
    </w:p>
    <w:p w14:paraId="5E8FDFC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jc w:val="both"/>
        <w:rPr>
          <w:sz w:val="32"/>
        </w:rPr>
      </w:pPr>
    </w:p>
    <w:p w14:paraId="150A059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jc w:val="both"/>
        <w:rPr>
          <w:sz w:val="32"/>
        </w:rPr>
      </w:pPr>
    </w:p>
    <w:p w14:paraId="0893C7F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jc w:val="both"/>
        <w:rPr>
          <w:sz w:val="32"/>
        </w:rPr>
      </w:pPr>
    </w:p>
    <w:p w14:paraId="64BCDF4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jc w:val="both"/>
        <w:rPr>
          <w:sz w:val="32"/>
        </w:rPr>
      </w:pPr>
    </w:p>
    <w:p w14:paraId="685F4EF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jc w:val="both"/>
        <w:rPr>
          <w:rFonts w:hint="eastAsia" w:ascii="仿宋_GB2312" w:hAnsi="仿宋_GB2312" w:eastAsia="仿宋_GB2312"/>
          <w:sz w:val="32"/>
          <w:szCs w:val="32"/>
        </w:rPr>
      </w:pPr>
    </w:p>
    <w:p w14:paraId="5F52FD79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jc w:val="both"/>
        <w:rPr>
          <w:rFonts w:hint="eastAsia"/>
          <w:kern w:val="0"/>
          <w:sz w:val="20"/>
        </w:rPr>
      </w:pPr>
    </w:p>
    <w:p w14:paraId="6F27B350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jc w:val="both"/>
        <w:rPr>
          <w:rFonts w:hint="eastAsia"/>
          <w:kern w:val="0"/>
          <w:sz w:val="20"/>
        </w:rPr>
      </w:pPr>
    </w:p>
    <w:p w14:paraId="5DFCFA2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jc w:val="center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宋体" w:eastAsia="仿宋_GB2312"/>
          <w:color w:val="000000"/>
          <w:kern w:val="0"/>
          <w:sz w:val="32"/>
          <w:szCs w:val="32"/>
        </w:rPr>
        <w:t>焦环审马〔202</w:t>
      </w:r>
      <w:r>
        <w:rPr>
          <w:rFonts w:hint="eastAsia" w:ascii="仿宋_GB2312" w:hAnsi="宋体" w:eastAsia="仿宋_GB2312"/>
          <w:color w:val="000000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/>
          <w:color w:val="000000"/>
          <w:kern w:val="0"/>
          <w:sz w:val="32"/>
          <w:szCs w:val="32"/>
        </w:rPr>
        <w:t>〕</w:t>
      </w:r>
      <w:r>
        <w:rPr>
          <w:rFonts w:hint="eastAsia" w:ascii="仿宋_GB2312" w:hAnsi="宋体" w:eastAsia="仿宋_GB2312"/>
          <w:color w:val="000000"/>
          <w:kern w:val="0"/>
          <w:sz w:val="32"/>
          <w:szCs w:val="32"/>
          <w:lang w:val="en-US" w:eastAsia="zh-CN"/>
        </w:rPr>
        <w:t>10</w:t>
      </w:r>
      <w:r>
        <w:rPr>
          <w:rFonts w:hint="eastAsia" w:ascii="仿宋_GB2312" w:hAnsi="宋体" w:eastAsia="仿宋_GB2312"/>
          <w:color w:val="000000"/>
          <w:kern w:val="0"/>
          <w:sz w:val="32"/>
          <w:szCs w:val="32"/>
        </w:rPr>
        <w:t>号</w:t>
      </w:r>
    </w:p>
    <w:p w14:paraId="3CEB4E0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jc w:val="center"/>
        <w:rPr>
          <w:rFonts w:hint="eastAsia" w:ascii="宋体" w:hAnsi="宋体"/>
          <w:color w:val="000000"/>
          <w:sz w:val="13"/>
          <w:szCs w:val="13"/>
        </w:rPr>
      </w:pPr>
    </w:p>
    <w:p w14:paraId="4AE4FCB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20" w:lineRule="exact"/>
        <w:ind w:firstLine="440" w:firstLineChars="100"/>
        <w:jc w:val="center"/>
        <w:rPr>
          <w:rFonts w:hint="eastAsia" w:ascii="方正小标宋简体" w:hAnsi="方正小标宋简体" w:eastAsia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/>
          <w:color w:val="000000"/>
          <w:sz w:val="44"/>
          <w:szCs w:val="44"/>
        </w:rPr>
        <w:t>焦作市生态环境局</w:t>
      </w:r>
    </w:p>
    <w:p w14:paraId="2877B90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20" w:lineRule="exact"/>
        <w:ind w:firstLine="440" w:firstLineChars="100"/>
        <w:jc w:val="center"/>
        <w:rPr>
          <w:rFonts w:hint="eastAsia" w:ascii="方正小标宋简体" w:hAnsi="方正小标宋简体" w:eastAsia="方正小标宋简体"/>
          <w:color w:val="00000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/>
          <w:color w:val="000000"/>
          <w:sz w:val="44"/>
          <w:szCs w:val="44"/>
        </w:rPr>
        <w:t>关于</w:t>
      </w:r>
      <w:r>
        <w:rPr>
          <w:rFonts w:hint="eastAsia" w:ascii="方正小标宋简体" w:hAnsi="方正小标宋简体" w:eastAsia="方正小标宋简体"/>
          <w:color w:val="000000"/>
          <w:sz w:val="44"/>
          <w:szCs w:val="44"/>
          <w:lang w:val="en-US" w:eastAsia="zh-CN"/>
        </w:rPr>
        <w:t>河南泓诚节能材料有限公司EPS快递保温箱项目</w:t>
      </w:r>
      <w:r>
        <w:rPr>
          <w:rFonts w:hint="eastAsia" w:ascii="方正小标宋简体" w:hAnsi="方正小标宋简体" w:eastAsia="方正小标宋简体"/>
          <w:color w:val="000000"/>
          <w:sz w:val="44"/>
          <w:szCs w:val="44"/>
        </w:rPr>
        <w:t>环境影响报告表批复</w:t>
      </w:r>
    </w:p>
    <w:p w14:paraId="2396C66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jc w:val="both"/>
        <w:rPr>
          <w:rFonts w:hint="eastAsia" w:ascii="仿宋_GB2312" w:hAnsi="仿宋_GB2312" w:eastAsia="仿宋_GB2312"/>
          <w:color w:val="000000"/>
          <w:sz w:val="32"/>
          <w:szCs w:val="32"/>
          <w:u w:val="none"/>
        </w:rPr>
      </w:pPr>
    </w:p>
    <w:p w14:paraId="4DF27D5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240" w:lineRule="auto"/>
        <w:jc w:val="both"/>
        <w:rPr>
          <w:rFonts w:hint="eastAsia" w:ascii="仿宋_GB2312" w:hAnsi="仿宋_GB2312" w:eastAsia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/>
          <w:color w:val="000000"/>
          <w:sz w:val="32"/>
          <w:szCs w:val="32"/>
          <w:lang w:val="en-US" w:eastAsia="zh-CN"/>
        </w:rPr>
        <w:t>河南泓诚节能材料有限公司</w:t>
      </w:r>
      <w:r>
        <w:rPr>
          <w:rFonts w:hint="eastAsia" w:ascii="仿宋_GB2312" w:hAnsi="仿宋_GB2312" w:eastAsia="仿宋_GB2312"/>
          <w:color w:val="000000"/>
          <w:sz w:val="32"/>
          <w:szCs w:val="32"/>
        </w:rPr>
        <w:t>：</w:t>
      </w:r>
    </w:p>
    <w:p w14:paraId="342DE84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240" w:lineRule="auto"/>
        <w:ind w:firstLine="640" w:firstLineChars="200"/>
        <w:jc w:val="both"/>
        <w:rPr>
          <w:rFonts w:hint="eastAsia" w:ascii="仿宋_GB2312" w:hAnsi="仿宋_GB2312" w:eastAsia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/>
          <w:color w:val="000000"/>
          <w:sz w:val="32"/>
          <w:szCs w:val="32"/>
        </w:rPr>
        <w:t>你公司（统一社会信用代码</w:t>
      </w:r>
      <w:r>
        <w:rPr>
          <w:rFonts w:hint="eastAsia" w:ascii="仿宋_GB2312" w:hAnsi="仿宋_GB2312" w:eastAsia="仿宋_GB2312"/>
          <w:color w:val="auto"/>
          <w:sz w:val="32"/>
          <w:szCs w:val="32"/>
        </w:rPr>
        <w:t>91410804MAEGK89U0L</w:t>
      </w:r>
      <w:r>
        <w:rPr>
          <w:rFonts w:hint="eastAsia" w:ascii="仿宋_GB2312" w:hAnsi="仿宋_GB2312" w:eastAsia="仿宋_GB2312"/>
          <w:color w:val="000000"/>
          <w:sz w:val="32"/>
          <w:szCs w:val="32"/>
        </w:rPr>
        <w:t>）报送的</w:t>
      </w:r>
      <w:bookmarkStart w:id="0" w:name="_GoBack"/>
      <w:bookmarkEnd w:id="0"/>
      <w:r>
        <w:rPr>
          <w:rFonts w:hint="eastAsia" w:ascii="仿宋_GB2312" w:hAnsi="仿宋_GB2312" w:eastAsia="仿宋_GB2312"/>
          <w:color w:val="000000"/>
          <w:sz w:val="32"/>
          <w:szCs w:val="32"/>
        </w:rPr>
        <w:t>由</w:t>
      </w:r>
      <w:r>
        <w:rPr>
          <w:rFonts w:hint="eastAsia" w:ascii="仿宋_GB2312" w:hAnsi="仿宋_GB2312" w:eastAsia="仿宋_GB2312"/>
          <w:color w:val="000000"/>
          <w:sz w:val="32"/>
          <w:szCs w:val="32"/>
          <w:lang w:val="en-US" w:eastAsia="zh-CN"/>
        </w:rPr>
        <w:t>中南金尚环境工程有限公司</w:t>
      </w:r>
      <w:r>
        <w:rPr>
          <w:rFonts w:hint="eastAsia" w:ascii="仿宋_GB2312" w:hAnsi="仿宋_GB2312" w:eastAsia="仿宋_GB2312"/>
          <w:color w:val="000000"/>
          <w:sz w:val="32"/>
          <w:szCs w:val="32"/>
        </w:rPr>
        <w:t>编制的《</w:t>
      </w:r>
      <w:r>
        <w:rPr>
          <w:rFonts w:hint="eastAsia" w:ascii="仿宋_GB2312" w:hAnsi="仿宋_GB2312" w:eastAsia="仿宋_GB2312"/>
          <w:color w:val="000000"/>
          <w:sz w:val="32"/>
          <w:szCs w:val="32"/>
          <w:lang w:val="en-US" w:eastAsia="zh-CN"/>
        </w:rPr>
        <w:t>河南泓诚节能材料有限公司EPS快递保温箱项目</w:t>
      </w:r>
      <w:r>
        <w:rPr>
          <w:rFonts w:hint="eastAsia" w:ascii="仿宋_GB2312" w:hAnsi="仿宋_GB2312" w:eastAsia="仿宋_GB2312"/>
          <w:color w:val="000000"/>
          <w:sz w:val="32"/>
          <w:szCs w:val="32"/>
        </w:rPr>
        <w:t>环境影响报告表（报批</w:t>
      </w:r>
      <w:r>
        <w:rPr>
          <w:rFonts w:hint="eastAsia" w:ascii="仿宋_GB2312" w:hAnsi="仿宋_GB2312" w:eastAsia="仿宋_GB2312"/>
          <w:color w:val="000000"/>
          <w:sz w:val="32"/>
          <w:szCs w:val="32"/>
          <w:lang w:eastAsia="zh-CN"/>
        </w:rPr>
        <w:t>版</w:t>
      </w:r>
      <w:r>
        <w:rPr>
          <w:rFonts w:hint="eastAsia" w:ascii="仿宋_GB2312" w:hAnsi="仿宋_GB2312" w:eastAsia="仿宋_GB2312"/>
          <w:color w:val="000000"/>
          <w:sz w:val="32"/>
          <w:szCs w:val="32"/>
        </w:rPr>
        <w:t>）》（以下简称《报告表》）等材料收悉。该项目审批事项在焦作市生态环境局网站公示期满,根据《中华人民共和国环境保护法》《中华人民共和国行政许可法》《中华人民共和国环境影响评价</w:t>
      </w:r>
      <w:r>
        <w:rPr>
          <w:rFonts w:hint="eastAsia" w:ascii="仿宋_GB2312" w:hAnsi="仿宋_GB2312" w:eastAsia="仿宋_GB2312"/>
          <w:color w:val="000000"/>
          <w:sz w:val="32"/>
          <w:szCs w:val="32"/>
          <w:lang w:eastAsia="zh-CN"/>
        </w:rPr>
        <w:t>法</w:t>
      </w:r>
      <w:r>
        <w:rPr>
          <w:rFonts w:hint="eastAsia" w:ascii="仿宋_GB2312" w:hAnsi="仿宋_GB2312" w:eastAsia="仿宋_GB2312"/>
          <w:color w:val="000000"/>
          <w:sz w:val="32"/>
          <w:szCs w:val="32"/>
        </w:rPr>
        <w:t>》《建设项目环境保护管理条例》等法律法规规定，经研究，批复如下：</w:t>
      </w:r>
    </w:p>
    <w:p w14:paraId="42A3FC11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napToGrid w:val="0"/>
        <w:spacing w:line="500" w:lineRule="exact"/>
        <w:ind w:left="-10" w:leftChars="0" w:firstLine="640" w:firstLineChars="0"/>
        <w:jc w:val="both"/>
        <w:rPr>
          <w:rFonts w:hint="eastAsia" w:ascii="仿宋_GB2312" w:hAnsi="仿宋_GB2312" w:eastAsia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/>
          <w:color w:val="000000"/>
          <w:sz w:val="32"/>
          <w:szCs w:val="32"/>
        </w:rPr>
        <w:t>该项目</w:t>
      </w:r>
      <w:r>
        <w:rPr>
          <w:rFonts w:hint="eastAsia" w:ascii="仿宋_GB2312" w:hAnsi="仿宋_GB2312" w:eastAsia="仿宋_GB2312"/>
          <w:color w:val="000000"/>
          <w:sz w:val="32"/>
          <w:szCs w:val="32"/>
          <w:lang w:eastAsia="zh-CN"/>
        </w:rPr>
        <w:t>位于</w:t>
      </w:r>
      <w:r>
        <w:rPr>
          <w:rFonts w:hint="eastAsia" w:ascii="仿宋_GB2312" w:hAnsi="仿宋_GB2312" w:eastAsia="仿宋_GB2312"/>
          <w:color w:val="000000"/>
          <w:kern w:val="21"/>
          <w:sz w:val="32"/>
          <w:szCs w:val="32"/>
          <w:lang w:val="en-US" w:eastAsia="zh-CN"/>
        </w:rPr>
        <w:t>焦作市马村区冯营矿院内</w:t>
      </w:r>
      <w:r>
        <w:rPr>
          <w:rFonts w:hint="eastAsia" w:ascii="仿宋_GB2312" w:hAnsi="仿宋_GB2312" w:eastAsia="仿宋_GB2312"/>
          <w:color w:val="000000"/>
          <w:kern w:val="21"/>
          <w:sz w:val="32"/>
          <w:szCs w:val="32"/>
          <w:lang w:eastAsia="zh-CN"/>
        </w:rPr>
        <w:t>，项目</w:t>
      </w:r>
      <w:r>
        <w:rPr>
          <w:rFonts w:hint="eastAsia" w:ascii="仿宋_GB2312" w:hAnsi="仿宋_GB2312" w:eastAsia="仿宋_GB2312"/>
          <w:color w:val="000000"/>
          <w:sz w:val="32"/>
          <w:szCs w:val="32"/>
        </w:rPr>
        <w:t>生产设备及建设内容详细见《报告表》。</w:t>
      </w:r>
    </w:p>
    <w:p w14:paraId="5E017369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500" w:lineRule="exact"/>
        <w:ind w:firstLine="640" w:firstLineChars="200"/>
        <w:jc w:val="both"/>
        <w:rPr>
          <w:rFonts w:hint="eastAsia" w:ascii="仿宋_GB2312" w:hAnsi="仿宋_GB2312" w:eastAsia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/>
          <w:color w:val="000000"/>
          <w:sz w:val="32"/>
          <w:szCs w:val="32"/>
        </w:rPr>
        <w:t>二、《报告表》内容符合建设项目环境管理规定，评价结论可信。我局批准该《报告表》，原则同意你公司按照《报告表》中所列项目的性质、规模、地点、采用的工艺和环境保护对策措施进行建设。</w:t>
      </w:r>
    </w:p>
    <w:p w14:paraId="3688EA8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00" w:lineRule="exact"/>
        <w:ind w:firstLine="627" w:firstLineChars="196"/>
        <w:jc w:val="both"/>
        <w:rPr>
          <w:rFonts w:hint="eastAsia" w:ascii="仿宋_GB2312" w:hAnsi="仿宋_GB2312" w:eastAsia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/>
          <w:color w:val="000000"/>
          <w:sz w:val="32"/>
          <w:szCs w:val="32"/>
        </w:rPr>
        <w:t>三、你公司应全面落实《报告表》提出的各项环保对策措施，确保各项环境保护设施与主体工程同时设计、同时施工、同时投产使用，确保各项污染物达标排放。</w:t>
      </w:r>
    </w:p>
    <w:p w14:paraId="55475DA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00" w:lineRule="exact"/>
        <w:ind w:firstLine="640" w:firstLineChars="200"/>
        <w:jc w:val="both"/>
        <w:rPr>
          <w:rFonts w:hint="eastAsia" w:ascii="仿宋_GB2312" w:hAnsi="仿宋_GB2312" w:eastAsia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/>
          <w:color w:val="000000"/>
          <w:sz w:val="32"/>
          <w:szCs w:val="32"/>
        </w:rPr>
        <w:t>（一）向设计单位提供《报告表》和本批复文件，确保项目设计按照环境保护设计规范要求，落实防治环境污染和生态破坏的措施以及环保设施投资概算。</w:t>
      </w:r>
    </w:p>
    <w:p w14:paraId="3D8D764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00" w:lineRule="exact"/>
        <w:ind w:firstLine="640" w:firstLineChars="200"/>
        <w:jc w:val="both"/>
        <w:rPr>
          <w:rFonts w:hint="eastAsia" w:ascii="仿宋_GB2312" w:hAnsi="仿宋_GB2312" w:eastAsia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/>
          <w:color w:val="000000"/>
          <w:sz w:val="32"/>
          <w:szCs w:val="32"/>
        </w:rPr>
        <w:t>（二）依据《报告表》和本批复文件，对项目建设过程中产生的废水、废气、固体废物、噪声等污染，采取相应的防治措施。</w:t>
      </w:r>
    </w:p>
    <w:p w14:paraId="1879F48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00" w:lineRule="exact"/>
        <w:ind w:firstLine="640" w:firstLineChars="200"/>
        <w:jc w:val="both"/>
        <w:rPr>
          <w:rFonts w:hint="eastAsia" w:ascii="仿宋_GB2312" w:hAnsi="仿宋_GB2312" w:eastAsia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/>
          <w:color w:val="000000"/>
          <w:sz w:val="32"/>
          <w:szCs w:val="32"/>
        </w:rPr>
        <w:t>（三）项目运行时，污染物排放应满足以下要求：</w:t>
      </w:r>
    </w:p>
    <w:p w14:paraId="67FD819E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00" w:lineRule="exact"/>
        <w:ind w:left="0" w:right="0" w:firstLine="640" w:firstLineChars="200"/>
        <w:jc w:val="both"/>
        <w:rPr>
          <w:rFonts w:hint="eastAsia" w:ascii="仿宋_GB2312" w:hAns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/>
          <w:color w:val="auto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/>
          <w:color w:val="auto"/>
          <w:sz w:val="32"/>
          <w:szCs w:val="32"/>
        </w:rPr>
        <w:t>废气。落实《报告表》提出的各项废气污染治理措施。废气经相应污染治理措施处理后排放，应</w:t>
      </w:r>
      <w:r>
        <w:rPr>
          <w:rFonts w:hint="eastAsia" w:ascii="仿宋_GB2312" w:hAnsi="仿宋_GB2312" w:eastAsia="仿宋_GB2312"/>
          <w:color w:val="auto"/>
          <w:sz w:val="32"/>
          <w:szCs w:val="32"/>
          <w:lang w:val="en-US" w:eastAsia="zh-CN"/>
        </w:rPr>
        <w:t>满足《合成树脂工业污染物排放标准》（GB31572-2015）（含2024年修改单）和《河南省重污染天气重点行业应急减排措施制定技术指南（2024年修订版）》塑料制品企业A级指标要求；《餐饮业油烟污染物排放标准》（DB41/1604-2018）小型最高允许排放浓度1.5mg/m</w:t>
      </w:r>
      <w:r>
        <w:rPr>
          <w:rFonts w:hint="eastAsia" w:ascii="仿宋_GB2312" w:hAnsi="仿宋_GB2312" w:eastAsia="仿宋_GB2312"/>
          <w:color w:val="auto"/>
          <w:sz w:val="32"/>
          <w:szCs w:val="32"/>
          <w:vertAlign w:val="superscript"/>
          <w:lang w:val="en-US" w:eastAsia="zh-CN"/>
        </w:rPr>
        <w:t>3</w:t>
      </w:r>
      <w:r>
        <w:rPr>
          <w:rFonts w:hint="eastAsia" w:ascii="仿宋_GB2312" w:hAnsi="仿宋_GB2312" w:eastAsia="仿宋_GB2312"/>
          <w:color w:val="auto"/>
          <w:sz w:val="32"/>
          <w:szCs w:val="32"/>
          <w:lang w:val="en-US" w:eastAsia="zh-CN"/>
        </w:rPr>
        <w:t>的要求。</w:t>
      </w:r>
    </w:p>
    <w:p w14:paraId="1CEC2222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00" w:lineRule="exact"/>
        <w:ind w:left="0" w:right="0" w:firstLine="640" w:firstLineChars="200"/>
        <w:jc w:val="both"/>
        <w:rPr>
          <w:rFonts w:hint="eastAsia" w:ascii="仿宋_GB2312" w:hAnsi="仿宋_GB2312" w:eastAsia="仿宋_GB2312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/>
          <w:color w:val="auto"/>
          <w:kern w:val="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/>
          <w:color w:val="auto"/>
          <w:kern w:val="2"/>
          <w:sz w:val="32"/>
          <w:szCs w:val="32"/>
          <w:lang w:eastAsia="zh-CN"/>
        </w:rPr>
        <w:t>固体废物：固体废物全部妥善和安全处置，一般固废贮存、处置满足</w:t>
      </w:r>
      <w:r>
        <w:rPr>
          <w:rFonts w:hint="eastAsia" w:ascii="仿宋_GB2312" w:hAnsi="仿宋_GB2312" w:eastAsia="仿宋_GB2312"/>
          <w:color w:val="auto"/>
          <w:kern w:val="2"/>
          <w:sz w:val="32"/>
          <w:szCs w:val="32"/>
          <w:lang w:val="en-US" w:eastAsia="zh-CN"/>
        </w:rPr>
        <w:t>《一般工业固体废物贮存和填埋污染控制标准》（GB18599-2020）的相关要求</w:t>
      </w:r>
      <w:r>
        <w:rPr>
          <w:rFonts w:hint="eastAsia" w:ascii="仿宋_GB2312" w:hAnsi="仿宋_GB2312" w:eastAsia="仿宋_GB2312"/>
          <w:color w:val="auto"/>
          <w:kern w:val="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/>
          <w:color w:val="auto"/>
          <w:kern w:val="2"/>
          <w:sz w:val="32"/>
          <w:szCs w:val="32"/>
          <w:lang w:val="en-US" w:eastAsia="zh-CN"/>
        </w:rPr>
        <w:t>工程产生的危险固废，要求建设规范化危废仓库，各类危险废物分类单独存放，定期送往有资质的单位进行处理。危废仓库按照《危险废物贮存污染控制标准》（GB18597-2023）、《危险废物转移管理办法》（部令 第23号）、《关于推进危险废物环境管理信息化有关工作的通知》（环办固体函[2020]733 号）的规定进行危险废物的收集、贮存、运输，并设立明显的危险标志，转移时严格执行联单制度。生活垃圾经垃圾桶暂存后交由当地环卫部门处理。</w:t>
      </w:r>
    </w:p>
    <w:p w14:paraId="3E43899C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00" w:lineRule="exact"/>
        <w:ind w:left="0" w:right="0" w:firstLine="640" w:firstLineChars="200"/>
        <w:jc w:val="both"/>
        <w:rPr>
          <w:rFonts w:hint="eastAsia" w:ascii="仿宋_GB2312" w:hAnsi="仿宋_GB2312" w:eastAsia="仿宋_GB2312"/>
          <w:color w:val="FF000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/>
          <w:color w:val="auto"/>
          <w:kern w:val="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/>
          <w:color w:val="auto"/>
          <w:kern w:val="2"/>
          <w:sz w:val="32"/>
          <w:szCs w:val="32"/>
        </w:rPr>
        <w:t>噪声：</w:t>
      </w:r>
      <w:r>
        <w:rPr>
          <w:rFonts w:hint="eastAsia" w:ascii="仿宋_GB2312" w:hAnsi="仿宋_GB2312" w:eastAsia="仿宋_GB2312"/>
          <w:color w:val="auto"/>
          <w:kern w:val="2"/>
          <w:sz w:val="32"/>
          <w:szCs w:val="32"/>
          <w:lang w:val="en-US" w:eastAsia="zh-CN" w:bidi="ar-SA"/>
        </w:rPr>
        <w:t>项目噪声源为预发机、成型机等机械设备运转时产生的机械噪声和空压机、风机等产生的空气动力性噪声。经过采取隔声、减振、消声等降噪措施后，厂区各厂界的噪声贡献值均能满足《工业企业厂界环境噪声排放标准》（GB12348-2008）中2类区标准限值（昼间≤60 dB(A)、夜间≤50 dB(A)）。</w:t>
      </w:r>
    </w:p>
    <w:p w14:paraId="46072DD8">
      <w:pPr>
        <w:pStyle w:val="24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00" w:lineRule="exact"/>
        <w:ind w:left="10" w:leftChars="0" w:firstLine="617" w:firstLineChars="193"/>
        <w:jc w:val="both"/>
        <w:rPr>
          <w:rFonts w:hint="eastAsia" w:ascii="仿宋_GB2312" w:hAnsi="仿宋_GB2312" w:eastAsia="仿宋_GB2312"/>
          <w:color w:val="auto"/>
          <w:kern w:val="2"/>
          <w:sz w:val="32"/>
          <w:szCs w:val="32"/>
          <w:lang w:eastAsia="zh-CN"/>
        </w:rPr>
      </w:pPr>
      <w:r>
        <w:rPr>
          <w:rFonts w:hint="eastAsia" w:ascii="仿宋_GB2312" w:hAnsi="仿宋_GB2312" w:eastAsia="仿宋_GB2312"/>
          <w:color w:val="000000"/>
          <w:kern w:val="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/>
          <w:color w:val="000000"/>
          <w:kern w:val="2"/>
          <w:sz w:val="32"/>
          <w:szCs w:val="32"/>
        </w:rPr>
        <w:t>.</w:t>
      </w:r>
      <w:r>
        <w:rPr>
          <w:rFonts w:hint="eastAsia" w:ascii="仿宋_GB2312" w:hAnsi="仿宋_GB2312" w:eastAsia="仿宋_GB2312"/>
          <w:color w:val="auto"/>
          <w:kern w:val="2"/>
          <w:sz w:val="32"/>
          <w:szCs w:val="32"/>
          <w:lang w:eastAsia="zh-CN"/>
        </w:rPr>
        <w:t>废水：</w:t>
      </w:r>
      <w:r>
        <w:rPr>
          <w:rFonts w:hint="eastAsia" w:ascii="仿宋_GB2312" w:hAnsi="仿宋_GB2312" w:eastAsia="仿宋_GB2312"/>
          <w:color w:val="auto"/>
          <w:kern w:val="2"/>
          <w:sz w:val="32"/>
          <w:szCs w:val="32"/>
          <w:lang w:val="en-US" w:eastAsia="zh-CN"/>
        </w:rPr>
        <w:t>本项目无外排废水。</w:t>
      </w:r>
    </w:p>
    <w:p w14:paraId="6762A4EF">
      <w:pPr>
        <w:pStyle w:val="24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00" w:lineRule="exact"/>
        <w:ind w:left="10" w:leftChars="0" w:firstLine="617" w:firstLineChars="193"/>
        <w:jc w:val="both"/>
        <w:rPr>
          <w:rFonts w:hint="eastAsia" w:ascii="仿宋_GB2312" w:hAnsi="仿宋_GB2312" w:eastAsia="仿宋_GB2312"/>
          <w:color w:val="000000"/>
          <w:kern w:val="2"/>
          <w:sz w:val="32"/>
          <w:szCs w:val="32"/>
        </w:rPr>
      </w:pPr>
      <w:r>
        <w:rPr>
          <w:rFonts w:hint="eastAsia" w:ascii="仿宋_GB2312" w:hAnsi="仿宋_GB2312" w:eastAsia="仿宋_GB2312"/>
          <w:color w:val="000000"/>
          <w:kern w:val="2"/>
          <w:sz w:val="32"/>
          <w:szCs w:val="32"/>
        </w:rPr>
        <w:t>（四）认真落实《报告</w:t>
      </w:r>
      <w:r>
        <w:rPr>
          <w:rFonts w:hint="eastAsia" w:ascii="仿宋_GB2312" w:hAnsi="仿宋_GB2312" w:eastAsia="仿宋_GB2312"/>
          <w:color w:val="000000"/>
          <w:sz w:val="32"/>
          <w:szCs w:val="32"/>
        </w:rPr>
        <w:t>表</w:t>
      </w:r>
      <w:r>
        <w:rPr>
          <w:rFonts w:hint="eastAsia" w:ascii="仿宋_GB2312" w:hAnsi="仿宋_GB2312" w:eastAsia="仿宋_GB2312"/>
          <w:color w:val="000000"/>
          <w:kern w:val="2"/>
          <w:sz w:val="32"/>
          <w:szCs w:val="32"/>
        </w:rPr>
        <w:t>》提出的环境风险防范措施和要求，制定污染事故应急防范预案，加强日常管理，防止发生污染事故。</w:t>
      </w:r>
    </w:p>
    <w:p w14:paraId="104A1B5D">
      <w:pPr>
        <w:pStyle w:val="2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00" w:lineRule="exact"/>
        <w:ind w:firstLine="640"/>
        <w:jc w:val="both"/>
        <w:rPr>
          <w:rFonts w:hint="default" w:ascii="仿宋_GB2312" w:hAnsi="仿宋_GB2312" w:eastAsia="仿宋_GB2312"/>
          <w:color w:val="00000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/>
          <w:color w:val="000000"/>
          <w:kern w:val="2"/>
          <w:sz w:val="32"/>
          <w:szCs w:val="32"/>
        </w:rPr>
        <w:t>（五）</w:t>
      </w:r>
      <w:r>
        <w:rPr>
          <w:rFonts w:hint="eastAsia" w:ascii="仿宋_GB2312" w:hAnsi="仿宋_GB2312" w:eastAsia="仿宋_GB2312"/>
          <w:color w:val="000000"/>
          <w:sz w:val="32"/>
          <w:szCs w:val="32"/>
        </w:rPr>
        <w:t>该项目总量控制指标</w:t>
      </w:r>
      <w:r>
        <w:rPr>
          <w:rFonts w:hint="eastAsia" w:ascii="仿宋_GB2312" w:hAnsi="仿宋_GB2312" w:eastAsia="仿宋_GB2312"/>
          <w:color w:val="000000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/>
          <w:color w:val="000000"/>
          <w:sz w:val="32"/>
          <w:szCs w:val="32"/>
          <w:lang w:val="en-US" w:eastAsia="zh-CN"/>
        </w:rPr>
        <w:t>VOC：0.067吨/年。</w:t>
      </w:r>
    </w:p>
    <w:p w14:paraId="1639D610">
      <w:pPr>
        <w:pStyle w:val="2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00" w:lineRule="exact"/>
        <w:ind w:firstLine="640"/>
        <w:jc w:val="both"/>
        <w:rPr>
          <w:rFonts w:hint="eastAsia" w:ascii="仿宋_GB2312" w:hAnsi="仿宋_GB2312" w:eastAsia="仿宋_GB2312"/>
          <w:color w:val="000000"/>
          <w:kern w:val="2"/>
          <w:sz w:val="32"/>
          <w:szCs w:val="32"/>
        </w:rPr>
      </w:pPr>
      <w:r>
        <w:rPr>
          <w:rFonts w:hint="eastAsia" w:ascii="仿宋_GB2312" w:hAnsi="仿宋_GB2312" w:eastAsia="仿宋_GB2312"/>
          <w:color w:val="000000"/>
          <w:kern w:val="2"/>
          <w:sz w:val="32"/>
          <w:szCs w:val="32"/>
        </w:rPr>
        <w:t>（六）如果今后国家、省、市颁布新的污染物排放限值标准和要求，届时你公司应按新的排放标准和要求执行。</w:t>
      </w:r>
    </w:p>
    <w:p w14:paraId="46F1A1F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00" w:lineRule="exact"/>
        <w:ind w:firstLine="640" w:firstLineChars="200"/>
        <w:jc w:val="both"/>
        <w:rPr>
          <w:rFonts w:hint="eastAsia" w:ascii="仿宋_GB2312" w:hAnsi="仿宋_GB2312" w:eastAsia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/>
          <w:color w:val="000000"/>
          <w:sz w:val="32"/>
          <w:szCs w:val="32"/>
        </w:rPr>
        <w:t>四、工程竣工后，你公司要按照《建设项目竣工环境保护验收暂行办法》规定进行自主验收，验收合格后方可投产；还应当在启动生产设施或者实际排污之前</w:t>
      </w:r>
      <w:r>
        <w:rPr>
          <w:rFonts w:hint="eastAsia" w:ascii="仿宋_GB2312" w:hAnsi="仿宋_GB2312" w:eastAsia="仿宋_GB2312"/>
          <w:color w:val="000000"/>
          <w:sz w:val="32"/>
          <w:szCs w:val="32"/>
          <w:lang w:eastAsia="zh-CN"/>
        </w:rPr>
        <w:t>申请排污许可证。</w:t>
      </w:r>
    </w:p>
    <w:p w14:paraId="6691D1B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00" w:lineRule="exact"/>
        <w:ind w:firstLine="640" w:firstLineChars="200"/>
        <w:jc w:val="both"/>
        <w:rPr>
          <w:rFonts w:hint="eastAsia" w:ascii="仿宋_GB2312" w:hAnsi="仿宋_GB2312" w:eastAsia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/>
          <w:color w:val="000000"/>
          <w:sz w:val="32"/>
          <w:szCs w:val="32"/>
        </w:rPr>
        <w:t>五、该项目自批复之日起五年后开工建设的，应重新报我局审核。本批复生效后，建设项目的性质、规模、地点、工艺和污染防治措施等发生重大变化时，应重新报批。</w:t>
      </w:r>
    </w:p>
    <w:p w14:paraId="5BF02B8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00" w:lineRule="exact"/>
        <w:ind w:firstLine="640" w:firstLineChars="200"/>
        <w:jc w:val="both"/>
        <w:rPr>
          <w:rFonts w:hint="eastAsia" w:ascii="仿宋_GB2312" w:hAnsi="仿宋_GB2312" w:eastAsia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/>
          <w:color w:val="000000"/>
          <w:sz w:val="32"/>
          <w:szCs w:val="32"/>
        </w:rPr>
        <w:t xml:space="preserve">六、土地、规划等要求以有关部门意见为准。 </w:t>
      </w:r>
    </w:p>
    <w:p w14:paraId="63F094F8">
      <w:pPr>
        <w:pStyle w:val="2"/>
        <w:rPr>
          <w:rFonts w:hint="eastAsia" w:ascii="仿宋_GB2312" w:hAnsi="仿宋_GB2312" w:eastAsia="仿宋_GB2312"/>
          <w:color w:val="000000"/>
          <w:sz w:val="32"/>
          <w:szCs w:val="32"/>
        </w:rPr>
      </w:pPr>
    </w:p>
    <w:p w14:paraId="10A78F0E">
      <w:pPr>
        <w:pStyle w:val="2"/>
        <w:rPr>
          <w:rFonts w:hint="eastAsia" w:ascii="仿宋_GB2312" w:hAnsi="仿宋_GB2312" w:eastAsia="仿宋_GB2312"/>
          <w:color w:val="000000"/>
          <w:sz w:val="32"/>
          <w:szCs w:val="32"/>
          <w:lang w:eastAsia="zh-CN"/>
        </w:rPr>
      </w:pPr>
    </w:p>
    <w:p w14:paraId="02D636AB">
      <w:pPr>
        <w:pStyle w:val="2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00" w:lineRule="exact"/>
        <w:ind w:firstLine="5440" w:firstLineChars="1700"/>
        <w:jc w:val="both"/>
        <w:rPr>
          <w:rFonts w:hint="eastAsia" w:ascii="仿宋_GB2312" w:hAnsi="仿宋_GB2312" w:eastAsia="仿宋_GB2312"/>
          <w:color w:val="000000"/>
          <w:sz w:val="32"/>
          <w:szCs w:val="32"/>
        </w:rPr>
      </w:pPr>
    </w:p>
    <w:p w14:paraId="024ECCF6">
      <w:pPr>
        <w:pStyle w:val="2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00" w:lineRule="exact"/>
        <w:ind w:firstLine="5440" w:firstLineChars="1700"/>
        <w:jc w:val="both"/>
        <w:rPr>
          <w:rFonts w:hint="eastAsia" w:ascii="仿宋_GB2312" w:hAnsi="仿宋_GB2312" w:eastAsia="仿宋_GB2312"/>
          <w:color w:val="auto"/>
          <w:sz w:val="32"/>
          <w:szCs w:val="32"/>
        </w:rPr>
      </w:pPr>
    </w:p>
    <w:p w14:paraId="13212910">
      <w:pPr>
        <w:pStyle w:val="2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00" w:lineRule="exact"/>
        <w:jc w:val="left"/>
        <w:rPr>
          <w:rFonts w:hint="eastAsia" w:ascii="仿宋_GB2312" w:hAns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hAnsi="仿宋_GB2312"/>
          <w:color w:val="auto"/>
          <w:sz w:val="32"/>
          <w:szCs w:val="32"/>
          <w:lang w:eastAsia="zh-CN"/>
        </w:rPr>
        <w:t>（此页无正文）</w:t>
      </w:r>
    </w:p>
    <w:p w14:paraId="49FB1B04">
      <w:pPr>
        <w:pStyle w:val="2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00" w:lineRule="exact"/>
        <w:ind w:firstLine="5440" w:firstLineChars="1700"/>
        <w:jc w:val="both"/>
        <w:rPr>
          <w:rFonts w:hint="eastAsia" w:ascii="仿宋_GB2312" w:hAnsi="仿宋_GB2312" w:eastAsia="仿宋_GB2312"/>
          <w:color w:val="auto"/>
          <w:sz w:val="32"/>
          <w:szCs w:val="32"/>
        </w:rPr>
      </w:pPr>
    </w:p>
    <w:p w14:paraId="5FD3640D">
      <w:pPr>
        <w:pStyle w:val="2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00" w:lineRule="exact"/>
        <w:ind w:firstLine="5440" w:firstLineChars="1700"/>
        <w:jc w:val="both"/>
        <w:rPr>
          <w:rFonts w:hint="eastAsia" w:ascii="仿宋_GB2312" w:hAnsi="仿宋_GB2312" w:eastAsia="仿宋_GB2312"/>
          <w:color w:val="auto"/>
          <w:sz w:val="32"/>
          <w:szCs w:val="32"/>
        </w:rPr>
      </w:pPr>
    </w:p>
    <w:p w14:paraId="4146EFBB">
      <w:pPr>
        <w:pStyle w:val="2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00" w:lineRule="exact"/>
        <w:ind w:firstLine="5440" w:firstLineChars="1700"/>
        <w:jc w:val="both"/>
        <w:rPr>
          <w:rFonts w:hint="eastAsia" w:ascii="仿宋_GB2312" w:hAnsi="仿宋_GB2312" w:eastAsia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/>
          <w:color w:val="auto"/>
          <w:sz w:val="32"/>
          <w:szCs w:val="32"/>
        </w:rPr>
        <w:t>202</w:t>
      </w:r>
      <w:r>
        <w:rPr>
          <w:rFonts w:hint="eastAsia" w:hAnsi="仿宋_GB2312"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/>
          <w:color w:val="auto"/>
          <w:sz w:val="32"/>
          <w:szCs w:val="32"/>
        </w:rPr>
        <w:t>年</w:t>
      </w:r>
      <w:r>
        <w:rPr>
          <w:rFonts w:hint="eastAsia" w:hAnsi="仿宋_GB2312"/>
          <w:color w:val="auto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/>
          <w:color w:val="auto"/>
          <w:sz w:val="32"/>
          <w:szCs w:val="32"/>
        </w:rPr>
        <w:t>月</w:t>
      </w:r>
      <w:r>
        <w:rPr>
          <w:rFonts w:hint="eastAsia" w:hAnsi="仿宋_GB2312"/>
          <w:color w:val="auto"/>
          <w:sz w:val="32"/>
          <w:szCs w:val="32"/>
          <w:lang w:val="en-US" w:eastAsia="zh-CN"/>
        </w:rPr>
        <w:t>30</w:t>
      </w:r>
      <w:r>
        <w:rPr>
          <w:rFonts w:hint="eastAsia" w:ascii="仿宋_GB2312" w:hAnsi="仿宋_GB2312" w:eastAsia="仿宋_GB2312"/>
          <w:color w:val="auto"/>
          <w:sz w:val="32"/>
          <w:szCs w:val="32"/>
        </w:rPr>
        <w:t>日</w:t>
      </w:r>
    </w:p>
    <w:p w14:paraId="2C89C5CA">
      <w:pPr>
        <w:ind w:firstLine="640" w:firstLineChars="200"/>
        <w:jc w:val="both"/>
        <w:rPr>
          <w:rFonts w:hint="eastAsia" w:ascii="仿宋_GB2312" w:hAnsi="仿宋_GB2312" w:eastAsia="仿宋_GB2312"/>
          <w:sz w:val="32"/>
          <w:szCs w:val="32"/>
        </w:rPr>
      </w:pPr>
    </w:p>
    <w:p w14:paraId="67F5C79D">
      <w:pPr>
        <w:ind w:firstLine="640" w:firstLineChars="200"/>
        <w:jc w:val="both"/>
        <w:rPr>
          <w:rFonts w:hint="eastAsia" w:ascii="仿宋_GB2312" w:hAnsi="仿宋_GB2312" w:eastAsia="仿宋_GB2312"/>
          <w:sz w:val="32"/>
          <w:szCs w:val="32"/>
        </w:rPr>
      </w:pPr>
    </w:p>
    <w:p w14:paraId="4C1D4C55">
      <w:pPr>
        <w:ind w:firstLine="640" w:firstLineChars="200"/>
        <w:jc w:val="both"/>
        <w:rPr>
          <w:rFonts w:hint="eastAsia" w:ascii="仿宋_GB2312" w:hAnsi="仿宋_GB2312" w:eastAsia="仿宋_GB2312"/>
          <w:sz w:val="32"/>
          <w:szCs w:val="32"/>
        </w:rPr>
      </w:pPr>
    </w:p>
    <w:p w14:paraId="638643B1">
      <w:pPr>
        <w:ind w:firstLine="640" w:firstLineChars="200"/>
        <w:jc w:val="both"/>
        <w:rPr>
          <w:rFonts w:hint="eastAsia" w:ascii="仿宋_GB2312" w:hAnsi="仿宋_GB2312" w:eastAsia="仿宋_GB2312"/>
          <w:sz w:val="32"/>
          <w:szCs w:val="32"/>
        </w:rPr>
      </w:pPr>
    </w:p>
    <w:p w14:paraId="49594CE1">
      <w:pPr>
        <w:ind w:firstLine="640" w:firstLineChars="200"/>
        <w:jc w:val="both"/>
        <w:rPr>
          <w:rFonts w:hint="eastAsia" w:ascii="仿宋_GB2312" w:hAnsi="仿宋_GB2312" w:eastAsia="仿宋_GB2312"/>
          <w:sz w:val="32"/>
          <w:szCs w:val="32"/>
        </w:rPr>
      </w:pPr>
    </w:p>
    <w:p w14:paraId="6A395CE6">
      <w:pPr>
        <w:ind w:firstLine="640" w:firstLineChars="200"/>
        <w:jc w:val="both"/>
        <w:rPr>
          <w:rFonts w:hint="eastAsia" w:ascii="仿宋_GB2312" w:hAnsi="仿宋_GB2312" w:eastAsia="仿宋_GB2312"/>
          <w:sz w:val="32"/>
          <w:szCs w:val="32"/>
        </w:rPr>
      </w:pPr>
    </w:p>
    <w:p w14:paraId="32E97304">
      <w:pPr>
        <w:ind w:firstLine="640" w:firstLineChars="200"/>
        <w:jc w:val="both"/>
        <w:rPr>
          <w:rFonts w:hint="eastAsia" w:ascii="仿宋_GB2312" w:hAnsi="仿宋_GB2312" w:eastAsia="仿宋_GB2312"/>
          <w:sz w:val="32"/>
          <w:szCs w:val="32"/>
        </w:rPr>
      </w:pPr>
    </w:p>
    <w:p w14:paraId="5D25E0AC">
      <w:pPr>
        <w:ind w:firstLine="640" w:firstLineChars="200"/>
        <w:jc w:val="both"/>
        <w:rPr>
          <w:rFonts w:hint="eastAsia" w:ascii="仿宋_GB2312" w:hAnsi="仿宋_GB2312" w:eastAsia="仿宋_GB2312"/>
          <w:sz w:val="32"/>
          <w:szCs w:val="32"/>
        </w:rPr>
      </w:pPr>
    </w:p>
    <w:p w14:paraId="6D1D4C4A">
      <w:pPr>
        <w:ind w:firstLine="640" w:firstLineChars="200"/>
        <w:jc w:val="both"/>
        <w:rPr>
          <w:rFonts w:hint="eastAsia" w:ascii="仿宋_GB2312" w:hAnsi="仿宋_GB2312" w:eastAsia="仿宋_GB2312"/>
          <w:sz w:val="32"/>
          <w:szCs w:val="32"/>
        </w:rPr>
      </w:pPr>
    </w:p>
    <w:p w14:paraId="4BED1E37">
      <w:pPr>
        <w:ind w:firstLine="640" w:firstLineChars="200"/>
        <w:jc w:val="both"/>
        <w:rPr>
          <w:rFonts w:hint="eastAsia" w:ascii="仿宋_GB2312" w:hAnsi="仿宋_GB2312" w:eastAsia="仿宋_GB2312"/>
          <w:sz w:val="32"/>
          <w:szCs w:val="32"/>
        </w:rPr>
      </w:pPr>
    </w:p>
    <w:p w14:paraId="0925A21F">
      <w:pPr>
        <w:ind w:firstLine="640" w:firstLineChars="200"/>
        <w:jc w:val="both"/>
        <w:rPr>
          <w:rFonts w:hint="eastAsia" w:ascii="仿宋_GB2312" w:hAnsi="仿宋_GB2312" w:eastAsia="仿宋_GB2312"/>
          <w:sz w:val="32"/>
          <w:szCs w:val="32"/>
        </w:rPr>
      </w:pPr>
    </w:p>
    <w:p w14:paraId="0CB362F5">
      <w:pPr>
        <w:ind w:firstLine="640" w:firstLineChars="200"/>
        <w:jc w:val="both"/>
        <w:rPr>
          <w:rFonts w:hint="eastAsia" w:ascii="仿宋_GB2312" w:hAnsi="仿宋_GB2312" w:eastAsia="仿宋_GB2312"/>
          <w:sz w:val="32"/>
          <w:szCs w:val="32"/>
        </w:rPr>
      </w:pPr>
    </w:p>
    <w:p w14:paraId="75F8F4D1">
      <w:pPr>
        <w:ind w:firstLine="640" w:firstLineChars="200"/>
        <w:jc w:val="both"/>
        <w:rPr>
          <w:rFonts w:hint="eastAsia" w:ascii="仿宋_GB2312" w:hAnsi="仿宋_GB2312" w:eastAsia="仿宋_GB2312"/>
          <w:sz w:val="32"/>
          <w:szCs w:val="32"/>
        </w:rPr>
      </w:pPr>
    </w:p>
    <w:p w14:paraId="0A24B434">
      <w:pPr>
        <w:ind w:firstLine="640" w:firstLineChars="200"/>
        <w:jc w:val="both"/>
        <w:rPr>
          <w:rFonts w:hint="eastAsia" w:ascii="仿宋_GB2312" w:hAnsi="仿宋_GB2312" w:eastAsia="仿宋_GB2312"/>
          <w:sz w:val="32"/>
          <w:szCs w:val="32"/>
        </w:rPr>
      </w:pPr>
    </w:p>
    <w:p w14:paraId="418737DF">
      <w:pPr>
        <w:ind w:firstLine="640" w:firstLineChars="200"/>
        <w:jc w:val="both"/>
        <w:rPr>
          <w:rFonts w:hint="eastAsia" w:ascii="仿宋_GB2312" w:hAnsi="仿宋_GB2312" w:eastAsia="仿宋_GB2312"/>
          <w:sz w:val="32"/>
          <w:szCs w:val="32"/>
        </w:rPr>
      </w:pPr>
    </w:p>
    <w:p w14:paraId="5CAED296">
      <w:pPr>
        <w:ind w:firstLine="640" w:firstLineChars="200"/>
        <w:jc w:val="both"/>
        <w:rPr>
          <w:rFonts w:hint="eastAsia" w:ascii="仿宋_GB2312" w:hAnsi="仿宋_GB2312" w:eastAsia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抄送：马村区环境监察大队、焦作市生态环境局马村分局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综合</w:t>
      </w:r>
      <w:r>
        <w:rPr>
          <w:rFonts w:hint="eastAsia" w:ascii="仿宋_GB2312" w:hAnsi="仿宋_GB2312" w:eastAsia="仿宋_GB2312"/>
          <w:sz w:val="32"/>
          <w:szCs w:val="32"/>
        </w:rPr>
        <w:t>股、</w:t>
      </w:r>
      <w:r>
        <w:rPr>
          <w:rFonts w:hint="eastAsia" w:ascii="仿宋_GB2312" w:hAnsi="仿宋_GB2312" w:eastAsia="仿宋_GB2312"/>
          <w:color w:val="000000"/>
          <w:sz w:val="32"/>
          <w:szCs w:val="32"/>
          <w:lang w:val="en-US" w:eastAsia="zh-CN"/>
        </w:rPr>
        <w:t>中南金尚环境工程有限公司</w:t>
      </w:r>
    </w:p>
    <w:sectPr>
      <w:footerReference r:id="rId3" w:type="default"/>
      <w:pgSz w:w="11906" w:h="16838"/>
      <w:pgMar w:top="2098" w:right="1474" w:bottom="1134" w:left="1587" w:header="851" w:footer="992" w:gutter="0"/>
      <w:pgNumType w:fmt="decimal" w:start="1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B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CBA12A">
    <w:pPr>
      <w:pStyle w:val="17"/>
      <w:tabs>
        <w:tab w:val="clear" w:pos="4153"/>
        <w:tab w:val="clear" w:pos="8306"/>
      </w:tabs>
      <w:rPr>
        <w:rFonts w:hint="default"/>
        <w:lang w:val="en-US"/>
      </w:rPr>
    </w:pP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_x0000_s205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902790F">
                          <w:pPr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/>
                  </wps:wsp>
                </a:graphicData>
              </a:graphic>
            </wp:anchor>
          </w:drawing>
        </mc:Choice>
        <mc:Fallback>
          <w:pict>
            <v:rect id="_x0000_s2050" o:spid="_x0000_s1026" o:spt="1" style="position:absolute;left:0pt;margin-top:0pt;height:144pt;width:144pt;mso-position-horizontal:center;mso-position-horizontal-relative:margin;z-index:251659264;mso-width-relative:page;mso-height-relative:page;" filled="f" stroked="f" coordsize="21600,21600" o:gfxdata="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6902790F">
                    <w:pPr>
                      <w:jc w:val="cen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  <w:r>
      <w:rPr>
        <w:rFonts w:hint="eastAsia"/>
        <w:lang w:val="en-US" w:eastAsia="zh-CN"/>
      </w:rPr>
      <w:t xml:space="preserve">                                         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681126F"/>
    <w:multiLevelType w:val="singleLevel"/>
    <w:tmpl w:val="E681126F"/>
    <w:lvl w:ilvl="0" w:tentative="0">
      <w:start w:val="1"/>
      <w:numFmt w:val="chineseCounting"/>
      <w:suff w:val="nothing"/>
      <w:lvlText w:val="%1、"/>
      <w:lvlJc w:val="left"/>
      <w:pPr>
        <w:ind w:left="-10"/>
      </w:pPr>
      <w:rPr>
        <w:rFonts w:hint="eastAsia"/>
      </w:rPr>
    </w:lvl>
  </w:abstractNum>
  <w:abstractNum w:abstractNumId="1">
    <w:nsid w:val="205A4F56"/>
    <w:multiLevelType w:val="multilevel"/>
    <w:tmpl w:val="205A4F56"/>
    <w:lvl w:ilvl="0" w:tentative="0">
      <w:start w:val="1"/>
      <w:numFmt w:val="decimal"/>
      <w:suff w:val="space"/>
      <w:lvlText w:val="%1"/>
      <w:lvlJc w:val="left"/>
      <w:pPr>
        <w:ind w:left="34" w:firstLine="0"/>
      </w:pPr>
      <w:rPr>
        <w:rFonts w:ascii="Times New Roman" w:hAnsi="Times New Roman"/>
        <w:b/>
        <w:i w:val="0"/>
        <w:sz w:val="24"/>
        <w:szCs w:val="24"/>
      </w:rPr>
    </w:lvl>
    <w:lvl w:ilvl="1" w:tentative="0">
      <w:start w:val="1"/>
      <w:numFmt w:val="decimal"/>
      <w:suff w:val="space"/>
      <w:lvlText w:val="%1.%2"/>
      <w:lvlJc w:val="left"/>
      <w:pPr>
        <w:ind w:left="34" w:firstLine="0"/>
      </w:pPr>
      <w:rPr>
        <w:rFonts w:ascii="Times New Roman" w:hAnsi="Times New Roman"/>
        <w:b/>
        <w:i w:val="0"/>
        <w:sz w:val="24"/>
        <w:szCs w:val="24"/>
      </w:rPr>
    </w:lvl>
    <w:lvl w:ilvl="2" w:tentative="0">
      <w:start w:val="1"/>
      <w:numFmt w:val="decimal"/>
      <w:suff w:val="space"/>
      <w:lvlText w:val="%1.%2.%3"/>
      <w:lvlJc w:val="left"/>
      <w:pPr>
        <w:ind w:left="34" w:firstLine="0"/>
      </w:pPr>
      <w:rPr>
        <w:rFonts w:ascii="Times New Roman" w:hAnsi="Times New Roman" w:eastAsia="宋体"/>
        <w:b w:val="0"/>
        <w:i w:val="0"/>
        <w:shadow w:val="0"/>
        <w:vanish/>
        <w:color w:val="000000"/>
        <w:kern w:val="0"/>
        <w:sz w:val="24"/>
        <w:szCs w:val="24"/>
        <w:u w:val="none"/>
        <w:vertAlign w:val="baseline"/>
      </w:rPr>
    </w:lvl>
    <w:lvl w:ilvl="3" w:tentative="0">
      <w:start w:val="1"/>
      <w:numFmt w:val="decimal"/>
      <w:pStyle w:val="9"/>
      <w:lvlText w:val="%1.%2.%3.%4"/>
      <w:lvlJc w:val="left"/>
      <w:pPr>
        <w:tabs>
          <w:tab w:val="left" w:pos="2836"/>
        </w:tabs>
        <w:ind w:left="2836" w:hanging="851"/>
      </w:pPr>
      <w:rPr>
        <w:rFonts w:ascii="Times New Roman" w:hAnsi="Times New Roman"/>
        <w:b w:val="0"/>
        <w:i w:val="0"/>
        <w:sz w:val="24"/>
        <w:szCs w:val="24"/>
      </w:rPr>
    </w:lvl>
    <w:lvl w:ilvl="4" w:tentative="0">
      <w:start w:val="1"/>
      <w:numFmt w:val="decimal"/>
      <w:lvlText w:val="%1.%2.%3.%4.%5."/>
      <w:lvlJc w:val="left"/>
      <w:pPr>
        <w:tabs>
          <w:tab w:val="left" w:pos="1026"/>
        </w:tabs>
        <w:ind w:left="1026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68"/>
        </w:tabs>
        <w:ind w:left="1168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310"/>
        </w:tabs>
        <w:ind w:left="1310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52"/>
        </w:tabs>
        <w:ind w:left="1452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93"/>
        </w:tabs>
        <w:ind w:left="1593" w:hanging="1559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ompat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1"/>
  </w:compat>
  <w:docVars>
    <w:docVar w:name="commondata" w:val="eyJoZGlkIjoiMTg2NDJkNmZiNGJmM2Y0YTYxNDY3MjhhNDZmMmQ5MTQifQ=="/>
  </w:docVars>
  <w:rsids>
    <w:rsidRoot w:val="00000000"/>
    <w:rsid w:val="018C51C8"/>
    <w:rsid w:val="02380707"/>
    <w:rsid w:val="02493090"/>
    <w:rsid w:val="02AA43CB"/>
    <w:rsid w:val="02B7130B"/>
    <w:rsid w:val="02C44E0D"/>
    <w:rsid w:val="04BE5865"/>
    <w:rsid w:val="054924A6"/>
    <w:rsid w:val="06645ECF"/>
    <w:rsid w:val="06CE0E4D"/>
    <w:rsid w:val="07561F84"/>
    <w:rsid w:val="07B91880"/>
    <w:rsid w:val="07DD105A"/>
    <w:rsid w:val="08D8516E"/>
    <w:rsid w:val="09BD3D92"/>
    <w:rsid w:val="0B957346"/>
    <w:rsid w:val="0CFF07E8"/>
    <w:rsid w:val="0D076022"/>
    <w:rsid w:val="0D3D691E"/>
    <w:rsid w:val="0D5144DE"/>
    <w:rsid w:val="0E421439"/>
    <w:rsid w:val="0EDC4568"/>
    <w:rsid w:val="0EE61B84"/>
    <w:rsid w:val="0FB104C7"/>
    <w:rsid w:val="0FD23F80"/>
    <w:rsid w:val="0FD30C75"/>
    <w:rsid w:val="0FF80505"/>
    <w:rsid w:val="102E6D8D"/>
    <w:rsid w:val="106715F3"/>
    <w:rsid w:val="108A3B8C"/>
    <w:rsid w:val="1265534E"/>
    <w:rsid w:val="127A1656"/>
    <w:rsid w:val="12D46B2C"/>
    <w:rsid w:val="1408616F"/>
    <w:rsid w:val="142F60B6"/>
    <w:rsid w:val="14662104"/>
    <w:rsid w:val="16B711D5"/>
    <w:rsid w:val="17EB4FBC"/>
    <w:rsid w:val="17F00848"/>
    <w:rsid w:val="18645220"/>
    <w:rsid w:val="187B102A"/>
    <w:rsid w:val="18FA629E"/>
    <w:rsid w:val="1A7431C4"/>
    <w:rsid w:val="1AED56D7"/>
    <w:rsid w:val="1D7E5E8C"/>
    <w:rsid w:val="1DCF6435"/>
    <w:rsid w:val="1DE50D58"/>
    <w:rsid w:val="1E01086B"/>
    <w:rsid w:val="1EF04110"/>
    <w:rsid w:val="1F32168E"/>
    <w:rsid w:val="1F897C90"/>
    <w:rsid w:val="20385D86"/>
    <w:rsid w:val="204F58BE"/>
    <w:rsid w:val="20655E46"/>
    <w:rsid w:val="20886183"/>
    <w:rsid w:val="21224918"/>
    <w:rsid w:val="21BD4795"/>
    <w:rsid w:val="22010BA6"/>
    <w:rsid w:val="228F1762"/>
    <w:rsid w:val="22901A6A"/>
    <w:rsid w:val="23623B5A"/>
    <w:rsid w:val="23841A04"/>
    <w:rsid w:val="242502D3"/>
    <w:rsid w:val="242512A7"/>
    <w:rsid w:val="24EC4023"/>
    <w:rsid w:val="24F75603"/>
    <w:rsid w:val="253B6D59"/>
    <w:rsid w:val="262275D1"/>
    <w:rsid w:val="26F73B05"/>
    <w:rsid w:val="27360F77"/>
    <w:rsid w:val="27435AE6"/>
    <w:rsid w:val="290876C3"/>
    <w:rsid w:val="292E3E59"/>
    <w:rsid w:val="29600D5C"/>
    <w:rsid w:val="2A292A1D"/>
    <w:rsid w:val="2A6D3510"/>
    <w:rsid w:val="2AB10417"/>
    <w:rsid w:val="2B0721D6"/>
    <w:rsid w:val="2B4E634E"/>
    <w:rsid w:val="2B5E54DD"/>
    <w:rsid w:val="2BF37A45"/>
    <w:rsid w:val="2CB31A62"/>
    <w:rsid w:val="2D081307"/>
    <w:rsid w:val="2D9A13A9"/>
    <w:rsid w:val="2DB840EA"/>
    <w:rsid w:val="2DB93391"/>
    <w:rsid w:val="2DBF02D4"/>
    <w:rsid w:val="2E091D2F"/>
    <w:rsid w:val="2FCD6647"/>
    <w:rsid w:val="2FE5534D"/>
    <w:rsid w:val="304C1E1A"/>
    <w:rsid w:val="305C3980"/>
    <w:rsid w:val="307F48C8"/>
    <w:rsid w:val="30DC2719"/>
    <w:rsid w:val="314A6E14"/>
    <w:rsid w:val="3170130B"/>
    <w:rsid w:val="32FF4F22"/>
    <w:rsid w:val="33C96EAF"/>
    <w:rsid w:val="33F95AF6"/>
    <w:rsid w:val="342A2A87"/>
    <w:rsid w:val="34441786"/>
    <w:rsid w:val="34F20A6C"/>
    <w:rsid w:val="35D5388B"/>
    <w:rsid w:val="35FB12F8"/>
    <w:rsid w:val="36BF60D1"/>
    <w:rsid w:val="37086ED1"/>
    <w:rsid w:val="373B1E1B"/>
    <w:rsid w:val="381E145A"/>
    <w:rsid w:val="392C147D"/>
    <w:rsid w:val="3A3951BD"/>
    <w:rsid w:val="3A3A2CE6"/>
    <w:rsid w:val="3AA615F1"/>
    <w:rsid w:val="3B7876E7"/>
    <w:rsid w:val="3C7C409E"/>
    <w:rsid w:val="3C806586"/>
    <w:rsid w:val="3E077380"/>
    <w:rsid w:val="3E2E3713"/>
    <w:rsid w:val="3E50520F"/>
    <w:rsid w:val="3E774506"/>
    <w:rsid w:val="3EAF7EB5"/>
    <w:rsid w:val="3F00000E"/>
    <w:rsid w:val="3F48250D"/>
    <w:rsid w:val="3F5D36FC"/>
    <w:rsid w:val="401C1E85"/>
    <w:rsid w:val="40510EE6"/>
    <w:rsid w:val="41345EC2"/>
    <w:rsid w:val="4186175A"/>
    <w:rsid w:val="418E0B2C"/>
    <w:rsid w:val="4326474D"/>
    <w:rsid w:val="43DC782B"/>
    <w:rsid w:val="444E3E15"/>
    <w:rsid w:val="444F3F1C"/>
    <w:rsid w:val="44EE2D42"/>
    <w:rsid w:val="45225FA0"/>
    <w:rsid w:val="457E3A30"/>
    <w:rsid w:val="45E862DB"/>
    <w:rsid w:val="46021BD4"/>
    <w:rsid w:val="463A59B6"/>
    <w:rsid w:val="46FC7C9E"/>
    <w:rsid w:val="485D651B"/>
    <w:rsid w:val="49365043"/>
    <w:rsid w:val="49F326D4"/>
    <w:rsid w:val="49F8312B"/>
    <w:rsid w:val="4AF553E1"/>
    <w:rsid w:val="4B076C12"/>
    <w:rsid w:val="4B997D76"/>
    <w:rsid w:val="4C9A504D"/>
    <w:rsid w:val="4D9F10F7"/>
    <w:rsid w:val="4E092CA1"/>
    <w:rsid w:val="4E316B16"/>
    <w:rsid w:val="4E3D0008"/>
    <w:rsid w:val="4EA57CFD"/>
    <w:rsid w:val="4EDC0A8F"/>
    <w:rsid w:val="4EF74818"/>
    <w:rsid w:val="50C1195B"/>
    <w:rsid w:val="51EC63CB"/>
    <w:rsid w:val="51ED59C8"/>
    <w:rsid w:val="52186AA9"/>
    <w:rsid w:val="52BA0BD3"/>
    <w:rsid w:val="5314499E"/>
    <w:rsid w:val="53636EFF"/>
    <w:rsid w:val="53670B95"/>
    <w:rsid w:val="53926528"/>
    <w:rsid w:val="53B4705A"/>
    <w:rsid w:val="544F6E75"/>
    <w:rsid w:val="56004669"/>
    <w:rsid w:val="56372AA1"/>
    <w:rsid w:val="56867584"/>
    <w:rsid w:val="56F31501"/>
    <w:rsid w:val="58F47B8B"/>
    <w:rsid w:val="591250FF"/>
    <w:rsid w:val="59E56DE9"/>
    <w:rsid w:val="5AC57C3B"/>
    <w:rsid w:val="5AEB0450"/>
    <w:rsid w:val="5B1433B1"/>
    <w:rsid w:val="5B554E80"/>
    <w:rsid w:val="5C645C72"/>
    <w:rsid w:val="5CDF4498"/>
    <w:rsid w:val="5D4B0673"/>
    <w:rsid w:val="5DE86914"/>
    <w:rsid w:val="5DF72548"/>
    <w:rsid w:val="5F75178D"/>
    <w:rsid w:val="5F9C368D"/>
    <w:rsid w:val="5FF670CD"/>
    <w:rsid w:val="60390E87"/>
    <w:rsid w:val="60A30654"/>
    <w:rsid w:val="610D0AEB"/>
    <w:rsid w:val="61F757A3"/>
    <w:rsid w:val="62752D3F"/>
    <w:rsid w:val="62E567C3"/>
    <w:rsid w:val="62FD472A"/>
    <w:rsid w:val="63464323"/>
    <w:rsid w:val="65A84FA8"/>
    <w:rsid w:val="662B08ED"/>
    <w:rsid w:val="663B4A5C"/>
    <w:rsid w:val="67D95AFD"/>
    <w:rsid w:val="67E67104"/>
    <w:rsid w:val="68427ADF"/>
    <w:rsid w:val="68815074"/>
    <w:rsid w:val="68DB5189"/>
    <w:rsid w:val="6B932B59"/>
    <w:rsid w:val="6BCF5B05"/>
    <w:rsid w:val="6BFA6D45"/>
    <w:rsid w:val="6DD06DD9"/>
    <w:rsid w:val="6DE00765"/>
    <w:rsid w:val="6E1D29A1"/>
    <w:rsid w:val="6EDC1687"/>
    <w:rsid w:val="6F2B66B4"/>
    <w:rsid w:val="700509BF"/>
    <w:rsid w:val="70466848"/>
    <w:rsid w:val="734440DC"/>
    <w:rsid w:val="74815CC4"/>
    <w:rsid w:val="75652815"/>
    <w:rsid w:val="75A72C10"/>
    <w:rsid w:val="75ED062E"/>
    <w:rsid w:val="763304C1"/>
    <w:rsid w:val="76CC0B8C"/>
    <w:rsid w:val="77045144"/>
    <w:rsid w:val="77063AD6"/>
    <w:rsid w:val="77A62B58"/>
    <w:rsid w:val="77AC443F"/>
    <w:rsid w:val="77CE5715"/>
    <w:rsid w:val="78121262"/>
    <w:rsid w:val="78451F9E"/>
    <w:rsid w:val="79297A7E"/>
    <w:rsid w:val="7989747E"/>
    <w:rsid w:val="798E0EB2"/>
    <w:rsid w:val="79FF2AEC"/>
    <w:rsid w:val="7A357AE8"/>
    <w:rsid w:val="7BC46C9D"/>
    <w:rsid w:val="7C1F52BA"/>
    <w:rsid w:val="7C32207F"/>
    <w:rsid w:val="7D3C798A"/>
    <w:rsid w:val="7DD03612"/>
    <w:rsid w:val="7DD470F5"/>
    <w:rsid w:val="7DD6409E"/>
    <w:rsid w:val="7E035EC0"/>
    <w:rsid w:val="7E68119A"/>
    <w:rsid w:val="7EAE7081"/>
    <w:rsid w:val="7F224935"/>
    <w:rsid w:val="7F4E0DC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2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qFormat/>
    <w:uiPriority w:val="0"/>
    <w:pPr>
      <w:snapToGrid w:val="0"/>
      <w:spacing w:line="420" w:lineRule="exact"/>
      <w:ind w:left="101" w:leftChars="48" w:right="149" w:rightChars="71" w:firstLine="426" w:firstLineChars="203"/>
    </w:pPr>
    <w:rPr>
      <w:szCs w:val="24"/>
    </w:rPr>
  </w:style>
  <w:style w:type="paragraph" w:styleId="3">
    <w:name w:val="Body Text"/>
    <w:basedOn w:val="1"/>
    <w:next w:val="4"/>
    <w:qFormat/>
    <w:uiPriority w:val="0"/>
    <w:pPr>
      <w:widowControl/>
      <w:snapToGrid w:val="0"/>
      <w:spacing w:before="60" w:after="160" w:line="259" w:lineRule="auto"/>
      <w:ind w:right="113"/>
    </w:pPr>
    <w:rPr>
      <w:kern w:val="0"/>
      <w:sz w:val="18"/>
      <w:szCs w:val="20"/>
    </w:rPr>
  </w:style>
  <w:style w:type="paragraph" w:styleId="4">
    <w:name w:val="Body Text 2"/>
    <w:basedOn w:val="1"/>
    <w:qFormat/>
    <w:uiPriority w:val="0"/>
    <w:pPr>
      <w:spacing w:after="120" w:line="480" w:lineRule="auto"/>
    </w:pPr>
  </w:style>
  <w:style w:type="paragraph" w:styleId="5">
    <w:name w:val="Body Text Indent"/>
    <w:basedOn w:val="1"/>
    <w:next w:val="3"/>
    <w:qFormat/>
    <w:uiPriority w:val="0"/>
    <w:rPr>
      <w:kern w:val="0"/>
      <w:szCs w:val="20"/>
    </w:rPr>
  </w:style>
  <w:style w:type="paragraph" w:customStyle="1" w:styleId="8">
    <w:name w:val="标题 11"/>
    <w:basedOn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customStyle="1" w:styleId="9">
    <w:name w:val="标题 41"/>
    <w:basedOn w:val="1"/>
    <w:autoRedefine/>
    <w:qFormat/>
    <w:uiPriority w:val="0"/>
    <w:pPr>
      <w:numPr>
        <w:ilvl w:val="3"/>
        <w:numId w:val="1"/>
      </w:numPr>
      <w:tabs>
        <w:tab w:val="clear" w:pos="2836"/>
      </w:tabs>
      <w:spacing w:line="460" w:lineRule="exact"/>
      <w:ind w:left="2587"/>
      <w:jc w:val="left"/>
      <w:outlineLvl w:val="3"/>
    </w:pPr>
    <w:rPr>
      <w:bCs/>
      <w:szCs w:val="26"/>
    </w:rPr>
  </w:style>
  <w:style w:type="character" w:customStyle="1" w:styleId="10">
    <w:name w:val="默认段落字体1"/>
    <w:link w:val="1"/>
    <w:autoRedefine/>
    <w:semiHidden/>
    <w:qFormat/>
    <w:uiPriority w:val="0"/>
    <w:rPr>
      <w:kern w:val="0"/>
      <w:sz w:val="20"/>
      <w:szCs w:val="20"/>
    </w:rPr>
  </w:style>
  <w:style w:type="table" w:customStyle="1" w:styleId="11">
    <w:name w:val="普通表格1"/>
    <w:autoRedefine/>
    <w:qFormat/>
    <w:uiPriority w:val="0"/>
  </w:style>
  <w:style w:type="paragraph" w:customStyle="1" w:styleId="12">
    <w:name w:val="正文文本1"/>
    <w:basedOn w:val="1"/>
    <w:autoRedefine/>
    <w:qFormat/>
    <w:uiPriority w:val="0"/>
    <w:rPr>
      <w:sz w:val="30"/>
    </w:rPr>
  </w:style>
  <w:style w:type="paragraph" w:customStyle="1" w:styleId="13">
    <w:name w:val="正文文本缩进1"/>
    <w:basedOn w:val="1"/>
    <w:autoRedefine/>
    <w:qFormat/>
    <w:uiPriority w:val="0"/>
    <w:pPr>
      <w:spacing w:line="600" w:lineRule="exact"/>
      <w:ind w:firstLine="560" w:firstLineChars="200"/>
    </w:pPr>
    <w:rPr>
      <w:sz w:val="28"/>
    </w:rPr>
  </w:style>
  <w:style w:type="paragraph" w:customStyle="1" w:styleId="14">
    <w:name w:val="文本块1"/>
    <w:basedOn w:val="1"/>
    <w:autoRedefine/>
    <w:qFormat/>
    <w:uiPriority w:val="0"/>
    <w:pPr>
      <w:widowControl w:val="0"/>
      <w:autoSpaceDE w:val="0"/>
      <w:autoSpaceDN w:val="0"/>
      <w:spacing w:before="1" w:line="537" w:lineRule="exact"/>
      <w:ind w:left="88" w:right="6"/>
      <w:jc w:val="both"/>
    </w:pPr>
    <w:rPr>
      <w:rFonts w:ascii="Times New Roman" w:hAnsi="Times New Roman" w:eastAsia="宋体"/>
      <w:kern w:val="0"/>
      <w:sz w:val="21"/>
      <w:szCs w:val="24"/>
      <w:lang w:val="en-US" w:eastAsia="zh-CN" w:bidi="ar-SA"/>
    </w:rPr>
  </w:style>
  <w:style w:type="paragraph" w:customStyle="1" w:styleId="15">
    <w:name w:val="批注框文本1"/>
    <w:basedOn w:val="1"/>
    <w:link w:val="16"/>
    <w:autoRedefine/>
    <w:qFormat/>
    <w:uiPriority w:val="0"/>
    <w:rPr>
      <w:sz w:val="18"/>
      <w:szCs w:val="18"/>
    </w:rPr>
  </w:style>
  <w:style w:type="character" w:customStyle="1" w:styleId="16">
    <w:name w:val="批注框文本 Char"/>
    <w:link w:val="15"/>
    <w:autoRedefine/>
    <w:qFormat/>
    <w:uiPriority w:val="0"/>
    <w:rPr>
      <w:kern w:val="2"/>
      <w:sz w:val="18"/>
      <w:szCs w:val="18"/>
    </w:rPr>
  </w:style>
  <w:style w:type="paragraph" w:customStyle="1" w:styleId="17">
    <w:name w:val="页脚1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18">
    <w:name w:val="页眉1"/>
    <w:basedOn w:val="1"/>
    <w:autoRedefine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9">
    <w:name w:val="正文首行缩进 21"/>
    <w:basedOn w:val="13"/>
    <w:autoRedefine/>
    <w:qFormat/>
    <w:uiPriority w:val="0"/>
    <w:pPr>
      <w:ind w:firstLine="420" w:firstLineChars="200"/>
    </w:pPr>
    <w:rPr>
      <w:rFonts w:ascii="宋体"/>
      <w:sz w:val="21"/>
      <w:szCs w:val="24"/>
    </w:rPr>
  </w:style>
  <w:style w:type="table" w:customStyle="1" w:styleId="20">
    <w:name w:val="网格型1"/>
    <w:basedOn w:val="11"/>
    <w:autoRedefine/>
    <w:qFormat/>
    <w:uiPriority w:val="0"/>
    <w:pPr>
      <w:widowControl w:val="0"/>
      <w:jc w:val="both"/>
    </w:pPr>
  </w:style>
  <w:style w:type="character" w:customStyle="1" w:styleId="21">
    <w:name w:val="页码1"/>
    <w:link w:val="1"/>
    <w:autoRedefine/>
    <w:qFormat/>
    <w:uiPriority w:val="0"/>
  </w:style>
  <w:style w:type="paragraph" w:customStyle="1" w:styleId="22">
    <w:name w:val=" Char Char Char Char"/>
    <w:basedOn w:val="1"/>
    <w:autoRedefine/>
    <w:qFormat/>
    <w:uiPriority w:val="0"/>
    <w:pPr>
      <w:spacing w:line="365" w:lineRule="atLeast"/>
      <w:ind w:left="1"/>
    </w:pPr>
    <w:rPr>
      <w:kern w:val="0"/>
      <w:sz w:val="20"/>
      <w:szCs w:val="20"/>
    </w:rPr>
  </w:style>
  <w:style w:type="paragraph" w:customStyle="1" w:styleId="23">
    <w:name w:val="p0"/>
    <w:basedOn w:val="1"/>
    <w:autoRedefine/>
    <w:qFormat/>
    <w:uiPriority w:val="0"/>
    <w:pPr>
      <w:widowControl/>
    </w:pPr>
    <w:rPr>
      <w:rFonts w:ascii="仿宋_GB2312" w:hAnsi="宋体" w:eastAsia="仿宋_GB2312"/>
      <w:kern w:val="0"/>
      <w:sz w:val="32"/>
      <w:szCs w:val="32"/>
    </w:rPr>
  </w:style>
  <w:style w:type="paragraph" w:customStyle="1" w:styleId="24">
    <w:name w:val="正文(首行缩进)"/>
    <w:basedOn w:val="1"/>
    <w:autoRedefine/>
    <w:qFormat/>
    <w:uiPriority w:val="0"/>
    <w:pPr>
      <w:snapToGrid w:val="0"/>
      <w:spacing w:line="360" w:lineRule="auto"/>
      <w:ind w:firstLine="200" w:firstLineChars="200"/>
    </w:pPr>
    <w:rPr>
      <w:rFonts w:eastAsia="宋体"/>
      <w:kern w:val="0"/>
      <w:sz w:val="24"/>
    </w:rPr>
  </w:style>
  <w:style w:type="paragraph" w:customStyle="1" w:styleId="25">
    <w:name w:val="表格内容"/>
    <w:basedOn w:val="1"/>
    <w:autoRedefine/>
    <w:qFormat/>
    <w:uiPriority w:val="0"/>
    <w:pPr>
      <w:spacing w:line="240" w:lineRule="auto"/>
      <w:jc w:val="center"/>
    </w:pPr>
    <w:rPr>
      <w:rFonts w:ascii="Times New Roman" w:hAnsi="Times New Roman" w:eastAsia="宋体"/>
      <w:kern w:val="0"/>
      <w:szCs w:val="20"/>
    </w:rPr>
  </w:style>
  <w:style w:type="paragraph" w:customStyle="1" w:styleId="26">
    <w:name w:val="环评正文"/>
    <w:basedOn w:val="1"/>
    <w:autoRedefine/>
    <w:qFormat/>
    <w:uiPriority w:val="0"/>
    <w:pPr>
      <w:tabs>
        <w:tab w:val="left" w:pos="4540"/>
      </w:tabs>
      <w:snapToGrid w:val="0"/>
      <w:spacing w:line="360" w:lineRule="auto"/>
      <w:ind w:firstLine="200" w:firstLineChars="200"/>
    </w:pPr>
    <w:rPr>
      <w:rFonts w:ascii="Times New Roman" w:hAnsi="Times New Roman" w:eastAsia="宋体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1479</Words>
  <Characters>1607</Characters>
  <Lines>0</Lines>
  <Paragraphs>0</Paragraphs>
  <TotalTime>17</TotalTime>
  <ScaleCrop>false</ScaleCrop>
  <LinksUpToDate>false</LinksUpToDate>
  <CharactersWithSpaces>1613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2024-01-08T00:17:00Z</dcterms:created>
  <dc:creator>Administrator</dc:creator>
  <cp:lastModifiedBy>Administrator</cp:lastModifiedBy>
  <cp:lastPrinted>2025-09-29T00:06:11Z</cp:lastPrinted>
  <dcterms:modified xsi:type="dcterms:W3CDTF">2025-09-29T00:09:10Z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6DC99BCA576F4F41829CCC3CD0061F16_12</vt:lpwstr>
  </property>
  <property fmtid="{D5CDD505-2E9C-101B-9397-08002B2CF9AE}" pid="4" name="KSOTemplateDocerSaveRecord">
    <vt:lpwstr>eyJoZGlkIjoiNGMzMDk0OTg4ZmMzMmNmMzQ5Zjk0ZWQ3NGM4ZTkyNjAifQ==</vt:lpwstr>
  </property>
</Properties>
</file>