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DD4550">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eastAsia" w:eastAsia="宋体"/>
          <w:lang w:eastAsia="zh-CN"/>
        </w:rPr>
      </w:pPr>
    </w:p>
    <w:p w14:paraId="098B8D26">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eastAsia" w:eastAsia="宋体"/>
          <w:lang w:eastAsia="zh-CN"/>
        </w:rPr>
      </w:pPr>
    </w:p>
    <w:p w14:paraId="48F7C174">
      <w:pPr>
        <w:spacing w:afterAutospacing="0"/>
        <w:ind w:left="0" w:leftChars="0" w:firstLine="0" w:firstLineChars="0"/>
        <w:rPr>
          <w:rFonts w:hint="default" w:ascii="Times New Roman" w:hAnsi="Times New Roman" w:eastAsia="仿宋_GB2312" w:cs="Times New Roman"/>
          <w:sz w:val="36"/>
          <w:szCs w:val="36"/>
        </w:rPr>
      </w:pPr>
    </w:p>
    <w:p w14:paraId="38B2ACB2">
      <w:pPr>
        <w:spacing w:afterAutospacing="0"/>
        <w:ind w:left="0" w:leftChars="0" w:firstLine="0" w:firstLineChars="0"/>
        <w:rPr>
          <w:rFonts w:hint="default" w:ascii="Times New Roman" w:hAnsi="Times New Roman" w:eastAsia="仿宋_GB2312" w:cs="Times New Roman"/>
          <w:sz w:val="36"/>
          <w:szCs w:val="36"/>
        </w:rPr>
      </w:pPr>
    </w:p>
    <w:p w14:paraId="14BF1761">
      <w:pPr>
        <w:spacing w:afterAutospacing="0"/>
        <w:ind w:left="0" w:leftChars="0" w:firstLine="0" w:firstLineChars="0"/>
        <w:rPr>
          <w:rFonts w:hint="default" w:ascii="Times New Roman" w:hAnsi="Times New Roman" w:eastAsia="仿宋_GB2312" w:cs="Times New Roman"/>
          <w:sz w:val="36"/>
          <w:szCs w:val="36"/>
        </w:rPr>
      </w:pPr>
    </w:p>
    <w:p w14:paraId="65FAFC4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outlineLvl w:val="0"/>
        <w:rPr>
          <w:rFonts w:hint="default" w:ascii="Times New Roman" w:hAnsi="Times New Roman" w:eastAsia="方正小标宋_GBK" w:cs="Times New Roman"/>
          <w:bCs/>
          <w:sz w:val="72"/>
          <w:szCs w:val="72"/>
        </w:rPr>
      </w:pPr>
      <w:r>
        <w:rPr>
          <w:rFonts w:hint="default" w:ascii="Times New Roman" w:hAnsi="Times New Roman" w:eastAsia="方正小标宋_GBK" w:cs="Times New Roman"/>
          <w:bCs/>
          <w:sz w:val="72"/>
          <w:szCs w:val="72"/>
        </w:rPr>
        <w:t>建设项目环境影响报告表</w:t>
      </w:r>
    </w:p>
    <w:p w14:paraId="5F3A8AD7">
      <w:pPr>
        <w:keepLines w:val="0"/>
        <w:pageBreakBefore w:val="0"/>
        <w:widowControl w:val="0"/>
        <w:kinsoku/>
        <w:wordWrap/>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楷体_GB2312" w:cs="Times New Roman"/>
          <w:bCs/>
          <w:sz w:val="48"/>
          <w:szCs w:val="48"/>
        </w:rPr>
      </w:pPr>
      <w:r>
        <w:rPr>
          <w:rFonts w:hint="default" w:ascii="Times New Roman" w:hAnsi="Times New Roman" w:eastAsia="楷体_GB2312" w:cs="Times New Roman"/>
          <w:bCs/>
          <w:sz w:val="48"/>
          <w:szCs w:val="48"/>
        </w:rPr>
        <w:t>（污染影响类-</w:t>
      </w:r>
      <w:r>
        <w:rPr>
          <w:rFonts w:hint="default" w:ascii="Times New Roman" w:hAnsi="Times New Roman" w:eastAsia="楷体_GB2312" w:cs="Times New Roman"/>
          <w:bCs/>
          <w:sz w:val="48"/>
          <w:szCs w:val="48"/>
          <w:lang w:eastAsia="zh-CN"/>
        </w:rPr>
        <w:t>送审</w:t>
      </w:r>
      <w:r>
        <w:rPr>
          <w:rFonts w:hint="default" w:ascii="Times New Roman" w:hAnsi="Times New Roman" w:eastAsia="楷体_GB2312" w:cs="Times New Roman"/>
          <w:bCs/>
          <w:sz w:val="48"/>
          <w:szCs w:val="48"/>
        </w:rPr>
        <w:t>版）</w:t>
      </w:r>
    </w:p>
    <w:p w14:paraId="0EB186DB">
      <w:pPr>
        <w:keepLines w:val="0"/>
        <w:pageBreakBefore w:val="0"/>
        <w:widowControl w:val="0"/>
        <w:kinsoku/>
        <w:wordWrap/>
        <w:topLinePunct w:val="0"/>
        <w:autoSpaceDE/>
        <w:autoSpaceDN/>
        <w:bidi w:val="0"/>
        <w:ind w:firstLine="0" w:firstLineChars="0"/>
        <w:textAlignment w:val="auto"/>
        <w:rPr>
          <w:rFonts w:hint="default" w:ascii="Times New Roman" w:hAnsi="Times New Roman" w:eastAsia="仿宋" w:cs="Times New Roman"/>
          <w:sz w:val="44"/>
          <w:szCs w:val="44"/>
        </w:rPr>
      </w:pPr>
    </w:p>
    <w:p w14:paraId="48E5E1B5">
      <w:pPr>
        <w:keepLines w:val="0"/>
        <w:pageBreakBefore w:val="0"/>
        <w:widowControl w:val="0"/>
        <w:kinsoku/>
        <w:wordWrap/>
        <w:topLinePunct w:val="0"/>
        <w:autoSpaceDE/>
        <w:autoSpaceDN/>
        <w:bidi w:val="0"/>
        <w:ind w:firstLine="0" w:firstLineChars="0"/>
        <w:textAlignment w:val="auto"/>
        <w:rPr>
          <w:rFonts w:hint="default" w:ascii="Times New Roman" w:hAnsi="Times New Roman" w:eastAsia="仿宋" w:cs="Times New Roman"/>
          <w:sz w:val="44"/>
          <w:szCs w:val="44"/>
        </w:rPr>
      </w:pPr>
    </w:p>
    <w:p w14:paraId="53CE0352">
      <w:pPr>
        <w:keepLines w:val="0"/>
        <w:pageBreakBefore w:val="0"/>
        <w:widowControl w:val="0"/>
        <w:kinsoku/>
        <w:wordWrap/>
        <w:topLinePunct w:val="0"/>
        <w:autoSpaceDE/>
        <w:autoSpaceDN/>
        <w:bidi w:val="0"/>
        <w:ind w:firstLine="0" w:firstLineChars="0"/>
        <w:textAlignment w:val="auto"/>
        <w:rPr>
          <w:rFonts w:hint="default" w:ascii="Times New Roman" w:hAnsi="Times New Roman" w:eastAsia="仿宋" w:cs="Times New Roman"/>
          <w:sz w:val="44"/>
          <w:szCs w:val="44"/>
        </w:rPr>
      </w:pPr>
    </w:p>
    <w:p w14:paraId="31CFEFE0">
      <w:pPr>
        <w:pStyle w:val="2"/>
        <w:keepLines w:val="0"/>
        <w:pageBreakBefore w:val="0"/>
        <w:widowControl w:val="0"/>
        <w:kinsoku/>
        <w:wordWrap/>
        <w:topLinePunct w:val="0"/>
        <w:autoSpaceDE/>
        <w:autoSpaceDN/>
        <w:bidi w:val="0"/>
        <w:ind w:firstLine="0" w:firstLineChars="0"/>
        <w:textAlignment w:val="auto"/>
        <w:rPr>
          <w:rFonts w:hint="default" w:ascii="Times New Roman" w:hAnsi="Times New Roman" w:cs="Times New Roman"/>
        </w:rPr>
      </w:pPr>
    </w:p>
    <w:p w14:paraId="05D7C5B6">
      <w:pPr>
        <w:keepLines w:val="0"/>
        <w:pageBreakBefore w:val="0"/>
        <w:widowControl w:val="0"/>
        <w:kinsoku/>
        <w:wordWrap/>
        <w:topLinePunct w:val="0"/>
        <w:autoSpaceDE/>
        <w:autoSpaceDN/>
        <w:bidi w:val="0"/>
        <w:ind w:firstLine="0" w:firstLineChars="0"/>
        <w:textAlignment w:val="auto"/>
        <w:rPr>
          <w:rFonts w:hint="default" w:ascii="Times New Roman" w:hAnsi="Times New Roman" w:eastAsia="仿宋" w:cs="Times New Roman"/>
          <w:sz w:val="44"/>
          <w:szCs w:val="44"/>
        </w:rPr>
      </w:pPr>
    </w:p>
    <w:p w14:paraId="504A13F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720" w:firstLineChars="200"/>
        <w:jc w:val="left"/>
        <w:textAlignment w:val="auto"/>
        <w:rPr>
          <w:rFonts w:hint="default" w:ascii="Times New Roman" w:hAnsi="Times New Roman" w:eastAsia="仿宋_GB2312" w:cs="Times New Roman"/>
          <w:sz w:val="36"/>
          <w:szCs w:val="36"/>
          <w:u w:val="single"/>
          <w:lang w:val="en-US"/>
        </w:rPr>
      </w:pPr>
      <w:r>
        <w:rPr>
          <w:rFonts w:hint="default" w:ascii="Times New Roman" w:hAnsi="Times New Roman" w:eastAsia="仿宋_GB2312" w:cs="Times New Roman"/>
          <w:sz w:val="36"/>
          <w:szCs w:val="36"/>
        </w:rPr>
        <w:t>项目名称：</w:t>
      </w:r>
      <w:r>
        <w:rPr>
          <w:rFonts w:hint="eastAsia" w:eastAsia="仿宋_GB2312" w:cs="Times New Roman"/>
          <w:sz w:val="36"/>
          <w:szCs w:val="36"/>
          <w:u w:val="single"/>
          <w:lang w:val="en-US" w:eastAsia="zh-CN"/>
        </w:rPr>
        <w:t xml:space="preserve">    </w:t>
      </w:r>
      <w:r>
        <w:rPr>
          <w:rFonts w:hint="default" w:ascii="Times New Roman" w:hAnsi="Times New Roman" w:eastAsia="仿宋_GB2312" w:cs="Times New Roman"/>
          <w:sz w:val="36"/>
          <w:szCs w:val="36"/>
          <w:highlight w:val="none"/>
          <w:u w:val="single"/>
          <w:lang w:val="en-US" w:eastAsia="zh-CN"/>
        </w:rPr>
        <w:t>年产30</w:t>
      </w:r>
      <w:r>
        <w:rPr>
          <w:rFonts w:hint="eastAsia" w:eastAsia="仿宋_GB2312" w:cs="Times New Roman"/>
          <w:sz w:val="36"/>
          <w:szCs w:val="36"/>
          <w:highlight w:val="none"/>
          <w:u w:val="single"/>
          <w:lang w:val="en-US" w:eastAsia="zh-CN"/>
        </w:rPr>
        <w:t xml:space="preserve">0吨塑料食品餐盒项目   </w:t>
      </w:r>
    </w:p>
    <w:p w14:paraId="6761B75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720" w:firstLineChars="200"/>
        <w:jc w:val="both"/>
        <w:textAlignment w:val="auto"/>
        <w:rPr>
          <w:rFonts w:hint="default" w:ascii="Times New Roman" w:hAnsi="Times New Roman" w:eastAsia="仿宋_GB2312" w:cs="Times New Roman"/>
          <w:sz w:val="36"/>
          <w:szCs w:val="36"/>
          <w:u w:val="single"/>
          <w:lang w:val="en-US"/>
        </w:rPr>
      </w:pPr>
      <w:r>
        <w:rPr>
          <w:rFonts w:hint="default" w:ascii="Times New Roman" w:hAnsi="Times New Roman" w:eastAsia="仿宋_GB2312" w:cs="Times New Roman"/>
          <w:sz w:val="36"/>
          <w:szCs w:val="36"/>
        </w:rPr>
        <w:t>建设单位（盖章）：</w:t>
      </w:r>
      <w:r>
        <w:rPr>
          <w:rFonts w:hint="default" w:ascii="Times New Roman" w:hAnsi="Times New Roman" w:eastAsia="仿宋_GB2312" w:cs="Times New Roman"/>
          <w:sz w:val="36"/>
          <w:szCs w:val="36"/>
          <w:u w:val="single"/>
          <w:lang w:eastAsia="zh-CN"/>
        </w:rPr>
        <w:t>河南</w:t>
      </w:r>
      <w:r>
        <w:rPr>
          <w:rFonts w:hint="eastAsia" w:eastAsia="仿宋_GB2312" w:cs="Times New Roman"/>
          <w:sz w:val="36"/>
          <w:szCs w:val="36"/>
          <w:u w:val="single"/>
          <w:lang w:eastAsia="zh-CN"/>
        </w:rPr>
        <w:t>建皓新材料有限公司</w:t>
      </w:r>
      <w:r>
        <w:rPr>
          <w:rFonts w:hint="default" w:ascii="Times New Roman" w:hAnsi="Times New Roman" w:eastAsia="仿宋_GB2312" w:cs="Times New Roman"/>
          <w:sz w:val="36"/>
          <w:szCs w:val="36"/>
          <w:u w:val="single"/>
          <w:lang w:val="en-US" w:eastAsia="zh-CN"/>
        </w:rPr>
        <w:t xml:space="preserve"> </w:t>
      </w:r>
      <w:r>
        <w:rPr>
          <w:rFonts w:hint="eastAsia" w:eastAsia="仿宋_GB2312" w:cs="Times New Roman"/>
          <w:sz w:val="36"/>
          <w:szCs w:val="36"/>
          <w:u w:val="single"/>
          <w:lang w:val="en-US" w:eastAsia="zh-CN"/>
        </w:rPr>
        <w:t xml:space="preserve"> </w:t>
      </w:r>
      <w:r>
        <w:rPr>
          <w:rFonts w:hint="default" w:ascii="Times New Roman" w:hAnsi="Times New Roman" w:eastAsia="仿宋_GB2312" w:cs="Times New Roman"/>
          <w:sz w:val="36"/>
          <w:szCs w:val="36"/>
          <w:u w:val="single"/>
          <w:lang w:val="en-US" w:eastAsia="zh-CN"/>
        </w:rPr>
        <w:t xml:space="preserve"> </w:t>
      </w:r>
      <w:r>
        <w:rPr>
          <w:rFonts w:hint="eastAsia" w:eastAsia="仿宋_GB2312" w:cs="Times New Roman"/>
          <w:sz w:val="36"/>
          <w:szCs w:val="36"/>
          <w:u w:val="single"/>
          <w:lang w:val="en-US" w:eastAsia="zh-CN"/>
        </w:rPr>
        <w:t xml:space="preserve"> </w:t>
      </w:r>
    </w:p>
    <w:p w14:paraId="2D6F9E5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720" w:firstLineChars="200"/>
        <w:jc w:val="both"/>
        <w:textAlignment w:val="auto"/>
        <w:rPr>
          <w:rFonts w:hint="default" w:ascii="Times New Roman" w:hAnsi="Times New Roman" w:eastAsia="仿宋_GB2312" w:cs="Times New Roman"/>
          <w:sz w:val="36"/>
          <w:szCs w:val="36"/>
          <w:u w:val="single"/>
          <w:lang w:val="en-US" w:eastAsia="zh-CN"/>
        </w:rPr>
      </w:pPr>
      <w:r>
        <w:rPr>
          <w:rFonts w:hint="default" w:ascii="Times New Roman" w:hAnsi="Times New Roman" w:eastAsia="仿宋_GB2312" w:cs="Times New Roman"/>
          <w:sz w:val="36"/>
          <w:szCs w:val="36"/>
        </w:rPr>
        <w:t>编制日期：</w:t>
      </w:r>
      <w:r>
        <w:rPr>
          <w:rFonts w:hint="default" w:ascii="Times New Roman" w:hAnsi="Times New Roman" w:eastAsia="仿宋_GB2312" w:cs="Times New Roman"/>
          <w:sz w:val="36"/>
          <w:szCs w:val="36"/>
          <w:u w:val="single"/>
        </w:rPr>
        <w:t xml:space="preserve">     </w:t>
      </w:r>
      <w:r>
        <w:rPr>
          <w:rFonts w:hint="default" w:ascii="Times New Roman" w:hAnsi="Times New Roman" w:eastAsia="仿宋_GB2312" w:cs="Times New Roman"/>
          <w:sz w:val="36"/>
          <w:szCs w:val="36"/>
          <w:u w:val="single"/>
          <w:lang w:val="en-US" w:eastAsia="zh-CN"/>
        </w:rPr>
        <w:t xml:space="preserve">   </w:t>
      </w:r>
      <w:r>
        <w:rPr>
          <w:rFonts w:hint="eastAsia" w:eastAsia="仿宋_GB2312" w:cs="Times New Roman"/>
          <w:sz w:val="36"/>
          <w:szCs w:val="36"/>
          <w:u w:val="single"/>
          <w:lang w:val="en-US" w:eastAsia="zh-CN"/>
        </w:rPr>
        <w:t xml:space="preserve"> </w:t>
      </w:r>
      <w:r>
        <w:rPr>
          <w:rFonts w:hint="default" w:ascii="Times New Roman" w:hAnsi="Times New Roman" w:eastAsia="仿宋_GB2312" w:cs="Times New Roman"/>
          <w:sz w:val="36"/>
          <w:szCs w:val="36"/>
          <w:u w:val="single"/>
        </w:rPr>
        <w:t>202</w:t>
      </w:r>
      <w:r>
        <w:rPr>
          <w:rFonts w:hint="default" w:ascii="Times New Roman" w:hAnsi="Times New Roman" w:eastAsia="仿宋_GB2312" w:cs="Times New Roman"/>
          <w:sz w:val="36"/>
          <w:szCs w:val="36"/>
          <w:u w:val="single"/>
          <w:lang w:val="en-US" w:eastAsia="zh-CN"/>
        </w:rPr>
        <w:t>5</w:t>
      </w:r>
      <w:r>
        <w:rPr>
          <w:rFonts w:hint="default" w:ascii="Times New Roman" w:hAnsi="Times New Roman" w:eastAsia="仿宋_GB2312" w:cs="Times New Roman"/>
          <w:sz w:val="36"/>
          <w:szCs w:val="36"/>
          <w:u w:val="single"/>
        </w:rPr>
        <w:t>年</w:t>
      </w:r>
      <w:r>
        <w:rPr>
          <w:rFonts w:hint="eastAsia" w:eastAsia="仿宋_GB2312" w:cs="Times New Roman"/>
          <w:sz w:val="36"/>
          <w:szCs w:val="36"/>
          <w:u w:val="single"/>
          <w:lang w:val="en-US" w:eastAsia="zh-CN"/>
        </w:rPr>
        <w:t>9</w:t>
      </w:r>
      <w:r>
        <w:rPr>
          <w:rFonts w:hint="default" w:ascii="Times New Roman" w:hAnsi="Times New Roman" w:eastAsia="仿宋_GB2312" w:cs="Times New Roman"/>
          <w:sz w:val="36"/>
          <w:szCs w:val="36"/>
          <w:u w:val="single"/>
        </w:rPr>
        <w:t>月</w:t>
      </w:r>
      <w:r>
        <w:rPr>
          <w:rFonts w:hint="default" w:ascii="Times New Roman" w:hAnsi="Times New Roman" w:eastAsia="仿宋_GB2312" w:cs="Times New Roman"/>
          <w:sz w:val="36"/>
          <w:szCs w:val="36"/>
          <w:u w:val="single"/>
          <w:lang w:val="en-US" w:eastAsia="zh-CN"/>
        </w:rPr>
        <w:t xml:space="preserve">             </w:t>
      </w:r>
    </w:p>
    <w:p w14:paraId="5E70D7CF">
      <w:pPr>
        <w:keepLines w:val="0"/>
        <w:pageBreakBefore w:val="0"/>
        <w:widowControl w:val="0"/>
        <w:kinsoku/>
        <w:wordWrap/>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36"/>
          <w:szCs w:val="36"/>
          <w:u w:val="single"/>
        </w:rPr>
      </w:pPr>
    </w:p>
    <w:p w14:paraId="4389B4E4">
      <w:pPr>
        <w:keepLines w:val="0"/>
        <w:pageBreakBefore w:val="0"/>
        <w:widowControl w:val="0"/>
        <w:kinsoku/>
        <w:wordWrap/>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36"/>
          <w:szCs w:val="36"/>
        </w:rPr>
      </w:pPr>
    </w:p>
    <w:p w14:paraId="684F9494">
      <w:pPr>
        <w:keepLines w:val="0"/>
        <w:pageBreakBefore w:val="0"/>
        <w:widowControl w:val="0"/>
        <w:kinsoku/>
        <w:wordWrap/>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36"/>
          <w:szCs w:val="36"/>
        </w:rPr>
      </w:pPr>
    </w:p>
    <w:p w14:paraId="464EA7EC">
      <w:pPr>
        <w:keepLines w:val="0"/>
        <w:pageBreakBefore w:val="0"/>
        <w:widowControl w:val="0"/>
        <w:kinsoku/>
        <w:wordWrap/>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36"/>
          <w:szCs w:val="36"/>
        </w:rPr>
      </w:pPr>
    </w:p>
    <w:p w14:paraId="1E744695">
      <w:pPr>
        <w:keepLines w:val="0"/>
        <w:pageBreakBefore w:val="0"/>
        <w:widowControl w:val="0"/>
        <w:kinsoku/>
        <w:wordWrap/>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36"/>
          <w:szCs w:val="36"/>
        </w:rPr>
      </w:pPr>
    </w:p>
    <w:p w14:paraId="4A124DD9">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中华人民共和国生态环境部制</w:t>
      </w:r>
    </w:p>
    <w:p w14:paraId="76C5396B">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778D0E12">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5409724D">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7356ED4C">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497ED0FF">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1D648815">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r>
        <w:drawing>
          <wp:anchor distT="0" distB="0" distL="114300" distR="114300" simplePos="0" relativeHeight="251726848" behindDoc="0" locked="0" layoutInCell="1" allowOverlap="1">
            <wp:simplePos x="0" y="0"/>
            <wp:positionH relativeFrom="column">
              <wp:posOffset>-574040</wp:posOffset>
            </wp:positionH>
            <wp:positionV relativeFrom="paragraph">
              <wp:posOffset>-751840</wp:posOffset>
            </wp:positionV>
            <wp:extent cx="7374255" cy="10535285"/>
            <wp:effectExtent l="0" t="0" r="17145" b="18415"/>
            <wp:wrapNone/>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1"/>
                    <a:stretch>
                      <a:fillRect/>
                    </a:stretch>
                  </pic:blipFill>
                  <pic:spPr>
                    <a:xfrm>
                      <a:off x="0" y="0"/>
                      <a:ext cx="7374255" cy="10535285"/>
                    </a:xfrm>
                    <a:prstGeom prst="rect">
                      <a:avLst/>
                    </a:prstGeom>
                    <a:noFill/>
                    <a:ln>
                      <a:noFill/>
                    </a:ln>
                  </pic:spPr>
                </pic:pic>
              </a:graphicData>
            </a:graphic>
          </wp:anchor>
        </w:drawing>
      </w:r>
    </w:p>
    <w:p w14:paraId="4926C1F9">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2DD9BACF">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060CE295">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3A00C8A0">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r>
        <w:rPr>
          <w:sz w:val="24"/>
        </w:rPr>
        <mc:AlternateContent>
          <mc:Choice Requires="wps">
            <w:drawing>
              <wp:anchor distT="0" distB="0" distL="114300" distR="114300" simplePos="0" relativeHeight="251727872" behindDoc="0" locked="0" layoutInCell="1" allowOverlap="1">
                <wp:simplePos x="0" y="0"/>
                <wp:positionH relativeFrom="column">
                  <wp:posOffset>588010</wp:posOffset>
                </wp:positionH>
                <wp:positionV relativeFrom="paragraph">
                  <wp:posOffset>2848610</wp:posOffset>
                </wp:positionV>
                <wp:extent cx="5895340" cy="380365"/>
                <wp:effectExtent l="2757805" t="0" r="0" b="0"/>
                <wp:wrapNone/>
                <wp:docPr id="11" name="文本框 11"/>
                <wp:cNvGraphicFramePr/>
                <a:graphic xmlns:a="http://schemas.openxmlformats.org/drawingml/2006/main">
                  <a:graphicData uri="http://schemas.microsoft.com/office/word/2010/wordprocessingShape">
                    <wps:wsp>
                      <wps:cNvSpPr txBox="1"/>
                      <wps:spPr>
                        <a:xfrm rot="-3480000">
                          <a:off x="0" y="0"/>
                          <a:ext cx="5895340" cy="380365"/>
                        </a:xfrm>
                        <a:prstGeom prst="rect">
                          <a:avLst/>
                        </a:prstGeom>
                        <a:noFill/>
                        <a:ln w="15875">
                          <a:noFill/>
                        </a:ln>
                      </wps:spPr>
                      <wps:txbx>
                        <w:txbxContent>
                          <w:p w14:paraId="60265F5B">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sz w:val="30"/>
                                <w:szCs w:val="30"/>
                                <w:lang w:val="en-US"/>
                              </w:rPr>
                            </w:pPr>
                            <w:r>
                              <w:rPr>
                                <w:rFonts w:hint="eastAsia"/>
                                <w:sz w:val="30"/>
                                <w:szCs w:val="30"/>
                                <w:lang w:eastAsia="zh-CN"/>
                              </w:rPr>
                              <w:t>仅用于河南建皓新材料有限公司年产</w:t>
                            </w:r>
                            <w:r>
                              <w:rPr>
                                <w:rFonts w:hint="eastAsia"/>
                                <w:sz w:val="30"/>
                                <w:szCs w:val="30"/>
                                <w:lang w:val="en-US" w:eastAsia="zh-CN"/>
                              </w:rPr>
                              <w:t>300吨塑料食品餐盒项目</w:t>
                            </w:r>
                          </w:p>
                          <w:p w14:paraId="7B311AFB">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p>
                        </w:txbxContent>
                      </wps:txbx>
                      <wps:bodyPr upright="0"/>
                    </wps:wsp>
                  </a:graphicData>
                </a:graphic>
              </wp:anchor>
            </w:drawing>
          </mc:Choice>
          <mc:Fallback>
            <w:pict>
              <v:shape id="_x0000_s1026" o:spid="_x0000_s1026" o:spt="202" type="#_x0000_t202" style="position:absolute;left:0pt;margin-left:46.3pt;margin-top:224.3pt;height:29.95pt;width:464.2pt;rotation:-3801088f;z-index:251727872;mso-width-relative:page;mso-height-relative:page;" filled="f" stroked="f" coordsize="21600,21600" o:gfxdata="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vxMVnZAAAACwEAAA8AAAAAAAAAAQAgAAAAIgAAAGRycy9kb3ducmV2&#10;LnhtbFBLAQIUABQAAAAIAIdO4kAUej1YwgEAAGkDAAAOAAAAAAAAAAEAIAAAACgBAABkcnMvZTJv&#10;RG9jLnhtbFBLBQYAAAAABgAGAFkBAABcBQAAAAA=&#10;">
                <v:fill on="f" focussize="0,0"/>
                <v:stroke on="f" weight="1.25pt"/>
                <v:imagedata o:title=""/>
                <o:lock v:ext="edit" aspectratio="f"/>
                <v:textbox>
                  <w:txbxContent>
                    <w:p w14:paraId="60265F5B">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sz w:val="30"/>
                          <w:szCs w:val="30"/>
                          <w:lang w:val="en-US"/>
                        </w:rPr>
                      </w:pPr>
                      <w:r>
                        <w:rPr>
                          <w:rFonts w:hint="eastAsia"/>
                          <w:sz w:val="30"/>
                          <w:szCs w:val="30"/>
                          <w:lang w:eastAsia="zh-CN"/>
                        </w:rPr>
                        <w:t>仅用于河南建皓新材料有限公司年产</w:t>
                      </w:r>
                      <w:r>
                        <w:rPr>
                          <w:rFonts w:hint="eastAsia"/>
                          <w:sz w:val="30"/>
                          <w:szCs w:val="30"/>
                          <w:lang w:val="en-US" w:eastAsia="zh-CN"/>
                        </w:rPr>
                        <w:t>300吨塑料食品餐盒项目</w:t>
                      </w:r>
                    </w:p>
                    <w:p w14:paraId="7B311AFB">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p>
                  </w:txbxContent>
                </v:textbox>
              </v:shape>
            </w:pict>
          </mc:Fallback>
        </mc:AlternateContent>
      </w:r>
    </w:p>
    <w:p w14:paraId="1993EDEE">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4C227E5E">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6B69A817">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16B8F93D">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12F028FB">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327E1A28">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75F204D6">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018D3DA7">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149ACF43">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5D03AF4C">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36A1ABD8">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700608B7">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39423577">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2CF1C848">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4D7364A7">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530F279A">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60F04D45">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060325FC">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76C8B53E">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5016841B">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49FA01F6">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128329B6">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17125A36">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47B2FC80">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57ACADB7">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4E298F62">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6D899BF5">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6632A56A">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p>
    <w:p w14:paraId="52DE3645">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r>
        <w:rPr>
          <w:sz w:val="24"/>
        </w:rPr>
        <mc:AlternateContent>
          <mc:Choice Requires="wps">
            <w:drawing>
              <wp:anchor distT="0" distB="0" distL="114300" distR="114300" simplePos="0" relativeHeight="251730944" behindDoc="0" locked="0" layoutInCell="1" allowOverlap="1">
                <wp:simplePos x="0" y="0"/>
                <wp:positionH relativeFrom="column">
                  <wp:posOffset>193040</wp:posOffset>
                </wp:positionH>
                <wp:positionV relativeFrom="paragraph">
                  <wp:posOffset>-5111750</wp:posOffset>
                </wp:positionV>
                <wp:extent cx="5895340" cy="380365"/>
                <wp:effectExtent l="2757805" t="0" r="0" b="0"/>
                <wp:wrapNone/>
                <wp:docPr id="17" name="文本框 17"/>
                <wp:cNvGraphicFramePr/>
                <a:graphic xmlns:a="http://schemas.openxmlformats.org/drawingml/2006/main">
                  <a:graphicData uri="http://schemas.microsoft.com/office/word/2010/wordprocessingShape">
                    <wps:wsp>
                      <wps:cNvSpPr txBox="1"/>
                      <wps:spPr>
                        <a:xfrm rot="-3480000">
                          <a:off x="0" y="0"/>
                          <a:ext cx="5895340" cy="380365"/>
                        </a:xfrm>
                        <a:prstGeom prst="rect">
                          <a:avLst/>
                        </a:prstGeom>
                        <a:noFill/>
                        <a:ln w="15875">
                          <a:noFill/>
                        </a:ln>
                      </wps:spPr>
                      <wps:txbx>
                        <w:txbxContent>
                          <w:p w14:paraId="53DA843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sz w:val="30"/>
                                <w:szCs w:val="30"/>
                                <w:lang w:val="en-US"/>
                              </w:rPr>
                            </w:pPr>
                            <w:r>
                              <w:rPr>
                                <w:rFonts w:hint="eastAsia"/>
                                <w:sz w:val="30"/>
                                <w:szCs w:val="30"/>
                                <w:lang w:eastAsia="zh-CN"/>
                              </w:rPr>
                              <w:t>仅用于河南建皓新材料有限公司年产</w:t>
                            </w:r>
                            <w:r>
                              <w:rPr>
                                <w:rFonts w:hint="eastAsia"/>
                                <w:sz w:val="30"/>
                                <w:szCs w:val="30"/>
                                <w:lang w:val="en-US" w:eastAsia="zh-CN"/>
                              </w:rPr>
                              <w:t>300吨塑料食品餐盒项目</w:t>
                            </w:r>
                          </w:p>
                          <w:p w14:paraId="3ED290B5">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p>
                        </w:txbxContent>
                      </wps:txbx>
                      <wps:bodyPr upright="0"/>
                    </wps:wsp>
                  </a:graphicData>
                </a:graphic>
              </wp:anchor>
            </w:drawing>
          </mc:Choice>
          <mc:Fallback>
            <w:pict>
              <v:shape id="_x0000_s1026" o:spid="_x0000_s1026" o:spt="202" type="#_x0000_t202" style="position:absolute;left:0pt;margin-left:15.2pt;margin-top:-402.5pt;height:29.95pt;width:464.2pt;rotation:-3801088f;z-index:251730944;mso-width-relative:page;mso-height-relative:page;" filled="f" stroked="f" coordsize="21600,21600" o:gfxdata="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bIVwj2gAAAAwBAAAPAAAAAAAAAAEAIAAAACIAAABkcnMvZG93bnJl&#10;di54bWxQSwECFAAUAAAACACHTuJAG0fQOMIBAABpAwAADgAAAAAAAAABACAAAAApAQAAZHJzL2Uy&#10;b0RvYy54bWxQSwUGAAAAAAYABgBZAQAAXQUAAAAA&#10;">
                <v:fill on="f" focussize="0,0"/>
                <v:stroke on="f" weight="1.25pt"/>
                <v:imagedata o:title=""/>
                <o:lock v:ext="edit" aspectratio="f"/>
                <v:textbox>
                  <w:txbxContent>
                    <w:p w14:paraId="53DA843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sz w:val="30"/>
                          <w:szCs w:val="30"/>
                          <w:lang w:val="en-US"/>
                        </w:rPr>
                      </w:pPr>
                      <w:r>
                        <w:rPr>
                          <w:rFonts w:hint="eastAsia"/>
                          <w:sz w:val="30"/>
                          <w:szCs w:val="30"/>
                          <w:lang w:eastAsia="zh-CN"/>
                        </w:rPr>
                        <w:t>仅用于河南建皓新材料有限公司年产</w:t>
                      </w:r>
                      <w:r>
                        <w:rPr>
                          <w:rFonts w:hint="eastAsia"/>
                          <w:sz w:val="30"/>
                          <w:szCs w:val="30"/>
                          <w:lang w:val="en-US" w:eastAsia="zh-CN"/>
                        </w:rPr>
                        <w:t>300吨塑料食品餐盒项目</w:t>
                      </w:r>
                    </w:p>
                    <w:p w14:paraId="3ED290B5">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p>
                  </w:txbxContent>
                </v:textbox>
              </v:shape>
            </w:pict>
          </mc:Fallback>
        </mc:AlternateContent>
      </w:r>
      <w:r>
        <w:rPr>
          <w:rFonts w:hint="eastAsia" w:eastAsia="宋体"/>
          <w:lang w:eastAsia="zh-CN"/>
        </w:rPr>
        <w:drawing>
          <wp:anchor distT="0" distB="0" distL="114300" distR="114300" simplePos="0" relativeHeight="251728896" behindDoc="0" locked="0" layoutInCell="1" allowOverlap="1">
            <wp:simplePos x="0" y="0"/>
            <wp:positionH relativeFrom="column">
              <wp:posOffset>-490855</wp:posOffset>
            </wp:positionH>
            <wp:positionV relativeFrom="paragraph">
              <wp:posOffset>-600075</wp:posOffset>
            </wp:positionV>
            <wp:extent cx="7350125" cy="9999345"/>
            <wp:effectExtent l="0" t="0" r="3175" b="1905"/>
            <wp:wrapSquare wrapText="bothSides"/>
            <wp:docPr id="12" name="图片 5" descr="d6eea77e5f4fd2575bb3a1fda6ca43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d6eea77e5f4fd2575bb3a1fda6ca43c2"/>
                    <pic:cNvPicPr>
                      <a:picLocks noChangeAspect="1"/>
                    </pic:cNvPicPr>
                  </pic:nvPicPr>
                  <pic:blipFill>
                    <a:blip r:embed="rId12"/>
                    <a:srcRect b="24512"/>
                    <a:stretch>
                      <a:fillRect/>
                    </a:stretch>
                  </pic:blipFill>
                  <pic:spPr>
                    <a:xfrm>
                      <a:off x="0" y="0"/>
                      <a:ext cx="7350125" cy="9999345"/>
                    </a:xfrm>
                    <a:prstGeom prst="rect">
                      <a:avLst/>
                    </a:prstGeom>
                    <a:noFill/>
                    <a:ln>
                      <a:noFill/>
                    </a:ln>
                  </pic:spPr>
                </pic:pic>
              </a:graphicData>
            </a:graphic>
          </wp:anchor>
        </w:drawing>
      </w:r>
    </w:p>
    <w:p w14:paraId="7C96F274">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pPr>
      <w:r>
        <w:rPr>
          <w:sz w:val="24"/>
        </w:rPr>
        <mc:AlternateContent>
          <mc:Choice Requires="wps">
            <w:drawing>
              <wp:anchor distT="0" distB="0" distL="114300" distR="114300" simplePos="0" relativeHeight="251731968" behindDoc="0" locked="0" layoutInCell="1" allowOverlap="1">
                <wp:simplePos x="0" y="0"/>
                <wp:positionH relativeFrom="column">
                  <wp:posOffset>808990</wp:posOffset>
                </wp:positionH>
                <wp:positionV relativeFrom="paragraph">
                  <wp:posOffset>-5330190</wp:posOffset>
                </wp:positionV>
                <wp:extent cx="5895340" cy="380365"/>
                <wp:effectExtent l="2757805" t="0" r="0" b="0"/>
                <wp:wrapNone/>
                <wp:docPr id="18" name="文本框 18"/>
                <wp:cNvGraphicFramePr/>
                <a:graphic xmlns:a="http://schemas.openxmlformats.org/drawingml/2006/main">
                  <a:graphicData uri="http://schemas.microsoft.com/office/word/2010/wordprocessingShape">
                    <wps:wsp>
                      <wps:cNvSpPr txBox="1"/>
                      <wps:spPr>
                        <a:xfrm rot="-3480000">
                          <a:off x="0" y="0"/>
                          <a:ext cx="5895340" cy="380365"/>
                        </a:xfrm>
                        <a:prstGeom prst="rect">
                          <a:avLst/>
                        </a:prstGeom>
                        <a:noFill/>
                        <a:ln w="15875">
                          <a:noFill/>
                        </a:ln>
                      </wps:spPr>
                      <wps:txbx>
                        <w:txbxContent>
                          <w:p w14:paraId="027D5234">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sz w:val="30"/>
                                <w:szCs w:val="30"/>
                                <w:lang w:val="en-US"/>
                              </w:rPr>
                            </w:pPr>
                            <w:r>
                              <w:rPr>
                                <w:rFonts w:hint="eastAsia"/>
                                <w:sz w:val="30"/>
                                <w:szCs w:val="30"/>
                                <w:lang w:eastAsia="zh-CN"/>
                              </w:rPr>
                              <w:t>仅用于河南建皓新材料有限公司年产</w:t>
                            </w:r>
                            <w:r>
                              <w:rPr>
                                <w:rFonts w:hint="eastAsia"/>
                                <w:sz w:val="30"/>
                                <w:szCs w:val="30"/>
                                <w:lang w:val="en-US" w:eastAsia="zh-CN"/>
                              </w:rPr>
                              <w:t>300吨塑料食品餐盒项目</w:t>
                            </w:r>
                          </w:p>
                          <w:p w14:paraId="18F47949">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p>
                        </w:txbxContent>
                      </wps:txbx>
                      <wps:bodyPr upright="0"/>
                    </wps:wsp>
                  </a:graphicData>
                </a:graphic>
              </wp:anchor>
            </w:drawing>
          </mc:Choice>
          <mc:Fallback>
            <w:pict>
              <v:shape id="_x0000_s1026" o:spid="_x0000_s1026" o:spt="202" type="#_x0000_t202" style="position:absolute;left:0pt;margin-left:63.7pt;margin-top:-419.7pt;height:29.95pt;width:464.2pt;rotation:-3801088f;z-index:251731968;mso-width-relative:page;mso-height-relative:page;" filled="f" stroked="f" coordsize="21600,21600" o:gfxdata="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H3/nXtsAAAAOAQAADwAAAAAAAAABACAAAAAiAAAAZHJzL2Rvd25y&#10;ZXYueG1sUEsBAhQAFAAAAAgAh07iQKIgxCTCAQAAaQMAAA4AAAAAAAAAAQAgAAAAKgEAAGRycy9l&#10;Mm9Eb2MueG1sUEsFBgAAAAAGAAYAWQEAAF4FAAAAAA==&#10;">
                <v:fill on="f" focussize="0,0"/>
                <v:stroke on="f" weight="1.25pt"/>
                <v:imagedata o:title=""/>
                <o:lock v:ext="edit" aspectratio="f"/>
                <v:textbox>
                  <w:txbxContent>
                    <w:p w14:paraId="027D5234">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sz w:val="30"/>
                          <w:szCs w:val="30"/>
                          <w:lang w:val="en-US"/>
                        </w:rPr>
                      </w:pPr>
                      <w:r>
                        <w:rPr>
                          <w:rFonts w:hint="eastAsia"/>
                          <w:sz w:val="30"/>
                          <w:szCs w:val="30"/>
                          <w:lang w:eastAsia="zh-CN"/>
                        </w:rPr>
                        <w:t>仅用于河南建皓新材料有限公司年产</w:t>
                      </w:r>
                      <w:r>
                        <w:rPr>
                          <w:rFonts w:hint="eastAsia"/>
                          <w:sz w:val="30"/>
                          <w:szCs w:val="30"/>
                          <w:lang w:val="en-US" w:eastAsia="zh-CN"/>
                        </w:rPr>
                        <w:t>300吨塑料食品餐盒项目</w:t>
                      </w:r>
                    </w:p>
                    <w:p w14:paraId="18F47949">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p>
                  </w:txbxContent>
                </v:textbox>
              </v:shape>
            </w:pict>
          </mc:Fallback>
        </mc:AlternateContent>
      </w:r>
      <w:r>
        <w:rPr>
          <w:rFonts w:hint="eastAsia" w:ascii="Times New Roman" w:hAnsi="Times New Roman" w:eastAsia="黑体" w:cs="Times New Roman"/>
          <w:snapToGrid w:val="0"/>
          <w:sz w:val="30"/>
          <w:szCs w:val="30"/>
          <w:lang w:eastAsia="zh-CN"/>
        </w:rPr>
        <w:drawing>
          <wp:anchor distT="0" distB="0" distL="114300" distR="114300" simplePos="0" relativeHeight="251729920" behindDoc="0" locked="0" layoutInCell="1" allowOverlap="1">
            <wp:simplePos x="0" y="0"/>
            <wp:positionH relativeFrom="column">
              <wp:posOffset>-450215</wp:posOffset>
            </wp:positionH>
            <wp:positionV relativeFrom="paragraph">
              <wp:posOffset>-511175</wp:posOffset>
            </wp:positionV>
            <wp:extent cx="7165975" cy="9753600"/>
            <wp:effectExtent l="0" t="0" r="15875" b="0"/>
            <wp:wrapSquare wrapText="bothSides"/>
            <wp:docPr id="16" name="图片 6" descr="36cd49a6a09f7652a4c233c30524b9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36cd49a6a09f7652a4c233c30524b9f0"/>
                    <pic:cNvPicPr>
                      <a:picLocks noChangeAspect="1"/>
                    </pic:cNvPicPr>
                  </pic:nvPicPr>
                  <pic:blipFill>
                    <a:blip r:embed="rId13"/>
                    <a:stretch>
                      <a:fillRect/>
                    </a:stretch>
                  </pic:blipFill>
                  <pic:spPr>
                    <a:xfrm>
                      <a:off x="0" y="0"/>
                      <a:ext cx="7165975" cy="9753600"/>
                    </a:xfrm>
                    <a:prstGeom prst="rect">
                      <a:avLst/>
                    </a:prstGeom>
                    <a:noFill/>
                    <a:ln>
                      <a:noFill/>
                    </a:ln>
                  </pic:spPr>
                </pic:pic>
              </a:graphicData>
            </a:graphic>
          </wp:anchor>
        </w:drawing>
      </w:r>
    </w:p>
    <w:p w14:paraId="3FE5E41E">
      <w:pPr>
        <w:keepLines w:val="0"/>
        <w:pageBreakBefore w:val="0"/>
        <w:widowControl w:val="0"/>
        <w:kinsoku/>
        <w:wordWrap/>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_GB2312" w:cs="Times New Roman"/>
          <w:sz w:val="36"/>
          <w:szCs w:val="36"/>
        </w:rPr>
        <w:sectPr>
          <w:headerReference r:id="rId5" w:type="default"/>
          <w:footerReference r:id="rId6" w:type="default"/>
          <w:pgSz w:w="11906" w:h="16838"/>
          <w:pgMar w:top="1440" w:right="1080" w:bottom="1440" w:left="1080" w:header="851" w:footer="1077" w:gutter="0"/>
          <w:pgBorders>
            <w:top w:val="none" w:sz="0" w:space="0"/>
            <w:left w:val="none" w:sz="0" w:space="0"/>
            <w:bottom w:val="none" w:sz="0" w:space="0"/>
            <w:right w:val="none" w:sz="0" w:space="0"/>
          </w:pgBorders>
          <w:pgNumType w:fmt="decimal" w:start="3"/>
          <w:cols w:space="720" w:num="1"/>
          <w:docGrid w:linePitch="312" w:charSpace="0"/>
        </w:sectPr>
      </w:pPr>
    </w:p>
    <w:p w14:paraId="52CD5059">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default" w:ascii="Times New Roman" w:hAnsi="Times New Roman" w:eastAsia="黑体" w:cs="Times New Roman"/>
          <w:snapToGrid w:val="0"/>
          <w:sz w:val="30"/>
          <w:szCs w:val="30"/>
        </w:rPr>
      </w:pPr>
      <w:r>
        <w:rPr>
          <w:rFonts w:hint="eastAsia" w:eastAsia="宋体"/>
          <w:lang w:eastAsia="zh-CN"/>
        </w:rPr>
        <w:drawing>
          <wp:anchor distT="0" distB="0" distL="114300" distR="114300" simplePos="0" relativeHeight="251732992" behindDoc="0" locked="0" layoutInCell="1" allowOverlap="1">
            <wp:simplePos x="0" y="0"/>
            <wp:positionH relativeFrom="column">
              <wp:posOffset>-184150</wp:posOffset>
            </wp:positionH>
            <wp:positionV relativeFrom="paragraph">
              <wp:posOffset>-454660</wp:posOffset>
            </wp:positionV>
            <wp:extent cx="6891020" cy="9836150"/>
            <wp:effectExtent l="0" t="0" r="5080" b="12700"/>
            <wp:wrapSquare wrapText="bothSides"/>
            <wp:docPr id="20" name="图片 20" descr="1586c5b67288e3753a17ab00d05dd7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586c5b67288e3753a17ab00d05dd75a"/>
                    <pic:cNvPicPr>
                      <a:picLocks noChangeAspect="1"/>
                    </pic:cNvPicPr>
                  </pic:nvPicPr>
                  <pic:blipFill>
                    <a:blip r:embed="rId14"/>
                    <a:stretch>
                      <a:fillRect/>
                    </a:stretch>
                  </pic:blipFill>
                  <pic:spPr>
                    <a:xfrm>
                      <a:off x="0" y="0"/>
                      <a:ext cx="6891020" cy="9836150"/>
                    </a:xfrm>
                    <a:prstGeom prst="rect">
                      <a:avLst/>
                    </a:prstGeom>
                  </pic:spPr>
                </pic:pic>
              </a:graphicData>
            </a:graphic>
          </wp:anchor>
        </w:drawing>
      </w:r>
    </w:p>
    <w:p w14:paraId="595BA3B7">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default" w:ascii="Times New Roman" w:hAnsi="Times New Roman" w:eastAsia="黑体" w:cs="Times New Roman"/>
          <w:snapToGrid w:val="0"/>
          <w:sz w:val="30"/>
          <w:szCs w:val="30"/>
        </w:rPr>
      </w:pPr>
      <w:r>
        <w:rPr>
          <w:rFonts w:hint="default" w:ascii="Times New Roman" w:hAnsi="Times New Roman" w:eastAsia="黑体" w:cs="Times New Roman"/>
          <w:snapToGrid w:val="0"/>
          <w:sz w:val="30"/>
          <w:szCs w:val="30"/>
        </w:rPr>
        <w:t>一、建设项目基本情况</w:t>
      </w:r>
    </w:p>
    <w:tbl>
      <w:tblPr>
        <w:tblStyle w:val="15"/>
        <w:tblW w:w="49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824"/>
        <w:gridCol w:w="1121"/>
        <w:gridCol w:w="2412"/>
        <w:gridCol w:w="1701"/>
        <w:gridCol w:w="3704"/>
      </w:tblGrid>
      <w:tr w14:paraId="37178F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425C122A">
            <w:pPr>
              <w:pStyle w:val="5"/>
              <w:jc w:val="center"/>
              <w:rPr>
                <w:rFonts w:hint="default" w:ascii="Times New Roman" w:hAnsi="Times New Roman" w:cs="Times New Roman"/>
              </w:rPr>
            </w:pPr>
            <w:r>
              <w:rPr>
                <w:rFonts w:hint="default" w:ascii="Times New Roman" w:hAnsi="Times New Roman" w:cs="Times New Roman"/>
              </w:rPr>
              <w:t>建设项目名称</w:t>
            </w:r>
          </w:p>
        </w:tc>
        <w:tc>
          <w:tcPr>
            <w:tcW w:w="4003" w:type="pct"/>
            <w:gridSpan w:val="3"/>
            <w:noWrap w:val="0"/>
            <w:vAlign w:val="center"/>
          </w:tcPr>
          <w:p w14:paraId="68049DF3">
            <w:pPr>
              <w:pStyle w:val="5"/>
              <w:jc w:val="center"/>
              <w:rPr>
                <w:rFonts w:hint="default" w:ascii="Times New Roman" w:hAnsi="Times New Roman" w:cs="Times New Roman"/>
              </w:rPr>
            </w:pPr>
            <w:r>
              <w:rPr>
                <w:rFonts w:hint="default" w:ascii="Times New Roman" w:hAnsi="Times New Roman" w:cs="Times New Roman"/>
                <w:highlight w:val="none"/>
              </w:rPr>
              <w:t>年产</w:t>
            </w:r>
            <w:r>
              <w:rPr>
                <w:rFonts w:hint="eastAsia" w:cs="Times New Roman"/>
                <w:highlight w:val="none"/>
                <w:lang w:val="en-US" w:eastAsia="zh-CN"/>
              </w:rPr>
              <w:t>300</w:t>
            </w:r>
            <w:r>
              <w:rPr>
                <w:rFonts w:hint="default" w:ascii="Times New Roman" w:hAnsi="Times New Roman" w:cs="Times New Roman"/>
                <w:highlight w:val="none"/>
                <w:lang w:val="en-US" w:eastAsia="zh-CN"/>
              </w:rPr>
              <w:t>吨</w:t>
            </w:r>
            <w:r>
              <w:rPr>
                <w:rFonts w:hint="eastAsia" w:cs="Times New Roman"/>
                <w:highlight w:val="none"/>
                <w:lang w:val="en-US" w:eastAsia="zh-CN"/>
              </w:rPr>
              <w:t>塑料食品餐盒项目</w:t>
            </w:r>
          </w:p>
        </w:tc>
      </w:tr>
      <w:tr w14:paraId="5AAB67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5C108712">
            <w:pPr>
              <w:pStyle w:val="5"/>
              <w:jc w:val="center"/>
              <w:rPr>
                <w:rFonts w:hint="default" w:ascii="Times New Roman" w:hAnsi="Times New Roman" w:cs="Times New Roman"/>
              </w:rPr>
            </w:pPr>
            <w:r>
              <w:rPr>
                <w:rFonts w:hint="default" w:ascii="Times New Roman" w:hAnsi="Times New Roman" w:cs="Times New Roman"/>
              </w:rPr>
              <w:t>项目代码</w:t>
            </w:r>
          </w:p>
        </w:tc>
        <w:tc>
          <w:tcPr>
            <w:tcW w:w="4003" w:type="pct"/>
            <w:gridSpan w:val="3"/>
            <w:noWrap w:val="0"/>
            <w:vAlign w:val="center"/>
          </w:tcPr>
          <w:p w14:paraId="6865253E">
            <w:pPr>
              <w:pStyle w:val="5"/>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2509-410823-04-01-472195</w:t>
            </w:r>
          </w:p>
        </w:tc>
      </w:tr>
      <w:tr w14:paraId="130C26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4FBD668A">
            <w:pPr>
              <w:pStyle w:val="5"/>
              <w:jc w:val="center"/>
              <w:rPr>
                <w:rFonts w:hint="default" w:ascii="Times New Roman" w:hAnsi="Times New Roman" w:cs="Times New Roman"/>
              </w:rPr>
            </w:pPr>
            <w:r>
              <w:rPr>
                <w:rFonts w:hint="default" w:ascii="Times New Roman" w:hAnsi="Times New Roman" w:cs="Times New Roman"/>
              </w:rPr>
              <w:t>建设单位联系人</w:t>
            </w:r>
          </w:p>
        </w:tc>
        <w:tc>
          <w:tcPr>
            <w:tcW w:w="1235" w:type="pct"/>
            <w:noWrap w:val="0"/>
            <w:vAlign w:val="center"/>
          </w:tcPr>
          <w:p w14:paraId="21C20694">
            <w:pPr>
              <w:pStyle w:val="5"/>
              <w:jc w:val="center"/>
              <w:rPr>
                <w:rFonts w:hint="default" w:ascii="Times New Roman" w:hAnsi="Times New Roman" w:eastAsia="宋体" w:cs="Times New Roman"/>
                <w:lang w:eastAsia="zh-CN"/>
              </w:rPr>
            </w:pPr>
            <w:r>
              <w:rPr>
                <w:rFonts w:hint="eastAsia" w:cs="Times New Roman"/>
                <w:lang w:eastAsia="zh-CN"/>
              </w:rPr>
              <w:t>郭元岭</w:t>
            </w:r>
          </w:p>
        </w:tc>
        <w:tc>
          <w:tcPr>
            <w:tcW w:w="871" w:type="pct"/>
            <w:noWrap w:val="0"/>
            <w:vAlign w:val="center"/>
          </w:tcPr>
          <w:p w14:paraId="7D798234">
            <w:pPr>
              <w:pStyle w:val="5"/>
              <w:jc w:val="center"/>
              <w:rPr>
                <w:rFonts w:hint="default" w:ascii="Times New Roman" w:hAnsi="Times New Roman" w:cs="Times New Roman"/>
              </w:rPr>
            </w:pPr>
            <w:r>
              <w:rPr>
                <w:rFonts w:hint="default" w:ascii="Times New Roman" w:hAnsi="Times New Roman" w:cs="Times New Roman"/>
              </w:rPr>
              <w:t>联系方式</w:t>
            </w:r>
          </w:p>
        </w:tc>
        <w:tc>
          <w:tcPr>
            <w:tcW w:w="1896" w:type="pct"/>
            <w:noWrap w:val="0"/>
            <w:vAlign w:val="center"/>
          </w:tcPr>
          <w:p w14:paraId="41C7E1CA">
            <w:pPr>
              <w:pStyle w:val="5"/>
              <w:jc w:val="center"/>
              <w:rPr>
                <w:rFonts w:hint="default" w:ascii="Times New Roman" w:hAnsi="Times New Roman" w:eastAsia="宋体" w:cs="Times New Roman"/>
                <w:lang w:val="en-US" w:eastAsia="zh-CN"/>
              </w:rPr>
            </w:pPr>
            <w:r>
              <w:rPr>
                <w:rFonts w:hint="eastAsia" w:cs="Times New Roman"/>
                <w:lang w:val="en-US" w:eastAsia="zh-CN"/>
              </w:rPr>
              <w:t>17737137575</w:t>
            </w:r>
          </w:p>
        </w:tc>
      </w:tr>
      <w:tr w14:paraId="39C30D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2BDCBDAB">
            <w:pPr>
              <w:pStyle w:val="5"/>
              <w:jc w:val="center"/>
              <w:rPr>
                <w:rFonts w:hint="default" w:ascii="Times New Roman" w:hAnsi="Times New Roman" w:cs="Times New Roman"/>
              </w:rPr>
            </w:pPr>
            <w:r>
              <w:rPr>
                <w:rFonts w:hint="default" w:ascii="Times New Roman" w:hAnsi="Times New Roman" w:cs="Times New Roman"/>
              </w:rPr>
              <w:t>建设地点</w:t>
            </w:r>
          </w:p>
        </w:tc>
        <w:tc>
          <w:tcPr>
            <w:tcW w:w="4003" w:type="pct"/>
            <w:gridSpan w:val="3"/>
            <w:noWrap w:val="0"/>
            <w:vAlign w:val="center"/>
          </w:tcPr>
          <w:p w14:paraId="03A8DDF3">
            <w:pPr>
              <w:pStyle w:val="5"/>
              <w:jc w:val="center"/>
              <w:rPr>
                <w:rFonts w:hint="eastAsia" w:cs="Times New Roman"/>
                <w:highlight w:val="none"/>
                <w:lang w:eastAsia="zh-CN"/>
              </w:rPr>
            </w:pPr>
            <w:r>
              <w:rPr>
                <w:rFonts w:hint="default" w:ascii="Times New Roman" w:hAnsi="Times New Roman" w:cs="Times New Roman"/>
                <w:highlight w:val="none"/>
              </w:rPr>
              <w:t>焦作市武陟县</w:t>
            </w:r>
            <w:r>
              <w:rPr>
                <w:rFonts w:hint="eastAsia" w:cs="Times New Roman"/>
                <w:highlight w:val="none"/>
                <w:lang w:eastAsia="zh-CN"/>
              </w:rPr>
              <w:t>经开区东部园区昌武路与鸿源路</w:t>
            </w:r>
          </w:p>
          <w:p w14:paraId="7B3530C0">
            <w:pPr>
              <w:pStyle w:val="5"/>
              <w:jc w:val="center"/>
              <w:rPr>
                <w:rFonts w:hint="default" w:ascii="Times New Roman" w:hAnsi="Times New Roman" w:cs="Times New Roman"/>
                <w:highlight w:val="none"/>
              </w:rPr>
            </w:pPr>
            <w:r>
              <w:rPr>
                <w:rFonts w:hint="eastAsia" w:cs="Times New Roman"/>
                <w:highlight w:val="none"/>
                <w:lang w:eastAsia="zh-CN"/>
              </w:rPr>
              <w:t>交叉口路西</w:t>
            </w:r>
            <w:r>
              <w:rPr>
                <w:rFonts w:hint="eastAsia" w:cs="Times New Roman"/>
                <w:highlight w:val="none"/>
                <w:lang w:val="en-US" w:eastAsia="zh-CN"/>
              </w:rPr>
              <w:t>200米路南01号</w:t>
            </w:r>
          </w:p>
        </w:tc>
      </w:tr>
      <w:tr w14:paraId="655736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2FF0F488">
            <w:pPr>
              <w:pStyle w:val="5"/>
              <w:jc w:val="center"/>
              <w:rPr>
                <w:rFonts w:hint="default" w:ascii="Times New Roman" w:hAnsi="Times New Roman" w:cs="Times New Roman"/>
              </w:rPr>
            </w:pPr>
            <w:r>
              <w:rPr>
                <w:rFonts w:hint="default" w:ascii="Times New Roman" w:hAnsi="Times New Roman" w:cs="Times New Roman"/>
              </w:rPr>
              <w:t>地理坐标</w:t>
            </w:r>
          </w:p>
        </w:tc>
        <w:tc>
          <w:tcPr>
            <w:tcW w:w="4003" w:type="pct"/>
            <w:gridSpan w:val="3"/>
            <w:noWrap w:val="0"/>
            <w:vAlign w:val="center"/>
          </w:tcPr>
          <w:p w14:paraId="7C46B7CA">
            <w:pPr>
              <w:pStyle w:val="5"/>
              <w:jc w:val="center"/>
              <w:rPr>
                <w:rFonts w:hint="default" w:ascii="Times New Roman" w:hAnsi="Times New Roman" w:cs="Times New Roman"/>
              </w:rPr>
            </w:pPr>
            <w:r>
              <w:rPr>
                <w:rFonts w:hint="default" w:ascii="Times New Roman" w:hAnsi="Times New Roman" w:cs="Times New Roman"/>
                <w:highlight w:val="none"/>
              </w:rPr>
              <w:t>（113度</w:t>
            </w:r>
            <w:r>
              <w:rPr>
                <w:rFonts w:hint="eastAsia" w:cs="Times New Roman"/>
                <w:highlight w:val="none"/>
                <w:lang w:val="en-US" w:eastAsia="zh-CN"/>
              </w:rPr>
              <w:t>33</w:t>
            </w:r>
            <w:r>
              <w:rPr>
                <w:rFonts w:hint="default" w:ascii="Times New Roman" w:hAnsi="Times New Roman" w:cs="Times New Roman"/>
                <w:highlight w:val="none"/>
              </w:rPr>
              <w:t>分</w:t>
            </w:r>
            <w:r>
              <w:rPr>
                <w:rFonts w:hint="eastAsia" w:cs="Times New Roman"/>
                <w:highlight w:val="none"/>
                <w:lang w:val="en-US" w:eastAsia="zh-CN"/>
              </w:rPr>
              <w:t>50.029</w:t>
            </w:r>
            <w:r>
              <w:rPr>
                <w:rFonts w:hint="default" w:ascii="Times New Roman" w:hAnsi="Times New Roman" w:cs="Times New Roman"/>
                <w:highlight w:val="none"/>
              </w:rPr>
              <w:t>秒，35度2分</w:t>
            </w:r>
            <w:r>
              <w:rPr>
                <w:rFonts w:hint="eastAsia" w:cs="Times New Roman"/>
                <w:highlight w:val="none"/>
                <w:lang w:val="en-US" w:eastAsia="zh-CN"/>
              </w:rPr>
              <w:t>54.729</w:t>
            </w:r>
            <w:r>
              <w:rPr>
                <w:rFonts w:hint="default" w:ascii="Times New Roman" w:hAnsi="Times New Roman" w:cs="Times New Roman"/>
                <w:highlight w:val="none"/>
              </w:rPr>
              <w:t>秒）</w:t>
            </w:r>
          </w:p>
        </w:tc>
      </w:tr>
      <w:tr w14:paraId="0DC368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996" w:type="pct"/>
            <w:gridSpan w:val="2"/>
            <w:noWrap w:val="0"/>
            <w:tcMar>
              <w:top w:w="16" w:type="dxa"/>
              <w:left w:w="16" w:type="dxa"/>
              <w:right w:w="16" w:type="dxa"/>
            </w:tcMar>
            <w:vAlign w:val="center"/>
          </w:tcPr>
          <w:p w14:paraId="32ADCEE0">
            <w:pPr>
              <w:pStyle w:val="5"/>
              <w:jc w:val="center"/>
              <w:rPr>
                <w:rFonts w:hint="default" w:ascii="Times New Roman" w:hAnsi="Times New Roman" w:cs="Times New Roman"/>
              </w:rPr>
            </w:pPr>
            <w:r>
              <w:rPr>
                <w:rFonts w:hint="default" w:ascii="Times New Roman" w:hAnsi="Times New Roman" w:cs="Times New Roman"/>
              </w:rPr>
              <w:t>国民经济</w:t>
            </w:r>
          </w:p>
          <w:p w14:paraId="0ECB90C4">
            <w:pPr>
              <w:pStyle w:val="5"/>
              <w:jc w:val="center"/>
              <w:rPr>
                <w:rFonts w:hint="default" w:ascii="Times New Roman" w:hAnsi="Times New Roman" w:cs="Times New Roman"/>
              </w:rPr>
            </w:pPr>
            <w:r>
              <w:rPr>
                <w:rFonts w:hint="default" w:ascii="Times New Roman" w:hAnsi="Times New Roman" w:cs="Times New Roman"/>
              </w:rPr>
              <w:t>行业类别</w:t>
            </w:r>
          </w:p>
        </w:tc>
        <w:tc>
          <w:tcPr>
            <w:tcW w:w="1235" w:type="pct"/>
            <w:noWrap w:val="0"/>
            <w:vAlign w:val="center"/>
          </w:tcPr>
          <w:p w14:paraId="7965BE48">
            <w:pPr>
              <w:pStyle w:val="5"/>
              <w:jc w:val="center"/>
              <w:rPr>
                <w:rFonts w:hint="eastAsia" w:cs="Times New Roman"/>
                <w:highlight w:val="none"/>
                <w:lang w:val="en-US" w:eastAsia="zh-CN"/>
              </w:rPr>
            </w:pPr>
            <w:r>
              <w:rPr>
                <w:rFonts w:hint="default" w:ascii="Times New Roman" w:hAnsi="Times New Roman" w:cs="Times New Roman"/>
                <w:highlight w:val="none"/>
              </w:rPr>
              <w:t>C</w:t>
            </w:r>
            <w:r>
              <w:rPr>
                <w:rFonts w:hint="eastAsia" w:cs="Times New Roman"/>
                <w:highlight w:val="none"/>
                <w:lang w:val="en-US" w:eastAsia="zh-CN"/>
              </w:rPr>
              <w:t>2927日用塑料制品</w:t>
            </w:r>
          </w:p>
          <w:p w14:paraId="3F0D3B5B">
            <w:pPr>
              <w:pStyle w:val="5"/>
              <w:jc w:val="center"/>
              <w:rPr>
                <w:rFonts w:hint="default" w:ascii="Times New Roman" w:hAnsi="Times New Roman" w:cs="Times New Roman"/>
              </w:rPr>
            </w:pPr>
            <w:r>
              <w:rPr>
                <w:rFonts w:hint="eastAsia" w:cs="Times New Roman"/>
                <w:highlight w:val="none"/>
                <w:lang w:val="en-US" w:eastAsia="zh-CN"/>
              </w:rPr>
              <w:t>制造</w:t>
            </w:r>
          </w:p>
        </w:tc>
        <w:tc>
          <w:tcPr>
            <w:tcW w:w="871" w:type="pct"/>
            <w:noWrap w:val="0"/>
            <w:vAlign w:val="center"/>
          </w:tcPr>
          <w:p w14:paraId="0A79CAEA">
            <w:pPr>
              <w:pStyle w:val="5"/>
              <w:jc w:val="center"/>
              <w:rPr>
                <w:rFonts w:hint="default" w:ascii="Times New Roman" w:hAnsi="Times New Roman" w:cs="Times New Roman"/>
              </w:rPr>
            </w:pPr>
            <w:bookmarkStart w:id="0" w:name="_Hlk49843745"/>
            <w:r>
              <w:rPr>
                <w:rFonts w:hint="default" w:ascii="Times New Roman" w:hAnsi="Times New Roman" w:cs="Times New Roman"/>
              </w:rPr>
              <w:t>建设项目</w:t>
            </w:r>
          </w:p>
          <w:p w14:paraId="402AE817">
            <w:pPr>
              <w:pStyle w:val="5"/>
              <w:jc w:val="center"/>
              <w:rPr>
                <w:rFonts w:hint="default" w:ascii="Times New Roman" w:hAnsi="Times New Roman" w:cs="Times New Roman"/>
              </w:rPr>
            </w:pPr>
            <w:r>
              <w:rPr>
                <w:rFonts w:hint="default" w:ascii="Times New Roman" w:hAnsi="Times New Roman" w:cs="Times New Roman"/>
              </w:rPr>
              <w:t>行业类别</w:t>
            </w:r>
            <w:bookmarkEnd w:id="0"/>
          </w:p>
        </w:tc>
        <w:tc>
          <w:tcPr>
            <w:tcW w:w="1896" w:type="pct"/>
            <w:noWrap w:val="0"/>
            <w:vAlign w:val="center"/>
          </w:tcPr>
          <w:p w14:paraId="3213CEE8">
            <w:pPr>
              <w:pStyle w:val="5"/>
              <w:jc w:val="center"/>
              <w:rPr>
                <w:rFonts w:hint="eastAsia"/>
                <w:sz w:val="24"/>
                <w:lang w:val="en-US" w:eastAsia="zh-CN"/>
              </w:rPr>
            </w:pPr>
            <w:r>
              <w:rPr>
                <w:rFonts w:hint="eastAsia"/>
                <w:sz w:val="24"/>
                <w:lang w:val="en-US" w:eastAsia="zh-CN"/>
              </w:rPr>
              <w:t>二十六</w:t>
            </w:r>
            <w:r>
              <w:rPr>
                <w:rFonts w:hint="eastAsia"/>
                <w:sz w:val="24"/>
              </w:rPr>
              <w:t>、</w:t>
            </w:r>
            <w:r>
              <w:rPr>
                <w:rFonts w:hint="eastAsia"/>
                <w:sz w:val="24"/>
                <w:lang w:val="en-US" w:eastAsia="zh-CN"/>
              </w:rPr>
              <w:t>橡胶和塑料制品业</w:t>
            </w:r>
            <w:r>
              <w:rPr>
                <w:rFonts w:hint="eastAsia" w:ascii="Times New Roman" w:hAnsi="Times New Roman" w:cs="Times New Roman"/>
                <w:sz w:val="24"/>
                <w:lang w:val="en-US" w:eastAsia="zh-CN"/>
              </w:rPr>
              <w:t>29</w:t>
            </w:r>
            <w:r>
              <w:rPr>
                <w:rFonts w:hint="eastAsia"/>
                <w:sz w:val="24"/>
                <w:lang w:val="en-US" w:eastAsia="zh-CN"/>
              </w:rPr>
              <w:t>：</w:t>
            </w:r>
          </w:p>
          <w:p w14:paraId="32D782A0">
            <w:pPr>
              <w:pStyle w:val="5"/>
              <w:jc w:val="center"/>
              <w:rPr>
                <w:rFonts w:hint="default" w:ascii="Times New Roman" w:hAnsi="Times New Roman" w:cs="Times New Roman"/>
                <w:color w:val="0000FF"/>
                <w:lang w:val="en-US"/>
              </w:rPr>
            </w:pPr>
            <w:r>
              <w:rPr>
                <w:rFonts w:hint="eastAsia" w:ascii="Times New Roman" w:hAnsi="Times New Roman" w:cs="Times New Roman"/>
                <w:sz w:val="24"/>
                <w:lang w:val="en-US" w:eastAsia="zh-CN"/>
              </w:rPr>
              <w:t>53</w:t>
            </w:r>
            <w:r>
              <w:rPr>
                <w:rFonts w:hint="eastAsia"/>
                <w:sz w:val="24"/>
                <w:lang w:val="en-US" w:eastAsia="zh-CN"/>
              </w:rPr>
              <w:t>.塑料制品业</w:t>
            </w:r>
            <w:r>
              <w:rPr>
                <w:rFonts w:hint="eastAsia" w:ascii="Times New Roman" w:hAnsi="Times New Roman" w:cs="Times New Roman"/>
                <w:sz w:val="24"/>
                <w:lang w:val="en-US" w:eastAsia="zh-CN"/>
              </w:rPr>
              <w:t>292</w:t>
            </w:r>
          </w:p>
        </w:tc>
      </w:tr>
      <w:tr w14:paraId="1B08C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98" w:hRule="atLeast"/>
          <w:jc w:val="center"/>
        </w:trPr>
        <w:tc>
          <w:tcPr>
            <w:tcW w:w="996" w:type="pct"/>
            <w:gridSpan w:val="2"/>
            <w:noWrap w:val="0"/>
            <w:tcMar>
              <w:top w:w="16" w:type="dxa"/>
              <w:left w:w="16" w:type="dxa"/>
              <w:right w:w="16" w:type="dxa"/>
            </w:tcMar>
            <w:vAlign w:val="center"/>
          </w:tcPr>
          <w:p w14:paraId="24A09B8A">
            <w:pPr>
              <w:pStyle w:val="5"/>
              <w:jc w:val="center"/>
              <w:rPr>
                <w:rFonts w:hint="default" w:ascii="Times New Roman" w:hAnsi="Times New Roman" w:cs="Times New Roman"/>
              </w:rPr>
            </w:pPr>
            <w:r>
              <w:rPr>
                <w:rFonts w:hint="default" w:ascii="Times New Roman" w:hAnsi="Times New Roman" w:cs="Times New Roman"/>
              </w:rPr>
              <w:t>建设性质</w:t>
            </w:r>
          </w:p>
        </w:tc>
        <w:tc>
          <w:tcPr>
            <w:tcW w:w="1235" w:type="pct"/>
            <w:noWrap w:val="0"/>
            <w:vAlign w:val="center"/>
          </w:tcPr>
          <w:p w14:paraId="3170F363">
            <w:pPr>
              <w:pStyle w:val="5"/>
              <w:jc w:val="left"/>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新建（迁建）</w:t>
            </w:r>
          </w:p>
          <w:p w14:paraId="5D7DED55">
            <w:pPr>
              <w:pStyle w:val="5"/>
              <w:jc w:val="left"/>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改建</w:t>
            </w:r>
          </w:p>
          <w:p w14:paraId="3007EB55">
            <w:pPr>
              <w:pStyle w:val="5"/>
              <w:jc w:val="left"/>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扩建</w:t>
            </w:r>
          </w:p>
          <w:p w14:paraId="5758D017">
            <w:pPr>
              <w:pStyle w:val="5"/>
              <w:jc w:val="left"/>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技术改造</w:t>
            </w:r>
          </w:p>
        </w:tc>
        <w:tc>
          <w:tcPr>
            <w:tcW w:w="871" w:type="pct"/>
            <w:noWrap w:val="0"/>
            <w:vAlign w:val="center"/>
          </w:tcPr>
          <w:p w14:paraId="38513F7A">
            <w:pPr>
              <w:pStyle w:val="5"/>
              <w:jc w:val="center"/>
              <w:rPr>
                <w:rFonts w:hint="default" w:ascii="Times New Roman" w:hAnsi="Times New Roman" w:cs="Times New Roman"/>
              </w:rPr>
            </w:pPr>
            <w:r>
              <w:rPr>
                <w:rFonts w:hint="default" w:ascii="Times New Roman" w:hAnsi="Times New Roman" w:cs="Times New Roman"/>
              </w:rPr>
              <w:t>建设项目</w:t>
            </w:r>
          </w:p>
          <w:p w14:paraId="097B75A0">
            <w:pPr>
              <w:pStyle w:val="5"/>
              <w:jc w:val="center"/>
              <w:rPr>
                <w:rFonts w:hint="default" w:ascii="Times New Roman" w:hAnsi="Times New Roman" w:cs="Times New Roman"/>
              </w:rPr>
            </w:pPr>
            <w:r>
              <w:rPr>
                <w:rFonts w:hint="default" w:ascii="Times New Roman" w:hAnsi="Times New Roman" w:cs="Times New Roman"/>
              </w:rPr>
              <w:t>申报情形</w:t>
            </w:r>
          </w:p>
        </w:tc>
        <w:tc>
          <w:tcPr>
            <w:tcW w:w="1896" w:type="pct"/>
            <w:noWrap w:val="0"/>
            <w:vAlign w:val="center"/>
          </w:tcPr>
          <w:p w14:paraId="49980AD5">
            <w:pPr>
              <w:pStyle w:val="5"/>
              <w:jc w:val="left"/>
              <w:rPr>
                <w:rFonts w:hint="default" w:ascii="Times New Roman" w:hAnsi="Times New Roman" w:cs="Times New Roman"/>
              </w:rPr>
            </w:pPr>
            <w:r>
              <w:rPr>
                <w:rFonts w:hint="default" w:ascii="Times New Roman" w:hAnsi="Times New Roman" w:cs="Times New Roman"/>
              </w:rPr>
              <w:t>☑首次申报项目</w:t>
            </w:r>
          </w:p>
          <w:p w14:paraId="3FB2427F">
            <w:pPr>
              <w:pStyle w:val="5"/>
              <w:jc w:val="left"/>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不予批准后再次申报项目</w:t>
            </w:r>
          </w:p>
          <w:p w14:paraId="11474504">
            <w:pPr>
              <w:pStyle w:val="5"/>
              <w:jc w:val="left"/>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超五年重新审核项目</w:t>
            </w:r>
          </w:p>
          <w:p w14:paraId="46E1BEF5">
            <w:pPr>
              <w:pStyle w:val="5"/>
              <w:jc w:val="left"/>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重大变动重新报批项目</w:t>
            </w:r>
          </w:p>
        </w:tc>
      </w:tr>
      <w:tr w14:paraId="021A64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19A38511">
            <w:pPr>
              <w:pStyle w:val="5"/>
              <w:jc w:val="center"/>
              <w:rPr>
                <w:rFonts w:hint="default" w:ascii="Times New Roman" w:hAnsi="Times New Roman" w:cs="Times New Roman"/>
              </w:rPr>
            </w:pPr>
            <w:r>
              <w:rPr>
                <w:rFonts w:hint="default" w:ascii="Times New Roman" w:hAnsi="Times New Roman" w:cs="Times New Roman"/>
              </w:rPr>
              <w:t>项目备案部门</w:t>
            </w:r>
          </w:p>
        </w:tc>
        <w:tc>
          <w:tcPr>
            <w:tcW w:w="1235" w:type="pct"/>
            <w:noWrap w:val="0"/>
            <w:vAlign w:val="center"/>
          </w:tcPr>
          <w:p w14:paraId="693EC7E3">
            <w:pPr>
              <w:pStyle w:val="5"/>
              <w:jc w:val="center"/>
              <w:rPr>
                <w:rFonts w:hint="default" w:ascii="Times New Roman" w:hAnsi="Times New Roman" w:cs="Times New Roman"/>
              </w:rPr>
            </w:pPr>
            <w:r>
              <w:rPr>
                <w:rFonts w:hint="default" w:ascii="Times New Roman" w:hAnsi="Times New Roman" w:cs="Times New Roman"/>
              </w:rPr>
              <w:t>武陟经济技术开发区管理委员会</w:t>
            </w:r>
          </w:p>
        </w:tc>
        <w:tc>
          <w:tcPr>
            <w:tcW w:w="871" w:type="pct"/>
            <w:noWrap w:val="0"/>
            <w:vAlign w:val="center"/>
          </w:tcPr>
          <w:p w14:paraId="2CB98350">
            <w:pPr>
              <w:pStyle w:val="5"/>
              <w:jc w:val="center"/>
              <w:rPr>
                <w:rFonts w:hint="default" w:ascii="Times New Roman" w:hAnsi="Times New Roman" w:cs="Times New Roman"/>
              </w:rPr>
            </w:pPr>
            <w:r>
              <w:rPr>
                <w:rFonts w:hint="default" w:ascii="Times New Roman" w:hAnsi="Times New Roman" w:cs="Times New Roman"/>
              </w:rPr>
              <w:t>项目备案文号</w:t>
            </w:r>
          </w:p>
        </w:tc>
        <w:tc>
          <w:tcPr>
            <w:tcW w:w="1896" w:type="pct"/>
            <w:noWrap w:val="0"/>
            <w:vAlign w:val="center"/>
          </w:tcPr>
          <w:p w14:paraId="31F1ABB5">
            <w:pPr>
              <w:pStyle w:val="5"/>
              <w:jc w:val="center"/>
              <w:rPr>
                <w:rFonts w:hint="default" w:ascii="Times New Roman" w:hAnsi="Times New Roman" w:cs="Times New Roman"/>
              </w:rPr>
            </w:pPr>
            <w:r>
              <w:rPr>
                <w:rFonts w:hint="default" w:ascii="Times New Roman" w:hAnsi="Times New Roman" w:eastAsia="宋体" w:cs="Times New Roman"/>
                <w:lang w:val="en-US" w:eastAsia="zh-CN"/>
              </w:rPr>
              <w:t>2509-410823-04-01-472195</w:t>
            </w:r>
          </w:p>
        </w:tc>
      </w:tr>
      <w:tr w14:paraId="63051E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064E39C2">
            <w:pPr>
              <w:pStyle w:val="5"/>
              <w:jc w:val="center"/>
              <w:rPr>
                <w:rFonts w:hint="default" w:ascii="Times New Roman" w:hAnsi="Times New Roman" w:cs="Times New Roman"/>
              </w:rPr>
            </w:pPr>
            <w:r>
              <w:rPr>
                <w:rFonts w:hint="default" w:ascii="Times New Roman" w:hAnsi="Times New Roman" w:cs="Times New Roman"/>
              </w:rPr>
              <w:t>总投资（万元）</w:t>
            </w:r>
          </w:p>
        </w:tc>
        <w:tc>
          <w:tcPr>
            <w:tcW w:w="1235" w:type="pct"/>
            <w:noWrap w:val="0"/>
            <w:vAlign w:val="center"/>
          </w:tcPr>
          <w:p w14:paraId="69623294">
            <w:pPr>
              <w:pStyle w:val="5"/>
              <w:jc w:val="center"/>
              <w:rPr>
                <w:rFonts w:hint="default" w:ascii="Times New Roman" w:hAnsi="Times New Roman" w:cs="Times New Roman"/>
                <w:highlight w:val="none"/>
                <w:lang w:val="en-US"/>
              </w:rPr>
            </w:pPr>
            <w:r>
              <w:rPr>
                <w:rFonts w:hint="eastAsia" w:cs="Times New Roman"/>
                <w:highlight w:val="none"/>
                <w:lang w:val="en-US" w:eastAsia="zh-CN"/>
              </w:rPr>
              <w:t>500</w:t>
            </w:r>
          </w:p>
        </w:tc>
        <w:tc>
          <w:tcPr>
            <w:tcW w:w="871" w:type="pct"/>
            <w:noWrap w:val="0"/>
            <w:tcMar>
              <w:top w:w="16" w:type="dxa"/>
              <w:left w:w="16" w:type="dxa"/>
              <w:right w:w="16" w:type="dxa"/>
            </w:tcMar>
            <w:vAlign w:val="center"/>
          </w:tcPr>
          <w:p w14:paraId="1F741AA1">
            <w:pPr>
              <w:pStyle w:val="5"/>
              <w:jc w:val="center"/>
              <w:rPr>
                <w:rFonts w:hint="default" w:ascii="Times New Roman" w:hAnsi="Times New Roman" w:cs="Times New Roman"/>
                <w:highlight w:val="none"/>
              </w:rPr>
            </w:pPr>
            <w:r>
              <w:rPr>
                <w:rFonts w:hint="default" w:ascii="Times New Roman" w:hAnsi="Times New Roman" w:cs="Times New Roman"/>
                <w:highlight w:val="none"/>
              </w:rPr>
              <w:t>环保投资</w:t>
            </w:r>
          </w:p>
          <w:p w14:paraId="7B3D2346">
            <w:pPr>
              <w:pStyle w:val="5"/>
              <w:jc w:val="center"/>
              <w:rPr>
                <w:rFonts w:hint="default" w:ascii="Times New Roman" w:hAnsi="Times New Roman" w:cs="Times New Roman"/>
                <w:highlight w:val="none"/>
              </w:rPr>
            </w:pPr>
            <w:r>
              <w:rPr>
                <w:rFonts w:hint="default" w:ascii="Times New Roman" w:hAnsi="Times New Roman" w:cs="Times New Roman"/>
                <w:highlight w:val="none"/>
              </w:rPr>
              <w:t>（万元）</w:t>
            </w:r>
          </w:p>
        </w:tc>
        <w:tc>
          <w:tcPr>
            <w:tcW w:w="1896" w:type="pct"/>
            <w:noWrap w:val="0"/>
            <w:vAlign w:val="center"/>
          </w:tcPr>
          <w:p w14:paraId="2EDACD1C">
            <w:pPr>
              <w:pStyle w:val="5"/>
              <w:jc w:val="center"/>
              <w:rPr>
                <w:rFonts w:hint="default" w:ascii="Times New Roman" w:hAnsi="Times New Roman" w:eastAsia="宋体" w:cs="Times New Roman"/>
                <w:highlight w:val="none"/>
                <w:lang w:val="en-US" w:eastAsia="zh-CN"/>
              </w:rPr>
            </w:pPr>
            <w:r>
              <w:rPr>
                <w:rFonts w:hint="eastAsia" w:cs="Times New Roman"/>
                <w:highlight w:val="none"/>
                <w:lang w:val="en-US" w:eastAsia="zh-CN"/>
              </w:rPr>
              <w:t>26</w:t>
            </w:r>
          </w:p>
        </w:tc>
      </w:tr>
      <w:tr w14:paraId="4340A1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57BADD4C">
            <w:pPr>
              <w:pStyle w:val="5"/>
              <w:jc w:val="center"/>
              <w:rPr>
                <w:rFonts w:hint="default" w:ascii="Times New Roman" w:hAnsi="Times New Roman" w:cs="Times New Roman"/>
              </w:rPr>
            </w:pPr>
            <w:r>
              <w:rPr>
                <w:rFonts w:hint="default" w:ascii="Times New Roman" w:hAnsi="Times New Roman" w:cs="Times New Roman"/>
              </w:rPr>
              <w:t>环保投资占比（%）</w:t>
            </w:r>
          </w:p>
        </w:tc>
        <w:tc>
          <w:tcPr>
            <w:tcW w:w="1235" w:type="pct"/>
            <w:noWrap w:val="0"/>
            <w:vAlign w:val="center"/>
          </w:tcPr>
          <w:p w14:paraId="5BC1A6AC">
            <w:pPr>
              <w:pStyle w:val="5"/>
              <w:jc w:val="center"/>
              <w:rPr>
                <w:rFonts w:hint="default" w:ascii="Times New Roman" w:hAnsi="Times New Roman" w:eastAsia="宋体" w:cs="Times New Roman"/>
                <w:highlight w:val="none"/>
                <w:lang w:val="en-US" w:eastAsia="zh-CN"/>
              </w:rPr>
            </w:pPr>
            <w:r>
              <w:rPr>
                <w:rFonts w:hint="eastAsia" w:cs="Times New Roman"/>
                <w:highlight w:val="none"/>
                <w:lang w:val="en-US" w:eastAsia="zh-CN"/>
              </w:rPr>
              <w:t>5.2</w:t>
            </w:r>
          </w:p>
        </w:tc>
        <w:tc>
          <w:tcPr>
            <w:tcW w:w="871" w:type="pct"/>
            <w:noWrap w:val="0"/>
            <w:tcMar>
              <w:top w:w="16" w:type="dxa"/>
              <w:left w:w="16" w:type="dxa"/>
              <w:right w:w="16" w:type="dxa"/>
            </w:tcMar>
            <w:vAlign w:val="center"/>
          </w:tcPr>
          <w:p w14:paraId="29195410">
            <w:pPr>
              <w:pStyle w:val="5"/>
              <w:jc w:val="center"/>
              <w:rPr>
                <w:rFonts w:hint="default" w:ascii="Times New Roman" w:hAnsi="Times New Roman" w:cs="Times New Roman"/>
                <w:highlight w:val="none"/>
              </w:rPr>
            </w:pPr>
            <w:r>
              <w:rPr>
                <w:rFonts w:hint="default" w:ascii="Times New Roman" w:hAnsi="Times New Roman" w:cs="Times New Roman"/>
                <w:highlight w:val="none"/>
              </w:rPr>
              <w:t>施工工期</w:t>
            </w:r>
          </w:p>
        </w:tc>
        <w:tc>
          <w:tcPr>
            <w:tcW w:w="1896" w:type="pct"/>
            <w:noWrap w:val="0"/>
            <w:vAlign w:val="center"/>
          </w:tcPr>
          <w:p w14:paraId="0D9E1109">
            <w:pPr>
              <w:pStyle w:val="5"/>
              <w:jc w:val="center"/>
              <w:rPr>
                <w:rFonts w:hint="default" w:ascii="Times New Roman" w:hAnsi="Times New Roman" w:cs="Times New Roman"/>
                <w:highlight w:val="none"/>
              </w:rPr>
            </w:pPr>
            <w:r>
              <w:rPr>
                <w:rFonts w:hint="default" w:ascii="Times New Roman" w:hAnsi="Times New Roman" w:cs="Times New Roman"/>
                <w:highlight w:val="none"/>
              </w:rPr>
              <w:t>2个月</w:t>
            </w:r>
          </w:p>
        </w:tc>
      </w:tr>
      <w:tr w14:paraId="0A40CF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96" w:type="pct"/>
            <w:gridSpan w:val="2"/>
            <w:noWrap w:val="0"/>
            <w:tcMar>
              <w:top w:w="16" w:type="dxa"/>
              <w:left w:w="16" w:type="dxa"/>
              <w:right w:w="16" w:type="dxa"/>
            </w:tcMar>
            <w:vAlign w:val="center"/>
          </w:tcPr>
          <w:p w14:paraId="5AA3E77B">
            <w:pPr>
              <w:pStyle w:val="5"/>
              <w:jc w:val="center"/>
              <w:rPr>
                <w:rFonts w:hint="default" w:ascii="Times New Roman" w:hAnsi="Times New Roman" w:cs="Times New Roman"/>
              </w:rPr>
            </w:pPr>
            <w:r>
              <w:rPr>
                <w:rFonts w:hint="default" w:ascii="Times New Roman" w:hAnsi="Times New Roman" w:cs="Times New Roman"/>
              </w:rPr>
              <w:t>是否开工建设</w:t>
            </w:r>
          </w:p>
        </w:tc>
        <w:tc>
          <w:tcPr>
            <w:tcW w:w="1235" w:type="pct"/>
            <w:noWrap w:val="0"/>
            <w:vAlign w:val="center"/>
          </w:tcPr>
          <w:p w14:paraId="2FA0730D">
            <w:pPr>
              <w:pStyle w:val="5"/>
              <w:jc w:val="center"/>
              <w:rPr>
                <w:rFonts w:hint="default" w:ascii="Times New Roman" w:hAnsi="Times New Roman" w:eastAsia="宋体" w:cs="Times New Roman"/>
                <w:lang w:eastAsia="zh-CN"/>
              </w:rPr>
            </w:pPr>
            <w:r>
              <w:rPr>
                <w:rFonts w:hint="default" w:ascii="Times New Roman" w:hAnsi="Times New Roman" w:cs="Times New Roman"/>
                <w:lang w:eastAsia="zh-CN"/>
              </w:rPr>
              <w:t>☑</w:t>
            </w:r>
            <w:r>
              <w:rPr>
                <w:rFonts w:hint="default" w:ascii="Times New Roman" w:hAnsi="Times New Roman" w:cs="Times New Roman"/>
              </w:rPr>
              <w:t>否</w:t>
            </w:r>
            <w:r>
              <w:rPr>
                <w:rFonts w:hint="default" w:ascii="Times New Roman" w:hAnsi="Times New Roman" w:cs="Times New Roman"/>
                <w:lang w:eastAsia="zh-CN"/>
              </w:rPr>
              <w:t>□</w:t>
            </w:r>
            <w:r>
              <w:rPr>
                <w:rFonts w:hint="default" w:ascii="Times New Roman" w:hAnsi="Times New Roman" w:cs="Times New Roman"/>
              </w:rPr>
              <w:t>是</w:t>
            </w:r>
          </w:p>
        </w:tc>
        <w:tc>
          <w:tcPr>
            <w:tcW w:w="871" w:type="pct"/>
            <w:noWrap w:val="0"/>
            <w:tcMar>
              <w:top w:w="16" w:type="dxa"/>
              <w:left w:w="16" w:type="dxa"/>
              <w:right w:w="16" w:type="dxa"/>
            </w:tcMar>
            <w:vAlign w:val="center"/>
          </w:tcPr>
          <w:p w14:paraId="4B088F14">
            <w:pPr>
              <w:pStyle w:val="5"/>
              <w:jc w:val="center"/>
              <w:rPr>
                <w:rFonts w:hint="default" w:ascii="Times New Roman" w:hAnsi="Times New Roman" w:cs="Times New Roman"/>
              </w:rPr>
            </w:pPr>
            <w:r>
              <w:rPr>
                <w:rFonts w:hint="default" w:ascii="Times New Roman" w:hAnsi="Times New Roman" w:cs="Times New Roman"/>
              </w:rPr>
              <w:t>用地面积（m</w:t>
            </w:r>
            <w:r>
              <w:rPr>
                <w:rFonts w:hint="default" w:ascii="Times New Roman" w:hAnsi="Times New Roman" w:cs="Times New Roman"/>
                <w:vertAlign w:val="superscript"/>
              </w:rPr>
              <w:t>2</w:t>
            </w:r>
            <w:r>
              <w:rPr>
                <w:rFonts w:hint="default" w:ascii="Times New Roman" w:hAnsi="Times New Roman" w:cs="Times New Roman"/>
              </w:rPr>
              <w:t>）</w:t>
            </w:r>
          </w:p>
        </w:tc>
        <w:tc>
          <w:tcPr>
            <w:tcW w:w="1896" w:type="pct"/>
            <w:noWrap w:val="0"/>
            <w:vAlign w:val="center"/>
          </w:tcPr>
          <w:p w14:paraId="1DA4487C">
            <w:pPr>
              <w:pStyle w:val="5"/>
              <w:jc w:val="center"/>
              <w:rPr>
                <w:rFonts w:hint="default" w:ascii="Times New Roman" w:hAnsi="Times New Roman" w:eastAsia="宋体" w:cs="Times New Roman"/>
                <w:lang w:val="en-US" w:eastAsia="zh-CN"/>
              </w:rPr>
            </w:pPr>
            <w:r>
              <w:rPr>
                <w:rFonts w:hint="eastAsia" w:cs="Times New Roman"/>
                <w:lang w:val="en-US" w:eastAsia="zh-CN"/>
              </w:rPr>
              <w:t>1400</w:t>
            </w:r>
          </w:p>
        </w:tc>
      </w:tr>
      <w:tr w14:paraId="3B175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996" w:type="pct"/>
            <w:gridSpan w:val="2"/>
            <w:noWrap w:val="0"/>
            <w:vAlign w:val="center"/>
          </w:tcPr>
          <w:p w14:paraId="2D5E8795">
            <w:pPr>
              <w:pStyle w:val="5"/>
              <w:jc w:val="center"/>
              <w:rPr>
                <w:rFonts w:hint="default" w:ascii="Times New Roman" w:hAnsi="Times New Roman" w:cs="Times New Roman"/>
              </w:rPr>
            </w:pPr>
            <w:r>
              <w:rPr>
                <w:rFonts w:hint="default" w:ascii="Times New Roman" w:hAnsi="Times New Roman" w:cs="Times New Roman"/>
              </w:rPr>
              <w:t>专项评价</w:t>
            </w:r>
          </w:p>
          <w:p w14:paraId="015A9097">
            <w:pPr>
              <w:pStyle w:val="5"/>
              <w:jc w:val="center"/>
              <w:rPr>
                <w:rFonts w:hint="default" w:ascii="Times New Roman" w:hAnsi="Times New Roman" w:cs="Times New Roman"/>
              </w:rPr>
            </w:pPr>
            <w:r>
              <w:rPr>
                <w:rFonts w:hint="default" w:ascii="Times New Roman" w:hAnsi="Times New Roman" w:cs="Times New Roman"/>
              </w:rPr>
              <w:t>设置情况</w:t>
            </w:r>
          </w:p>
        </w:tc>
        <w:tc>
          <w:tcPr>
            <w:tcW w:w="4003" w:type="pct"/>
            <w:gridSpan w:val="3"/>
            <w:noWrap w:val="0"/>
            <w:vAlign w:val="center"/>
          </w:tcPr>
          <w:p w14:paraId="32A32F72">
            <w:pPr>
              <w:pStyle w:val="5"/>
              <w:jc w:val="center"/>
              <w:rPr>
                <w:rFonts w:hint="default" w:ascii="Times New Roman" w:hAnsi="Times New Roman" w:cs="Times New Roman"/>
              </w:rPr>
            </w:pPr>
            <w:r>
              <w:rPr>
                <w:rFonts w:hint="default" w:ascii="Times New Roman" w:hAnsi="Times New Roman" w:cs="Times New Roman"/>
              </w:rPr>
              <w:t>无</w:t>
            </w:r>
          </w:p>
        </w:tc>
      </w:tr>
      <w:tr w14:paraId="504CB7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996" w:type="pct"/>
            <w:gridSpan w:val="2"/>
            <w:noWrap w:val="0"/>
            <w:vAlign w:val="center"/>
          </w:tcPr>
          <w:p w14:paraId="1C6607B9">
            <w:pPr>
              <w:pStyle w:val="5"/>
              <w:jc w:val="center"/>
              <w:rPr>
                <w:rFonts w:hint="default" w:ascii="Times New Roman" w:hAnsi="Times New Roman" w:cs="Times New Roman"/>
                <w:highlight w:val="none"/>
                <w:u w:val="single"/>
              </w:rPr>
            </w:pPr>
            <w:r>
              <w:rPr>
                <w:rFonts w:hint="default" w:ascii="Times New Roman" w:hAnsi="Times New Roman" w:cs="Times New Roman"/>
                <w:highlight w:val="none"/>
              </w:rPr>
              <w:t>规划情况</w:t>
            </w:r>
          </w:p>
        </w:tc>
        <w:tc>
          <w:tcPr>
            <w:tcW w:w="4003" w:type="pct"/>
            <w:gridSpan w:val="3"/>
            <w:noWrap w:val="0"/>
            <w:vAlign w:val="center"/>
          </w:tcPr>
          <w:p w14:paraId="48A48117">
            <w:pPr>
              <w:keepNext w:val="0"/>
              <w:keepLines w:val="0"/>
              <w:pageBreakBefore w:val="0"/>
              <w:widowControl w:val="0"/>
              <w:kinsoku/>
              <w:wordWrap/>
              <w:overflowPunct/>
              <w:topLinePunct w:val="0"/>
              <w:autoSpaceDE w:val="0"/>
              <w:bidi w:val="0"/>
              <w:adjustRightInd w:val="0"/>
              <w:snapToGrid w:val="0"/>
              <w:spacing w:line="520" w:lineRule="exact"/>
              <w:ind w:left="0" w:leftChars="0" w:firstLine="0" w:firstLineChars="0"/>
              <w:jc w:val="left"/>
              <w:textAlignment w:val="auto"/>
              <w:rPr>
                <w:rFonts w:hint="default" w:ascii="Times New Roman" w:hAnsi="Times New Roman" w:cs="Times New Roman"/>
                <w:kern w:val="0"/>
                <w:sz w:val="24"/>
                <w:highlight w:val="none"/>
              </w:rPr>
            </w:pPr>
            <w:r>
              <w:rPr>
                <w:rFonts w:hint="default" w:ascii="Times New Roman" w:hAnsi="Times New Roman" w:cs="Times New Roman"/>
                <w:sz w:val="24"/>
              </w:rPr>
              <w:t>规划名称：《武陟经济技术开发区发展规划（2022~2035）》</w:t>
            </w:r>
          </w:p>
          <w:p w14:paraId="709C7CD9">
            <w:pPr>
              <w:autoSpaceDE w:val="0"/>
              <w:autoSpaceDN w:val="0"/>
              <w:adjustRightInd w:val="0"/>
              <w:snapToGrid w:val="0"/>
              <w:spacing w:line="520" w:lineRule="exact"/>
              <w:ind w:left="0" w:leftChars="0" w:firstLine="0" w:firstLineChars="0"/>
              <w:jc w:val="left"/>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eastAsia="宋体" w:cs="Times New Roman"/>
                <w:kern w:val="0"/>
                <w:sz w:val="24"/>
                <w:szCs w:val="24"/>
                <w:highlight w:val="none"/>
                <w:lang w:val="en-US" w:eastAsia="zh-CN" w:bidi="ar-SA"/>
              </w:rPr>
              <w:t>审批机关：</w:t>
            </w:r>
            <w:r>
              <w:rPr>
                <w:rFonts w:hint="eastAsia" w:ascii="Times New Roman" w:hAnsi="Times New Roman" w:eastAsia="宋体" w:cs="Times New Roman"/>
                <w:kern w:val="0"/>
                <w:sz w:val="24"/>
                <w:szCs w:val="24"/>
                <w:lang w:val="en-US" w:eastAsia="zh-CN" w:bidi="ar-SA"/>
              </w:rPr>
              <w:t>河南省发展和改革委员会</w:t>
            </w:r>
          </w:p>
          <w:p w14:paraId="370170FC">
            <w:pPr>
              <w:keepNext w:val="0"/>
              <w:keepLines w:val="0"/>
              <w:pageBreakBefore w:val="0"/>
              <w:widowControl w:val="0"/>
              <w:kinsoku/>
              <w:wordWrap/>
              <w:overflowPunct/>
              <w:topLinePunct w:val="0"/>
              <w:autoSpaceDE w:val="0"/>
              <w:bidi w:val="0"/>
              <w:adjustRightInd w:val="0"/>
              <w:snapToGrid w:val="0"/>
              <w:spacing w:line="520" w:lineRule="exact"/>
              <w:ind w:left="0" w:leftChars="0" w:firstLine="0" w:firstLineChars="0"/>
              <w:jc w:val="left"/>
              <w:textAlignment w:val="auto"/>
              <w:rPr>
                <w:rFonts w:hint="default" w:ascii="Times New Roman" w:hAnsi="Times New Roman" w:cs="Times New Roman"/>
                <w:color w:val="FF0000"/>
              </w:rPr>
            </w:pPr>
            <w:r>
              <w:rPr>
                <w:rFonts w:hint="default" w:ascii="Times New Roman" w:hAnsi="Times New Roman" w:cs="Times New Roman"/>
                <w:sz w:val="24"/>
                <w:highlight w:val="none"/>
              </w:rPr>
              <w:t>审批文件名称及文号</w:t>
            </w:r>
            <w:r>
              <w:rPr>
                <w:rFonts w:hint="eastAsia" w:cs="Times New Roman"/>
                <w:sz w:val="24"/>
                <w:highlight w:val="none"/>
                <w:lang w:eastAsia="zh-CN"/>
              </w:rPr>
              <w:t>：</w:t>
            </w:r>
            <w:r>
              <w:rPr>
                <w:rFonts w:hint="eastAsia" w:ascii="Times New Roman" w:hAnsi="Times New Roman" w:eastAsia="宋体" w:cs="Times New Roman"/>
                <w:kern w:val="0"/>
                <w:sz w:val="24"/>
                <w:szCs w:val="24"/>
                <w:lang w:val="en-US" w:eastAsia="zh-CN" w:bidi="ar-SA"/>
              </w:rPr>
              <w:t>《河南省发展和改革委员会关于</w:t>
            </w:r>
            <w:r>
              <w:rPr>
                <w:rFonts w:hint="default" w:ascii="Times New Roman" w:hAnsi="Times New Roman" w:cs="Times New Roman"/>
                <w:sz w:val="24"/>
              </w:rPr>
              <w:t>武陟经济技术开发区发展规划</w:t>
            </w:r>
            <w:r>
              <w:rPr>
                <w:rFonts w:hint="eastAsia" w:ascii="Times New Roman" w:hAnsi="Times New Roman" w:eastAsia="宋体" w:cs="Times New Roman"/>
                <w:kern w:val="0"/>
                <w:sz w:val="24"/>
                <w:szCs w:val="24"/>
                <w:lang w:val="en-US" w:eastAsia="zh-CN" w:bidi="ar-SA"/>
              </w:rPr>
              <w:t>的批复》</w:t>
            </w:r>
            <w:r>
              <w:rPr>
                <w:rFonts w:hint="default" w:ascii="Times New Roman" w:hAnsi="Times New Roman" w:cs="Times New Roman"/>
                <w:sz w:val="24"/>
              </w:rPr>
              <w:t>（豫发改工业函〔2022〕36号文）</w:t>
            </w:r>
          </w:p>
        </w:tc>
      </w:tr>
      <w:tr w14:paraId="7C62F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02" w:hRule="atLeast"/>
          <w:jc w:val="center"/>
        </w:trPr>
        <w:tc>
          <w:tcPr>
            <w:tcW w:w="996" w:type="pct"/>
            <w:gridSpan w:val="2"/>
            <w:noWrap w:val="0"/>
            <w:vAlign w:val="center"/>
          </w:tcPr>
          <w:p w14:paraId="4ACD068A">
            <w:pPr>
              <w:pStyle w:val="5"/>
              <w:jc w:val="center"/>
              <w:rPr>
                <w:rFonts w:hint="default" w:ascii="Times New Roman" w:hAnsi="Times New Roman" w:cs="Times New Roman"/>
                <w:highlight w:val="none"/>
              </w:rPr>
            </w:pPr>
            <w:r>
              <w:rPr>
                <w:rFonts w:hint="default" w:ascii="Times New Roman" w:hAnsi="Times New Roman" w:cs="Times New Roman"/>
                <w:highlight w:val="none"/>
              </w:rPr>
              <w:t>规划环境影响</w:t>
            </w:r>
          </w:p>
          <w:p w14:paraId="526BFC56">
            <w:pPr>
              <w:pStyle w:val="5"/>
              <w:jc w:val="center"/>
              <w:rPr>
                <w:rFonts w:hint="default" w:ascii="Times New Roman" w:hAnsi="Times New Roman" w:cs="Times New Roman"/>
                <w:highlight w:val="none"/>
              </w:rPr>
            </w:pPr>
            <w:r>
              <w:rPr>
                <w:rFonts w:hint="default" w:ascii="Times New Roman" w:hAnsi="Times New Roman" w:cs="Times New Roman"/>
                <w:highlight w:val="none"/>
              </w:rPr>
              <w:t>评价情况</w:t>
            </w:r>
          </w:p>
        </w:tc>
        <w:tc>
          <w:tcPr>
            <w:tcW w:w="4003" w:type="pct"/>
            <w:gridSpan w:val="3"/>
            <w:noWrap w:val="0"/>
            <w:vAlign w:val="center"/>
          </w:tcPr>
          <w:p w14:paraId="372A9B89">
            <w:pPr>
              <w:keepNext w:val="0"/>
              <w:keepLines w:val="0"/>
              <w:pageBreakBefore w:val="0"/>
              <w:widowControl w:val="0"/>
              <w:kinsoku/>
              <w:wordWrap/>
              <w:overflowPunct/>
              <w:topLinePunct w:val="0"/>
              <w:autoSpaceDE w:val="0"/>
              <w:autoSpaceDN w:val="0"/>
              <w:bidi w:val="0"/>
              <w:adjustRightInd w:val="0"/>
              <w:snapToGrid w:val="0"/>
              <w:spacing w:line="520" w:lineRule="exact"/>
              <w:ind w:left="0" w:leftChars="0" w:firstLine="0" w:firstLineChars="0"/>
              <w:jc w:val="left"/>
              <w:textAlignment w:val="auto"/>
              <w:rPr>
                <w:rFonts w:hint="default" w:ascii="Times New Roman" w:hAnsi="Times New Roman" w:cs="Times New Roman"/>
                <w:sz w:val="24"/>
              </w:rPr>
            </w:pPr>
            <w:r>
              <w:rPr>
                <w:rFonts w:hint="default" w:ascii="Times New Roman" w:hAnsi="Times New Roman" w:cs="Times New Roman"/>
                <w:sz w:val="24"/>
              </w:rPr>
              <w:t>环评文件名称：《武陟经济技术开发区发展规划（2022~2035）环境影响报告书》</w:t>
            </w:r>
          </w:p>
          <w:p w14:paraId="34322F8D">
            <w:pPr>
              <w:keepNext w:val="0"/>
              <w:keepLines w:val="0"/>
              <w:pageBreakBefore w:val="0"/>
              <w:widowControl w:val="0"/>
              <w:kinsoku/>
              <w:wordWrap/>
              <w:overflowPunct/>
              <w:topLinePunct w:val="0"/>
              <w:autoSpaceDE w:val="0"/>
              <w:autoSpaceDN w:val="0"/>
              <w:bidi w:val="0"/>
              <w:adjustRightInd w:val="0"/>
              <w:snapToGrid w:val="0"/>
              <w:spacing w:line="520" w:lineRule="exact"/>
              <w:ind w:left="0" w:leftChars="0" w:firstLine="0" w:firstLineChars="0"/>
              <w:jc w:val="left"/>
              <w:textAlignment w:val="auto"/>
              <w:rPr>
                <w:rFonts w:hint="default" w:ascii="Times New Roman" w:hAnsi="Times New Roman" w:cs="Times New Roman"/>
                <w:sz w:val="24"/>
              </w:rPr>
            </w:pPr>
            <w:r>
              <w:rPr>
                <w:rFonts w:hint="default" w:ascii="Times New Roman" w:hAnsi="Times New Roman" w:cs="Times New Roman"/>
                <w:sz w:val="24"/>
                <w:highlight w:val="none"/>
              </w:rPr>
              <w:t>审查</w:t>
            </w:r>
            <w:r>
              <w:rPr>
                <w:rFonts w:hint="default" w:ascii="Times New Roman" w:hAnsi="Times New Roman" w:cs="Times New Roman"/>
                <w:sz w:val="24"/>
              </w:rPr>
              <w:t>机关：河南省生态环境厅</w:t>
            </w:r>
          </w:p>
          <w:p w14:paraId="2F68D425">
            <w:pPr>
              <w:keepNext w:val="0"/>
              <w:keepLines w:val="0"/>
              <w:pageBreakBefore w:val="0"/>
              <w:widowControl w:val="0"/>
              <w:kinsoku/>
              <w:wordWrap/>
              <w:overflowPunct/>
              <w:topLinePunct w:val="0"/>
              <w:autoSpaceDE w:val="0"/>
              <w:autoSpaceDN w:val="0"/>
              <w:bidi w:val="0"/>
              <w:adjustRightInd w:val="0"/>
              <w:snapToGrid w:val="0"/>
              <w:spacing w:line="520" w:lineRule="exact"/>
              <w:ind w:firstLine="0" w:firstLineChars="0"/>
              <w:jc w:val="left"/>
              <w:textAlignment w:val="auto"/>
              <w:rPr>
                <w:rFonts w:hint="default" w:ascii="Times New Roman" w:hAnsi="Times New Roman" w:cs="Times New Roman"/>
                <w:color w:val="FF0000"/>
              </w:rPr>
            </w:pPr>
            <w:r>
              <w:rPr>
                <w:rFonts w:hint="default" w:ascii="Times New Roman" w:hAnsi="Times New Roman" w:cs="Times New Roman"/>
                <w:sz w:val="24"/>
              </w:rPr>
              <w:t>审查文件名称及文号：河南省生态环境厅关于《武陟经济技术开发区发展规划（2022~2035）环境影响报告书》的审查意见（豫环函〔2024〕153号）</w:t>
            </w:r>
          </w:p>
        </w:tc>
      </w:tr>
      <w:tr w14:paraId="3BEE7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422" w:type="pct"/>
            <w:noWrap w:val="0"/>
            <w:vAlign w:val="center"/>
          </w:tcPr>
          <w:p w14:paraId="3366E294">
            <w:pPr>
              <w:pStyle w:val="5"/>
              <w:jc w:val="center"/>
              <w:rPr>
                <w:rFonts w:hint="default" w:ascii="Times New Roman" w:hAnsi="Times New Roman" w:cs="Times New Roman"/>
              </w:rPr>
            </w:pPr>
            <w:r>
              <w:rPr>
                <w:rFonts w:hint="default" w:ascii="Times New Roman" w:hAnsi="Times New Roman" w:cs="Times New Roman"/>
                <w:kern w:val="0"/>
              </w:rPr>
              <w:t>规划及规划环境影响评价符合性分析</w:t>
            </w:r>
          </w:p>
        </w:tc>
        <w:tc>
          <w:tcPr>
            <w:tcW w:w="4577" w:type="pct"/>
            <w:gridSpan w:val="4"/>
            <w:noWrap w:val="0"/>
            <w:vAlign w:val="center"/>
          </w:tcPr>
          <w:p w14:paraId="4F99EC27">
            <w:pPr>
              <w:keepNext w:val="0"/>
              <w:keepLines w:val="0"/>
              <w:pageBreakBefore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highlight w:val="none"/>
              </w:rPr>
            </w:pPr>
            <w:r>
              <w:rPr>
                <w:rFonts w:hint="default" w:ascii="Times New Roman" w:hAnsi="Times New Roman" w:cs="Times New Roman"/>
                <w:b/>
              </w:rPr>
              <w:t>1、与《武陟经济技术开发区发展规划（2022-2035）环境影响报告书》</w:t>
            </w:r>
            <w:r>
              <w:rPr>
                <w:rFonts w:hint="default" w:ascii="Times New Roman" w:hAnsi="Times New Roman" w:cs="Times New Roman"/>
                <w:b/>
                <w:highlight w:val="none"/>
              </w:rPr>
              <w:t>相符性分析</w:t>
            </w:r>
          </w:p>
          <w:p w14:paraId="4A034C92">
            <w:pPr>
              <w:spacing w:line="520" w:lineRule="exact"/>
              <w:ind w:firstLine="480"/>
              <w:rPr>
                <w:rFonts w:hint="eastAsia"/>
                <w:b/>
                <w:bCs/>
                <w:lang w:val="zh-CN"/>
              </w:rPr>
            </w:pPr>
            <w:r>
              <w:rPr>
                <w:lang w:val="zh-CN"/>
              </w:rPr>
              <w:t>2023年6月，河南省人民政府办公厅印发了</w:t>
            </w:r>
            <w:r>
              <w:rPr>
                <w:highlight w:val="none"/>
                <w:lang w:val="zh-CN"/>
              </w:rPr>
              <w:t>《河南省人民政府办公厅关于公布河南省开发区四至边界范围的通知》（豫政办（2023）26号），</w:t>
            </w:r>
            <w:r>
              <w:rPr>
                <w:lang w:val="zh-CN"/>
              </w:rPr>
              <w:t>文件中明确了武陟经济技术开发区的围合面积（以下简称</w:t>
            </w:r>
            <w:r>
              <w:rPr>
                <w:rFonts w:hint="eastAsia"/>
                <w:lang w:val="zh-CN"/>
              </w:rPr>
              <w:t>“</w:t>
            </w:r>
            <w:r>
              <w:rPr>
                <w:lang w:val="zh-CN"/>
              </w:rPr>
              <w:t>规划范围</w:t>
            </w:r>
            <w:r>
              <w:rPr>
                <w:rFonts w:hint="eastAsia"/>
                <w:lang w:val="zh-CN"/>
              </w:rPr>
              <w:t>”</w:t>
            </w:r>
            <w:r>
              <w:rPr>
                <w:lang w:val="zh-CN"/>
              </w:rPr>
              <w:t>）、四至范围和规划建设用地面积（以下简称“建设范围”，即不突破城镇开发边界前提下，开发区规划面积），其中武陟经济技术开发区规划范围面积为4202.25hm</w:t>
            </w:r>
            <w:r>
              <w:rPr>
                <w:vertAlign w:val="superscript"/>
                <w:lang w:val="zh-CN"/>
              </w:rPr>
              <w:t>2</w:t>
            </w:r>
            <w:r>
              <w:rPr>
                <w:lang w:val="zh-CN"/>
              </w:rPr>
              <w:t>，建设范围面积为3343.53hm</w:t>
            </w:r>
            <w:r>
              <w:rPr>
                <w:vertAlign w:val="superscript"/>
                <w:lang w:val="zh-CN"/>
              </w:rPr>
              <w:t>2</w:t>
            </w:r>
            <w:r>
              <w:rPr>
                <w:lang w:val="zh-CN"/>
              </w:rPr>
              <w:t>，共分为三个园区，四至边界范围分别为</w:t>
            </w:r>
            <w:r>
              <w:rPr>
                <w:rFonts w:hint="eastAsia"/>
                <w:lang w:val="zh-CN"/>
              </w:rPr>
              <w:t>“西部园区”</w:t>
            </w:r>
            <w:r>
              <w:rPr>
                <w:lang w:val="zh-CN"/>
              </w:rPr>
              <w:t>：东至引黄灌渠，西至焦平高速，南至黄河南路，北至世纪西路；城区园区：东至郑云高速，西至青龙路，南至宜业路一科技路一创业路，北至县界：东部园区：东至人民胜利渠一县界，西至兴顺路（规划）一沿黄高速詹店连接线，南至G327一京广铁路，北至晋新高速。与《焦作市开发区整合方案》相比，该文件在整合方案确定范围的基础上，将焦南新城华夏幸福先进制造业园区南部片区、陶封工业区、城北重工业区纳入武陟经济技术开发区。同时将原产业集聚区管委会、产业新城管委会（特色商业区管委会）的管理机构统一整合为武陟经济技术开发区管委会武陟经济技术开发区，并委托海南中元市政工程设计有限公司编制《武陟经济技术开发区发展规划（2022-2035年）》（以下简称</w:t>
            </w:r>
            <w:r>
              <w:rPr>
                <w:rFonts w:hint="eastAsia"/>
                <w:lang w:val="zh-CN"/>
              </w:rPr>
              <w:t>“本次规划”</w:t>
            </w:r>
            <w:r>
              <w:rPr>
                <w:lang w:val="zh-CN"/>
              </w:rPr>
              <w:t>）。</w:t>
            </w:r>
            <w:r>
              <w:rPr>
                <w:rFonts w:hint="eastAsia"/>
                <w:b/>
                <w:bCs/>
                <w:lang w:val="zh-CN"/>
              </w:rPr>
              <w:t>本项目位于</w:t>
            </w:r>
            <w:r>
              <w:rPr>
                <w:b/>
                <w:bCs/>
                <w:lang w:val="zh-CN"/>
              </w:rPr>
              <w:t>武陟经济技术开发区</w:t>
            </w:r>
            <w:r>
              <w:rPr>
                <w:rFonts w:hint="eastAsia"/>
                <w:b/>
                <w:bCs/>
                <w:lang w:eastAsia="zh-CN"/>
              </w:rPr>
              <w:t>东部</w:t>
            </w:r>
            <w:r>
              <w:rPr>
                <w:b/>
                <w:bCs/>
              </w:rPr>
              <w:t>园区</w:t>
            </w:r>
            <w:r>
              <w:rPr>
                <w:rFonts w:hint="eastAsia"/>
                <w:b/>
                <w:bCs/>
              </w:rPr>
              <w:t>，本次评价仅对</w:t>
            </w:r>
            <w:r>
              <w:rPr>
                <w:rFonts w:hint="eastAsia"/>
                <w:b/>
                <w:bCs/>
                <w:lang w:eastAsia="zh-CN"/>
              </w:rPr>
              <w:t>东部</w:t>
            </w:r>
            <w:r>
              <w:rPr>
                <w:rFonts w:hint="eastAsia"/>
                <w:b/>
                <w:bCs/>
              </w:rPr>
              <w:t>园区规划相关内容进行叙述。</w:t>
            </w:r>
          </w:p>
          <w:p w14:paraId="2A87FA7A">
            <w:pPr>
              <w:pStyle w:val="19"/>
              <w:keepNext w:val="0"/>
              <w:keepLines w:val="0"/>
              <w:pageBreakBefore w:val="0"/>
              <w:numPr>
                <w:ilvl w:val="0"/>
                <w:numId w:val="0"/>
              </w:numPr>
              <w:suppressLineNumbers w:val="0"/>
              <w:kinsoku/>
              <w:wordWrap/>
              <w:overflowPunct/>
              <w:topLinePunct w:val="0"/>
              <w:autoSpaceDE/>
              <w:autoSpaceDN/>
              <w:bidi w:val="0"/>
              <w:snapToGrid/>
              <w:spacing w:before="0" w:beforeAutospacing="0" w:after="0" w:afterAutospacing="0"/>
              <w:ind w:left="0" w:right="0" w:firstLine="480" w:firstLineChars="200"/>
              <w:textAlignment w:val="auto"/>
              <w:rPr>
                <w:rFonts w:hint="default" w:ascii="Times New Roman" w:hAnsi="Times New Roman" w:cs="Times New Roman"/>
                <w:color w:val="000000"/>
                <w:lang w:val="en-US" w:eastAsia="zh-CN"/>
              </w:rPr>
            </w:pPr>
            <w:r>
              <w:rPr>
                <w:rFonts w:hint="default" w:ascii="Times New Roman" w:hAnsi="Times New Roman" w:eastAsia="宋体" w:cs="Times New Roman"/>
                <w:color w:val="000000"/>
                <w:kern w:val="2"/>
                <w:sz w:val="24"/>
                <w:szCs w:val="24"/>
                <w:lang w:val="en-US" w:eastAsia="zh-CN" w:bidi="ar-SA"/>
              </w:rPr>
              <w:t>（</w:t>
            </w:r>
            <w:r>
              <w:rPr>
                <w:rFonts w:hint="eastAsia" w:ascii="Times New Roman" w:hAnsi="Times New Roman" w:eastAsia="宋体" w:cs="Times New Roman"/>
                <w:color w:val="000000"/>
                <w:kern w:val="2"/>
                <w:sz w:val="24"/>
                <w:szCs w:val="24"/>
                <w:lang w:val="en-US" w:eastAsia="zh-CN" w:bidi="ar-SA"/>
              </w:rPr>
              <w:t>1</w:t>
            </w:r>
            <w:r>
              <w:rPr>
                <w:rFonts w:hint="default" w:ascii="Times New Roman" w:hAnsi="Times New Roman" w:eastAsia="宋体" w:cs="Times New Roman"/>
                <w:color w:val="000000"/>
                <w:kern w:val="2"/>
                <w:sz w:val="24"/>
                <w:szCs w:val="24"/>
                <w:lang w:val="en-US" w:eastAsia="zh-CN" w:bidi="ar-SA"/>
              </w:rPr>
              <w:t>）</w:t>
            </w:r>
            <w:r>
              <w:rPr>
                <w:rFonts w:hint="default" w:ascii="Times New Roman" w:hAnsi="Times New Roman" w:cs="Times New Roman"/>
                <w:color w:val="000000"/>
                <w:lang w:val="en-US" w:eastAsia="zh-CN"/>
              </w:rPr>
              <w:t>规划时限</w:t>
            </w:r>
          </w:p>
          <w:p w14:paraId="53D1BF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本次规划期限为2022-2035年。其中近期为2022-2025年，远期为2026-2035年。</w:t>
            </w:r>
          </w:p>
          <w:p w14:paraId="60643313">
            <w:pPr>
              <w:keepNext w:val="0"/>
              <w:keepLines w:val="0"/>
              <w:pageBreakBefore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2</w:t>
            </w:r>
            <w:r>
              <w:rPr>
                <w:rFonts w:hint="default" w:ascii="Times New Roman" w:hAnsi="Times New Roman" w:cs="Times New Roman"/>
              </w:rPr>
              <w:t>）规划范围</w:t>
            </w:r>
          </w:p>
          <w:p w14:paraId="4027F83B">
            <w:pPr>
              <w:keepNext w:val="0"/>
              <w:keepLines w:val="0"/>
              <w:pageBreakBefore w:val="0"/>
              <w:kinsoku/>
              <w:wordWrap/>
              <w:overflowPunct/>
              <w:topLinePunct w:val="0"/>
              <w:autoSpaceDE/>
              <w:autoSpaceDN/>
              <w:bidi w:val="0"/>
              <w:adjustRightInd/>
              <w:snapToGrid/>
              <w:spacing w:line="520" w:lineRule="exact"/>
              <w:ind w:firstLine="480"/>
              <w:textAlignment w:val="auto"/>
              <w:rPr>
                <w:highlight w:val="cyan"/>
                <w:lang w:val="zh-CN"/>
              </w:rPr>
            </w:pPr>
            <w:r>
              <w:rPr>
                <w:rFonts w:ascii="宋体" w:hAnsi="宋体" w:eastAsia="宋体" w:cs="宋体"/>
                <w:b w:val="0"/>
                <w:bCs w:val="0"/>
                <w:color w:val="000000"/>
                <w:sz w:val="24"/>
                <w:szCs w:val="24"/>
              </w:rPr>
              <w:t>东部园区规划面积</w:t>
            </w:r>
            <w:r>
              <w:rPr>
                <w:rFonts w:ascii="TimesNewRomanPSMT" w:hAnsi="TimesNewRomanPSMT" w:eastAsia="TimesNewRomanPSMT" w:cs="TimesNewRomanPSMT"/>
                <w:b w:val="0"/>
                <w:bCs w:val="0"/>
                <w:color w:val="000000"/>
                <w:sz w:val="24"/>
                <w:szCs w:val="24"/>
              </w:rPr>
              <w:t>1352.46</w:t>
            </w:r>
            <w:r>
              <w:rPr>
                <w:rFonts w:ascii="宋体" w:hAnsi="宋体" w:eastAsia="宋体" w:cs="宋体"/>
                <w:b w:val="0"/>
                <w:bCs w:val="0"/>
                <w:color w:val="000000"/>
                <w:sz w:val="24"/>
                <w:szCs w:val="24"/>
              </w:rPr>
              <w:t>公顷，东至人民胜利渠</w:t>
            </w:r>
            <w:r>
              <w:rPr>
                <w:rFonts w:hint="eastAsia" w:ascii="宋体" w:hAnsi="宋体" w:eastAsia="宋体" w:cs="宋体"/>
                <w:b w:val="0"/>
                <w:bCs w:val="0"/>
                <w:color w:val="000000"/>
                <w:sz w:val="24"/>
                <w:szCs w:val="24"/>
                <w:lang w:val="en-US" w:eastAsia="zh-CN"/>
              </w:rPr>
              <w:t>-</w:t>
            </w:r>
            <w:r>
              <w:rPr>
                <w:rFonts w:ascii="宋体" w:hAnsi="宋体" w:eastAsia="宋体" w:cs="宋体"/>
                <w:b w:val="0"/>
                <w:bCs w:val="0"/>
                <w:color w:val="000000"/>
                <w:sz w:val="24"/>
                <w:szCs w:val="24"/>
              </w:rPr>
              <w:t>县界，西至兴顺路</w:t>
            </w:r>
            <w:r>
              <w:rPr>
                <w:rFonts w:hint="eastAsia" w:ascii="宋体" w:hAnsi="宋体" w:eastAsia="宋体" w:cs="宋体"/>
                <w:b w:val="0"/>
                <w:bCs w:val="0"/>
                <w:color w:val="000000"/>
                <w:sz w:val="24"/>
                <w:szCs w:val="24"/>
                <w:lang w:eastAsia="zh-CN"/>
              </w:rPr>
              <w:t>（规划）</w:t>
            </w:r>
            <w:r>
              <w:rPr>
                <w:rFonts w:hint="eastAsia" w:ascii="宋体" w:hAnsi="宋体" w:eastAsia="宋体" w:cs="宋体"/>
                <w:b w:val="0"/>
                <w:bCs w:val="0"/>
                <w:color w:val="000000"/>
                <w:sz w:val="24"/>
                <w:szCs w:val="24"/>
                <w:lang w:val="en-US" w:eastAsia="zh-CN"/>
              </w:rPr>
              <w:t>-</w:t>
            </w:r>
            <w:r>
              <w:rPr>
                <w:rFonts w:ascii="宋体" w:hAnsi="宋体" w:eastAsia="宋体" w:cs="宋体"/>
                <w:b w:val="0"/>
                <w:bCs w:val="0"/>
                <w:color w:val="000000"/>
                <w:sz w:val="24"/>
                <w:szCs w:val="24"/>
              </w:rPr>
              <w:t>沿黄高速詹店连接线，南至</w:t>
            </w:r>
            <w:r>
              <w:rPr>
                <w:rFonts w:hint="default" w:ascii="TimesNewRomanPSMT" w:hAnsi="TimesNewRomanPSMT" w:eastAsia="TimesNewRomanPSMT" w:cs="TimesNewRomanPSMT"/>
                <w:b w:val="0"/>
                <w:bCs w:val="0"/>
                <w:color w:val="000000"/>
                <w:sz w:val="24"/>
                <w:szCs w:val="24"/>
              </w:rPr>
              <w:t>G327</w:t>
            </w:r>
            <w:r>
              <w:rPr>
                <w:rFonts w:hint="eastAsia" w:ascii="TimesNewRomanPSMT" w:hAnsi="TimesNewRomanPSMT" w:eastAsia="宋体" w:cs="TimesNewRomanPSMT"/>
                <w:b w:val="0"/>
                <w:bCs w:val="0"/>
                <w:color w:val="000000"/>
                <w:sz w:val="24"/>
                <w:szCs w:val="24"/>
                <w:lang w:val="en-US" w:eastAsia="zh-CN"/>
              </w:rPr>
              <w:t>-</w:t>
            </w:r>
            <w:r>
              <w:rPr>
                <w:rFonts w:ascii="宋体" w:hAnsi="宋体" w:eastAsia="宋体" w:cs="宋体"/>
                <w:b w:val="0"/>
                <w:bCs w:val="0"/>
                <w:color w:val="000000"/>
                <w:sz w:val="24"/>
                <w:szCs w:val="24"/>
              </w:rPr>
              <w:t>京广铁路，北至晋新高速，位于城镇开发边界内的面积</w:t>
            </w:r>
            <w:r>
              <w:rPr>
                <w:rFonts w:hint="default" w:ascii="TimesNewRomanPSMT" w:hAnsi="TimesNewRomanPSMT" w:eastAsia="TimesNewRomanPSMT" w:cs="TimesNewRomanPSMT"/>
                <w:b w:val="0"/>
                <w:bCs w:val="0"/>
                <w:color w:val="000000"/>
                <w:sz w:val="24"/>
                <w:szCs w:val="24"/>
              </w:rPr>
              <w:t>1097.46</w:t>
            </w:r>
            <w:r>
              <w:rPr>
                <w:rFonts w:ascii="宋体" w:hAnsi="宋体" w:eastAsia="宋体" w:cs="宋体"/>
                <w:b w:val="0"/>
                <w:bCs w:val="0"/>
                <w:color w:val="000000"/>
                <w:sz w:val="24"/>
                <w:szCs w:val="24"/>
              </w:rPr>
              <w:t>公顷。</w:t>
            </w:r>
          </w:p>
          <w:p w14:paraId="6AD7DFF7">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hint="default" w:ascii="Times New Roman" w:hAnsi="Times New Roman" w:cs="Times New Roman"/>
                <w:color w:val="000000"/>
                <w:kern w:val="0"/>
                <w:highlight w:val="none"/>
                <w:lang w:bidi="ar"/>
              </w:rPr>
            </w:pPr>
            <w:r>
              <w:rPr>
                <w:rFonts w:hint="default" w:ascii="Times New Roman" w:hAnsi="Times New Roman" w:cs="Times New Roman"/>
                <w:color w:val="000000"/>
                <w:kern w:val="0"/>
                <w:highlight w:val="none"/>
                <w:lang w:bidi="ar"/>
              </w:rPr>
              <w:t>（</w:t>
            </w:r>
            <w:r>
              <w:rPr>
                <w:rFonts w:hint="default" w:ascii="Times New Roman" w:hAnsi="Times New Roman" w:cs="Times New Roman"/>
                <w:color w:val="000000"/>
                <w:kern w:val="0"/>
                <w:highlight w:val="none"/>
                <w:lang w:val="en-US" w:eastAsia="zh-CN" w:bidi="ar"/>
              </w:rPr>
              <w:t>3</w:t>
            </w:r>
            <w:r>
              <w:rPr>
                <w:rFonts w:hint="default" w:ascii="Times New Roman" w:hAnsi="Times New Roman" w:cs="Times New Roman"/>
                <w:color w:val="000000"/>
                <w:kern w:val="0"/>
                <w:highlight w:val="none"/>
                <w:lang w:bidi="ar"/>
              </w:rPr>
              <w:t>）空间结构</w:t>
            </w:r>
          </w:p>
          <w:p w14:paraId="5B5BD636">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基于东部园区的用地布局情况，整体形成“一心一轴三组团”的空间格局。</w:t>
            </w:r>
          </w:p>
          <w:p w14:paraId="16DF0358">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“一心”：配套服务中心，位于中原大道与人民胜利渠交叉口区域，重点规划布置商业、居住、行政、教育、文化等设施，逐步完善人才公寓、星级酒店、商超、学校等生产性和生活性配套服务设施；</w:t>
            </w:r>
          </w:p>
          <w:p w14:paraId="72AB1163">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“一轴”：沿</w:t>
            </w:r>
            <w:r>
              <w:rPr>
                <w:rFonts w:ascii="TimesNewRomanPSMT" w:hAnsi="TimesNewRomanPSMT" w:eastAsia="TimesNewRomanPSMT" w:cs="TimesNewRomanPSMT"/>
                <w:b w:val="0"/>
                <w:bCs w:val="0"/>
                <w:color w:val="000000"/>
                <w:sz w:val="24"/>
                <w:szCs w:val="24"/>
              </w:rPr>
              <w:t>G327</w:t>
            </w:r>
            <w:r>
              <w:rPr>
                <w:rFonts w:ascii="宋体" w:hAnsi="宋体" w:eastAsia="宋体" w:cs="宋体"/>
                <w:b w:val="0"/>
                <w:bCs w:val="0"/>
                <w:color w:val="000000"/>
                <w:sz w:val="24"/>
                <w:szCs w:val="24"/>
              </w:rPr>
              <w:t>连固线（中原大道）形成的产业发展轴；</w:t>
            </w:r>
          </w:p>
          <w:p w14:paraId="36A2F65C">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hint="default" w:ascii="Times New Roman" w:hAnsi="Times New Roman" w:cs="Times New Roman"/>
                <w:color w:val="000000"/>
                <w:kern w:val="0"/>
                <w:lang w:bidi="ar"/>
              </w:rPr>
            </w:pPr>
            <w:r>
              <w:rPr>
                <w:rFonts w:ascii="宋体" w:hAnsi="宋体" w:eastAsia="宋体" w:cs="宋体"/>
                <w:b w:val="0"/>
                <w:bCs w:val="0"/>
                <w:color w:val="000000"/>
                <w:sz w:val="24"/>
                <w:szCs w:val="24"/>
              </w:rPr>
              <w:t>“三组团”：分别为工业产业组团、配套服务组团、物流仓储组团。</w:t>
            </w:r>
          </w:p>
          <w:p w14:paraId="58441EA5">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highlight w:val="none"/>
                <w:lang w:bidi="ar"/>
              </w:rPr>
            </w:pPr>
            <w:r>
              <w:rPr>
                <w:rFonts w:hint="default" w:ascii="Times New Roman" w:hAnsi="Times New Roman" w:cs="Times New Roman"/>
                <w:color w:val="000000"/>
                <w:kern w:val="0"/>
                <w:highlight w:val="none"/>
                <w:lang w:bidi="ar"/>
              </w:rPr>
              <w:t>（4）产业布局</w:t>
            </w:r>
          </w:p>
          <w:p w14:paraId="0B9585F7">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按照“突出特色、结构合理、低碳生态”的布局原则，打造产业链清晰、结构合理、技术先进、环保低碳的园区。依托现状产业分布情况，东部园区将分为装备制造、现代纸品及印刷包装、生物医药、休闲健康食品四个产业区。</w:t>
            </w:r>
          </w:p>
          <w:p w14:paraId="08DC4E2B">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①装备制造区</w:t>
            </w:r>
          </w:p>
          <w:p w14:paraId="44A8611B">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东部园区划定装备制造区两个，分别位于兴顺路以东、晋新高速以南、兴达路以西、福安路以北区域，重点作为承接郑州、焦作装备制造产业转移的平台。另一个区域位于汇金大道以东、北环路以南、中原大道以北区域，主要依托一六八线缆、津特电缆、华豫钢结构等，发展环保装备、电力装备、建筑装备等高端装备制造产业。规划装备制造区域面积约</w:t>
            </w:r>
            <w:r>
              <w:rPr>
                <w:rFonts w:ascii="TimesNewRomanPSMT" w:hAnsi="TimesNewRomanPSMT" w:eastAsia="TimesNewRomanPSMT" w:cs="TimesNewRomanPSMT"/>
                <w:b w:val="0"/>
                <w:bCs w:val="0"/>
                <w:color w:val="000000"/>
                <w:sz w:val="24"/>
                <w:szCs w:val="24"/>
              </w:rPr>
              <w:t>699.69</w:t>
            </w:r>
            <w:r>
              <w:rPr>
                <w:rFonts w:ascii="宋体" w:hAnsi="宋体" w:eastAsia="宋体" w:cs="宋体"/>
                <w:b w:val="0"/>
                <w:bCs w:val="0"/>
                <w:color w:val="000000"/>
                <w:sz w:val="24"/>
                <w:szCs w:val="24"/>
              </w:rPr>
              <w:t>公顷。</w:t>
            </w:r>
          </w:p>
          <w:p w14:paraId="63DCDCBA">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②生物医药区</w:t>
            </w:r>
          </w:p>
          <w:p w14:paraId="4B99D053">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东部园区划定生物医药区一个，位于昌平路以南、泰安路以东、中原大道以北、汇金大道以西区域，规划面积约</w:t>
            </w:r>
            <w:r>
              <w:rPr>
                <w:rFonts w:hint="default" w:ascii="TimesNewRomanPSMT" w:hAnsi="TimesNewRomanPSMT" w:eastAsia="TimesNewRomanPSMT" w:cs="TimesNewRomanPSMT"/>
                <w:b w:val="0"/>
                <w:bCs w:val="0"/>
                <w:color w:val="000000"/>
                <w:sz w:val="24"/>
                <w:szCs w:val="24"/>
              </w:rPr>
              <w:t>103.27</w:t>
            </w:r>
            <w:r>
              <w:rPr>
                <w:rFonts w:ascii="宋体" w:hAnsi="宋体" w:eastAsia="宋体" w:cs="宋体"/>
                <w:b w:val="0"/>
                <w:bCs w:val="0"/>
                <w:color w:val="000000"/>
                <w:sz w:val="24"/>
                <w:szCs w:val="24"/>
              </w:rPr>
              <w:t>公顷，主要结合养老产业大发展趋势，发展生物制药、生物保健食品等产业，积极引进研发精密型医疗器械制造技术，发展精密医疗器械产业，培育新的产业经济增长点。</w:t>
            </w:r>
          </w:p>
          <w:p w14:paraId="17FDEB71">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③现代纸品及印刷包装区</w:t>
            </w:r>
          </w:p>
          <w:p w14:paraId="1D4E663B">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东部园区划定现代纸品及印刷包装区一个，位于詹郇东路以南、泰安路以东、昌平路以北、汇金大道以西区域，规划面积约</w:t>
            </w:r>
            <w:r>
              <w:rPr>
                <w:rFonts w:hint="default" w:ascii="TimesNewRomanPSMT" w:hAnsi="TimesNewRomanPSMT" w:eastAsia="TimesNewRomanPSMT" w:cs="TimesNewRomanPSMT"/>
                <w:b w:val="0"/>
                <w:bCs w:val="0"/>
                <w:color w:val="000000"/>
                <w:sz w:val="24"/>
                <w:szCs w:val="24"/>
              </w:rPr>
              <w:t>50.76</w:t>
            </w:r>
            <w:r>
              <w:rPr>
                <w:rFonts w:ascii="宋体" w:hAnsi="宋体" w:eastAsia="宋体" w:cs="宋体"/>
                <w:b w:val="0"/>
                <w:bCs w:val="0"/>
                <w:color w:val="000000"/>
                <w:sz w:val="24"/>
                <w:szCs w:val="24"/>
              </w:rPr>
              <w:t>公顷，重点对现状企业进行绿色化、智能化升级改造，实现产业的跨越发展。</w:t>
            </w:r>
          </w:p>
          <w:p w14:paraId="46D3AF81">
            <w:pPr>
              <w:keepNext w:val="0"/>
              <w:keepLines w:val="0"/>
              <w:pageBreakBefore w:val="0"/>
              <w:widowControl/>
              <w:kinsoku/>
              <w:wordWrap/>
              <w:overflowPunct/>
              <w:topLinePunct w:val="0"/>
              <w:autoSpaceDE/>
              <w:autoSpaceDN/>
              <w:bidi w:val="0"/>
              <w:snapToGrid/>
              <w:ind w:firstLine="480"/>
              <w:jc w:val="left"/>
              <w:textAlignment w:val="auto"/>
              <w:rPr>
                <w:rFonts w:ascii="宋体" w:hAnsi="宋体" w:eastAsia="宋体" w:cs="宋体"/>
                <w:b w:val="0"/>
                <w:bCs w:val="0"/>
                <w:color w:val="000000"/>
                <w:sz w:val="24"/>
                <w:szCs w:val="24"/>
              </w:rPr>
            </w:pPr>
            <w:r>
              <w:rPr>
                <w:rFonts w:ascii="宋体" w:hAnsi="宋体" w:eastAsia="宋体" w:cs="宋体"/>
                <w:b w:val="0"/>
                <w:bCs w:val="0"/>
                <w:color w:val="000000"/>
                <w:sz w:val="24"/>
                <w:szCs w:val="24"/>
              </w:rPr>
              <w:t>④休闲健康食品区</w:t>
            </w:r>
          </w:p>
          <w:p w14:paraId="7B7DB180">
            <w:pPr>
              <w:keepNext w:val="0"/>
              <w:keepLines w:val="0"/>
              <w:pageBreakBefore w:val="0"/>
              <w:widowControl/>
              <w:kinsoku/>
              <w:wordWrap/>
              <w:overflowPunct/>
              <w:topLinePunct w:val="0"/>
              <w:autoSpaceDE/>
              <w:autoSpaceDN/>
              <w:bidi w:val="0"/>
              <w:adjustRightInd/>
              <w:snapToGrid/>
              <w:ind w:firstLine="480"/>
              <w:jc w:val="left"/>
              <w:textAlignment w:val="auto"/>
              <w:rPr>
                <w:rFonts w:hint="default" w:ascii="Times New Roman" w:hAnsi="Times New Roman" w:cs="Times New Roman"/>
                <w:color w:val="000000"/>
                <w:kern w:val="0"/>
                <w:lang w:bidi="ar"/>
              </w:rPr>
            </w:pPr>
            <w:r>
              <w:rPr>
                <w:rFonts w:ascii="宋体" w:hAnsi="宋体" w:eastAsia="宋体" w:cs="宋体"/>
                <w:b w:val="0"/>
                <w:bCs w:val="0"/>
                <w:color w:val="000000"/>
                <w:sz w:val="24"/>
                <w:szCs w:val="24"/>
              </w:rPr>
              <w:t>东部园区划定休闲健康食品区一个，位于兴达路以东、经一路以西、北环路以南、站前路以北区域，规划面积约</w:t>
            </w:r>
            <w:r>
              <w:rPr>
                <w:rFonts w:ascii="TimesNewRomanPSMT" w:hAnsi="TimesNewRomanPSMT" w:eastAsia="TimesNewRomanPSMT" w:cs="TimesNewRomanPSMT"/>
                <w:b w:val="0"/>
                <w:bCs w:val="0"/>
                <w:color w:val="000000"/>
                <w:sz w:val="24"/>
                <w:szCs w:val="24"/>
              </w:rPr>
              <w:t>224.47</w:t>
            </w:r>
            <w:r>
              <w:rPr>
                <w:rFonts w:ascii="宋体" w:hAnsi="宋体" w:eastAsia="宋体" w:cs="宋体"/>
                <w:b w:val="0"/>
                <w:bCs w:val="0"/>
                <w:color w:val="000000"/>
                <w:sz w:val="24"/>
                <w:szCs w:val="24"/>
              </w:rPr>
              <w:t>公顷，该区将重点引导区域内的食品加工企业集聚，发展大力发展休闲食品、健康食品、预制菜等。</w:t>
            </w:r>
          </w:p>
          <w:p w14:paraId="2BEEB4DE">
            <w:pPr>
              <w:keepNext w:val="0"/>
              <w:keepLines w:val="0"/>
              <w:pageBreakBefore w:val="0"/>
              <w:widowControl/>
              <w:kinsoku/>
              <w:wordWrap/>
              <w:overflowPunct/>
              <w:topLinePunct w:val="0"/>
              <w:autoSpaceDE/>
              <w:autoSpaceDN/>
              <w:bidi w:val="0"/>
              <w:snapToGrid/>
              <w:ind w:firstLine="480"/>
              <w:jc w:val="left"/>
              <w:textAlignment w:val="auto"/>
              <w:rPr>
                <w:rFonts w:hint="eastAsia" w:ascii="Times New Roman" w:hAnsi="Times New Roman" w:eastAsia="宋体" w:cs="Times New Roman"/>
                <w:b w:val="0"/>
                <w:bCs w:val="0"/>
                <w:color w:val="auto"/>
                <w:kern w:val="2"/>
                <w:sz w:val="24"/>
                <w:szCs w:val="24"/>
                <w:highlight w:val="none"/>
                <w:u w:val="none"/>
                <w:lang w:val="en-US" w:eastAsia="zh-CN" w:bidi="ar-SA"/>
              </w:rPr>
            </w:pPr>
            <w:r>
              <w:rPr>
                <w:rFonts w:hint="eastAsia" w:cs="Times New Roman"/>
                <w:b w:val="0"/>
                <w:bCs w:val="0"/>
                <w:color w:val="auto"/>
                <w:kern w:val="2"/>
                <w:sz w:val="24"/>
                <w:szCs w:val="24"/>
                <w:highlight w:val="none"/>
                <w:u w:val="none"/>
                <w:lang w:val="en-US" w:eastAsia="zh-CN" w:bidi="ar-SA"/>
              </w:rPr>
              <w:t>本项目属于</w:t>
            </w:r>
            <w:r>
              <w:rPr>
                <w:rFonts w:hint="eastAsia" w:ascii="Times New Roman" w:hAnsi="Times New Roman" w:eastAsia="宋体" w:cs="Times New Roman"/>
                <w:b w:val="0"/>
                <w:bCs w:val="0"/>
                <w:color w:val="auto"/>
                <w:kern w:val="2"/>
                <w:sz w:val="24"/>
                <w:szCs w:val="24"/>
                <w:highlight w:val="none"/>
                <w:u w:val="none"/>
                <w:lang w:val="en-US" w:eastAsia="zh-CN" w:bidi="ar-SA"/>
              </w:rPr>
              <w:t>武陟经济技术开发区东部园区</w:t>
            </w:r>
            <w:r>
              <w:rPr>
                <w:rFonts w:hint="eastAsia" w:cs="Times New Roman"/>
                <w:b w:val="0"/>
                <w:bCs w:val="0"/>
                <w:color w:val="auto"/>
                <w:kern w:val="2"/>
                <w:sz w:val="24"/>
                <w:szCs w:val="24"/>
                <w:highlight w:val="none"/>
                <w:u w:val="none"/>
                <w:lang w:val="en-US" w:eastAsia="zh-CN" w:bidi="ar-SA"/>
              </w:rPr>
              <w:t>的</w:t>
            </w:r>
            <w:r>
              <w:rPr>
                <w:rFonts w:hint="eastAsia" w:ascii="Times New Roman" w:hAnsi="Times New Roman" w:eastAsia="宋体" w:cs="Times New Roman"/>
                <w:b w:val="0"/>
                <w:bCs w:val="0"/>
                <w:color w:val="auto"/>
                <w:kern w:val="2"/>
                <w:sz w:val="24"/>
                <w:szCs w:val="24"/>
                <w:highlight w:val="none"/>
                <w:u w:val="none"/>
                <w:lang w:val="en-US" w:eastAsia="zh-CN" w:bidi="ar-SA"/>
              </w:rPr>
              <w:t>装备制造区（见附图</w:t>
            </w:r>
            <w:r>
              <w:rPr>
                <w:rFonts w:hint="eastAsia" w:cs="Times New Roman"/>
                <w:b w:val="0"/>
                <w:bCs w:val="0"/>
                <w:color w:val="auto"/>
                <w:kern w:val="2"/>
                <w:sz w:val="24"/>
                <w:szCs w:val="24"/>
                <w:highlight w:val="none"/>
                <w:u w:val="none"/>
                <w:lang w:val="en-US" w:eastAsia="zh-CN" w:bidi="ar-SA"/>
              </w:rPr>
              <w:t>五</w:t>
            </w:r>
            <w:r>
              <w:rPr>
                <w:rFonts w:hint="eastAsia" w:ascii="Times New Roman" w:hAnsi="Times New Roman" w:eastAsia="宋体" w:cs="Times New Roman"/>
                <w:b w:val="0"/>
                <w:bCs w:val="0"/>
                <w:color w:val="auto"/>
                <w:kern w:val="2"/>
                <w:sz w:val="24"/>
                <w:szCs w:val="24"/>
                <w:highlight w:val="none"/>
                <w:u w:val="none"/>
                <w:lang w:val="en-US" w:eastAsia="zh-CN" w:bidi="ar-SA"/>
              </w:rPr>
              <w:t>），虽不属于园区主导产业，但亦不属于园区准入条件中的禁止类、限制类项目，武陟经济技术开发区管理委员会</w:t>
            </w:r>
            <w:r>
              <w:rPr>
                <w:rFonts w:hint="eastAsia" w:cs="Times New Roman"/>
                <w:b w:val="0"/>
                <w:bCs w:val="0"/>
                <w:color w:val="auto"/>
                <w:kern w:val="2"/>
                <w:sz w:val="24"/>
                <w:szCs w:val="24"/>
                <w:highlight w:val="none"/>
                <w:u w:val="none"/>
                <w:lang w:val="en-US" w:eastAsia="zh-CN" w:bidi="ar-SA"/>
              </w:rPr>
              <w:t>企业服务局</w:t>
            </w:r>
            <w:r>
              <w:rPr>
                <w:rFonts w:hint="eastAsia" w:ascii="Times New Roman" w:hAnsi="Times New Roman" w:eastAsia="宋体" w:cs="Times New Roman"/>
                <w:b w:val="0"/>
                <w:bCs w:val="0"/>
                <w:color w:val="auto"/>
                <w:kern w:val="2"/>
                <w:sz w:val="24"/>
                <w:szCs w:val="24"/>
                <w:highlight w:val="none"/>
                <w:u w:val="none"/>
                <w:lang w:val="en-US" w:eastAsia="zh-CN" w:bidi="ar-SA"/>
              </w:rPr>
              <w:t>已出具证明，同意本项目办理相关手续后入驻生产（见附件3）。</w:t>
            </w:r>
          </w:p>
          <w:p w14:paraId="78F414CC">
            <w:pPr>
              <w:keepNext w:val="0"/>
              <w:keepLines w:val="0"/>
              <w:pageBreakBefore w:val="0"/>
              <w:widowControl/>
              <w:kinsoku/>
              <w:wordWrap/>
              <w:overflowPunct/>
              <w:topLinePunct w:val="0"/>
              <w:autoSpaceDE/>
              <w:autoSpaceDN/>
              <w:bidi w:val="0"/>
              <w:adjustRightInd/>
              <w:snapToGrid/>
              <w:ind w:firstLine="480"/>
              <w:jc w:val="left"/>
              <w:textAlignment w:val="auto"/>
              <w:rPr>
                <w:rFonts w:hint="default" w:ascii="Times New Roman" w:hAnsi="Times New Roman" w:cs="Times New Roman"/>
                <w:color w:val="000000"/>
                <w:kern w:val="0"/>
                <w:highlight w:val="none"/>
                <w:lang w:bidi="ar"/>
              </w:rPr>
            </w:pPr>
            <w:r>
              <w:rPr>
                <w:rFonts w:hint="default" w:ascii="Times New Roman" w:hAnsi="Times New Roman" w:cs="Times New Roman"/>
                <w:color w:val="000000"/>
                <w:kern w:val="0"/>
                <w:highlight w:val="none"/>
                <w:lang w:bidi="ar"/>
              </w:rPr>
              <w:t>（5）用地布局规划</w:t>
            </w:r>
          </w:p>
          <w:p w14:paraId="361843B3">
            <w:pPr>
              <w:keepNext w:val="0"/>
              <w:keepLines w:val="0"/>
              <w:pageBreakBefore w:val="0"/>
              <w:widowControl/>
              <w:kinsoku/>
              <w:wordWrap/>
              <w:overflowPunct/>
              <w:topLinePunct w:val="0"/>
              <w:autoSpaceDE/>
              <w:autoSpaceDN/>
              <w:bidi w:val="0"/>
              <w:adjustRightInd/>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东部园区总规划面积1352.46公顷，其中划入城镇开发边界内用地1097.46公顷，包含工矿用地681.18公顷，仓储用地54.68公顷，占东部园区城镇开发边界面积的67.05%。其他包括居住用地56.68公顷，公共管理与公共服务用地7.67公顷，商业服务业用地8.78公顷，交通运输用地164.79公顷，绿地与开敞空间用地107.85公顷，公用设施用地11.81公顷。</w:t>
            </w:r>
          </w:p>
          <w:p w14:paraId="7C3DC932">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highlight w:val="none"/>
                <w:lang w:bidi="ar"/>
              </w:rPr>
            </w:pPr>
            <w:r>
              <w:rPr>
                <w:rFonts w:hint="default" w:ascii="Times New Roman" w:hAnsi="Times New Roman" w:cs="Times New Roman"/>
                <w:color w:val="000000"/>
                <w:kern w:val="0"/>
                <w:highlight w:val="none"/>
                <w:lang w:bidi="ar"/>
              </w:rPr>
              <w:t>根据武陟经济技术开发区东部园区用地功能布局图（见附图</w:t>
            </w:r>
            <w:r>
              <w:rPr>
                <w:rFonts w:hint="eastAsia" w:cs="Times New Roman"/>
                <w:color w:val="000000"/>
                <w:kern w:val="0"/>
                <w:highlight w:val="none"/>
                <w:lang w:eastAsia="zh-CN" w:bidi="ar"/>
              </w:rPr>
              <w:t>六</w:t>
            </w:r>
            <w:r>
              <w:rPr>
                <w:rFonts w:hint="default" w:ascii="Times New Roman" w:hAnsi="Times New Roman" w:cs="Times New Roman"/>
                <w:color w:val="000000"/>
                <w:kern w:val="0"/>
                <w:highlight w:val="none"/>
                <w:lang w:bidi="ar"/>
              </w:rPr>
              <w:t>），项目占地为工业用地，符合开发区东部园区用地布局规划。</w:t>
            </w:r>
          </w:p>
          <w:p w14:paraId="371A5D5A">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highlight w:val="none"/>
                <w:lang w:bidi="ar"/>
              </w:rPr>
            </w:pPr>
            <w:r>
              <w:rPr>
                <w:rFonts w:hint="default" w:ascii="Times New Roman" w:hAnsi="Times New Roman" w:cs="Times New Roman"/>
                <w:color w:val="000000"/>
                <w:kern w:val="0"/>
                <w:highlight w:val="none"/>
                <w:lang w:bidi="ar"/>
              </w:rPr>
              <w:t>（6）能源与资源利用结构</w:t>
            </w:r>
          </w:p>
          <w:p w14:paraId="3DAA2245">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eastAsia" w:ascii="Times New Roman" w:hAnsi="Times New Roman" w:cs="Times New Roman"/>
                <w:color w:val="000000"/>
                <w:kern w:val="0"/>
                <w:lang w:eastAsia="zh-CN" w:bidi="ar"/>
              </w:rPr>
              <w:t>①</w:t>
            </w:r>
            <w:r>
              <w:rPr>
                <w:rFonts w:hint="default" w:ascii="Times New Roman" w:hAnsi="Times New Roman" w:cs="Times New Roman"/>
                <w:color w:val="000000"/>
                <w:kern w:val="0"/>
                <w:lang w:bidi="ar"/>
              </w:rPr>
              <w:t>能源</w:t>
            </w:r>
          </w:p>
          <w:p w14:paraId="381AC490">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ascii="宋体" w:hAnsi="宋体" w:eastAsia="宋体" w:cs="宋体"/>
                <w:b w:val="0"/>
                <w:bCs w:val="0"/>
                <w:color w:val="000000"/>
                <w:sz w:val="24"/>
                <w:szCs w:val="24"/>
              </w:rPr>
              <w:t>武陟县能源供应主要依托周边区域供应，煤炭主要来源于山西、陕西供给，天然气以“西气东输”豫北支线和安洛线天然气为主，各园区天然气由原庄天然气门站和第二天然气门站提供。</w:t>
            </w:r>
          </w:p>
          <w:p w14:paraId="0BCD4BFB">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eastAsia="宋体" w:cs="Times New Roman"/>
                <w:b w:val="0"/>
                <w:bCs w:val="0"/>
                <w:color w:val="000000"/>
                <w:sz w:val="24"/>
                <w:szCs w:val="24"/>
              </w:rPr>
            </w:pPr>
            <w:r>
              <w:rPr>
                <w:rFonts w:hint="eastAsia" w:ascii="宋体" w:hAnsi="宋体" w:eastAsia="宋体" w:cs="宋体"/>
                <w:b w:val="0"/>
                <w:bCs w:val="0"/>
                <w:color w:val="000000"/>
                <w:sz w:val="24"/>
                <w:szCs w:val="24"/>
                <w:lang w:eastAsia="zh-CN"/>
              </w:rPr>
              <w:t>本项目位于东部园区，</w:t>
            </w:r>
            <w:r>
              <w:rPr>
                <w:rFonts w:ascii="宋体" w:hAnsi="宋体" w:eastAsia="宋体" w:cs="宋体"/>
                <w:b w:val="0"/>
                <w:bCs w:val="0"/>
                <w:color w:val="000000"/>
                <w:sz w:val="24"/>
                <w:szCs w:val="24"/>
              </w:rPr>
              <w:t>东部园区内规划一处集中热源，即东部园区热源厂，面积</w:t>
            </w:r>
            <w:r>
              <w:rPr>
                <w:rFonts w:ascii="TimesNewRomanPSMT" w:hAnsi="TimesNewRomanPSMT" w:eastAsia="TimesNewRomanPSMT" w:cs="TimesNewRomanPSMT"/>
                <w:b w:val="0"/>
                <w:bCs w:val="0"/>
                <w:color w:val="000000"/>
                <w:sz w:val="24"/>
                <w:szCs w:val="24"/>
              </w:rPr>
              <w:t>4.16</w:t>
            </w:r>
            <w:r>
              <w:rPr>
                <w:rFonts w:ascii="宋体" w:hAnsi="宋体" w:eastAsia="宋体" w:cs="宋体"/>
                <w:b w:val="0"/>
                <w:bCs w:val="0"/>
                <w:color w:val="000000"/>
                <w:sz w:val="24"/>
                <w:szCs w:val="24"/>
              </w:rPr>
              <w:t>公顷，热源厂热力规模为</w:t>
            </w:r>
            <w:r>
              <w:rPr>
                <w:rFonts w:hint="default" w:ascii="TimesNewRomanPSMT" w:hAnsi="TimesNewRomanPSMT" w:eastAsia="TimesNewRomanPSMT" w:cs="TimesNewRomanPSMT"/>
                <w:b w:val="0"/>
                <w:bCs w:val="0"/>
                <w:color w:val="000000"/>
                <w:sz w:val="24"/>
                <w:szCs w:val="24"/>
              </w:rPr>
              <w:t>35M</w:t>
            </w:r>
            <w:r>
              <w:rPr>
                <w:rFonts w:hint="default" w:ascii="Times New Roman" w:hAnsi="Times New Roman" w:eastAsia="TimesNewRomanPSMT" w:cs="Times New Roman"/>
                <w:b w:val="0"/>
                <w:bCs w:val="0"/>
                <w:color w:val="000000"/>
                <w:sz w:val="24"/>
                <w:szCs w:val="24"/>
              </w:rPr>
              <w:t>W+250t/h</w:t>
            </w:r>
            <w:r>
              <w:rPr>
                <w:rFonts w:hint="default" w:ascii="Times New Roman" w:hAnsi="Times New Roman" w:eastAsia="宋体" w:cs="Times New Roman"/>
                <w:b w:val="0"/>
                <w:bCs w:val="0"/>
                <w:color w:val="000000"/>
                <w:sz w:val="24"/>
                <w:szCs w:val="24"/>
              </w:rPr>
              <w:t>，供热方式为天然气锅炉房为主。</w:t>
            </w:r>
          </w:p>
          <w:p w14:paraId="34C52F69">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eastAsia="zh-CN" w:bidi="ar"/>
              </w:rPr>
              <w:t>②</w:t>
            </w:r>
            <w:r>
              <w:rPr>
                <w:rFonts w:hint="default" w:ascii="Times New Roman" w:hAnsi="Times New Roman" w:cs="Times New Roman"/>
                <w:color w:val="000000"/>
                <w:kern w:val="0"/>
                <w:lang w:bidi="ar"/>
              </w:rPr>
              <w:t>水资源</w:t>
            </w:r>
          </w:p>
          <w:p w14:paraId="489208FF">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eastAsia="宋体" w:cs="Times New Roman"/>
                <w:b w:val="0"/>
                <w:bCs w:val="0"/>
                <w:color w:val="000000"/>
                <w:sz w:val="24"/>
                <w:szCs w:val="24"/>
              </w:rPr>
              <w:t>开发区用水包括生活用水、公共设施用水及工业生产用水等。按照单位用地面积负荷法计算，考虑一定弹性系数，武陟经济技术开发区的总用水量为</w:t>
            </w:r>
            <w:r>
              <w:rPr>
                <w:rFonts w:hint="default" w:ascii="Times New Roman" w:hAnsi="Times New Roman" w:eastAsia="TimesNewRomanPSMT" w:cs="Times New Roman"/>
                <w:b w:val="0"/>
                <w:bCs w:val="0"/>
                <w:color w:val="000000"/>
                <w:sz w:val="24"/>
                <w:szCs w:val="24"/>
              </w:rPr>
              <w:t>18.12</w:t>
            </w:r>
            <w:r>
              <w:rPr>
                <w:rFonts w:hint="default" w:ascii="Times New Roman" w:hAnsi="Times New Roman" w:eastAsia="宋体" w:cs="Times New Roman"/>
                <w:b w:val="0"/>
                <w:bCs w:val="0"/>
                <w:color w:val="000000"/>
                <w:sz w:val="24"/>
                <w:szCs w:val="24"/>
              </w:rPr>
              <w:t>万</w:t>
            </w:r>
            <w:r>
              <w:rPr>
                <w:rFonts w:hint="default" w:ascii="Times New Roman" w:hAnsi="Times New Roman" w:eastAsia="TimesNewRomanPSMT" w:cs="Times New Roman"/>
                <w:b w:val="0"/>
                <w:bCs w:val="0"/>
                <w:color w:val="000000"/>
                <w:sz w:val="24"/>
                <w:szCs w:val="24"/>
              </w:rPr>
              <w:t>m</w:t>
            </w:r>
            <w:r>
              <w:rPr>
                <w:rFonts w:hint="default" w:ascii="Times New Roman" w:hAnsi="Times New Roman" w:eastAsia="宋体" w:cs="Times New Roman"/>
                <w:b w:val="0"/>
                <w:bCs w:val="0"/>
                <w:color w:val="000000"/>
                <w:sz w:val="24"/>
                <w:szCs w:val="24"/>
                <w:vertAlign w:val="superscript"/>
                <w:lang w:val="en-US" w:eastAsia="zh-CN"/>
              </w:rPr>
              <w:t>3</w:t>
            </w:r>
            <w:r>
              <w:rPr>
                <w:rFonts w:hint="default" w:ascii="Times New Roman" w:hAnsi="Times New Roman" w:eastAsia="TimesNewRomanPSMT" w:cs="Times New Roman"/>
                <w:b w:val="0"/>
                <w:bCs w:val="0"/>
                <w:color w:val="000000"/>
                <w:sz w:val="24"/>
                <w:szCs w:val="24"/>
              </w:rPr>
              <w:t>/</w:t>
            </w:r>
            <w:r>
              <w:rPr>
                <w:rFonts w:hint="default" w:ascii="Times New Roman" w:hAnsi="Times New Roman" w:eastAsia="宋体" w:cs="Times New Roman"/>
                <w:b w:val="0"/>
                <w:bCs w:val="0"/>
                <w:color w:val="000000"/>
                <w:sz w:val="24"/>
                <w:szCs w:val="24"/>
              </w:rPr>
              <w:t>日，城市给水日变化系数取</w:t>
            </w:r>
            <w:r>
              <w:rPr>
                <w:rFonts w:hint="default" w:ascii="Times New Roman" w:hAnsi="Times New Roman" w:eastAsia="TimesNewRomanPSMT" w:cs="Times New Roman"/>
                <w:b w:val="0"/>
                <w:bCs w:val="0"/>
                <w:color w:val="000000"/>
                <w:sz w:val="24"/>
                <w:szCs w:val="24"/>
              </w:rPr>
              <w:t>1.3</w:t>
            </w:r>
            <w:r>
              <w:rPr>
                <w:rFonts w:hint="default" w:ascii="Times New Roman" w:hAnsi="Times New Roman" w:eastAsia="宋体" w:cs="Times New Roman"/>
                <w:b w:val="0"/>
                <w:bCs w:val="0"/>
                <w:color w:val="000000"/>
                <w:sz w:val="24"/>
                <w:szCs w:val="24"/>
              </w:rPr>
              <w:t>，则经开区平均日用水量为</w:t>
            </w:r>
            <w:r>
              <w:rPr>
                <w:rFonts w:hint="default" w:ascii="Times New Roman" w:hAnsi="Times New Roman" w:eastAsia="TimesNewRomanPSMT" w:cs="Times New Roman"/>
                <w:b w:val="0"/>
                <w:bCs w:val="0"/>
                <w:color w:val="000000"/>
                <w:sz w:val="24"/>
                <w:szCs w:val="24"/>
              </w:rPr>
              <w:t>13.94</w:t>
            </w:r>
            <w:r>
              <w:rPr>
                <w:rFonts w:hint="default" w:ascii="Times New Roman" w:hAnsi="Times New Roman" w:eastAsia="宋体" w:cs="Times New Roman"/>
                <w:b w:val="0"/>
                <w:bCs w:val="0"/>
                <w:color w:val="000000"/>
                <w:sz w:val="24"/>
                <w:szCs w:val="24"/>
              </w:rPr>
              <w:t>万</w:t>
            </w:r>
            <w:r>
              <w:rPr>
                <w:rFonts w:hint="default" w:ascii="Times New Roman" w:hAnsi="Times New Roman" w:eastAsia="TimesNewRomanPSMT" w:cs="Times New Roman"/>
                <w:b w:val="0"/>
                <w:bCs w:val="0"/>
                <w:color w:val="000000"/>
                <w:sz w:val="24"/>
                <w:szCs w:val="24"/>
              </w:rPr>
              <w:t>m</w:t>
            </w:r>
            <w:r>
              <w:rPr>
                <w:rFonts w:hint="default" w:ascii="Times New Roman" w:hAnsi="Times New Roman" w:eastAsia="宋体" w:cs="Times New Roman"/>
                <w:b w:val="0"/>
                <w:bCs w:val="0"/>
                <w:color w:val="000000"/>
                <w:sz w:val="24"/>
                <w:szCs w:val="24"/>
                <w:vertAlign w:val="superscript"/>
                <w:lang w:val="en-US" w:eastAsia="zh-CN"/>
              </w:rPr>
              <w:t>3</w:t>
            </w:r>
            <w:r>
              <w:rPr>
                <w:rFonts w:hint="default" w:ascii="Times New Roman" w:hAnsi="Times New Roman" w:eastAsia="TimesNewRomanPSMT" w:cs="Times New Roman"/>
                <w:b w:val="0"/>
                <w:bCs w:val="0"/>
                <w:color w:val="000000"/>
                <w:sz w:val="24"/>
                <w:szCs w:val="24"/>
              </w:rPr>
              <w:t>/</w:t>
            </w:r>
            <w:r>
              <w:rPr>
                <w:rFonts w:hint="default" w:ascii="Times New Roman" w:hAnsi="Times New Roman" w:eastAsia="宋体" w:cs="Times New Roman"/>
                <w:b w:val="0"/>
                <w:bCs w:val="0"/>
                <w:color w:val="000000"/>
                <w:sz w:val="24"/>
                <w:szCs w:val="24"/>
              </w:rPr>
              <w:t>日。其中城区园区用水量为</w:t>
            </w:r>
            <w:r>
              <w:rPr>
                <w:rFonts w:hint="default" w:ascii="Times New Roman" w:hAnsi="Times New Roman" w:eastAsia="TimesNewRomanPSMT" w:cs="Times New Roman"/>
                <w:b w:val="0"/>
                <w:bCs w:val="0"/>
                <w:color w:val="000000"/>
                <w:sz w:val="24"/>
                <w:szCs w:val="24"/>
              </w:rPr>
              <w:t>8.54</w:t>
            </w:r>
            <w:r>
              <w:rPr>
                <w:rFonts w:hint="default" w:ascii="Times New Roman" w:hAnsi="Times New Roman" w:eastAsia="宋体" w:cs="Times New Roman"/>
                <w:b w:val="0"/>
                <w:bCs w:val="0"/>
                <w:color w:val="000000"/>
                <w:sz w:val="24"/>
                <w:szCs w:val="24"/>
              </w:rPr>
              <w:t>万</w:t>
            </w:r>
            <w:r>
              <w:rPr>
                <w:rFonts w:hint="default" w:ascii="Times New Roman" w:hAnsi="Times New Roman" w:eastAsia="TimesNewRomanPSMT" w:cs="Times New Roman"/>
                <w:b w:val="0"/>
                <w:bCs w:val="0"/>
                <w:color w:val="000000"/>
                <w:sz w:val="24"/>
                <w:szCs w:val="24"/>
              </w:rPr>
              <w:t>m</w:t>
            </w:r>
            <w:r>
              <w:rPr>
                <w:rFonts w:hint="default" w:ascii="Times New Roman" w:hAnsi="Times New Roman" w:eastAsia="宋体" w:cs="Times New Roman"/>
                <w:b w:val="0"/>
                <w:bCs w:val="0"/>
                <w:color w:val="000000"/>
                <w:sz w:val="24"/>
                <w:szCs w:val="24"/>
                <w:vertAlign w:val="superscript"/>
                <w:lang w:val="en-US" w:eastAsia="zh-CN"/>
              </w:rPr>
              <w:t>3</w:t>
            </w:r>
            <w:r>
              <w:rPr>
                <w:rFonts w:hint="default" w:ascii="Times New Roman" w:hAnsi="Times New Roman" w:eastAsia="TimesNewRomanPSMT" w:cs="Times New Roman"/>
                <w:b w:val="0"/>
                <w:bCs w:val="0"/>
                <w:color w:val="000000"/>
                <w:sz w:val="24"/>
                <w:szCs w:val="24"/>
              </w:rPr>
              <w:t>/</w:t>
            </w:r>
            <w:r>
              <w:rPr>
                <w:rFonts w:hint="default" w:ascii="Times New Roman" w:hAnsi="Times New Roman" w:eastAsia="宋体" w:cs="Times New Roman"/>
                <w:b w:val="0"/>
                <w:bCs w:val="0"/>
                <w:color w:val="000000"/>
                <w:sz w:val="24"/>
                <w:szCs w:val="24"/>
              </w:rPr>
              <w:t>日，东部园区用水量为</w:t>
            </w:r>
            <w:r>
              <w:rPr>
                <w:rFonts w:hint="default" w:ascii="Times New Roman" w:hAnsi="Times New Roman" w:eastAsia="TimesNewRomanPSMT" w:cs="Times New Roman"/>
                <w:b w:val="0"/>
                <w:bCs w:val="0"/>
                <w:color w:val="000000"/>
                <w:sz w:val="24"/>
                <w:szCs w:val="24"/>
              </w:rPr>
              <w:t>4.56</w:t>
            </w:r>
            <w:r>
              <w:rPr>
                <w:rFonts w:hint="default" w:ascii="Times New Roman" w:hAnsi="Times New Roman" w:eastAsia="宋体" w:cs="Times New Roman"/>
                <w:b w:val="0"/>
                <w:bCs w:val="0"/>
                <w:color w:val="000000"/>
                <w:sz w:val="24"/>
                <w:szCs w:val="24"/>
              </w:rPr>
              <w:t>万</w:t>
            </w:r>
            <w:r>
              <w:rPr>
                <w:rFonts w:hint="default" w:ascii="Times New Roman" w:hAnsi="Times New Roman" w:eastAsia="TimesNewRomanPSMT" w:cs="Times New Roman"/>
                <w:b w:val="0"/>
                <w:bCs w:val="0"/>
                <w:color w:val="000000"/>
                <w:sz w:val="24"/>
                <w:szCs w:val="24"/>
              </w:rPr>
              <w:t>m</w:t>
            </w:r>
            <w:r>
              <w:rPr>
                <w:rFonts w:hint="default" w:ascii="Times New Roman" w:hAnsi="Times New Roman" w:eastAsia="宋体" w:cs="Times New Roman"/>
                <w:b w:val="0"/>
                <w:bCs w:val="0"/>
                <w:color w:val="000000"/>
                <w:sz w:val="24"/>
                <w:szCs w:val="24"/>
                <w:vertAlign w:val="superscript"/>
                <w:lang w:val="en-US" w:eastAsia="zh-CN"/>
              </w:rPr>
              <w:t>3</w:t>
            </w:r>
            <w:r>
              <w:rPr>
                <w:rFonts w:hint="default" w:ascii="Times New Roman" w:hAnsi="Times New Roman" w:eastAsia="TimesNewRomanPSMT" w:cs="Times New Roman"/>
                <w:b w:val="0"/>
                <w:bCs w:val="0"/>
                <w:color w:val="000000"/>
                <w:sz w:val="24"/>
                <w:szCs w:val="24"/>
              </w:rPr>
              <w:t>/</w:t>
            </w:r>
            <w:r>
              <w:rPr>
                <w:rFonts w:hint="default" w:ascii="Times New Roman" w:hAnsi="Times New Roman" w:eastAsia="宋体" w:cs="Times New Roman"/>
                <w:b w:val="0"/>
                <w:bCs w:val="0"/>
                <w:color w:val="000000"/>
                <w:sz w:val="24"/>
                <w:szCs w:val="24"/>
              </w:rPr>
              <w:t>日，西部园区用水量为</w:t>
            </w:r>
            <w:r>
              <w:rPr>
                <w:rFonts w:hint="default" w:ascii="Times New Roman" w:hAnsi="Times New Roman" w:eastAsia="TimesNewRomanPSMT" w:cs="Times New Roman"/>
                <w:b w:val="0"/>
                <w:bCs w:val="0"/>
                <w:color w:val="000000"/>
                <w:sz w:val="24"/>
                <w:szCs w:val="24"/>
              </w:rPr>
              <w:t>0.84</w:t>
            </w:r>
            <w:r>
              <w:rPr>
                <w:rFonts w:hint="default" w:ascii="Times New Roman" w:hAnsi="Times New Roman" w:eastAsia="宋体" w:cs="Times New Roman"/>
                <w:b w:val="0"/>
                <w:bCs w:val="0"/>
                <w:color w:val="000000"/>
                <w:sz w:val="24"/>
                <w:szCs w:val="24"/>
              </w:rPr>
              <w:t>万</w:t>
            </w:r>
            <w:r>
              <w:rPr>
                <w:rFonts w:hint="default" w:ascii="Times New Roman" w:hAnsi="Times New Roman" w:eastAsia="TimesNewRomanPSMT" w:cs="Times New Roman"/>
                <w:b w:val="0"/>
                <w:bCs w:val="0"/>
                <w:color w:val="000000"/>
                <w:sz w:val="24"/>
                <w:szCs w:val="24"/>
              </w:rPr>
              <w:t>m</w:t>
            </w:r>
            <w:r>
              <w:rPr>
                <w:rFonts w:hint="default" w:ascii="Times New Roman" w:hAnsi="Times New Roman" w:eastAsia="宋体" w:cs="Times New Roman"/>
                <w:b w:val="0"/>
                <w:bCs w:val="0"/>
                <w:color w:val="000000"/>
                <w:sz w:val="24"/>
                <w:szCs w:val="24"/>
                <w:vertAlign w:val="superscript"/>
                <w:lang w:val="en-US" w:eastAsia="zh-CN"/>
              </w:rPr>
              <w:t>3</w:t>
            </w:r>
            <w:r>
              <w:rPr>
                <w:rFonts w:hint="default" w:ascii="Times New Roman" w:hAnsi="Times New Roman" w:eastAsia="TimesNewRomanPSMT" w:cs="Times New Roman"/>
                <w:b w:val="0"/>
                <w:bCs w:val="0"/>
                <w:color w:val="000000"/>
                <w:sz w:val="24"/>
                <w:szCs w:val="24"/>
              </w:rPr>
              <w:t>/</w:t>
            </w:r>
            <w:r>
              <w:rPr>
                <w:rFonts w:hint="default" w:ascii="Times New Roman" w:hAnsi="Times New Roman" w:eastAsia="宋体" w:cs="Times New Roman"/>
                <w:b w:val="0"/>
                <w:bCs w:val="0"/>
                <w:color w:val="000000"/>
                <w:sz w:val="24"/>
                <w:szCs w:val="24"/>
              </w:rPr>
              <w:t>日。</w:t>
            </w:r>
          </w:p>
          <w:p w14:paraId="19D32A8C">
            <w:pPr>
              <w:keepNext w:val="0"/>
              <w:keepLines w:val="0"/>
              <w:pageBreakBefore w:val="0"/>
              <w:widowControl/>
              <w:kinsoku/>
              <w:wordWrap/>
              <w:overflowPunct/>
              <w:topLinePunct w:val="0"/>
              <w:autoSpaceDE/>
              <w:autoSpaceDN/>
              <w:bidi w:val="0"/>
              <w:snapToGrid/>
              <w:ind w:firstLine="480"/>
              <w:jc w:val="left"/>
              <w:textAlignment w:val="auto"/>
              <w:rPr>
                <w:rFonts w:hint="eastAsia" w:ascii="Times New Roman" w:hAnsi="Times New Roman" w:eastAsia="宋体" w:cs="Times New Roman"/>
                <w:color w:val="000000"/>
                <w:kern w:val="0"/>
                <w:lang w:eastAsia="zh-CN" w:bidi="ar"/>
              </w:rPr>
            </w:pPr>
            <w:r>
              <w:rPr>
                <w:rFonts w:hint="default" w:ascii="Times New Roman" w:hAnsi="Times New Roman" w:cs="Times New Roman"/>
                <w:color w:val="000000"/>
                <w:kern w:val="0"/>
                <w:highlight w:val="none"/>
                <w:lang w:eastAsia="zh-CN" w:bidi="ar"/>
              </w:rPr>
              <w:t>本项目所在地</w:t>
            </w:r>
            <w:r>
              <w:rPr>
                <w:rFonts w:hint="default" w:ascii="Times New Roman" w:hAnsi="Times New Roman" w:cs="Times New Roman"/>
                <w:color w:val="000000"/>
                <w:kern w:val="0"/>
                <w:highlight w:val="none"/>
                <w:lang w:bidi="ar"/>
              </w:rPr>
              <w:t>开发区</w:t>
            </w:r>
            <w:r>
              <w:rPr>
                <w:rFonts w:hint="default" w:ascii="Times New Roman" w:hAnsi="Times New Roman" w:cs="Times New Roman"/>
                <w:color w:val="000000"/>
                <w:kern w:val="0"/>
                <w:lang w:bidi="ar"/>
              </w:rPr>
              <w:t>的用水采用分区供水的方式提供</w:t>
            </w:r>
            <w:r>
              <w:rPr>
                <w:rFonts w:hint="default" w:ascii="Times New Roman" w:hAnsi="Times New Roman" w:cs="Times New Roman"/>
                <w:color w:val="000000"/>
                <w:kern w:val="0"/>
                <w:lang w:eastAsia="zh-CN" w:bidi="ar"/>
              </w:rPr>
              <w:t>，</w:t>
            </w:r>
            <w:r>
              <w:rPr>
                <w:rFonts w:hint="default" w:ascii="Times New Roman" w:hAnsi="Times New Roman" w:eastAsia="宋体" w:cs="Times New Roman"/>
                <w:b w:val="0"/>
                <w:bCs w:val="0"/>
                <w:color w:val="000000"/>
                <w:sz w:val="24"/>
                <w:szCs w:val="24"/>
              </w:rPr>
              <w:t>东部园区用水将由城区供水管网提供和詹店供水厂提供</w:t>
            </w:r>
            <w:r>
              <w:rPr>
                <w:rFonts w:hint="eastAsia" w:ascii="Times New Roman" w:hAnsi="Times New Roman" w:eastAsia="宋体" w:cs="Times New Roman"/>
                <w:b w:val="0"/>
                <w:bCs w:val="0"/>
                <w:color w:val="000000"/>
                <w:sz w:val="24"/>
                <w:szCs w:val="24"/>
                <w:lang w:eastAsia="zh-CN"/>
              </w:rPr>
              <w:t>。</w:t>
            </w:r>
          </w:p>
          <w:p w14:paraId="586FFDC1">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highlight w:val="none"/>
                <w:lang w:bidi="ar"/>
              </w:rPr>
            </w:pPr>
            <w:r>
              <w:rPr>
                <w:rFonts w:hint="default" w:ascii="Times New Roman" w:hAnsi="Times New Roman" w:cs="Times New Roman"/>
                <w:color w:val="000000"/>
                <w:kern w:val="0"/>
                <w:highlight w:val="none"/>
                <w:lang w:bidi="ar"/>
              </w:rPr>
              <w:t>（7）基础设施规划</w:t>
            </w:r>
          </w:p>
          <w:p w14:paraId="2A8023D2">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①给水水源规划</w:t>
            </w:r>
          </w:p>
          <w:p w14:paraId="35BDB711">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开发区的用水采用分区供水的方式提供。</w:t>
            </w:r>
          </w:p>
          <w:p w14:paraId="2D18A97D">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eastAsia="宋体" w:cs="Times New Roman"/>
                <w:b w:val="0"/>
                <w:bCs w:val="0"/>
                <w:color w:val="000000"/>
                <w:sz w:val="24"/>
                <w:szCs w:val="24"/>
              </w:rPr>
              <w:t>东部园区用水将由城区供水管网提供和詹店供水厂提供，詹店供水厂供水规模为</w:t>
            </w:r>
            <w:r>
              <w:rPr>
                <w:rFonts w:hint="default" w:ascii="Times New Roman" w:hAnsi="Times New Roman" w:eastAsia="TimesNewRomanPSMT" w:cs="Times New Roman"/>
                <w:b w:val="0"/>
                <w:bCs w:val="0"/>
                <w:color w:val="000000"/>
                <w:sz w:val="24"/>
                <w:szCs w:val="24"/>
              </w:rPr>
              <w:t>4</w:t>
            </w:r>
            <w:r>
              <w:rPr>
                <w:rFonts w:hint="default" w:ascii="Times New Roman" w:hAnsi="Times New Roman" w:eastAsia="宋体" w:cs="Times New Roman"/>
                <w:b w:val="0"/>
                <w:bCs w:val="0"/>
                <w:color w:val="000000"/>
                <w:sz w:val="24"/>
                <w:szCs w:val="24"/>
              </w:rPr>
              <w:t>万吨</w:t>
            </w:r>
            <w:r>
              <w:rPr>
                <w:rFonts w:hint="default" w:ascii="Times New Roman" w:hAnsi="Times New Roman" w:eastAsia="TimesNewRomanPSMT" w:cs="Times New Roman"/>
                <w:b w:val="0"/>
                <w:bCs w:val="0"/>
                <w:color w:val="000000"/>
                <w:sz w:val="24"/>
                <w:szCs w:val="24"/>
              </w:rPr>
              <w:t>/</w:t>
            </w:r>
            <w:r>
              <w:rPr>
                <w:rFonts w:hint="default" w:ascii="Times New Roman" w:hAnsi="Times New Roman" w:eastAsia="宋体" w:cs="Times New Roman"/>
                <w:b w:val="0"/>
                <w:bCs w:val="0"/>
                <w:color w:val="000000"/>
                <w:sz w:val="24"/>
                <w:szCs w:val="24"/>
              </w:rPr>
              <w:t>日，以引黄水为主。</w:t>
            </w:r>
          </w:p>
          <w:p w14:paraId="3BF7A649">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②给水管网规划</w:t>
            </w:r>
          </w:p>
          <w:p w14:paraId="2E82F107">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eastAsia="宋体" w:cs="Times New Roman"/>
                <w:b w:val="0"/>
                <w:bCs w:val="0"/>
                <w:color w:val="000000"/>
                <w:sz w:val="24"/>
                <w:szCs w:val="24"/>
              </w:rPr>
              <w:t>东部园区规划沿国道</w:t>
            </w:r>
            <w:r>
              <w:rPr>
                <w:rFonts w:hint="default" w:ascii="Times New Roman" w:hAnsi="Times New Roman" w:eastAsia="TimesNewRomanPSMT" w:cs="Times New Roman"/>
                <w:b w:val="0"/>
                <w:bCs w:val="0"/>
                <w:color w:val="000000"/>
                <w:sz w:val="24"/>
                <w:szCs w:val="24"/>
              </w:rPr>
              <w:t>327</w:t>
            </w:r>
            <w:r>
              <w:rPr>
                <w:rFonts w:hint="default" w:ascii="Times New Roman" w:hAnsi="Times New Roman" w:eastAsia="宋体" w:cs="Times New Roman"/>
                <w:b w:val="0"/>
                <w:bCs w:val="0"/>
                <w:color w:val="000000"/>
                <w:sz w:val="24"/>
                <w:szCs w:val="24"/>
              </w:rPr>
              <w:t>、鸿源路、昌武路敷设给水干管，管径为</w:t>
            </w:r>
            <w:r>
              <w:rPr>
                <w:rFonts w:hint="default" w:ascii="Times New Roman" w:hAnsi="Times New Roman" w:eastAsia="TimesNewRomanPSMT" w:cs="Times New Roman"/>
                <w:b w:val="0"/>
                <w:bCs w:val="0"/>
                <w:color w:val="000000"/>
                <w:sz w:val="24"/>
                <w:szCs w:val="24"/>
              </w:rPr>
              <w:t>DN500-DN700</w:t>
            </w:r>
            <w:r>
              <w:rPr>
                <w:rFonts w:hint="default" w:ascii="Times New Roman" w:hAnsi="Times New Roman" w:eastAsia="宋体" w:cs="Times New Roman"/>
                <w:b w:val="0"/>
                <w:bCs w:val="0"/>
                <w:color w:val="000000"/>
                <w:sz w:val="24"/>
                <w:szCs w:val="24"/>
              </w:rPr>
              <w:t>，其他道路敷设支管，管径为</w:t>
            </w:r>
            <w:r>
              <w:rPr>
                <w:rFonts w:hint="default" w:ascii="Times New Roman" w:hAnsi="Times New Roman" w:eastAsia="TimesNewRomanPSMT" w:cs="Times New Roman"/>
                <w:b w:val="0"/>
                <w:bCs w:val="0"/>
                <w:color w:val="000000"/>
                <w:sz w:val="24"/>
                <w:szCs w:val="24"/>
              </w:rPr>
              <w:t>DN200-DN300</w:t>
            </w:r>
            <w:r>
              <w:rPr>
                <w:rFonts w:hint="default" w:ascii="Times New Roman" w:hAnsi="Times New Roman" w:eastAsia="宋体" w:cs="Times New Roman"/>
                <w:b w:val="0"/>
                <w:bCs w:val="0"/>
                <w:color w:val="000000"/>
                <w:sz w:val="24"/>
                <w:szCs w:val="24"/>
              </w:rPr>
              <w:t>。</w:t>
            </w:r>
          </w:p>
          <w:p w14:paraId="6F413813">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highlight w:val="none"/>
                <w:lang w:bidi="ar"/>
              </w:rPr>
            </w:pPr>
            <w:r>
              <w:rPr>
                <w:rFonts w:hint="default" w:ascii="Times New Roman" w:hAnsi="Times New Roman" w:cs="Times New Roman"/>
                <w:color w:val="000000"/>
                <w:kern w:val="0"/>
                <w:highlight w:val="none"/>
                <w:lang w:bidi="ar"/>
              </w:rPr>
              <w:t>（8）污水工程规划</w:t>
            </w:r>
          </w:p>
          <w:p w14:paraId="03145281">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根据《城市给水工程规划规范》(GB50282-2016)和《城市排水工程规划规范》</w:t>
            </w:r>
            <w:r>
              <w:rPr>
                <w:rFonts w:hint="eastAsia" w:ascii="Times New Roman" w:hAnsi="Times New Roman" w:cs="Times New Roman"/>
                <w:color w:val="000000"/>
                <w:kern w:val="0"/>
                <w:lang w:eastAsia="zh-CN" w:bidi="ar"/>
              </w:rPr>
              <w:t>（</w:t>
            </w:r>
            <w:r>
              <w:rPr>
                <w:rFonts w:hint="default" w:ascii="Times New Roman" w:hAnsi="Times New Roman" w:cs="Times New Roman"/>
                <w:color w:val="000000"/>
                <w:kern w:val="0"/>
                <w:lang w:bidi="ar"/>
              </w:rPr>
              <w:t>GB50318-2017</w:t>
            </w:r>
            <w:r>
              <w:rPr>
                <w:rFonts w:hint="eastAsia" w:ascii="Times New Roman" w:hAnsi="Times New Roman" w:cs="Times New Roman"/>
                <w:color w:val="000000"/>
                <w:kern w:val="0"/>
                <w:lang w:eastAsia="zh-CN" w:bidi="ar"/>
              </w:rPr>
              <w:t>）</w:t>
            </w:r>
            <w:r>
              <w:rPr>
                <w:rFonts w:hint="default" w:ascii="Times New Roman" w:hAnsi="Times New Roman" w:cs="Times New Roman"/>
                <w:color w:val="000000"/>
                <w:kern w:val="0"/>
                <w:lang w:bidi="ar"/>
              </w:rPr>
              <w:t>，本区域排水体制采用雨污分流制。</w:t>
            </w:r>
          </w:p>
          <w:p w14:paraId="27F51208">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①污水处理设施</w:t>
            </w:r>
          </w:p>
          <w:p w14:paraId="0B9815ED">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开发区采用分区处理的方式进行污水处理。</w:t>
            </w:r>
          </w:p>
          <w:p w14:paraId="4C8B446F">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eastAsia="宋体" w:cs="Times New Roman"/>
                <w:b w:val="0"/>
                <w:bCs w:val="0"/>
                <w:color w:val="000000"/>
                <w:sz w:val="24"/>
                <w:szCs w:val="24"/>
              </w:rPr>
              <w:t>东部园</w:t>
            </w:r>
            <w:r>
              <w:rPr>
                <w:rFonts w:hint="default" w:ascii="Times New Roman" w:hAnsi="Times New Roman" w:eastAsia="宋体" w:cs="Times New Roman"/>
                <w:b w:val="0"/>
                <w:bCs w:val="0"/>
                <w:color w:val="000000"/>
                <w:sz w:val="24"/>
                <w:szCs w:val="24"/>
                <w:highlight w:val="none"/>
              </w:rPr>
              <w:t>区规划一处污水处理厂，日处理规模为</w:t>
            </w:r>
            <w:r>
              <w:rPr>
                <w:rFonts w:hint="default" w:ascii="Times New Roman" w:hAnsi="Times New Roman" w:eastAsia="TimesNewRomanPSMT" w:cs="Times New Roman"/>
                <w:b w:val="0"/>
                <w:bCs w:val="0"/>
                <w:color w:val="000000"/>
                <w:sz w:val="24"/>
                <w:szCs w:val="24"/>
                <w:highlight w:val="none"/>
              </w:rPr>
              <w:t>5.0</w:t>
            </w:r>
            <w:r>
              <w:rPr>
                <w:rFonts w:hint="default" w:ascii="Times New Roman" w:hAnsi="Times New Roman" w:eastAsia="宋体" w:cs="Times New Roman"/>
                <w:b w:val="0"/>
                <w:bCs w:val="0"/>
                <w:color w:val="000000"/>
                <w:sz w:val="24"/>
                <w:szCs w:val="24"/>
                <w:highlight w:val="none"/>
              </w:rPr>
              <w:t>万</w:t>
            </w:r>
            <w:r>
              <w:rPr>
                <w:rFonts w:hint="default" w:ascii="Times New Roman" w:hAnsi="Times New Roman" w:eastAsia="TimesNewRomanPSMT" w:cs="Times New Roman"/>
                <w:b w:val="0"/>
                <w:bCs w:val="0"/>
                <w:color w:val="000000"/>
                <w:sz w:val="24"/>
                <w:szCs w:val="24"/>
                <w:highlight w:val="none"/>
              </w:rPr>
              <w:t>m</w:t>
            </w:r>
            <w:r>
              <w:rPr>
                <w:rFonts w:hint="default" w:ascii="Times New Roman" w:hAnsi="Times New Roman" w:eastAsia="宋体" w:cs="Times New Roman"/>
                <w:b w:val="0"/>
                <w:bCs w:val="0"/>
                <w:color w:val="000000"/>
                <w:sz w:val="24"/>
                <w:szCs w:val="24"/>
                <w:highlight w:val="none"/>
                <w:vertAlign w:val="superscript"/>
                <w:lang w:val="en-US" w:eastAsia="zh-CN"/>
              </w:rPr>
              <w:t>3</w:t>
            </w:r>
            <w:r>
              <w:rPr>
                <w:rFonts w:hint="default" w:ascii="Times New Roman" w:hAnsi="Times New Roman" w:eastAsia="TimesNewRomanPSMT" w:cs="Times New Roman"/>
                <w:b w:val="0"/>
                <w:bCs w:val="0"/>
                <w:color w:val="000000"/>
                <w:sz w:val="24"/>
                <w:szCs w:val="24"/>
                <w:highlight w:val="none"/>
              </w:rPr>
              <w:t>/</w:t>
            </w:r>
            <w:r>
              <w:rPr>
                <w:rFonts w:hint="default" w:ascii="Times New Roman" w:hAnsi="Times New Roman" w:eastAsia="宋体" w:cs="Times New Roman"/>
                <w:b w:val="0"/>
                <w:bCs w:val="0"/>
                <w:color w:val="000000"/>
                <w:sz w:val="24"/>
                <w:szCs w:val="24"/>
                <w:highlight w:val="none"/>
              </w:rPr>
              <w:t>日，规</w:t>
            </w:r>
            <w:r>
              <w:rPr>
                <w:rFonts w:hint="default" w:ascii="Times New Roman" w:hAnsi="Times New Roman" w:eastAsia="宋体" w:cs="Times New Roman"/>
                <w:b w:val="0"/>
                <w:bCs w:val="0"/>
                <w:color w:val="000000"/>
                <w:sz w:val="24"/>
                <w:szCs w:val="24"/>
              </w:rPr>
              <w:t>划近期处理规模为</w:t>
            </w:r>
            <w:r>
              <w:rPr>
                <w:rFonts w:hint="default" w:ascii="Times New Roman" w:hAnsi="Times New Roman" w:eastAsia="TimesNewRomanPSMT" w:cs="Times New Roman"/>
                <w:b w:val="0"/>
                <w:bCs w:val="0"/>
                <w:color w:val="000000"/>
                <w:sz w:val="24"/>
                <w:szCs w:val="24"/>
              </w:rPr>
              <w:t>1.5</w:t>
            </w:r>
            <w:r>
              <w:rPr>
                <w:rFonts w:hint="default" w:ascii="Times New Roman" w:hAnsi="Times New Roman" w:eastAsia="宋体" w:cs="Times New Roman"/>
                <w:b w:val="0"/>
                <w:bCs w:val="0"/>
                <w:color w:val="000000"/>
                <w:sz w:val="24"/>
                <w:szCs w:val="24"/>
              </w:rPr>
              <w:t>万</w:t>
            </w:r>
            <w:r>
              <w:rPr>
                <w:rFonts w:hint="default" w:ascii="Times New Roman" w:hAnsi="Times New Roman" w:eastAsia="TimesNewRomanPSMT" w:cs="Times New Roman"/>
                <w:b w:val="0"/>
                <w:bCs w:val="0"/>
                <w:color w:val="000000"/>
                <w:sz w:val="24"/>
                <w:szCs w:val="24"/>
              </w:rPr>
              <w:t>m</w:t>
            </w:r>
            <w:r>
              <w:rPr>
                <w:rFonts w:hint="default" w:ascii="Times New Roman" w:hAnsi="Times New Roman" w:eastAsia="宋体" w:cs="Times New Roman"/>
                <w:b w:val="0"/>
                <w:bCs w:val="0"/>
                <w:color w:val="000000"/>
                <w:sz w:val="24"/>
                <w:szCs w:val="24"/>
                <w:vertAlign w:val="superscript"/>
                <w:lang w:val="en-US" w:eastAsia="zh-CN"/>
              </w:rPr>
              <w:t>3</w:t>
            </w:r>
            <w:r>
              <w:rPr>
                <w:rFonts w:hint="default" w:ascii="Times New Roman" w:hAnsi="Times New Roman" w:eastAsia="TimesNewRomanPSMT" w:cs="Times New Roman"/>
                <w:b w:val="0"/>
                <w:bCs w:val="0"/>
                <w:color w:val="000000"/>
                <w:sz w:val="24"/>
                <w:szCs w:val="24"/>
              </w:rPr>
              <w:t>/</w:t>
            </w:r>
            <w:r>
              <w:rPr>
                <w:rFonts w:hint="default" w:ascii="Times New Roman" w:hAnsi="Times New Roman" w:eastAsia="宋体" w:cs="Times New Roman"/>
                <w:b w:val="0"/>
                <w:bCs w:val="0"/>
                <w:color w:val="000000"/>
                <w:sz w:val="24"/>
                <w:szCs w:val="24"/>
              </w:rPr>
              <w:t>日。</w:t>
            </w:r>
          </w:p>
          <w:p w14:paraId="368B7D10">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②污水管线规划</w:t>
            </w:r>
          </w:p>
          <w:p w14:paraId="57B70DF9">
            <w:pPr>
              <w:keepNext w:val="0"/>
              <w:keepLines w:val="0"/>
              <w:pageBreakBefore w:val="0"/>
              <w:widowControl/>
              <w:kinsoku/>
              <w:wordWrap/>
              <w:overflowPunct/>
              <w:topLinePunct w:val="0"/>
              <w:autoSpaceDE/>
              <w:autoSpaceDN/>
              <w:bidi w:val="0"/>
              <w:snapToGrid/>
              <w:ind w:firstLine="480"/>
              <w:jc w:val="left"/>
              <w:textAlignment w:val="auto"/>
              <w:rPr>
                <w:rFonts w:hint="default" w:ascii="Times New Roman" w:hAnsi="Times New Roman" w:cs="Times New Roman"/>
                <w:color w:val="000000"/>
                <w:kern w:val="0"/>
                <w:lang w:bidi="ar"/>
              </w:rPr>
            </w:pPr>
            <w:r>
              <w:rPr>
                <w:rFonts w:hint="default" w:ascii="Times New Roman" w:hAnsi="Times New Roman" w:cs="Times New Roman"/>
                <w:color w:val="000000"/>
                <w:kern w:val="0"/>
                <w:lang w:bidi="ar"/>
              </w:rPr>
              <w:t>污水管网结合污水厂的建设、道路和竖向规划进行敷设。</w:t>
            </w:r>
          </w:p>
          <w:p w14:paraId="49E722B1">
            <w:pPr>
              <w:keepNext w:val="0"/>
              <w:keepLines w:val="0"/>
              <w:pageBreakBefore w:val="0"/>
              <w:widowControl/>
              <w:kinsoku/>
              <w:wordWrap/>
              <w:overflowPunct/>
              <w:topLinePunct w:val="0"/>
              <w:autoSpaceDE/>
              <w:autoSpaceDN/>
              <w:bidi w:val="0"/>
              <w:snapToGrid/>
              <w:spacing w:line="520" w:lineRule="exact"/>
              <w:ind w:firstLine="480"/>
              <w:jc w:val="left"/>
              <w:textAlignment w:val="auto"/>
              <w:rPr>
                <w:rFonts w:hint="default" w:ascii="Times New Roman" w:hAnsi="Times New Roman" w:cs="Times New Roman"/>
                <w:color w:val="000000"/>
                <w:kern w:val="0"/>
                <w:lang w:bidi="ar"/>
              </w:rPr>
            </w:pPr>
            <w:r>
              <w:rPr>
                <w:rFonts w:hint="default" w:ascii="Times New Roman" w:hAnsi="Times New Roman" w:eastAsia="宋体" w:cs="Times New Roman"/>
                <w:b w:val="0"/>
                <w:bCs w:val="0"/>
                <w:color w:val="000000"/>
                <w:sz w:val="24"/>
                <w:szCs w:val="24"/>
              </w:rPr>
              <w:t>东部园区规划沿泰安路、汇金大道、昌武路、鸿源路敷设污水干管，管径为</w:t>
            </w:r>
            <w:r>
              <w:rPr>
                <w:rFonts w:hint="default" w:ascii="Times New Roman" w:hAnsi="Times New Roman" w:eastAsia="TimesNewRomanPSMT" w:cs="Times New Roman"/>
                <w:b w:val="0"/>
                <w:bCs w:val="0"/>
                <w:color w:val="000000"/>
                <w:sz w:val="24"/>
                <w:szCs w:val="24"/>
              </w:rPr>
              <w:t>DN800-DN1000</w:t>
            </w:r>
            <w:r>
              <w:rPr>
                <w:rFonts w:hint="default" w:ascii="Times New Roman" w:hAnsi="Times New Roman" w:eastAsia="宋体" w:cs="Times New Roman"/>
                <w:b w:val="0"/>
                <w:bCs w:val="0"/>
                <w:color w:val="000000"/>
                <w:sz w:val="24"/>
                <w:szCs w:val="24"/>
              </w:rPr>
              <w:t>，其他道路敷设支管，管径为</w:t>
            </w:r>
            <w:r>
              <w:rPr>
                <w:rFonts w:hint="default" w:ascii="Times New Roman" w:hAnsi="Times New Roman" w:eastAsia="TimesNewRomanPSMT" w:cs="Times New Roman"/>
                <w:b w:val="0"/>
                <w:bCs w:val="0"/>
                <w:color w:val="000000"/>
                <w:sz w:val="24"/>
                <w:szCs w:val="24"/>
              </w:rPr>
              <w:t>DN300-DN500</w:t>
            </w:r>
            <w:r>
              <w:rPr>
                <w:rFonts w:hint="default" w:ascii="Times New Roman" w:hAnsi="Times New Roman" w:eastAsia="宋体" w:cs="Times New Roman"/>
                <w:b w:val="0"/>
                <w:bCs w:val="0"/>
                <w:color w:val="000000"/>
                <w:sz w:val="24"/>
                <w:szCs w:val="24"/>
              </w:rPr>
              <w:t>。</w:t>
            </w:r>
          </w:p>
          <w:p w14:paraId="4D81EFF2">
            <w:pPr>
              <w:keepNext w:val="0"/>
              <w:keepLines w:val="0"/>
              <w:widowControl/>
              <w:suppressLineNumbers w:val="0"/>
              <w:spacing w:line="520" w:lineRule="exact"/>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根据现场实地核查，本项目厂区雨污分流，运营期所产生的生活污水</w:t>
            </w:r>
            <w:r>
              <w:rPr>
                <w:rFonts w:hint="eastAsia" w:ascii="Times New Roman" w:hAnsi="Times New Roman" w:eastAsia="宋体" w:cs="Times New Roman"/>
                <w:color w:val="auto"/>
                <w:kern w:val="0"/>
                <w:sz w:val="24"/>
                <w:szCs w:val="24"/>
                <w:lang w:val="en-US" w:eastAsia="zh-CN" w:bidi="ar"/>
              </w:rPr>
              <w:t>经化粪池处理后，</w:t>
            </w:r>
            <w:r>
              <w:rPr>
                <w:rFonts w:hint="default" w:ascii="Times New Roman" w:hAnsi="Times New Roman" w:eastAsia="宋体" w:cs="Times New Roman"/>
                <w:color w:val="auto"/>
                <w:kern w:val="0"/>
                <w:sz w:val="24"/>
                <w:szCs w:val="24"/>
                <w:lang w:val="en-US" w:eastAsia="zh-CN" w:bidi="ar"/>
              </w:rPr>
              <w:t>通过</w:t>
            </w:r>
            <w:r>
              <w:rPr>
                <w:rFonts w:hint="eastAsia" w:cs="Times New Roman"/>
                <w:color w:val="auto"/>
                <w:kern w:val="0"/>
                <w:sz w:val="24"/>
                <w:szCs w:val="24"/>
                <w:lang w:val="en-US" w:eastAsia="zh-CN" w:bidi="ar"/>
              </w:rPr>
              <w:t>产业园区</w:t>
            </w:r>
            <w:r>
              <w:rPr>
                <w:rFonts w:hint="eastAsia" w:ascii="Times New Roman" w:hAnsi="Times New Roman" w:eastAsia="宋体" w:cs="Times New Roman"/>
                <w:color w:val="auto"/>
                <w:kern w:val="0"/>
                <w:sz w:val="24"/>
                <w:szCs w:val="24"/>
                <w:lang w:val="en-US" w:eastAsia="zh-CN" w:bidi="ar"/>
              </w:rPr>
              <w:t>污水管网</w:t>
            </w:r>
            <w:r>
              <w:rPr>
                <w:rFonts w:hint="default" w:ascii="Times New Roman" w:hAnsi="Times New Roman" w:eastAsia="宋体" w:cs="Times New Roman"/>
                <w:color w:val="auto"/>
                <w:kern w:val="0"/>
                <w:sz w:val="24"/>
                <w:szCs w:val="24"/>
                <w:lang w:val="en-US" w:eastAsia="zh-CN" w:bidi="ar"/>
              </w:rPr>
              <w:t>排入詹店镇污水处理厂进行处理，项目所在地雨水管网已建设完成，通过</w:t>
            </w:r>
            <w:r>
              <w:rPr>
                <w:rFonts w:hint="eastAsia" w:ascii="Times New Roman" w:hAnsi="Times New Roman" w:eastAsia="宋体" w:cs="Times New Roman"/>
                <w:color w:val="auto"/>
                <w:kern w:val="0"/>
                <w:sz w:val="24"/>
                <w:szCs w:val="24"/>
                <w:lang w:val="en-US" w:eastAsia="zh-CN" w:bidi="ar"/>
              </w:rPr>
              <w:t>经开区</w:t>
            </w:r>
            <w:r>
              <w:rPr>
                <w:rFonts w:hint="default" w:ascii="Times New Roman" w:hAnsi="Times New Roman" w:eastAsia="宋体" w:cs="Times New Roman"/>
                <w:color w:val="auto"/>
                <w:kern w:val="0"/>
                <w:sz w:val="24"/>
                <w:szCs w:val="24"/>
                <w:lang w:val="en-US" w:eastAsia="zh-CN" w:bidi="ar"/>
              </w:rPr>
              <w:t>雨水管道外排</w:t>
            </w:r>
            <w:r>
              <w:rPr>
                <w:rFonts w:hint="eastAsia" w:ascii="Times New Roman" w:hAnsi="Times New Roman" w:eastAsia="宋体" w:cs="Times New Roman"/>
                <w:color w:val="auto"/>
                <w:kern w:val="0"/>
                <w:sz w:val="24"/>
                <w:szCs w:val="24"/>
                <w:lang w:val="en-US" w:eastAsia="zh-CN" w:bidi="ar"/>
              </w:rPr>
              <w:t>，东部园区雨水就近排入一干排和新磁排。其中詹店区域雨水主要是排入新磁排。</w:t>
            </w:r>
          </w:p>
          <w:p w14:paraId="087A735A">
            <w:pPr>
              <w:keepNext w:val="0"/>
              <w:keepLines w:val="0"/>
              <w:pageBreakBefore w:val="0"/>
              <w:widowControl/>
              <w:kinsoku/>
              <w:wordWrap/>
              <w:overflowPunct/>
              <w:topLinePunct w:val="0"/>
              <w:autoSpaceDE/>
              <w:autoSpaceDN/>
              <w:bidi w:val="0"/>
              <w:snapToGrid/>
              <w:spacing w:line="520" w:lineRule="exact"/>
              <w:ind w:firstLine="480"/>
              <w:jc w:val="left"/>
              <w:textAlignment w:val="auto"/>
              <w:rPr>
                <w:rFonts w:hint="default" w:ascii="Times New Roman" w:hAnsi="Times New Roman" w:cs="Times New Roman"/>
                <w:highlight w:val="none"/>
              </w:rPr>
            </w:pPr>
            <w:r>
              <w:rPr>
                <w:rFonts w:hint="default" w:ascii="Times New Roman" w:hAnsi="Times New Roman" w:cs="Times New Roman"/>
                <w:highlight w:val="none"/>
              </w:rPr>
              <w:t>（9）与武陟县</w:t>
            </w:r>
            <w:r>
              <w:rPr>
                <w:rFonts w:hint="default" w:ascii="Times New Roman" w:hAnsi="Times New Roman" w:cs="Times New Roman"/>
                <w:highlight w:val="none"/>
                <w:lang w:eastAsia="zh-CN"/>
              </w:rPr>
              <w:t>经开区</w:t>
            </w:r>
            <w:r>
              <w:rPr>
                <w:rFonts w:hint="default" w:ascii="Times New Roman" w:hAnsi="Times New Roman" w:cs="Times New Roman"/>
                <w:highlight w:val="none"/>
              </w:rPr>
              <w:t>规划</w:t>
            </w:r>
            <w:r>
              <w:rPr>
                <w:rFonts w:hint="default" w:ascii="Times New Roman" w:hAnsi="Times New Roman" w:cs="Times New Roman"/>
                <w:highlight w:val="none"/>
                <w:lang w:eastAsia="zh-CN"/>
              </w:rPr>
              <w:t>环评</w:t>
            </w:r>
            <w:r>
              <w:rPr>
                <w:rFonts w:hint="default" w:ascii="Times New Roman" w:hAnsi="Times New Roman" w:cs="Times New Roman"/>
                <w:highlight w:val="none"/>
              </w:rPr>
              <w:t>相符性分析</w:t>
            </w:r>
          </w:p>
          <w:p w14:paraId="74EE3F73">
            <w:pPr>
              <w:keepNext w:val="0"/>
              <w:keepLines w:val="0"/>
              <w:pageBreakBefore w:val="0"/>
              <w:widowControl/>
              <w:kinsoku/>
              <w:wordWrap/>
              <w:overflowPunct/>
              <w:topLinePunct w:val="0"/>
              <w:autoSpaceDE/>
              <w:autoSpaceDN/>
              <w:bidi w:val="0"/>
              <w:snapToGrid/>
              <w:spacing w:line="520" w:lineRule="exact"/>
              <w:ind w:firstLine="480"/>
              <w:jc w:val="left"/>
              <w:textAlignment w:val="auto"/>
              <w:rPr>
                <w:rFonts w:hint="default" w:ascii="Times New Roman" w:hAnsi="Times New Roman" w:cs="Times New Roman"/>
                <w:kern w:val="0"/>
                <w:highlight w:val="none"/>
                <w:lang w:bidi="ar"/>
              </w:rPr>
            </w:pPr>
            <w:r>
              <w:rPr>
                <w:rFonts w:hint="default" w:ascii="Times New Roman" w:hAnsi="Times New Roman" w:cs="Times New Roman"/>
                <w:highlight w:val="none"/>
              </w:rPr>
              <w:t>根据《武陟经济技术开发区发展规划（2022-2035）环境影响报告书》，</w:t>
            </w:r>
            <w:r>
              <w:rPr>
                <w:rFonts w:hint="default" w:ascii="Times New Roman" w:hAnsi="Times New Roman" w:cs="Times New Roman"/>
                <w:kern w:val="0"/>
                <w:highlight w:val="none"/>
                <w:lang w:bidi="ar"/>
              </w:rPr>
              <w:t>本项目与武陟经济技术开发区</w:t>
            </w:r>
            <w:r>
              <w:rPr>
                <w:rFonts w:hint="default" w:ascii="Times New Roman" w:hAnsi="Times New Roman" w:cs="Times New Roman"/>
                <w:kern w:val="0"/>
                <w:highlight w:val="none"/>
                <w:lang w:eastAsia="zh-CN" w:bidi="ar"/>
              </w:rPr>
              <w:t>规划环评</w:t>
            </w:r>
            <w:r>
              <w:rPr>
                <w:rFonts w:hint="default" w:ascii="Times New Roman" w:hAnsi="Times New Roman" w:cs="Times New Roman"/>
                <w:kern w:val="0"/>
                <w:highlight w:val="none"/>
                <w:lang w:bidi="ar"/>
              </w:rPr>
              <w:t>相符性分析详见下表。</w:t>
            </w:r>
          </w:p>
          <w:p w14:paraId="038761CE">
            <w:pPr>
              <w:pStyle w:val="20"/>
              <w:keepNext w:val="0"/>
              <w:keepLines w:val="0"/>
              <w:pageBreakBefore w:val="0"/>
              <w:widowControl/>
              <w:suppressLineNumbers w:val="0"/>
              <w:tabs>
                <w:tab w:val="left" w:pos="0"/>
              </w:tabs>
              <w:kinsoku/>
              <w:wordWrap/>
              <w:overflowPunct/>
              <w:topLinePunct w:val="0"/>
              <w:autoSpaceDE/>
              <w:autoSpaceDN/>
              <w:bidi w:val="0"/>
              <w:snapToGrid/>
              <w:spacing w:before="0" w:beforeAutospacing="0" w:after="0" w:afterAutospacing="0" w:line="520" w:lineRule="exact"/>
              <w:ind w:left="0" w:right="0" w:firstLine="0" w:firstLineChars="0"/>
              <w:textAlignment w:val="auto"/>
              <w:rPr>
                <w:rFonts w:hint="default" w:ascii="Times New Roman" w:hAnsi="Times New Roman" w:cs="Times New Roman"/>
                <w:b/>
                <w:bCs w:val="0"/>
              </w:rPr>
            </w:pPr>
            <w:r>
              <w:rPr>
                <w:rFonts w:hint="default" w:ascii="Times New Roman" w:hAnsi="Times New Roman" w:cs="Times New Roman"/>
                <w:b/>
                <w:bCs w:val="0"/>
                <w:highlight w:val="none"/>
              </w:rPr>
              <w:t>表1-1  本项目与武陟经济技术开发区环境准入条件相符</w:t>
            </w:r>
            <w:r>
              <w:rPr>
                <w:rFonts w:hint="default" w:ascii="Times New Roman" w:hAnsi="Times New Roman" w:cs="Times New Roman"/>
                <w:b/>
                <w:bCs w:val="0"/>
              </w:rPr>
              <w:t>性分析一览表</w:t>
            </w:r>
          </w:p>
          <w:tbl>
            <w:tblPr>
              <w:tblStyle w:val="15"/>
              <w:tblW w:w="8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676"/>
              <w:gridCol w:w="4026"/>
              <w:gridCol w:w="2979"/>
              <w:gridCol w:w="676"/>
            </w:tblGrid>
            <w:tr w14:paraId="04561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28" w:type="pct"/>
                  <w:noWrap w:val="0"/>
                  <w:vAlign w:val="center"/>
                </w:tcPr>
                <w:p w14:paraId="7CF8F4F1">
                  <w:pPr>
                    <w:pStyle w:val="21"/>
                    <w:snapToGrid w:val="0"/>
                    <w:spacing w:line="360" w:lineRule="exact"/>
                    <w:rPr>
                      <w:rFonts w:hint="eastAsia"/>
                      <w:b/>
                      <w:bCs w:val="0"/>
                      <w:szCs w:val="21"/>
                    </w:rPr>
                  </w:pPr>
                  <w:r>
                    <w:rPr>
                      <w:rFonts w:hint="eastAsia"/>
                      <w:b/>
                      <w:bCs w:val="0"/>
                      <w:szCs w:val="21"/>
                    </w:rPr>
                    <w:t>分区</w:t>
                  </w:r>
                </w:p>
              </w:tc>
              <w:tc>
                <w:tcPr>
                  <w:tcW w:w="385" w:type="pct"/>
                  <w:noWrap w:val="0"/>
                  <w:vAlign w:val="center"/>
                </w:tcPr>
                <w:p w14:paraId="591B09F9">
                  <w:pPr>
                    <w:pStyle w:val="21"/>
                    <w:snapToGrid w:val="0"/>
                    <w:spacing w:line="360" w:lineRule="exact"/>
                    <w:rPr>
                      <w:b/>
                      <w:bCs w:val="0"/>
                      <w:szCs w:val="21"/>
                    </w:rPr>
                  </w:pPr>
                  <w:r>
                    <w:rPr>
                      <w:b/>
                      <w:bCs w:val="0"/>
                      <w:szCs w:val="21"/>
                    </w:rPr>
                    <w:t>项目类别</w:t>
                  </w:r>
                </w:p>
              </w:tc>
              <w:tc>
                <w:tcPr>
                  <w:tcW w:w="2298" w:type="pct"/>
                  <w:noWrap w:val="0"/>
                  <w:vAlign w:val="center"/>
                </w:tcPr>
                <w:p w14:paraId="160B0D32">
                  <w:pPr>
                    <w:pStyle w:val="21"/>
                    <w:snapToGrid w:val="0"/>
                    <w:spacing w:line="360" w:lineRule="exact"/>
                    <w:rPr>
                      <w:b/>
                      <w:bCs w:val="0"/>
                      <w:szCs w:val="21"/>
                    </w:rPr>
                  </w:pPr>
                  <w:r>
                    <w:rPr>
                      <w:b/>
                      <w:bCs w:val="0"/>
                      <w:szCs w:val="21"/>
                    </w:rPr>
                    <w:t>环境准入条件</w:t>
                  </w:r>
                </w:p>
              </w:tc>
              <w:tc>
                <w:tcPr>
                  <w:tcW w:w="1700" w:type="pct"/>
                  <w:noWrap w:val="0"/>
                  <w:vAlign w:val="center"/>
                </w:tcPr>
                <w:p w14:paraId="53802A72">
                  <w:pPr>
                    <w:pStyle w:val="21"/>
                    <w:snapToGrid w:val="0"/>
                    <w:spacing w:line="360" w:lineRule="exact"/>
                    <w:rPr>
                      <w:b/>
                      <w:bCs w:val="0"/>
                      <w:szCs w:val="21"/>
                    </w:rPr>
                  </w:pPr>
                  <w:r>
                    <w:rPr>
                      <w:b/>
                      <w:bCs w:val="0"/>
                      <w:szCs w:val="21"/>
                    </w:rPr>
                    <w:t>本项目情况</w:t>
                  </w:r>
                </w:p>
              </w:tc>
              <w:tc>
                <w:tcPr>
                  <w:tcW w:w="385" w:type="pct"/>
                  <w:noWrap w:val="0"/>
                  <w:vAlign w:val="center"/>
                </w:tcPr>
                <w:p w14:paraId="2B8EF4ED">
                  <w:pPr>
                    <w:pStyle w:val="21"/>
                    <w:snapToGrid w:val="0"/>
                    <w:spacing w:line="360" w:lineRule="exact"/>
                    <w:rPr>
                      <w:b/>
                      <w:bCs w:val="0"/>
                      <w:szCs w:val="21"/>
                    </w:rPr>
                  </w:pPr>
                  <w:r>
                    <w:rPr>
                      <w:b/>
                      <w:bCs w:val="0"/>
                      <w:szCs w:val="21"/>
                    </w:rPr>
                    <w:t>相符性</w:t>
                  </w:r>
                </w:p>
              </w:tc>
            </w:tr>
            <w:tr w14:paraId="51C3A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7" w:hRule="atLeast"/>
                <w:jc w:val="center"/>
              </w:trPr>
              <w:tc>
                <w:tcPr>
                  <w:tcW w:w="228" w:type="pct"/>
                  <w:vMerge w:val="restart"/>
                  <w:noWrap w:val="0"/>
                  <w:vAlign w:val="center"/>
                </w:tcPr>
                <w:p w14:paraId="17D804AF">
                  <w:pPr>
                    <w:pStyle w:val="21"/>
                    <w:snapToGrid w:val="0"/>
                    <w:spacing w:line="360" w:lineRule="exact"/>
                    <w:rPr>
                      <w:rFonts w:hint="eastAsia"/>
                      <w:szCs w:val="21"/>
                    </w:rPr>
                  </w:pPr>
                  <w:r>
                    <w:rPr>
                      <w:rFonts w:hint="eastAsia"/>
                      <w:szCs w:val="21"/>
                      <w:highlight w:val="none"/>
                    </w:rPr>
                    <w:t>保护区域</w:t>
                  </w:r>
                </w:p>
              </w:tc>
              <w:tc>
                <w:tcPr>
                  <w:tcW w:w="385" w:type="pct"/>
                  <w:noWrap w:val="0"/>
                  <w:vAlign w:val="center"/>
                </w:tcPr>
                <w:p w14:paraId="0013530D">
                  <w:pPr>
                    <w:pStyle w:val="21"/>
                    <w:snapToGrid w:val="0"/>
                    <w:spacing w:line="360" w:lineRule="exact"/>
                    <w:rPr>
                      <w:szCs w:val="21"/>
                    </w:rPr>
                  </w:pPr>
                  <w:r>
                    <w:rPr>
                      <w:szCs w:val="21"/>
                    </w:rPr>
                    <w:t>中洛石油管线</w:t>
                  </w:r>
                </w:p>
              </w:tc>
              <w:tc>
                <w:tcPr>
                  <w:tcW w:w="2298" w:type="pct"/>
                  <w:noWrap w:val="0"/>
                  <w:vAlign w:val="center"/>
                </w:tcPr>
                <w:p w14:paraId="0575F269">
                  <w:pPr>
                    <w:widowControl/>
                    <w:spacing w:line="360" w:lineRule="exact"/>
                    <w:ind w:firstLine="0" w:firstLineChars="0"/>
                    <w:jc w:val="left"/>
                    <w:rPr>
                      <w:sz w:val="21"/>
                      <w:szCs w:val="21"/>
                    </w:rPr>
                  </w:pPr>
                  <w:r>
                    <w:rPr>
                      <w:color w:val="000000"/>
                      <w:kern w:val="0"/>
                      <w:sz w:val="21"/>
                      <w:szCs w:val="21"/>
                      <w:lang w:bidi="ar"/>
                    </w:rPr>
                    <w:t>中洛石油管道两侧5m范围内禁止①种植乔木、灌木、藤类、芦苇、竹子或者其他根系深达管道埋设部位可能损坏管道防腐层的深根植物；②取土、采石、用火、堆放重物、排放腐蚀性物质、使用机械工具进行挖掘施工；③挖塘、修渠、修晒场、修建水产养殖场、建温室、建家畜棚圈、建房以及修建其他建筑物、构筑物</w:t>
                  </w:r>
                </w:p>
              </w:tc>
              <w:tc>
                <w:tcPr>
                  <w:tcW w:w="1700" w:type="pct"/>
                  <w:noWrap w:val="0"/>
                  <w:vAlign w:val="center"/>
                </w:tcPr>
                <w:p w14:paraId="66C1B955">
                  <w:pPr>
                    <w:spacing w:line="360" w:lineRule="exact"/>
                    <w:ind w:firstLine="0" w:firstLineChars="0"/>
                    <w:rPr>
                      <w:sz w:val="21"/>
                      <w:szCs w:val="21"/>
                    </w:rPr>
                  </w:pPr>
                  <w:r>
                    <w:rPr>
                      <w:rFonts w:hint="default" w:ascii="Times New Roman" w:hAnsi="Times New Roman" w:cs="Times New Roman"/>
                      <w:sz w:val="21"/>
                      <w:szCs w:val="21"/>
                    </w:rPr>
                    <w:t>本项目</w:t>
                  </w:r>
                  <w:r>
                    <w:rPr>
                      <w:rFonts w:hint="default" w:ascii="Times New Roman" w:hAnsi="Times New Roman" w:cs="Times New Roman"/>
                      <w:sz w:val="21"/>
                      <w:szCs w:val="21"/>
                      <w:highlight w:val="none"/>
                    </w:rPr>
                    <w:t>所在地</w:t>
                  </w:r>
                  <w:r>
                    <w:rPr>
                      <w:rFonts w:hint="default" w:ascii="Times New Roman" w:hAnsi="Times New Roman" w:cs="Times New Roman"/>
                      <w:sz w:val="21"/>
                      <w:szCs w:val="21"/>
                    </w:rPr>
                    <w:t>为</w:t>
                  </w:r>
                  <w:r>
                    <w:rPr>
                      <w:rFonts w:hint="default" w:ascii="Times New Roman" w:hAnsi="Times New Roman" w:cs="Times New Roman"/>
                      <w:sz w:val="21"/>
                      <w:szCs w:val="21"/>
                      <w:lang w:eastAsia="zh-CN"/>
                    </w:rPr>
                    <w:t>焦作市武陟</w:t>
                  </w:r>
                  <w:r>
                    <w:rPr>
                      <w:rFonts w:hint="eastAsia" w:cs="Times New Roman"/>
                      <w:sz w:val="21"/>
                      <w:szCs w:val="21"/>
                      <w:lang w:eastAsia="zh-CN"/>
                    </w:rPr>
                    <w:t>县</w:t>
                  </w:r>
                  <w:r>
                    <w:rPr>
                      <w:rFonts w:hint="default" w:ascii="Times New Roman" w:hAnsi="Times New Roman" w:cs="Times New Roman"/>
                      <w:sz w:val="21"/>
                      <w:szCs w:val="21"/>
                      <w:lang w:eastAsia="zh-CN"/>
                    </w:rPr>
                    <w:t>经开区东部园区昌武路与鸿源路交叉口路西200米路南01号</w:t>
                  </w:r>
                  <w:r>
                    <w:rPr>
                      <w:rFonts w:hint="default" w:ascii="Times New Roman" w:hAnsi="Times New Roman" w:cs="Times New Roman"/>
                      <w:sz w:val="21"/>
                      <w:szCs w:val="21"/>
                    </w:rPr>
                    <w:t>，</w:t>
                  </w:r>
                  <w:r>
                    <w:rPr>
                      <w:rFonts w:hint="eastAsia" w:cs="Times New Roman"/>
                      <w:sz w:val="21"/>
                      <w:szCs w:val="21"/>
                      <w:lang w:eastAsia="zh-CN"/>
                    </w:rPr>
                    <w:t>本项目距离中洛石油管线最近距离为</w:t>
                  </w:r>
                  <w:r>
                    <w:rPr>
                      <w:rFonts w:hint="eastAsia" w:cs="Times New Roman"/>
                      <w:sz w:val="21"/>
                      <w:szCs w:val="21"/>
                      <w:highlight w:val="none"/>
                      <w:lang w:val="en-US" w:eastAsia="zh-CN"/>
                    </w:rPr>
                    <w:t>305m，</w:t>
                  </w:r>
                  <w:r>
                    <w:rPr>
                      <w:rFonts w:hint="default" w:ascii="Times New Roman" w:hAnsi="Times New Roman" w:cs="Times New Roman"/>
                      <w:sz w:val="21"/>
                      <w:szCs w:val="21"/>
                    </w:rPr>
                    <w:t>本项目</w:t>
                  </w:r>
                  <w:r>
                    <w:rPr>
                      <w:rFonts w:hint="default" w:ascii="Times New Roman" w:hAnsi="Times New Roman" w:cs="Times New Roman"/>
                      <w:sz w:val="21"/>
                      <w:szCs w:val="21"/>
                      <w:highlight w:val="none"/>
                      <w:lang w:eastAsia="zh-CN"/>
                    </w:rPr>
                    <w:t>不在中洛石油管道两侧</w:t>
                  </w:r>
                  <w:r>
                    <w:rPr>
                      <w:rFonts w:hint="default" w:ascii="Times New Roman" w:hAnsi="Times New Roman" w:cs="Times New Roman"/>
                      <w:sz w:val="21"/>
                      <w:szCs w:val="21"/>
                      <w:highlight w:val="none"/>
                      <w:lang w:val="en-US" w:eastAsia="zh-CN"/>
                    </w:rPr>
                    <w:t>5m范围内</w:t>
                  </w:r>
                  <w:r>
                    <w:rPr>
                      <w:rFonts w:hint="default" w:ascii="Times New Roman" w:hAnsi="Times New Roman" w:cs="Times New Roman"/>
                      <w:sz w:val="21"/>
                      <w:szCs w:val="21"/>
                      <w:highlight w:val="none"/>
                    </w:rPr>
                    <w:t>。</w:t>
                  </w:r>
                </w:p>
              </w:tc>
              <w:tc>
                <w:tcPr>
                  <w:tcW w:w="385" w:type="pct"/>
                  <w:noWrap w:val="0"/>
                  <w:vAlign w:val="center"/>
                </w:tcPr>
                <w:p w14:paraId="398B0C78">
                  <w:pPr>
                    <w:pStyle w:val="21"/>
                    <w:snapToGrid w:val="0"/>
                    <w:spacing w:line="360" w:lineRule="exact"/>
                    <w:rPr>
                      <w:szCs w:val="21"/>
                    </w:rPr>
                  </w:pPr>
                  <w:r>
                    <w:rPr>
                      <w:szCs w:val="21"/>
                    </w:rPr>
                    <w:t>相符</w:t>
                  </w:r>
                </w:p>
              </w:tc>
            </w:tr>
            <w:tr w14:paraId="11E83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228" w:type="pct"/>
                  <w:vMerge w:val="continue"/>
                  <w:noWrap w:val="0"/>
                  <w:vAlign w:val="center"/>
                </w:tcPr>
                <w:p w14:paraId="0529C9BE">
                  <w:pPr>
                    <w:pStyle w:val="21"/>
                    <w:snapToGrid w:val="0"/>
                    <w:spacing w:line="360" w:lineRule="exact"/>
                    <w:rPr>
                      <w:szCs w:val="21"/>
                    </w:rPr>
                  </w:pPr>
                </w:p>
              </w:tc>
              <w:tc>
                <w:tcPr>
                  <w:tcW w:w="385" w:type="pct"/>
                  <w:noWrap w:val="0"/>
                  <w:vAlign w:val="center"/>
                </w:tcPr>
                <w:p w14:paraId="21D67196">
                  <w:pPr>
                    <w:pStyle w:val="21"/>
                    <w:snapToGrid w:val="0"/>
                    <w:spacing w:line="360" w:lineRule="exact"/>
                    <w:rPr>
                      <w:szCs w:val="21"/>
                    </w:rPr>
                  </w:pPr>
                  <w:r>
                    <w:rPr>
                      <w:szCs w:val="21"/>
                    </w:rPr>
                    <w:t>文物保护单位</w:t>
                  </w:r>
                </w:p>
              </w:tc>
              <w:tc>
                <w:tcPr>
                  <w:tcW w:w="2298" w:type="pct"/>
                  <w:noWrap w:val="0"/>
                  <w:vAlign w:val="center"/>
                </w:tcPr>
                <w:p w14:paraId="28E3D376">
                  <w:pPr>
                    <w:pStyle w:val="21"/>
                    <w:snapToGrid w:val="0"/>
                    <w:spacing w:line="360" w:lineRule="exact"/>
                    <w:jc w:val="both"/>
                    <w:rPr>
                      <w:szCs w:val="21"/>
                    </w:rPr>
                  </w:pPr>
                  <w:r>
                    <w:rPr>
                      <w:szCs w:val="21"/>
                    </w:rPr>
                    <w:t>不得建设污染文物保护单位及其环境的设施，不得进行可能影响文物保护单位安全及其环境的活动建设空地地带内建设工程，不得破坏文物保护单位的历史风貌。保护范围内不得进行其他建设工程或者爆破、钻探、挖掘等作业</w:t>
                  </w:r>
                </w:p>
              </w:tc>
              <w:tc>
                <w:tcPr>
                  <w:tcW w:w="1700" w:type="pct"/>
                  <w:shd w:val="clear" w:color="auto" w:fill="auto"/>
                  <w:noWrap w:val="0"/>
                  <w:vAlign w:val="center"/>
                </w:tcPr>
                <w:p w14:paraId="4AB9976A">
                  <w:pPr>
                    <w:pStyle w:val="24"/>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bCs/>
                      <w:color w:val="0000FF"/>
                      <w:kern w:val="0"/>
                      <w:sz w:val="21"/>
                      <w:szCs w:val="21"/>
                      <w:lang w:val="en-US" w:eastAsia="zh-CN" w:bidi="ar-SA"/>
                    </w:rPr>
                  </w:pPr>
                  <w:r>
                    <w:rPr>
                      <w:rFonts w:hint="default" w:ascii="Times New Roman" w:hAnsi="Times New Roman" w:cs="Times New Roman"/>
                      <w:sz w:val="21"/>
                      <w:szCs w:val="21"/>
                    </w:rPr>
                    <w:t>本项目所在地为焦作市武陟</w:t>
                  </w:r>
                  <w:r>
                    <w:rPr>
                      <w:rFonts w:hint="eastAsia" w:ascii="Times New Roman" w:hAnsi="Times New Roman" w:cs="Times New Roman"/>
                      <w:sz w:val="21"/>
                      <w:szCs w:val="21"/>
                      <w:lang w:eastAsia="zh-CN"/>
                    </w:rPr>
                    <w:t>县</w:t>
                  </w:r>
                  <w:r>
                    <w:rPr>
                      <w:rFonts w:hint="default" w:ascii="Times New Roman" w:hAnsi="Times New Roman" w:cs="Times New Roman"/>
                      <w:sz w:val="21"/>
                      <w:szCs w:val="21"/>
                    </w:rPr>
                    <w:t>经开区东部园区昌武路与鸿源路交叉口路西200米路南01号。周边无文物保护单位。</w:t>
                  </w:r>
                </w:p>
              </w:tc>
              <w:tc>
                <w:tcPr>
                  <w:tcW w:w="385" w:type="pct"/>
                  <w:noWrap w:val="0"/>
                  <w:vAlign w:val="center"/>
                </w:tcPr>
                <w:p w14:paraId="38243AF9">
                  <w:pPr>
                    <w:pStyle w:val="21"/>
                    <w:snapToGrid w:val="0"/>
                    <w:spacing w:line="360" w:lineRule="exact"/>
                    <w:rPr>
                      <w:szCs w:val="21"/>
                    </w:rPr>
                  </w:pPr>
                  <w:r>
                    <w:rPr>
                      <w:szCs w:val="21"/>
                    </w:rPr>
                    <w:t>相符</w:t>
                  </w:r>
                </w:p>
              </w:tc>
            </w:tr>
            <w:tr w14:paraId="105EF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228" w:type="pct"/>
                  <w:vMerge w:val="continue"/>
                  <w:noWrap w:val="0"/>
                  <w:vAlign w:val="center"/>
                </w:tcPr>
                <w:p w14:paraId="0CD3AA07">
                  <w:pPr>
                    <w:pStyle w:val="21"/>
                    <w:snapToGrid w:val="0"/>
                    <w:spacing w:line="360" w:lineRule="exact"/>
                    <w:rPr>
                      <w:szCs w:val="21"/>
                    </w:rPr>
                  </w:pPr>
                </w:p>
              </w:tc>
              <w:tc>
                <w:tcPr>
                  <w:tcW w:w="385" w:type="pct"/>
                  <w:noWrap w:val="0"/>
                  <w:vAlign w:val="center"/>
                </w:tcPr>
                <w:p w14:paraId="2675FCEE">
                  <w:pPr>
                    <w:pStyle w:val="21"/>
                    <w:snapToGrid w:val="0"/>
                    <w:spacing w:line="360" w:lineRule="exact"/>
                    <w:rPr>
                      <w:szCs w:val="21"/>
                    </w:rPr>
                  </w:pPr>
                  <w:r>
                    <w:rPr>
                      <w:szCs w:val="21"/>
                    </w:rPr>
                    <w:t>饮用水源</w:t>
                  </w:r>
                </w:p>
              </w:tc>
              <w:tc>
                <w:tcPr>
                  <w:tcW w:w="2298" w:type="pct"/>
                  <w:noWrap w:val="0"/>
                  <w:vAlign w:val="center"/>
                </w:tcPr>
                <w:p w14:paraId="331EB171">
                  <w:pPr>
                    <w:pStyle w:val="21"/>
                    <w:snapToGrid w:val="0"/>
                    <w:spacing w:line="360" w:lineRule="exact"/>
                    <w:jc w:val="left"/>
                    <w:rPr>
                      <w:szCs w:val="21"/>
                    </w:rPr>
                  </w:pPr>
                  <w:r>
                    <w:rPr>
                      <w:szCs w:val="21"/>
                    </w:rPr>
                    <w:t>禁止在饮用水水源一级保护区内新建、改建、扩建与供水设施和保护水源无关的建设项目。禁止在南贾饮用水源地饮用水水源二级保护区内新建、改建、扩建排放污染物的建设项目</w:t>
                  </w:r>
                </w:p>
              </w:tc>
              <w:tc>
                <w:tcPr>
                  <w:tcW w:w="1700" w:type="pct"/>
                  <w:shd w:val="clear" w:color="auto" w:fill="auto"/>
                  <w:noWrap w:val="0"/>
                  <w:vAlign w:val="center"/>
                </w:tcPr>
                <w:p w14:paraId="3DBF3D60">
                  <w:pPr>
                    <w:pStyle w:val="21"/>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bCs/>
                      <w:color w:val="0000FF"/>
                      <w:kern w:val="0"/>
                      <w:sz w:val="21"/>
                      <w:szCs w:val="21"/>
                      <w:lang w:val="en-US" w:eastAsia="zh-CN" w:bidi="ar-SA"/>
                    </w:rPr>
                  </w:pPr>
                  <w:r>
                    <w:rPr>
                      <w:rFonts w:hint="default" w:ascii="Times New Roman" w:hAnsi="Times New Roman" w:cs="Times New Roman"/>
                      <w:sz w:val="21"/>
                      <w:szCs w:val="21"/>
                      <w:lang w:bidi="ar"/>
                    </w:rPr>
                    <w:t>本项目位于</w:t>
                  </w:r>
                  <w:r>
                    <w:rPr>
                      <w:rFonts w:hint="default" w:ascii="Times New Roman" w:hAnsi="Times New Roman" w:cs="Times New Roman"/>
                      <w:sz w:val="21"/>
                      <w:szCs w:val="21"/>
                    </w:rPr>
                    <w:t>焦作市武陟</w:t>
                  </w:r>
                  <w:r>
                    <w:rPr>
                      <w:rFonts w:hint="eastAsia" w:cs="Times New Roman"/>
                      <w:sz w:val="21"/>
                      <w:szCs w:val="21"/>
                      <w:lang w:eastAsia="zh-CN"/>
                    </w:rPr>
                    <w:t>县</w:t>
                  </w:r>
                  <w:r>
                    <w:rPr>
                      <w:rFonts w:hint="default" w:ascii="Times New Roman" w:hAnsi="Times New Roman" w:cs="Times New Roman"/>
                      <w:sz w:val="21"/>
                      <w:szCs w:val="21"/>
                    </w:rPr>
                    <w:t>经开区东部园区昌武路与鸿源路交叉口路西200米路南01号</w:t>
                  </w:r>
                  <w:r>
                    <w:rPr>
                      <w:rFonts w:hint="default" w:ascii="Times New Roman" w:hAnsi="Times New Roman" w:cs="Times New Roman"/>
                      <w:sz w:val="21"/>
                      <w:szCs w:val="21"/>
                      <w:lang w:bidi="ar"/>
                    </w:rPr>
                    <w:t>，本项目距离南贾地下水井</w:t>
                  </w:r>
                  <w:r>
                    <w:rPr>
                      <w:rFonts w:hint="default" w:ascii="Times New Roman" w:hAnsi="Times New Roman" w:cs="Times New Roman"/>
                      <w:sz w:val="21"/>
                      <w:szCs w:val="21"/>
                      <w:highlight w:val="none"/>
                      <w:lang w:bidi="ar"/>
                    </w:rPr>
                    <w:t>群</w:t>
                  </w:r>
                  <w:r>
                    <w:rPr>
                      <w:rFonts w:hint="eastAsia" w:cs="Times New Roman"/>
                      <w:sz w:val="21"/>
                      <w:szCs w:val="21"/>
                      <w:highlight w:val="none"/>
                      <w:lang w:eastAsia="zh-CN" w:bidi="ar"/>
                    </w:rPr>
                    <w:t>最近距离为</w:t>
                  </w:r>
                  <w:r>
                    <w:rPr>
                      <w:rFonts w:hint="eastAsia" w:cs="Times New Roman"/>
                      <w:sz w:val="21"/>
                      <w:szCs w:val="21"/>
                      <w:highlight w:val="none"/>
                      <w:lang w:val="en-US" w:eastAsia="zh-CN" w:bidi="ar"/>
                    </w:rPr>
                    <w:t>12.14</w:t>
                  </w:r>
                  <w:r>
                    <w:rPr>
                      <w:rFonts w:hint="default" w:ascii="Times New Roman" w:hAnsi="Times New Roman" w:cs="Times New Roman"/>
                      <w:sz w:val="21"/>
                      <w:szCs w:val="21"/>
                      <w:highlight w:val="none"/>
                      <w:lang w:bidi="ar"/>
                    </w:rPr>
                    <w:t>km，不在</w:t>
                  </w:r>
                  <w:r>
                    <w:rPr>
                      <w:rFonts w:hint="default" w:ascii="Times New Roman" w:hAnsi="Times New Roman" w:cs="Times New Roman"/>
                      <w:sz w:val="21"/>
                      <w:szCs w:val="21"/>
                      <w:lang w:bidi="ar"/>
                    </w:rPr>
                    <w:t>其保护区范围内。</w:t>
                  </w:r>
                </w:p>
              </w:tc>
              <w:tc>
                <w:tcPr>
                  <w:tcW w:w="385" w:type="pct"/>
                  <w:noWrap w:val="0"/>
                  <w:vAlign w:val="center"/>
                </w:tcPr>
                <w:p w14:paraId="54C69240">
                  <w:pPr>
                    <w:pStyle w:val="21"/>
                    <w:snapToGrid w:val="0"/>
                    <w:spacing w:line="360" w:lineRule="exact"/>
                    <w:rPr>
                      <w:szCs w:val="21"/>
                    </w:rPr>
                  </w:pPr>
                  <w:r>
                    <w:rPr>
                      <w:szCs w:val="21"/>
                    </w:rPr>
                    <w:t>相符</w:t>
                  </w:r>
                </w:p>
              </w:tc>
            </w:tr>
            <w:tr w14:paraId="1B448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8" w:type="pct"/>
                  <w:vMerge w:val="continue"/>
                  <w:noWrap w:val="0"/>
                  <w:vAlign w:val="center"/>
                </w:tcPr>
                <w:p w14:paraId="453618DD">
                  <w:pPr>
                    <w:pStyle w:val="21"/>
                    <w:snapToGrid w:val="0"/>
                    <w:spacing w:line="360" w:lineRule="exact"/>
                    <w:rPr>
                      <w:szCs w:val="21"/>
                    </w:rPr>
                  </w:pPr>
                </w:p>
              </w:tc>
              <w:tc>
                <w:tcPr>
                  <w:tcW w:w="385" w:type="pct"/>
                  <w:noWrap w:val="0"/>
                  <w:vAlign w:val="center"/>
                </w:tcPr>
                <w:p w14:paraId="1D6C13BF">
                  <w:pPr>
                    <w:pStyle w:val="21"/>
                    <w:snapToGrid w:val="0"/>
                    <w:spacing w:line="360" w:lineRule="exact"/>
                    <w:rPr>
                      <w:szCs w:val="21"/>
                    </w:rPr>
                  </w:pPr>
                  <w:r>
                    <w:rPr>
                      <w:szCs w:val="21"/>
                    </w:rPr>
                    <w:t>铁路</w:t>
                  </w:r>
                </w:p>
              </w:tc>
              <w:tc>
                <w:tcPr>
                  <w:tcW w:w="2298" w:type="pct"/>
                  <w:noWrap w:val="0"/>
                  <w:vAlign w:val="center"/>
                </w:tcPr>
                <w:p w14:paraId="7949FF61">
                  <w:pPr>
                    <w:pStyle w:val="21"/>
                    <w:snapToGrid w:val="0"/>
                    <w:spacing w:line="360" w:lineRule="exact"/>
                    <w:rPr>
                      <w:szCs w:val="21"/>
                    </w:rPr>
                  </w:pPr>
                  <w:r>
                    <w:rPr>
                      <w:szCs w:val="21"/>
                    </w:rPr>
                    <w:t>①禁止在铁路线路安全保护区内烧荒、放养牲畜、种植影响铁路线路安全和行车瞭望的树木等植物。②禁止向铁路线路安全保护区排污、倾倒垃圾以及其他危害铁路安全的物质。③在铁路线路安全保护区内建造建筑物、构筑物等设施，取土、挖砂、挖沟、采空作业或者堆放、悬挂物品，应当征得铁路运输企业同意并签订安全协议。④铁路线路安全保护区及其邻近区域建造或者设置的建筑物、构筑物、设备等，不得进在铁路线路两侧建造、设立生产、加工、储存或者销售易燃、易爆或者放射性物品等危险物品的场所、仓库，应当符合国家标准、行业标准规定的安全防护距离。入国家规定的铁路建筑限界</w:t>
                  </w:r>
                </w:p>
              </w:tc>
              <w:tc>
                <w:tcPr>
                  <w:tcW w:w="1700" w:type="pct"/>
                  <w:noWrap w:val="0"/>
                  <w:vAlign w:val="center"/>
                </w:tcPr>
                <w:p w14:paraId="3F2BCAB0">
                  <w:pPr>
                    <w:pStyle w:val="21"/>
                    <w:snapToGrid w:val="0"/>
                    <w:spacing w:line="360" w:lineRule="exact"/>
                    <w:jc w:val="both"/>
                    <w:rPr>
                      <w:szCs w:val="21"/>
                    </w:rPr>
                  </w:pPr>
                  <w:r>
                    <w:rPr>
                      <w:rFonts w:hint="default" w:ascii="Times New Roman" w:hAnsi="Times New Roman" w:cs="Times New Roman"/>
                      <w:sz w:val="21"/>
                      <w:szCs w:val="21"/>
                      <w:lang w:bidi="ar"/>
                    </w:rPr>
                    <w:t>本项目位于</w:t>
                  </w:r>
                  <w:r>
                    <w:rPr>
                      <w:rFonts w:hint="default" w:ascii="Times New Roman" w:hAnsi="Times New Roman" w:cs="Times New Roman"/>
                      <w:sz w:val="21"/>
                      <w:szCs w:val="21"/>
                    </w:rPr>
                    <w:t>焦作市武陟</w:t>
                  </w:r>
                  <w:r>
                    <w:rPr>
                      <w:rFonts w:hint="eastAsia" w:cs="Times New Roman"/>
                      <w:sz w:val="21"/>
                      <w:szCs w:val="21"/>
                      <w:lang w:eastAsia="zh-CN"/>
                    </w:rPr>
                    <w:t>县</w:t>
                  </w:r>
                  <w:r>
                    <w:rPr>
                      <w:rFonts w:hint="default" w:ascii="Times New Roman" w:hAnsi="Times New Roman" w:cs="Times New Roman"/>
                      <w:sz w:val="21"/>
                      <w:szCs w:val="21"/>
                    </w:rPr>
                    <w:t>经开区东部园区昌武路与鸿源路交叉口路西200米路南01号</w:t>
                  </w:r>
                  <w:r>
                    <w:rPr>
                      <w:rFonts w:hint="default" w:ascii="Times New Roman" w:hAnsi="Times New Roman" w:cs="Times New Roman"/>
                      <w:sz w:val="21"/>
                      <w:szCs w:val="21"/>
                      <w:lang w:bidi="ar"/>
                    </w:rPr>
                    <w:t>，项目距离最近的</w:t>
                  </w:r>
                  <w:r>
                    <w:rPr>
                      <w:rFonts w:hint="default" w:ascii="Times New Roman" w:hAnsi="Times New Roman" w:cs="Times New Roman"/>
                      <w:sz w:val="21"/>
                      <w:szCs w:val="21"/>
                      <w:highlight w:val="none"/>
                      <w:lang w:bidi="ar"/>
                    </w:rPr>
                    <w:t>铁路为</w:t>
                  </w:r>
                  <w:r>
                    <w:rPr>
                      <w:rFonts w:hint="eastAsia" w:cs="Times New Roman"/>
                      <w:sz w:val="21"/>
                      <w:szCs w:val="21"/>
                      <w:highlight w:val="none"/>
                      <w:lang w:eastAsia="zh-CN" w:bidi="ar"/>
                    </w:rPr>
                    <w:t>京广</w:t>
                  </w:r>
                  <w:r>
                    <w:rPr>
                      <w:rFonts w:hint="default" w:ascii="Times New Roman" w:hAnsi="Times New Roman" w:cs="Times New Roman"/>
                      <w:sz w:val="21"/>
                      <w:szCs w:val="21"/>
                      <w:highlight w:val="none"/>
                      <w:lang w:bidi="ar"/>
                    </w:rPr>
                    <w:t>铁路，</w:t>
                  </w:r>
                  <w:r>
                    <w:rPr>
                      <w:rFonts w:hint="eastAsia" w:cs="Times New Roman"/>
                      <w:sz w:val="21"/>
                      <w:szCs w:val="21"/>
                      <w:highlight w:val="none"/>
                      <w:lang w:eastAsia="zh-CN" w:bidi="ar"/>
                    </w:rPr>
                    <w:t>直线</w:t>
                  </w:r>
                  <w:r>
                    <w:rPr>
                      <w:rFonts w:hint="default" w:ascii="Times New Roman" w:hAnsi="Times New Roman" w:cs="Times New Roman"/>
                      <w:sz w:val="21"/>
                      <w:szCs w:val="21"/>
                      <w:highlight w:val="none"/>
                      <w:lang w:bidi="ar"/>
                    </w:rPr>
                    <w:t>距离为</w:t>
                  </w:r>
                  <w:r>
                    <w:rPr>
                      <w:rFonts w:hint="eastAsia" w:cs="Times New Roman"/>
                      <w:sz w:val="21"/>
                      <w:szCs w:val="21"/>
                      <w:highlight w:val="none"/>
                      <w:lang w:val="en-US" w:eastAsia="zh-CN" w:bidi="ar"/>
                    </w:rPr>
                    <w:t>2.3</w:t>
                  </w:r>
                  <w:r>
                    <w:rPr>
                      <w:rFonts w:hint="default" w:ascii="Times New Roman" w:hAnsi="Times New Roman" w:cs="Times New Roman"/>
                      <w:sz w:val="21"/>
                      <w:szCs w:val="21"/>
                      <w:highlight w:val="none"/>
                      <w:lang w:bidi="ar"/>
                    </w:rPr>
                    <w:t>km，项目选址不在</w:t>
                  </w:r>
                  <w:r>
                    <w:rPr>
                      <w:rFonts w:hint="eastAsia" w:cs="Times New Roman"/>
                      <w:sz w:val="21"/>
                      <w:szCs w:val="21"/>
                      <w:highlight w:val="none"/>
                      <w:lang w:eastAsia="zh-CN" w:bidi="ar"/>
                    </w:rPr>
                    <w:t>京广</w:t>
                  </w:r>
                  <w:r>
                    <w:rPr>
                      <w:rFonts w:hint="default" w:ascii="Times New Roman" w:hAnsi="Times New Roman" w:cs="Times New Roman"/>
                      <w:sz w:val="21"/>
                      <w:szCs w:val="21"/>
                      <w:highlight w:val="none"/>
                      <w:lang w:bidi="ar"/>
                    </w:rPr>
                    <w:t>铁路</w:t>
                  </w:r>
                  <w:r>
                    <w:rPr>
                      <w:rFonts w:hint="default" w:ascii="Times New Roman" w:hAnsi="Times New Roman" w:cs="Times New Roman"/>
                      <w:sz w:val="21"/>
                      <w:szCs w:val="21"/>
                      <w:lang w:bidi="ar"/>
                    </w:rPr>
                    <w:t>安全保护区范围内</w:t>
                  </w:r>
                  <w:r>
                    <w:rPr>
                      <w:rFonts w:hint="default" w:ascii="Times New Roman" w:hAnsi="Times New Roman" w:cs="Times New Roman"/>
                      <w:sz w:val="21"/>
                      <w:szCs w:val="21"/>
                      <w:lang w:eastAsia="zh-CN" w:bidi="ar"/>
                    </w:rPr>
                    <w:t>。</w:t>
                  </w:r>
                </w:p>
              </w:tc>
              <w:tc>
                <w:tcPr>
                  <w:tcW w:w="385" w:type="pct"/>
                  <w:noWrap w:val="0"/>
                  <w:vAlign w:val="center"/>
                </w:tcPr>
                <w:p w14:paraId="5A210915">
                  <w:pPr>
                    <w:pStyle w:val="21"/>
                    <w:snapToGrid w:val="0"/>
                    <w:spacing w:line="360" w:lineRule="exact"/>
                    <w:rPr>
                      <w:szCs w:val="21"/>
                    </w:rPr>
                  </w:pPr>
                  <w:r>
                    <w:rPr>
                      <w:szCs w:val="21"/>
                    </w:rPr>
                    <w:t>相符</w:t>
                  </w:r>
                </w:p>
              </w:tc>
            </w:tr>
            <w:tr w14:paraId="03E5D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228" w:type="pct"/>
                  <w:vMerge w:val="continue"/>
                  <w:noWrap w:val="0"/>
                  <w:vAlign w:val="center"/>
                </w:tcPr>
                <w:p w14:paraId="0569B449">
                  <w:pPr>
                    <w:pStyle w:val="21"/>
                    <w:snapToGrid w:val="0"/>
                    <w:spacing w:line="360" w:lineRule="exact"/>
                    <w:rPr>
                      <w:szCs w:val="21"/>
                    </w:rPr>
                  </w:pPr>
                </w:p>
              </w:tc>
              <w:tc>
                <w:tcPr>
                  <w:tcW w:w="385" w:type="pct"/>
                  <w:noWrap w:val="0"/>
                  <w:vAlign w:val="center"/>
                </w:tcPr>
                <w:p w14:paraId="747B5197">
                  <w:pPr>
                    <w:pStyle w:val="21"/>
                    <w:snapToGrid w:val="0"/>
                    <w:spacing w:line="360" w:lineRule="exact"/>
                    <w:rPr>
                      <w:szCs w:val="21"/>
                    </w:rPr>
                  </w:pPr>
                  <w:r>
                    <w:rPr>
                      <w:szCs w:val="21"/>
                    </w:rPr>
                    <w:t>河南武陟嘉应观黄河省级湿地公园</w:t>
                  </w:r>
                </w:p>
              </w:tc>
              <w:tc>
                <w:tcPr>
                  <w:tcW w:w="2298" w:type="pct"/>
                  <w:noWrap w:val="0"/>
                  <w:vAlign w:val="center"/>
                </w:tcPr>
                <w:p w14:paraId="7A59640C">
                  <w:pPr>
                    <w:pStyle w:val="21"/>
                    <w:snapToGrid w:val="0"/>
                    <w:spacing w:line="360" w:lineRule="exact"/>
                    <w:rPr>
                      <w:szCs w:val="21"/>
                    </w:rPr>
                  </w:pPr>
                  <w:r>
                    <w:rPr>
                      <w:szCs w:val="21"/>
                    </w:rPr>
                    <w:t>开发区城区园区及西部园区禁止在湿地公园保护范围内实施以下破坏湿地的行为:①开(围)垦、排干自然湿地，永久性截断自然湿地水源;②擅自填埋自然湿地，擅自采砂、采矿、取土:③投放有毒有害物质，排放不符合水污染物排放标准的工业废水、生活污水及其他污染湿地的废水、污水，倾倒、堆放、丢弃、遗撒固体废物:④过度放牧或者滥采野生植物，过度捕捞或者灭绝式捕捞，过度施肥、投药、投放饵料等污染湿地的种植养殖行为；⑤非法砍伐树木、采集野生植物；⑥破坏野生动物繁殖区和栖息地、鱼类洄游通道，猎捕野生动物;⑦擅自引进外来物种；⑧破坏湿地保护设施；⑨擅自建造建筑物、构筑物；⑩其他破坏湿地资源的活动。</w:t>
                  </w:r>
                </w:p>
              </w:tc>
              <w:tc>
                <w:tcPr>
                  <w:tcW w:w="1700" w:type="pct"/>
                  <w:noWrap w:val="0"/>
                  <w:vAlign w:val="center"/>
                </w:tcPr>
                <w:p w14:paraId="70C370E3">
                  <w:pPr>
                    <w:pStyle w:val="21"/>
                    <w:snapToGrid w:val="0"/>
                    <w:spacing w:line="360" w:lineRule="exact"/>
                    <w:jc w:val="both"/>
                    <w:rPr>
                      <w:szCs w:val="21"/>
                    </w:rPr>
                  </w:pPr>
                  <w:r>
                    <w:rPr>
                      <w:rFonts w:hint="default" w:ascii="Times New Roman" w:hAnsi="Times New Roman" w:cs="Times New Roman"/>
                      <w:sz w:val="21"/>
                      <w:szCs w:val="21"/>
                    </w:rPr>
                    <w:t>本项目位于焦作市武陟</w:t>
                  </w:r>
                  <w:r>
                    <w:rPr>
                      <w:rFonts w:hint="eastAsia" w:cs="Times New Roman"/>
                      <w:sz w:val="21"/>
                      <w:szCs w:val="21"/>
                      <w:lang w:eastAsia="zh-CN"/>
                    </w:rPr>
                    <w:t>县</w:t>
                  </w:r>
                  <w:r>
                    <w:rPr>
                      <w:rFonts w:hint="default" w:ascii="Times New Roman" w:hAnsi="Times New Roman" w:cs="Times New Roman"/>
                      <w:sz w:val="21"/>
                      <w:szCs w:val="21"/>
                    </w:rPr>
                    <w:t>经开区东部园区昌武路与鸿源路交叉口路西200米路南01号。</w:t>
                  </w:r>
                  <w:r>
                    <w:rPr>
                      <w:rFonts w:hint="default" w:ascii="Times New Roman" w:hAnsi="Times New Roman" w:cs="Times New Roman"/>
                      <w:sz w:val="21"/>
                      <w:szCs w:val="21"/>
                      <w:highlight w:val="none"/>
                    </w:rPr>
                    <w:t>距离</w:t>
                  </w:r>
                  <w:r>
                    <w:rPr>
                      <w:rFonts w:hint="default" w:ascii="Times New Roman" w:hAnsi="Times New Roman" w:cs="Times New Roman"/>
                      <w:sz w:val="21"/>
                      <w:szCs w:val="21"/>
                    </w:rPr>
                    <w:t>该项目最近的湿地公园是河南武陟嘉应观黄河省级湿地公园，距离约</w:t>
                  </w:r>
                  <w:r>
                    <w:rPr>
                      <w:rFonts w:hint="eastAsia" w:cs="Times New Roman"/>
                      <w:sz w:val="21"/>
                      <w:szCs w:val="21"/>
                      <w:lang w:val="en-US" w:eastAsia="zh-CN"/>
                    </w:rPr>
                    <w:t>5.51</w:t>
                  </w:r>
                  <w:r>
                    <w:rPr>
                      <w:rFonts w:hint="default" w:ascii="Times New Roman" w:hAnsi="Times New Roman" w:cs="Times New Roman"/>
                      <w:sz w:val="21"/>
                      <w:szCs w:val="21"/>
                    </w:rPr>
                    <w:t>km。不在其保护范围内。本项目不存在破坏湿地的行为</w:t>
                  </w:r>
                  <w:r>
                    <w:rPr>
                      <w:rFonts w:hint="default" w:ascii="Times New Roman" w:hAnsi="Times New Roman" w:cs="Times New Roman"/>
                      <w:sz w:val="21"/>
                      <w:szCs w:val="21"/>
                      <w:lang w:eastAsia="zh-CN"/>
                    </w:rPr>
                    <w:t>。</w:t>
                  </w:r>
                </w:p>
              </w:tc>
              <w:tc>
                <w:tcPr>
                  <w:tcW w:w="385" w:type="pct"/>
                  <w:noWrap w:val="0"/>
                  <w:vAlign w:val="center"/>
                </w:tcPr>
                <w:p w14:paraId="5C342284">
                  <w:pPr>
                    <w:pStyle w:val="21"/>
                    <w:snapToGrid w:val="0"/>
                    <w:spacing w:line="360" w:lineRule="exact"/>
                    <w:rPr>
                      <w:szCs w:val="21"/>
                    </w:rPr>
                  </w:pPr>
                  <w:r>
                    <w:rPr>
                      <w:szCs w:val="21"/>
                    </w:rPr>
                    <w:t>相符</w:t>
                  </w:r>
                </w:p>
              </w:tc>
            </w:tr>
            <w:tr w14:paraId="06CFD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1" w:hRule="atLeast"/>
                <w:jc w:val="center"/>
              </w:trPr>
              <w:tc>
                <w:tcPr>
                  <w:tcW w:w="228" w:type="pct"/>
                  <w:vMerge w:val="continue"/>
                  <w:noWrap w:val="0"/>
                  <w:vAlign w:val="center"/>
                </w:tcPr>
                <w:p w14:paraId="12209F95">
                  <w:pPr>
                    <w:pStyle w:val="21"/>
                    <w:snapToGrid w:val="0"/>
                    <w:spacing w:line="360" w:lineRule="exact"/>
                    <w:rPr>
                      <w:szCs w:val="21"/>
                    </w:rPr>
                  </w:pPr>
                </w:p>
              </w:tc>
              <w:tc>
                <w:tcPr>
                  <w:tcW w:w="385" w:type="pct"/>
                  <w:noWrap w:val="0"/>
                  <w:vAlign w:val="center"/>
                </w:tcPr>
                <w:p w14:paraId="2CCC8F35">
                  <w:pPr>
                    <w:pStyle w:val="21"/>
                    <w:snapToGrid w:val="0"/>
                    <w:spacing w:line="360" w:lineRule="exact"/>
                    <w:rPr>
                      <w:szCs w:val="21"/>
                    </w:rPr>
                  </w:pPr>
                  <w:r>
                    <w:rPr>
                      <w:szCs w:val="21"/>
                    </w:rPr>
                    <w:t>公园绿地、防护绿地、林地等</w:t>
                  </w:r>
                </w:p>
              </w:tc>
              <w:tc>
                <w:tcPr>
                  <w:tcW w:w="2298" w:type="pct"/>
                  <w:noWrap w:val="0"/>
                  <w:vAlign w:val="center"/>
                </w:tcPr>
                <w:p w14:paraId="5414379B">
                  <w:pPr>
                    <w:pStyle w:val="21"/>
                    <w:snapToGrid w:val="0"/>
                    <w:spacing w:line="360" w:lineRule="exact"/>
                    <w:rPr>
                      <w:szCs w:val="21"/>
                    </w:rPr>
                  </w:pPr>
                  <w:r>
                    <w:rPr>
                      <w:szCs w:val="21"/>
                    </w:rPr>
                    <w:t>对各类开发建设活动进行严格限制，确有必要开发建设的项目应符合城镇建设整体和全局发展的要求，并应严格控制项目的性质、规模和开发强度，适度开发建设。矿藏勘察、开采以及其他各类工程建设，应当不占或者少占林地；确需占用林地的，应当经县级以上人民政府林业主管部门审核同意依法办理建设用地审批手续。采伐林地上的林木应当申请采伐许可证，并按照采伐许可证的规定进行采伐。</w:t>
                  </w:r>
                </w:p>
              </w:tc>
              <w:tc>
                <w:tcPr>
                  <w:tcW w:w="1700" w:type="pct"/>
                  <w:noWrap w:val="0"/>
                  <w:vAlign w:val="center"/>
                </w:tcPr>
                <w:p w14:paraId="6023A60E">
                  <w:pPr>
                    <w:pStyle w:val="21"/>
                    <w:keepNext w:val="0"/>
                    <w:keepLines w:val="0"/>
                    <w:pageBreakBefore w:val="0"/>
                    <w:widowControl w:val="0"/>
                    <w:numPr>
                      <w:ilvl w:val="0"/>
                      <w:numId w:val="1"/>
                    </w:numPr>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本项目已取得武陟经济技术开发区管理委员会</w:t>
                  </w:r>
                  <w:r>
                    <w:rPr>
                      <w:rFonts w:hint="eastAsia" w:cs="Times New Roman"/>
                      <w:sz w:val="21"/>
                      <w:szCs w:val="21"/>
                      <w:lang w:eastAsia="zh-CN"/>
                    </w:rPr>
                    <w:t>经济发展局的</w:t>
                  </w:r>
                  <w:r>
                    <w:rPr>
                      <w:rFonts w:hint="default" w:ascii="Times New Roman" w:hAnsi="Times New Roman" w:cs="Times New Roman"/>
                      <w:sz w:val="21"/>
                      <w:szCs w:val="21"/>
                      <w:lang w:eastAsia="zh-CN"/>
                    </w:rPr>
                    <w:t>备案证明</w:t>
                  </w:r>
                  <w:r>
                    <w:rPr>
                      <w:rFonts w:hint="default" w:ascii="Times New Roman" w:hAnsi="Times New Roman" w:cs="Times New Roman"/>
                      <w:sz w:val="21"/>
                      <w:szCs w:val="21"/>
                    </w:rPr>
                    <w:t>。</w:t>
                  </w:r>
                </w:p>
                <w:p w14:paraId="46160475">
                  <w:pPr>
                    <w:pStyle w:val="21"/>
                    <w:numPr>
                      <w:ilvl w:val="0"/>
                      <w:numId w:val="1"/>
                    </w:numPr>
                    <w:snapToGrid w:val="0"/>
                    <w:spacing w:line="360" w:lineRule="exact"/>
                    <w:ind w:left="0" w:leftChars="0" w:firstLine="0" w:firstLineChars="0"/>
                    <w:jc w:val="left"/>
                    <w:rPr>
                      <w:szCs w:val="21"/>
                    </w:rPr>
                  </w:pPr>
                  <w:r>
                    <w:rPr>
                      <w:rFonts w:hint="default" w:ascii="Times New Roman" w:hAnsi="Times New Roman" w:cs="Times New Roman"/>
                      <w:sz w:val="21"/>
                      <w:szCs w:val="21"/>
                    </w:rPr>
                    <w:t>本项目不涉及矿藏勘察、开采以及其他各类工程建设</w:t>
                  </w:r>
                  <w:r>
                    <w:rPr>
                      <w:rFonts w:hint="eastAsia" w:ascii="Times New Roman" w:hAnsi="Times New Roman" w:cs="Times New Roman"/>
                      <w:sz w:val="21"/>
                      <w:szCs w:val="21"/>
                      <w:lang w:eastAsia="zh-CN"/>
                    </w:rPr>
                    <w:t>，</w:t>
                  </w:r>
                  <w:r>
                    <w:rPr>
                      <w:rFonts w:hint="default" w:ascii="Times New Roman" w:hAnsi="Times New Roman" w:cs="Times New Roman"/>
                      <w:sz w:val="21"/>
                      <w:szCs w:val="21"/>
                      <w:lang w:eastAsia="zh-CN"/>
                    </w:rPr>
                    <w:t>且项目</w:t>
                  </w:r>
                  <w:r>
                    <w:rPr>
                      <w:rFonts w:hint="eastAsia" w:cs="Times New Roman"/>
                      <w:sz w:val="21"/>
                      <w:szCs w:val="21"/>
                      <w:lang w:eastAsia="zh-CN"/>
                    </w:rPr>
                    <w:t>建设</w:t>
                  </w:r>
                  <w:r>
                    <w:rPr>
                      <w:rFonts w:hint="default" w:ascii="Times New Roman" w:hAnsi="Times New Roman" w:cs="Times New Roman"/>
                      <w:sz w:val="21"/>
                      <w:szCs w:val="21"/>
                      <w:lang w:eastAsia="zh-CN"/>
                    </w:rPr>
                    <w:t>位置在</w:t>
                  </w:r>
                  <w:r>
                    <w:rPr>
                      <w:rFonts w:hint="eastAsia" w:cs="Times New Roman"/>
                      <w:sz w:val="21"/>
                      <w:szCs w:val="21"/>
                      <w:lang w:eastAsia="zh-CN"/>
                    </w:rPr>
                    <w:t>经开区东部</w:t>
                  </w:r>
                  <w:r>
                    <w:rPr>
                      <w:rFonts w:hint="default" w:ascii="Times New Roman" w:hAnsi="Times New Roman" w:cs="Times New Roman"/>
                      <w:sz w:val="21"/>
                      <w:szCs w:val="21"/>
                      <w:lang w:eastAsia="zh-CN"/>
                    </w:rPr>
                    <w:t>园区内</w:t>
                  </w:r>
                  <w:r>
                    <w:rPr>
                      <w:rFonts w:hint="default" w:ascii="Times New Roman" w:hAnsi="Times New Roman" w:cs="Times New Roman"/>
                      <w:sz w:val="21"/>
                      <w:szCs w:val="21"/>
                    </w:rPr>
                    <w:t>。</w:t>
                  </w:r>
                </w:p>
              </w:tc>
              <w:tc>
                <w:tcPr>
                  <w:tcW w:w="385" w:type="pct"/>
                  <w:noWrap w:val="0"/>
                  <w:vAlign w:val="center"/>
                </w:tcPr>
                <w:p w14:paraId="207816A7">
                  <w:pPr>
                    <w:pStyle w:val="21"/>
                    <w:snapToGrid w:val="0"/>
                    <w:spacing w:line="360" w:lineRule="exact"/>
                    <w:rPr>
                      <w:szCs w:val="21"/>
                    </w:rPr>
                  </w:pPr>
                  <w:r>
                    <w:rPr>
                      <w:szCs w:val="21"/>
                    </w:rPr>
                    <w:t>相符</w:t>
                  </w:r>
                </w:p>
              </w:tc>
            </w:tr>
            <w:tr w14:paraId="34BAA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28" w:type="pct"/>
                  <w:vMerge w:val="continue"/>
                  <w:noWrap w:val="0"/>
                  <w:vAlign w:val="center"/>
                </w:tcPr>
                <w:p w14:paraId="27FAB224">
                  <w:pPr>
                    <w:pStyle w:val="21"/>
                    <w:snapToGrid w:val="0"/>
                    <w:spacing w:line="360" w:lineRule="exact"/>
                    <w:rPr>
                      <w:szCs w:val="21"/>
                    </w:rPr>
                  </w:pPr>
                </w:p>
              </w:tc>
              <w:tc>
                <w:tcPr>
                  <w:tcW w:w="385" w:type="pct"/>
                  <w:noWrap w:val="0"/>
                  <w:vAlign w:val="center"/>
                </w:tcPr>
                <w:p w14:paraId="4B07AD6F">
                  <w:pPr>
                    <w:pStyle w:val="21"/>
                    <w:snapToGrid w:val="0"/>
                    <w:spacing w:line="360" w:lineRule="exact"/>
                    <w:rPr>
                      <w:szCs w:val="21"/>
                    </w:rPr>
                  </w:pPr>
                  <w:r>
                    <w:rPr>
                      <w:szCs w:val="21"/>
                    </w:rPr>
                    <w:t>黄河大堤及沁河大堤</w:t>
                  </w:r>
                </w:p>
              </w:tc>
              <w:tc>
                <w:tcPr>
                  <w:tcW w:w="2298" w:type="pct"/>
                  <w:noWrap w:val="0"/>
                  <w:vAlign w:val="center"/>
                </w:tcPr>
                <w:p w14:paraId="0177708C">
                  <w:pPr>
                    <w:pStyle w:val="21"/>
                    <w:snapToGrid w:val="0"/>
                    <w:spacing w:line="360" w:lineRule="exact"/>
                    <w:jc w:val="left"/>
                    <w:rPr>
                      <w:szCs w:val="21"/>
                    </w:rPr>
                  </w:pPr>
                  <w:r>
                    <w:rPr>
                      <w:szCs w:val="21"/>
                    </w:rPr>
                    <w:t>在堤防和护堤地，禁止建房、放牧、开渠、打井、挖窖,建窑、葬坟、取土、违章垦植、堆放物料、开采地下资源、进行考古发掘；②在黄河河道堤防安全保护区内，禁止打井，钻探、爆破、开渠、挖窖、建窑、挖筑鱼塘、采石、取土等危害堤防安全的活动。③黄河河道堤防安全保护区外二百米范围内，禁止擅自进行爆破作业；确需进行爆破作业的，应当由设区的市级公安机关批准后实施。</w:t>
                  </w:r>
                </w:p>
              </w:tc>
              <w:tc>
                <w:tcPr>
                  <w:tcW w:w="1700" w:type="pct"/>
                  <w:noWrap w:val="0"/>
                  <w:vAlign w:val="center"/>
                </w:tcPr>
                <w:p w14:paraId="0D3A038A">
                  <w:pPr>
                    <w:pStyle w:val="21"/>
                    <w:snapToGrid w:val="0"/>
                    <w:spacing w:line="360" w:lineRule="exact"/>
                    <w:jc w:val="both"/>
                    <w:rPr>
                      <w:szCs w:val="21"/>
                    </w:rPr>
                  </w:pPr>
                  <w:r>
                    <w:rPr>
                      <w:rFonts w:hint="default" w:ascii="Times New Roman" w:hAnsi="Times New Roman" w:cs="Times New Roman"/>
                      <w:sz w:val="21"/>
                      <w:szCs w:val="21"/>
                    </w:rPr>
                    <w:t>本项目位于焦作市武陟</w:t>
                  </w:r>
                  <w:r>
                    <w:rPr>
                      <w:rFonts w:hint="eastAsia" w:cs="Times New Roman"/>
                      <w:sz w:val="21"/>
                      <w:szCs w:val="21"/>
                      <w:lang w:eastAsia="zh-CN"/>
                    </w:rPr>
                    <w:t>县</w:t>
                  </w:r>
                  <w:r>
                    <w:rPr>
                      <w:rFonts w:hint="default" w:ascii="Times New Roman" w:hAnsi="Times New Roman" w:cs="Times New Roman"/>
                      <w:sz w:val="21"/>
                      <w:szCs w:val="21"/>
                    </w:rPr>
                    <w:t>经开区东部园区昌武路与鸿源路交叉口路西200米路南01号</w:t>
                  </w:r>
                  <w:r>
                    <w:rPr>
                      <w:rFonts w:hint="eastAsia" w:ascii="Times New Roman" w:hAnsi="Times New Roman" w:cs="Times New Roman"/>
                      <w:sz w:val="21"/>
                      <w:szCs w:val="21"/>
                      <w:lang w:eastAsia="zh-CN"/>
                    </w:rPr>
                    <w:t>，本项目</w:t>
                  </w:r>
                  <w:r>
                    <w:rPr>
                      <w:rFonts w:hint="default" w:ascii="Times New Roman" w:hAnsi="Times New Roman" w:cs="Times New Roman"/>
                      <w:sz w:val="21"/>
                      <w:szCs w:val="21"/>
                    </w:rPr>
                    <w:t>不在黄河河道堤防安全保护区范围内。</w:t>
                  </w:r>
                </w:p>
              </w:tc>
              <w:tc>
                <w:tcPr>
                  <w:tcW w:w="385" w:type="pct"/>
                  <w:noWrap w:val="0"/>
                  <w:vAlign w:val="center"/>
                </w:tcPr>
                <w:p w14:paraId="3F5BF651">
                  <w:pPr>
                    <w:pStyle w:val="21"/>
                    <w:snapToGrid w:val="0"/>
                    <w:spacing w:line="360" w:lineRule="exact"/>
                    <w:rPr>
                      <w:szCs w:val="21"/>
                    </w:rPr>
                  </w:pPr>
                  <w:r>
                    <w:rPr>
                      <w:szCs w:val="21"/>
                    </w:rPr>
                    <w:t>相符</w:t>
                  </w:r>
                </w:p>
              </w:tc>
            </w:tr>
            <w:tr w14:paraId="2BBE1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28" w:type="pct"/>
                  <w:vMerge w:val="restart"/>
                  <w:noWrap w:val="0"/>
                  <w:vAlign w:val="center"/>
                </w:tcPr>
                <w:p w14:paraId="68C06B55">
                  <w:pPr>
                    <w:widowControl/>
                    <w:spacing w:line="360" w:lineRule="exact"/>
                    <w:ind w:firstLine="0" w:firstLineChars="0"/>
                    <w:jc w:val="center"/>
                    <w:rPr>
                      <w:rFonts w:hint="eastAsia"/>
                      <w:bCs/>
                      <w:kern w:val="0"/>
                      <w:sz w:val="21"/>
                      <w:szCs w:val="21"/>
                    </w:rPr>
                  </w:pPr>
                  <w:r>
                    <w:rPr>
                      <w:rFonts w:hint="eastAsia"/>
                      <w:bCs/>
                      <w:kern w:val="0"/>
                      <w:sz w:val="21"/>
                      <w:szCs w:val="21"/>
                    </w:rPr>
                    <w:t>重点管控区域</w:t>
                  </w:r>
                </w:p>
              </w:tc>
              <w:tc>
                <w:tcPr>
                  <w:tcW w:w="385" w:type="pct"/>
                  <w:vMerge w:val="restart"/>
                  <w:noWrap w:val="0"/>
                  <w:vAlign w:val="center"/>
                </w:tcPr>
                <w:p w14:paraId="51D040F0">
                  <w:pPr>
                    <w:widowControl/>
                    <w:spacing w:line="360" w:lineRule="exact"/>
                    <w:ind w:firstLine="0" w:firstLineChars="0"/>
                    <w:jc w:val="center"/>
                    <w:rPr>
                      <w:bCs/>
                      <w:kern w:val="0"/>
                      <w:sz w:val="21"/>
                      <w:szCs w:val="21"/>
                    </w:rPr>
                  </w:pPr>
                  <w:r>
                    <w:rPr>
                      <w:bCs/>
                      <w:kern w:val="0"/>
                      <w:sz w:val="21"/>
                      <w:szCs w:val="21"/>
                    </w:rPr>
                    <w:t>产业发展</w:t>
                  </w:r>
                </w:p>
              </w:tc>
              <w:tc>
                <w:tcPr>
                  <w:tcW w:w="2298" w:type="pct"/>
                  <w:noWrap w:val="0"/>
                  <w:vAlign w:val="center"/>
                </w:tcPr>
                <w:p w14:paraId="16C2320A">
                  <w:pPr>
                    <w:pStyle w:val="21"/>
                    <w:snapToGrid w:val="0"/>
                    <w:spacing w:line="360" w:lineRule="exact"/>
                    <w:rPr>
                      <w:szCs w:val="21"/>
                    </w:rPr>
                  </w:pPr>
                  <w:r>
                    <w:rPr>
                      <w:szCs w:val="21"/>
                    </w:rPr>
                    <w:t>禁止不符合产业定位及规划要求的项目入驻</w:t>
                  </w:r>
                </w:p>
              </w:tc>
              <w:tc>
                <w:tcPr>
                  <w:tcW w:w="1700" w:type="pct"/>
                  <w:noWrap w:val="0"/>
                  <w:vAlign w:val="center"/>
                </w:tcPr>
                <w:p w14:paraId="10E5A565">
                  <w:pPr>
                    <w:pStyle w:val="21"/>
                    <w:snapToGrid w:val="0"/>
                    <w:spacing w:line="360" w:lineRule="exact"/>
                    <w:jc w:val="both"/>
                    <w:rPr>
                      <w:szCs w:val="21"/>
                    </w:rPr>
                  </w:pPr>
                  <w:r>
                    <w:rPr>
                      <w:rFonts w:hint="default" w:ascii="Times New Roman" w:hAnsi="Times New Roman" w:cs="Times New Roman"/>
                      <w:sz w:val="21"/>
                      <w:szCs w:val="21"/>
                    </w:rPr>
                    <w:t>本项目属于</w:t>
                  </w:r>
                  <w:r>
                    <w:rPr>
                      <w:rFonts w:hint="eastAsia" w:cs="Times New Roman"/>
                      <w:sz w:val="21"/>
                      <w:szCs w:val="21"/>
                      <w:lang w:eastAsia="zh-CN"/>
                    </w:rPr>
                    <w:t>日用塑料制品制造</w:t>
                  </w:r>
                  <w:r>
                    <w:rPr>
                      <w:rFonts w:hint="default" w:ascii="Times New Roman" w:hAnsi="Times New Roman" w:cs="Times New Roman"/>
                      <w:sz w:val="21"/>
                      <w:szCs w:val="21"/>
                    </w:rPr>
                    <w:t>，不属于禁止开发建设项目，</w:t>
                  </w:r>
                  <w:r>
                    <w:rPr>
                      <w:rFonts w:hint="default" w:ascii="Times New Roman" w:hAnsi="Times New Roman" w:cs="Times New Roman"/>
                      <w:sz w:val="21"/>
                      <w:szCs w:val="21"/>
                      <w:highlight w:val="none"/>
                    </w:rPr>
                    <w:t>项目已取得武陟经济技术开发区管理委员会企业服务局出具同意入驻的证明。</w:t>
                  </w:r>
                </w:p>
              </w:tc>
              <w:tc>
                <w:tcPr>
                  <w:tcW w:w="385" w:type="pct"/>
                  <w:noWrap w:val="0"/>
                  <w:vAlign w:val="center"/>
                </w:tcPr>
                <w:p w14:paraId="73068890">
                  <w:pPr>
                    <w:pStyle w:val="21"/>
                    <w:snapToGrid w:val="0"/>
                    <w:spacing w:line="360" w:lineRule="exact"/>
                    <w:rPr>
                      <w:szCs w:val="21"/>
                    </w:rPr>
                  </w:pPr>
                  <w:r>
                    <w:rPr>
                      <w:szCs w:val="21"/>
                    </w:rPr>
                    <w:t>相符</w:t>
                  </w:r>
                </w:p>
              </w:tc>
            </w:tr>
            <w:tr w14:paraId="6964B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8" w:type="pct"/>
                  <w:vMerge w:val="continue"/>
                  <w:noWrap w:val="0"/>
                  <w:vAlign w:val="center"/>
                </w:tcPr>
                <w:p w14:paraId="72EEFDE4">
                  <w:pPr>
                    <w:pStyle w:val="21"/>
                    <w:snapToGrid w:val="0"/>
                    <w:spacing w:line="360" w:lineRule="exact"/>
                    <w:rPr>
                      <w:szCs w:val="21"/>
                    </w:rPr>
                  </w:pPr>
                </w:p>
              </w:tc>
              <w:tc>
                <w:tcPr>
                  <w:tcW w:w="385" w:type="pct"/>
                  <w:vMerge w:val="continue"/>
                  <w:noWrap w:val="0"/>
                  <w:vAlign w:val="center"/>
                </w:tcPr>
                <w:p w14:paraId="253B99DE">
                  <w:pPr>
                    <w:pStyle w:val="21"/>
                    <w:snapToGrid w:val="0"/>
                    <w:spacing w:line="360" w:lineRule="exact"/>
                    <w:rPr>
                      <w:szCs w:val="21"/>
                    </w:rPr>
                  </w:pPr>
                </w:p>
              </w:tc>
              <w:tc>
                <w:tcPr>
                  <w:tcW w:w="2298" w:type="pct"/>
                  <w:noWrap w:val="0"/>
                  <w:vAlign w:val="center"/>
                </w:tcPr>
                <w:p w14:paraId="7BCB14E4">
                  <w:pPr>
                    <w:pStyle w:val="21"/>
                    <w:snapToGrid w:val="0"/>
                    <w:spacing w:line="360" w:lineRule="exact"/>
                    <w:rPr>
                      <w:szCs w:val="21"/>
                    </w:rPr>
                  </w:pPr>
                  <w:r>
                    <w:rPr>
                      <w:szCs w:val="21"/>
                    </w:rPr>
                    <w:t>禁止入驻《产业结构调整指导目录（2024年本）》中所列限制类、淘汰类落后生产工艺装备和产品项目</w:t>
                  </w:r>
                </w:p>
              </w:tc>
              <w:tc>
                <w:tcPr>
                  <w:tcW w:w="1700" w:type="pct"/>
                  <w:noWrap w:val="0"/>
                  <w:vAlign w:val="center"/>
                </w:tcPr>
                <w:p w14:paraId="53A20B0B">
                  <w:pPr>
                    <w:pStyle w:val="21"/>
                    <w:snapToGrid w:val="0"/>
                    <w:spacing w:line="360" w:lineRule="exact"/>
                    <w:jc w:val="both"/>
                    <w:rPr>
                      <w:szCs w:val="21"/>
                    </w:rPr>
                  </w:pPr>
                  <w:r>
                    <w:rPr>
                      <w:rFonts w:hint="default" w:ascii="Times New Roman" w:hAnsi="Times New Roman" w:cs="Times New Roman"/>
                      <w:sz w:val="21"/>
                      <w:szCs w:val="21"/>
                    </w:rPr>
                    <w:t>本项目为</w:t>
                  </w:r>
                  <w:r>
                    <w:rPr>
                      <w:rFonts w:hint="eastAsia" w:cs="Times New Roman"/>
                      <w:sz w:val="21"/>
                      <w:szCs w:val="21"/>
                      <w:lang w:eastAsia="zh-CN"/>
                    </w:rPr>
                    <w:t>日用塑料制品制造</w:t>
                  </w:r>
                  <w:r>
                    <w:rPr>
                      <w:rFonts w:hint="default" w:ascii="Times New Roman" w:hAnsi="Times New Roman" w:cs="Times New Roman"/>
                      <w:sz w:val="21"/>
                      <w:szCs w:val="21"/>
                    </w:rPr>
                    <w:t>，经查阅《产业结构调整指导目录（2024年本）》，本项目属于允许建设项目。</w:t>
                  </w:r>
                </w:p>
              </w:tc>
              <w:tc>
                <w:tcPr>
                  <w:tcW w:w="385" w:type="pct"/>
                  <w:noWrap w:val="0"/>
                  <w:vAlign w:val="center"/>
                </w:tcPr>
                <w:p w14:paraId="33170A0F">
                  <w:pPr>
                    <w:pStyle w:val="21"/>
                    <w:snapToGrid w:val="0"/>
                    <w:spacing w:line="360" w:lineRule="exact"/>
                    <w:rPr>
                      <w:szCs w:val="21"/>
                    </w:rPr>
                  </w:pPr>
                  <w:r>
                    <w:rPr>
                      <w:szCs w:val="21"/>
                    </w:rPr>
                    <w:t>相符</w:t>
                  </w:r>
                </w:p>
              </w:tc>
            </w:tr>
            <w:tr w14:paraId="4EC85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3BD3BAB5">
                  <w:pPr>
                    <w:pStyle w:val="21"/>
                    <w:snapToGrid w:val="0"/>
                    <w:spacing w:line="360" w:lineRule="exact"/>
                    <w:rPr>
                      <w:szCs w:val="21"/>
                    </w:rPr>
                  </w:pPr>
                </w:p>
              </w:tc>
              <w:tc>
                <w:tcPr>
                  <w:tcW w:w="385" w:type="pct"/>
                  <w:vMerge w:val="continue"/>
                  <w:noWrap w:val="0"/>
                  <w:vAlign w:val="center"/>
                </w:tcPr>
                <w:p w14:paraId="40F97756">
                  <w:pPr>
                    <w:pStyle w:val="21"/>
                    <w:snapToGrid w:val="0"/>
                    <w:spacing w:line="360" w:lineRule="exact"/>
                    <w:rPr>
                      <w:szCs w:val="21"/>
                    </w:rPr>
                  </w:pPr>
                </w:p>
              </w:tc>
              <w:tc>
                <w:tcPr>
                  <w:tcW w:w="2298" w:type="pct"/>
                  <w:noWrap w:val="0"/>
                  <w:vAlign w:val="center"/>
                </w:tcPr>
                <w:p w14:paraId="38D4FBF7">
                  <w:pPr>
                    <w:pStyle w:val="21"/>
                    <w:snapToGrid w:val="0"/>
                    <w:spacing w:line="360" w:lineRule="exact"/>
                    <w:rPr>
                      <w:szCs w:val="21"/>
                    </w:rPr>
                  </w:pPr>
                  <w:r>
                    <w:rPr>
                      <w:szCs w:val="21"/>
                    </w:rPr>
                    <w:t>禁止入驻不符合行业准入条件及相关管理要求的项目</w:t>
                  </w:r>
                </w:p>
              </w:tc>
              <w:tc>
                <w:tcPr>
                  <w:tcW w:w="1700" w:type="pct"/>
                  <w:noWrap w:val="0"/>
                  <w:vAlign w:val="center"/>
                </w:tcPr>
                <w:p w14:paraId="16AEC9AA">
                  <w:pPr>
                    <w:pStyle w:val="21"/>
                    <w:snapToGrid w:val="0"/>
                    <w:spacing w:line="360" w:lineRule="exact"/>
                    <w:jc w:val="both"/>
                    <w:rPr>
                      <w:szCs w:val="21"/>
                    </w:rPr>
                  </w:pPr>
                  <w:r>
                    <w:rPr>
                      <w:rFonts w:hint="default" w:ascii="Times New Roman" w:hAnsi="Times New Roman" w:cs="Times New Roman"/>
                      <w:bCs w:val="0"/>
                      <w:sz w:val="21"/>
                      <w:szCs w:val="21"/>
                    </w:rPr>
                    <w:t>本项目</w:t>
                  </w:r>
                  <w:r>
                    <w:rPr>
                      <w:rFonts w:hint="default" w:ascii="Times New Roman" w:hAnsi="Times New Roman" w:cs="Times New Roman"/>
                      <w:sz w:val="21"/>
                      <w:szCs w:val="21"/>
                    </w:rPr>
                    <w:t>属于</w:t>
                  </w:r>
                  <w:r>
                    <w:rPr>
                      <w:rFonts w:hint="eastAsia" w:cs="Times New Roman"/>
                      <w:sz w:val="21"/>
                      <w:szCs w:val="21"/>
                      <w:lang w:eastAsia="zh-CN"/>
                    </w:rPr>
                    <w:t>日用塑料制品制造，</w:t>
                  </w:r>
                  <w:r>
                    <w:rPr>
                      <w:rFonts w:hint="default" w:ascii="Times New Roman" w:hAnsi="Times New Roman" w:cs="Times New Roman"/>
                      <w:bCs w:val="0"/>
                      <w:sz w:val="21"/>
                      <w:szCs w:val="21"/>
                      <w:highlight w:val="none"/>
                    </w:rPr>
                    <w:t>不属于禁止开发建设项目，</w:t>
                  </w:r>
                  <w:r>
                    <w:rPr>
                      <w:rFonts w:hint="default" w:ascii="Times New Roman" w:hAnsi="Times New Roman" w:cs="Times New Roman"/>
                      <w:sz w:val="21"/>
                      <w:szCs w:val="21"/>
                      <w:highlight w:val="none"/>
                    </w:rPr>
                    <w:t>项目已取得武陟经济技术开发区管理委员会企业服务局出具同意入驻的证明。</w:t>
                  </w:r>
                </w:p>
              </w:tc>
              <w:tc>
                <w:tcPr>
                  <w:tcW w:w="385" w:type="pct"/>
                  <w:noWrap w:val="0"/>
                  <w:vAlign w:val="center"/>
                </w:tcPr>
                <w:p w14:paraId="76E5ADC0">
                  <w:pPr>
                    <w:pStyle w:val="21"/>
                    <w:snapToGrid w:val="0"/>
                    <w:spacing w:line="360" w:lineRule="exact"/>
                    <w:rPr>
                      <w:szCs w:val="21"/>
                    </w:rPr>
                  </w:pPr>
                  <w:r>
                    <w:rPr>
                      <w:szCs w:val="21"/>
                    </w:rPr>
                    <w:t>相符</w:t>
                  </w:r>
                </w:p>
              </w:tc>
            </w:tr>
            <w:tr w14:paraId="6C645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55725538">
                  <w:pPr>
                    <w:pStyle w:val="21"/>
                    <w:snapToGrid w:val="0"/>
                    <w:spacing w:line="360" w:lineRule="exact"/>
                    <w:rPr>
                      <w:szCs w:val="21"/>
                    </w:rPr>
                  </w:pPr>
                </w:p>
              </w:tc>
              <w:tc>
                <w:tcPr>
                  <w:tcW w:w="385" w:type="pct"/>
                  <w:vMerge w:val="continue"/>
                  <w:noWrap w:val="0"/>
                  <w:vAlign w:val="center"/>
                </w:tcPr>
                <w:p w14:paraId="43530A3A">
                  <w:pPr>
                    <w:pStyle w:val="21"/>
                    <w:snapToGrid w:val="0"/>
                    <w:spacing w:line="360" w:lineRule="exact"/>
                    <w:rPr>
                      <w:szCs w:val="21"/>
                    </w:rPr>
                  </w:pPr>
                </w:p>
              </w:tc>
              <w:tc>
                <w:tcPr>
                  <w:tcW w:w="2298" w:type="pct"/>
                  <w:noWrap w:val="0"/>
                  <w:vAlign w:val="center"/>
                </w:tcPr>
                <w:p w14:paraId="23760D5D">
                  <w:pPr>
                    <w:pStyle w:val="21"/>
                    <w:snapToGrid w:val="0"/>
                    <w:spacing w:line="360" w:lineRule="exact"/>
                    <w:rPr>
                      <w:szCs w:val="21"/>
                    </w:rPr>
                  </w:pPr>
                  <w:r>
                    <w:rPr>
                      <w:szCs w:val="21"/>
                    </w:rPr>
                    <w:t>禁止建设投资强度不符合《河南省人民政府关于进一步加强节约集约用地的意见》（豫政[2015]66号）文件要求的项目</w:t>
                  </w:r>
                </w:p>
              </w:tc>
              <w:tc>
                <w:tcPr>
                  <w:tcW w:w="1700" w:type="pct"/>
                  <w:noWrap w:val="0"/>
                  <w:vAlign w:val="center"/>
                </w:tcPr>
                <w:p w14:paraId="6FA922DF">
                  <w:pPr>
                    <w:pStyle w:val="21"/>
                    <w:snapToGrid w:val="0"/>
                    <w:spacing w:line="360" w:lineRule="exact"/>
                    <w:jc w:val="left"/>
                    <w:rPr>
                      <w:szCs w:val="21"/>
                    </w:rPr>
                  </w:pPr>
                  <w:r>
                    <w:rPr>
                      <w:rFonts w:hint="default" w:ascii="Times New Roman" w:hAnsi="Times New Roman" w:cs="Times New Roman"/>
                      <w:sz w:val="21"/>
                      <w:szCs w:val="21"/>
                    </w:rPr>
                    <w:t>本项目投资额</w:t>
                  </w:r>
                  <w:r>
                    <w:rPr>
                      <w:rFonts w:hint="eastAsia" w:cs="Times New Roman"/>
                      <w:sz w:val="21"/>
                      <w:szCs w:val="21"/>
                      <w:lang w:val="en-US" w:eastAsia="zh-CN"/>
                    </w:rPr>
                    <w:t>500</w:t>
                  </w:r>
                  <w:r>
                    <w:rPr>
                      <w:rFonts w:hint="default" w:ascii="Times New Roman" w:hAnsi="Times New Roman" w:cs="Times New Roman"/>
                      <w:sz w:val="21"/>
                      <w:szCs w:val="21"/>
                    </w:rPr>
                    <w:t>万元，且已获得武陟经济技术开发区</w:t>
                  </w:r>
                  <w:r>
                    <w:rPr>
                      <w:rFonts w:hint="default" w:ascii="Times New Roman" w:hAnsi="Times New Roman" w:cs="Times New Roman"/>
                      <w:sz w:val="21"/>
                      <w:szCs w:val="21"/>
                      <w:lang w:eastAsia="zh-CN"/>
                    </w:rPr>
                    <w:t>管理委员会项目</w:t>
                  </w:r>
                  <w:r>
                    <w:rPr>
                      <w:rFonts w:hint="default" w:ascii="Times New Roman" w:hAnsi="Times New Roman" w:cs="Times New Roman"/>
                      <w:sz w:val="21"/>
                      <w:szCs w:val="21"/>
                    </w:rPr>
                    <w:t>备案</w:t>
                  </w:r>
                  <w:r>
                    <w:rPr>
                      <w:rFonts w:hint="default" w:ascii="Times New Roman" w:hAnsi="Times New Roman" w:cs="Times New Roman"/>
                      <w:sz w:val="21"/>
                      <w:szCs w:val="21"/>
                      <w:lang w:eastAsia="zh-CN"/>
                    </w:rPr>
                    <w:t>证明</w:t>
                  </w:r>
                  <w:r>
                    <w:rPr>
                      <w:rFonts w:hint="default" w:ascii="Times New Roman" w:hAnsi="Times New Roman" w:cs="Times New Roman"/>
                      <w:sz w:val="21"/>
                      <w:szCs w:val="21"/>
                    </w:rPr>
                    <w:t>，可以达到规模经济</w:t>
                  </w:r>
                  <w:r>
                    <w:rPr>
                      <w:rFonts w:hint="default" w:ascii="Times New Roman" w:hAnsi="Times New Roman" w:cs="Times New Roman"/>
                      <w:sz w:val="21"/>
                      <w:szCs w:val="21"/>
                      <w:lang w:eastAsia="zh-CN"/>
                    </w:rPr>
                    <w:t>。</w:t>
                  </w:r>
                </w:p>
              </w:tc>
              <w:tc>
                <w:tcPr>
                  <w:tcW w:w="385" w:type="pct"/>
                  <w:noWrap w:val="0"/>
                  <w:vAlign w:val="center"/>
                </w:tcPr>
                <w:p w14:paraId="0E11EA7D">
                  <w:pPr>
                    <w:pStyle w:val="21"/>
                    <w:snapToGrid w:val="0"/>
                    <w:spacing w:line="360" w:lineRule="exact"/>
                    <w:rPr>
                      <w:szCs w:val="21"/>
                    </w:rPr>
                  </w:pPr>
                  <w:r>
                    <w:rPr>
                      <w:szCs w:val="21"/>
                    </w:rPr>
                    <w:t>相符</w:t>
                  </w:r>
                </w:p>
              </w:tc>
            </w:tr>
            <w:tr w14:paraId="08B56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4CE28102">
                  <w:pPr>
                    <w:pStyle w:val="21"/>
                    <w:snapToGrid w:val="0"/>
                    <w:spacing w:line="360" w:lineRule="exact"/>
                    <w:rPr>
                      <w:szCs w:val="21"/>
                    </w:rPr>
                  </w:pPr>
                </w:p>
              </w:tc>
              <w:tc>
                <w:tcPr>
                  <w:tcW w:w="385" w:type="pct"/>
                  <w:vMerge w:val="continue"/>
                  <w:noWrap w:val="0"/>
                  <w:vAlign w:val="center"/>
                </w:tcPr>
                <w:p w14:paraId="44900A26">
                  <w:pPr>
                    <w:pStyle w:val="21"/>
                    <w:snapToGrid w:val="0"/>
                    <w:spacing w:line="360" w:lineRule="exact"/>
                    <w:rPr>
                      <w:szCs w:val="21"/>
                    </w:rPr>
                  </w:pPr>
                </w:p>
              </w:tc>
              <w:tc>
                <w:tcPr>
                  <w:tcW w:w="2298" w:type="pct"/>
                  <w:noWrap w:val="0"/>
                  <w:vAlign w:val="center"/>
                </w:tcPr>
                <w:p w14:paraId="08085524">
                  <w:pPr>
                    <w:pStyle w:val="21"/>
                    <w:snapToGrid w:val="0"/>
                    <w:spacing w:line="360" w:lineRule="exact"/>
                    <w:rPr>
                      <w:szCs w:val="21"/>
                    </w:rPr>
                  </w:pPr>
                  <w:r>
                    <w:rPr>
                      <w:szCs w:val="21"/>
                    </w:rPr>
                    <w:t>入驻企业的生产工艺、设备、污染治理技术、清洁生产水平均需达到同行业国内先进水平</w:t>
                  </w:r>
                </w:p>
              </w:tc>
              <w:tc>
                <w:tcPr>
                  <w:tcW w:w="1700" w:type="pct"/>
                  <w:noWrap w:val="0"/>
                  <w:vAlign w:val="center"/>
                </w:tcPr>
                <w:p w14:paraId="538A0E8E">
                  <w:pPr>
                    <w:pStyle w:val="21"/>
                    <w:snapToGrid w:val="0"/>
                    <w:spacing w:line="360" w:lineRule="exact"/>
                    <w:jc w:val="both"/>
                    <w:rPr>
                      <w:szCs w:val="21"/>
                    </w:rPr>
                  </w:pPr>
                  <w:r>
                    <w:rPr>
                      <w:rFonts w:hint="default" w:ascii="Times New Roman" w:hAnsi="Times New Roman" w:cs="Times New Roman"/>
                      <w:color w:val="auto"/>
                      <w:sz w:val="21"/>
                      <w:szCs w:val="21"/>
                    </w:rPr>
                    <w:t>项目所用设备为</w:t>
                  </w:r>
                  <w:r>
                    <w:rPr>
                      <w:rFonts w:hint="default" w:ascii="Times New Roman" w:hAnsi="Times New Roman" w:cs="Times New Roman"/>
                      <w:color w:val="auto"/>
                      <w:sz w:val="21"/>
                      <w:szCs w:val="21"/>
                      <w:lang w:eastAsia="zh-CN"/>
                    </w:rPr>
                    <w:t>自动化设备，污染物排放较少，污染治理技术具有可行性，清洁生产水平</w:t>
                  </w:r>
                  <w:r>
                    <w:rPr>
                      <w:rFonts w:hint="default" w:ascii="Times New Roman" w:hAnsi="Times New Roman" w:cs="Times New Roman"/>
                      <w:color w:val="auto"/>
                      <w:sz w:val="21"/>
                      <w:szCs w:val="21"/>
                    </w:rPr>
                    <w:t>达到国内同行业先进水平。</w:t>
                  </w:r>
                </w:p>
              </w:tc>
              <w:tc>
                <w:tcPr>
                  <w:tcW w:w="385" w:type="pct"/>
                  <w:noWrap w:val="0"/>
                  <w:vAlign w:val="center"/>
                </w:tcPr>
                <w:p w14:paraId="2132FCD4">
                  <w:pPr>
                    <w:pStyle w:val="21"/>
                    <w:snapToGrid w:val="0"/>
                    <w:spacing w:line="360" w:lineRule="exact"/>
                    <w:rPr>
                      <w:szCs w:val="21"/>
                    </w:rPr>
                  </w:pPr>
                  <w:r>
                    <w:rPr>
                      <w:szCs w:val="21"/>
                    </w:rPr>
                    <w:t>相符</w:t>
                  </w:r>
                </w:p>
              </w:tc>
            </w:tr>
            <w:tr w14:paraId="122C8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28" w:type="pct"/>
                  <w:vMerge w:val="continue"/>
                  <w:noWrap w:val="0"/>
                  <w:vAlign w:val="center"/>
                </w:tcPr>
                <w:p w14:paraId="45E3AF7D">
                  <w:pPr>
                    <w:pStyle w:val="21"/>
                    <w:snapToGrid w:val="0"/>
                    <w:spacing w:line="360" w:lineRule="exact"/>
                    <w:rPr>
                      <w:szCs w:val="21"/>
                    </w:rPr>
                  </w:pPr>
                </w:p>
              </w:tc>
              <w:tc>
                <w:tcPr>
                  <w:tcW w:w="385" w:type="pct"/>
                  <w:vMerge w:val="continue"/>
                  <w:noWrap w:val="0"/>
                  <w:vAlign w:val="center"/>
                </w:tcPr>
                <w:p w14:paraId="30EB0A28">
                  <w:pPr>
                    <w:pStyle w:val="21"/>
                    <w:snapToGrid w:val="0"/>
                    <w:spacing w:line="360" w:lineRule="exact"/>
                    <w:rPr>
                      <w:szCs w:val="21"/>
                    </w:rPr>
                  </w:pPr>
                </w:p>
              </w:tc>
              <w:tc>
                <w:tcPr>
                  <w:tcW w:w="2298" w:type="pct"/>
                  <w:noWrap w:val="0"/>
                  <w:vAlign w:val="center"/>
                </w:tcPr>
                <w:p w14:paraId="3C3D0F0F">
                  <w:pPr>
                    <w:pStyle w:val="21"/>
                    <w:snapToGrid w:val="0"/>
                    <w:spacing w:line="360" w:lineRule="exact"/>
                    <w:rPr>
                      <w:szCs w:val="21"/>
                    </w:rPr>
                  </w:pPr>
                  <w:r>
                    <w:rPr>
                      <w:szCs w:val="21"/>
                    </w:rPr>
                    <w:t>禁止建设公众意见较大的项目</w:t>
                  </w:r>
                </w:p>
              </w:tc>
              <w:tc>
                <w:tcPr>
                  <w:tcW w:w="1700" w:type="pct"/>
                  <w:noWrap w:val="0"/>
                  <w:vAlign w:val="center"/>
                </w:tcPr>
                <w:p w14:paraId="69B930CD">
                  <w:pPr>
                    <w:pStyle w:val="21"/>
                    <w:snapToGrid w:val="0"/>
                    <w:spacing w:line="360" w:lineRule="exact"/>
                    <w:rPr>
                      <w:rFonts w:hint="eastAsia" w:eastAsia="宋体"/>
                      <w:szCs w:val="21"/>
                      <w:lang w:val="en-US" w:eastAsia="zh-CN"/>
                    </w:rPr>
                  </w:pPr>
                  <w:r>
                    <w:rPr>
                      <w:szCs w:val="21"/>
                    </w:rPr>
                    <w:t>本项目不属于公众意见较大的项目</w:t>
                  </w:r>
                  <w:r>
                    <w:rPr>
                      <w:rFonts w:hint="eastAsia"/>
                      <w:szCs w:val="21"/>
                      <w:lang w:eastAsia="zh-CN"/>
                    </w:rPr>
                    <w:t>。</w:t>
                  </w:r>
                </w:p>
              </w:tc>
              <w:tc>
                <w:tcPr>
                  <w:tcW w:w="385" w:type="pct"/>
                  <w:noWrap w:val="0"/>
                  <w:vAlign w:val="center"/>
                </w:tcPr>
                <w:p w14:paraId="7D01369D">
                  <w:pPr>
                    <w:pStyle w:val="21"/>
                    <w:snapToGrid w:val="0"/>
                    <w:spacing w:line="360" w:lineRule="exact"/>
                    <w:rPr>
                      <w:szCs w:val="21"/>
                    </w:rPr>
                  </w:pPr>
                  <w:r>
                    <w:rPr>
                      <w:szCs w:val="21"/>
                    </w:rPr>
                    <w:t>相符</w:t>
                  </w:r>
                </w:p>
              </w:tc>
            </w:tr>
            <w:tr w14:paraId="6E8CE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228" w:type="pct"/>
                  <w:vMerge w:val="continue"/>
                  <w:noWrap w:val="0"/>
                  <w:vAlign w:val="center"/>
                </w:tcPr>
                <w:p w14:paraId="10C5DC48">
                  <w:pPr>
                    <w:pStyle w:val="21"/>
                    <w:snapToGrid w:val="0"/>
                    <w:spacing w:line="360" w:lineRule="exact"/>
                    <w:rPr>
                      <w:szCs w:val="21"/>
                    </w:rPr>
                  </w:pPr>
                </w:p>
              </w:tc>
              <w:tc>
                <w:tcPr>
                  <w:tcW w:w="385" w:type="pct"/>
                  <w:vMerge w:val="continue"/>
                  <w:noWrap w:val="0"/>
                  <w:vAlign w:val="center"/>
                </w:tcPr>
                <w:p w14:paraId="78FE2511">
                  <w:pPr>
                    <w:pStyle w:val="21"/>
                    <w:snapToGrid w:val="0"/>
                    <w:spacing w:line="360" w:lineRule="exact"/>
                    <w:rPr>
                      <w:szCs w:val="21"/>
                    </w:rPr>
                  </w:pPr>
                </w:p>
              </w:tc>
              <w:tc>
                <w:tcPr>
                  <w:tcW w:w="2298" w:type="pct"/>
                  <w:noWrap w:val="0"/>
                  <w:vAlign w:val="center"/>
                </w:tcPr>
                <w:p w14:paraId="442F7ABD">
                  <w:pPr>
                    <w:pStyle w:val="21"/>
                    <w:snapToGrid w:val="0"/>
                    <w:spacing w:line="360" w:lineRule="exact"/>
                    <w:rPr>
                      <w:szCs w:val="21"/>
                    </w:rPr>
                  </w:pPr>
                  <w:r>
                    <w:rPr>
                      <w:szCs w:val="21"/>
                    </w:rPr>
                    <w:t>装备制造行业鼓励园区建设集中的喷涂中心，禁止露天和敞开式喷漆项目；新建铸造项目应满足国家产能置换相关政策</w:t>
                  </w:r>
                </w:p>
              </w:tc>
              <w:tc>
                <w:tcPr>
                  <w:tcW w:w="1700" w:type="pct"/>
                  <w:noWrap w:val="0"/>
                  <w:vAlign w:val="center"/>
                </w:tcPr>
                <w:p w14:paraId="4DB7C8F4">
                  <w:pPr>
                    <w:pStyle w:val="21"/>
                    <w:snapToGrid w:val="0"/>
                    <w:spacing w:line="360" w:lineRule="exact"/>
                    <w:rPr>
                      <w:szCs w:val="21"/>
                    </w:rPr>
                  </w:pPr>
                  <w:r>
                    <w:rPr>
                      <w:rFonts w:hint="default" w:ascii="Times New Roman" w:hAnsi="Times New Roman" w:cs="Times New Roman"/>
                      <w:color w:val="auto"/>
                      <w:sz w:val="21"/>
                      <w:szCs w:val="21"/>
                    </w:rPr>
                    <w:t>本项目</w:t>
                  </w:r>
                  <w:r>
                    <w:rPr>
                      <w:rFonts w:hint="default" w:ascii="Times New Roman" w:hAnsi="Times New Roman" w:cs="Times New Roman"/>
                      <w:bCs/>
                      <w:color w:val="auto"/>
                      <w:sz w:val="21"/>
                      <w:szCs w:val="21"/>
                      <w:lang w:val="en-US" w:eastAsia="zh-CN"/>
                    </w:rPr>
                    <w:t>不涉及</w:t>
                  </w:r>
                  <w:r>
                    <w:rPr>
                      <w:rFonts w:hint="eastAsia" w:ascii="Times New Roman" w:hAnsi="Times New Roman" w:cs="Times New Roman"/>
                      <w:bCs/>
                      <w:color w:val="auto"/>
                      <w:sz w:val="21"/>
                      <w:szCs w:val="21"/>
                      <w:lang w:val="en-US" w:eastAsia="zh-CN"/>
                    </w:rPr>
                    <w:t>。</w:t>
                  </w:r>
                </w:p>
              </w:tc>
              <w:tc>
                <w:tcPr>
                  <w:tcW w:w="385" w:type="pct"/>
                  <w:noWrap w:val="0"/>
                  <w:vAlign w:val="center"/>
                </w:tcPr>
                <w:p w14:paraId="003BCE4B">
                  <w:pPr>
                    <w:pStyle w:val="21"/>
                    <w:snapToGrid w:val="0"/>
                    <w:spacing w:line="360" w:lineRule="exact"/>
                    <w:rPr>
                      <w:szCs w:val="21"/>
                    </w:rPr>
                  </w:pPr>
                  <w:r>
                    <w:rPr>
                      <w:szCs w:val="21"/>
                    </w:rPr>
                    <w:t>相符</w:t>
                  </w:r>
                </w:p>
              </w:tc>
            </w:tr>
            <w:tr w14:paraId="6FCA7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28" w:type="pct"/>
                  <w:vMerge w:val="continue"/>
                  <w:noWrap w:val="0"/>
                  <w:vAlign w:val="center"/>
                </w:tcPr>
                <w:p w14:paraId="786D8AF0">
                  <w:pPr>
                    <w:pStyle w:val="21"/>
                    <w:snapToGrid w:val="0"/>
                    <w:spacing w:line="360" w:lineRule="exact"/>
                    <w:rPr>
                      <w:szCs w:val="21"/>
                    </w:rPr>
                  </w:pPr>
                </w:p>
              </w:tc>
              <w:tc>
                <w:tcPr>
                  <w:tcW w:w="385" w:type="pct"/>
                  <w:vMerge w:val="continue"/>
                  <w:noWrap w:val="0"/>
                  <w:vAlign w:val="center"/>
                </w:tcPr>
                <w:p w14:paraId="7C1FB691">
                  <w:pPr>
                    <w:pStyle w:val="21"/>
                    <w:snapToGrid w:val="0"/>
                    <w:spacing w:line="360" w:lineRule="exact"/>
                    <w:rPr>
                      <w:szCs w:val="21"/>
                    </w:rPr>
                  </w:pPr>
                </w:p>
              </w:tc>
              <w:tc>
                <w:tcPr>
                  <w:tcW w:w="2298" w:type="pct"/>
                  <w:noWrap w:val="0"/>
                  <w:vAlign w:val="center"/>
                </w:tcPr>
                <w:p w14:paraId="28CE8154">
                  <w:pPr>
                    <w:pStyle w:val="21"/>
                    <w:snapToGrid w:val="0"/>
                    <w:spacing w:line="360" w:lineRule="exact"/>
                    <w:jc w:val="left"/>
                    <w:rPr>
                      <w:szCs w:val="21"/>
                    </w:rPr>
                  </w:pPr>
                  <w:r>
                    <w:rPr>
                      <w:szCs w:val="21"/>
                    </w:rPr>
                    <w:t>①禁止新建除热电联产以外的燃煤发电项目。严格控制新建扩建钢铁冶炼、水泥、砖瓦等高排放、高污染工业项目。</w:t>
                  </w:r>
                </w:p>
                <w:p w14:paraId="6C700BFB">
                  <w:pPr>
                    <w:pStyle w:val="21"/>
                    <w:snapToGrid w:val="0"/>
                    <w:spacing w:line="360" w:lineRule="exact"/>
                    <w:jc w:val="left"/>
                    <w:rPr>
                      <w:szCs w:val="21"/>
                    </w:rPr>
                  </w:pPr>
                  <w:r>
                    <w:rPr>
                      <w:szCs w:val="21"/>
                    </w:rPr>
                    <w:t>②严禁新增钢铁、电解铝、水泥熟料、平板玻璃、煤化工、氧化铝、焦化、铸造、铝用炭素、烧结砖瓦、铁合金、铅锌冶炼(含再生铅)、含烧结工序的耐火材料等行业产能，合理控制煤制油气产能，严控新增炼油产能。禁止新建不符合国家产业政策的小型造纸、制革、印染、染料、炼焦、炼硫、炼砷、炼汞、炼油、电镀、农药、石棉、水泥、玻璃、钢铁、火电以及其他严重污染水环境的生产项目。</w:t>
                  </w:r>
                </w:p>
              </w:tc>
              <w:tc>
                <w:tcPr>
                  <w:tcW w:w="1700" w:type="pct"/>
                  <w:noWrap w:val="0"/>
                  <w:vAlign w:val="center"/>
                </w:tcPr>
                <w:p w14:paraId="0989376D">
                  <w:pPr>
                    <w:keepNext w:val="0"/>
                    <w:keepLines w:val="0"/>
                    <w:pageBreakBefore w:val="0"/>
                    <w:widowControl w:val="0"/>
                    <w:numPr>
                      <w:ilvl w:val="0"/>
                      <w:numId w:val="2"/>
                    </w:numPr>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本项目</w:t>
                  </w:r>
                  <w:r>
                    <w:rPr>
                      <w:rFonts w:hint="default" w:ascii="Times New Roman" w:hAnsi="Times New Roman" w:cs="Times New Roman"/>
                      <w:sz w:val="21"/>
                      <w:szCs w:val="21"/>
                      <w:lang w:eastAsia="zh-CN"/>
                    </w:rPr>
                    <w:t>属于</w:t>
                  </w:r>
                  <w:r>
                    <w:rPr>
                      <w:rFonts w:hint="eastAsia" w:cs="Times New Roman"/>
                      <w:sz w:val="21"/>
                      <w:szCs w:val="21"/>
                      <w:lang w:eastAsia="zh-CN"/>
                    </w:rPr>
                    <w:t>日用塑料制品制造</w:t>
                  </w:r>
                  <w:r>
                    <w:rPr>
                      <w:rFonts w:hint="default" w:ascii="Times New Roman" w:hAnsi="Times New Roman" w:cs="Times New Roman"/>
                      <w:sz w:val="21"/>
                      <w:szCs w:val="21"/>
                      <w:lang w:eastAsia="zh-CN"/>
                    </w:rPr>
                    <w:t>，能源利用为水和电，不涉及燃煤、钢铁冶炼、水泥、砖瓦等</w:t>
                  </w:r>
                  <w:r>
                    <w:rPr>
                      <w:rFonts w:hint="eastAsia" w:ascii="Times New Roman" w:hAnsi="Times New Roman" w:cs="Times New Roman"/>
                      <w:sz w:val="21"/>
                      <w:szCs w:val="21"/>
                      <w:lang w:eastAsia="zh-CN"/>
                    </w:rPr>
                    <w:t>高排放、高污染</w:t>
                  </w:r>
                  <w:r>
                    <w:rPr>
                      <w:rFonts w:hint="default" w:ascii="Times New Roman" w:hAnsi="Times New Roman" w:cs="Times New Roman"/>
                      <w:sz w:val="21"/>
                      <w:szCs w:val="21"/>
                      <w:lang w:eastAsia="zh-CN"/>
                    </w:rPr>
                    <w:t>工业项目</w:t>
                  </w:r>
                  <w:r>
                    <w:rPr>
                      <w:rFonts w:hint="default" w:ascii="Times New Roman" w:hAnsi="Times New Roman" w:cs="Times New Roman"/>
                      <w:sz w:val="21"/>
                      <w:szCs w:val="21"/>
                    </w:rPr>
                    <w:t>。</w:t>
                  </w:r>
                </w:p>
                <w:p w14:paraId="6089D978">
                  <w:pPr>
                    <w:keepNext w:val="0"/>
                    <w:keepLines w:val="0"/>
                    <w:pageBreakBefore w:val="0"/>
                    <w:widowControl w:val="0"/>
                    <w:numPr>
                      <w:ilvl w:val="0"/>
                      <w:numId w:val="2"/>
                    </w:numPr>
                    <w:suppressLineNumbers w:val="0"/>
                    <w:kinsoku/>
                    <w:wordWrap w:val="0"/>
                    <w:overflowPunct/>
                    <w:topLinePunct w:val="0"/>
                    <w:autoSpaceDE w:val="0"/>
                    <w:autoSpaceDN w:val="0"/>
                    <w:bidi w:val="0"/>
                    <w:adjustRightInd w:val="0"/>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本项目</w:t>
                  </w:r>
                  <w:r>
                    <w:rPr>
                      <w:rFonts w:hint="default" w:ascii="Times New Roman" w:hAnsi="Times New Roman" w:cs="Times New Roman"/>
                      <w:sz w:val="21"/>
                      <w:szCs w:val="21"/>
                      <w:lang w:eastAsia="zh-CN"/>
                    </w:rPr>
                    <w:t>属于</w:t>
                  </w:r>
                  <w:r>
                    <w:rPr>
                      <w:rFonts w:hint="eastAsia" w:cs="Times New Roman"/>
                      <w:sz w:val="21"/>
                      <w:szCs w:val="21"/>
                      <w:lang w:eastAsia="zh-CN"/>
                    </w:rPr>
                    <w:t>日用塑料制品制造</w:t>
                  </w:r>
                  <w:r>
                    <w:rPr>
                      <w:rFonts w:hint="eastAsia" w:ascii="Times New Roman" w:hAnsi="Times New Roman" w:cs="Times New Roman"/>
                      <w:sz w:val="21"/>
                      <w:szCs w:val="21"/>
                      <w:lang w:eastAsia="zh-CN"/>
                    </w:rPr>
                    <w:t>，</w:t>
                  </w:r>
                  <w:r>
                    <w:rPr>
                      <w:rFonts w:hint="default" w:ascii="Times New Roman" w:hAnsi="Times New Roman" w:cs="Times New Roman"/>
                      <w:sz w:val="21"/>
                      <w:szCs w:val="21"/>
                      <w:lang w:eastAsia="zh-CN"/>
                    </w:rPr>
                    <w:t>不涉及</w:t>
                  </w:r>
                  <w:r>
                    <w:rPr>
                      <w:rFonts w:hint="default" w:ascii="Times New Roman" w:hAnsi="Times New Roman" w:cs="Times New Roman"/>
                      <w:sz w:val="21"/>
                      <w:szCs w:val="21"/>
                    </w:rPr>
                    <w:t>钢铁、电解铝、水泥熟料、平板玻璃、煤化工、氧化铝、焦化、铸造、铝用炭素、烧结砖瓦、铁合金、铅锌冶炼（含再生铅）、含烧结工序的耐火材料等行业。</w:t>
                  </w:r>
                </w:p>
                <w:p w14:paraId="4BB19A18">
                  <w:pPr>
                    <w:pStyle w:val="21"/>
                    <w:snapToGrid w:val="0"/>
                    <w:spacing w:line="360" w:lineRule="exact"/>
                    <w:jc w:val="both"/>
                    <w:rPr>
                      <w:szCs w:val="21"/>
                    </w:rPr>
                  </w:pPr>
                  <w:r>
                    <w:rPr>
                      <w:rFonts w:hint="default" w:ascii="Times New Roman" w:hAnsi="Times New Roman" w:cs="Times New Roman"/>
                      <w:sz w:val="21"/>
                      <w:szCs w:val="21"/>
                      <w:highlight w:val="none"/>
                    </w:rPr>
                    <w:t>3、</w:t>
                  </w:r>
                  <w:r>
                    <w:rPr>
                      <w:rFonts w:hint="default" w:ascii="Times New Roman" w:hAnsi="Times New Roman" w:cs="Times New Roman"/>
                      <w:bCs w:val="0"/>
                      <w:sz w:val="21"/>
                      <w:szCs w:val="21"/>
                      <w:highlight w:val="none"/>
                    </w:rPr>
                    <w:t>本</w:t>
                  </w:r>
                  <w:r>
                    <w:rPr>
                      <w:rFonts w:hint="default" w:ascii="Times New Roman" w:hAnsi="Times New Roman" w:cs="Times New Roman"/>
                      <w:bCs w:val="0"/>
                      <w:sz w:val="21"/>
                      <w:szCs w:val="21"/>
                    </w:rPr>
                    <w:t>项目</w:t>
                  </w:r>
                  <w:r>
                    <w:rPr>
                      <w:rFonts w:hint="eastAsia" w:cs="Times New Roman"/>
                      <w:bCs w:val="0"/>
                      <w:sz w:val="21"/>
                      <w:szCs w:val="21"/>
                      <w:lang w:eastAsia="zh-CN"/>
                    </w:rPr>
                    <w:t>不涉及</w:t>
                  </w:r>
                  <w:r>
                    <w:rPr>
                      <w:rFonts w:hint="default" w:ascii="Times New Roman" w:hAnsi="Times New Roman" w:cs="Times New Roman"/>
                      <w:sz w:val="21"/>
                      <w:szCs w:val="21"/>
                    </w:rPr>
                    <w:t>禁止新建不符合国家产业政策的生产项目。</w:t>
                  </w:r>
                </w:p>
              </w:tc>
              <w:tc>
                <w:tcPr>
                  <w:tcW w:w="385" w:type="pct"/>
                  <w:noWrap w:val="0"/>
                  <w:vAlign w:val="center"/>
                </w:tcPr>
                <w:p w14:paraId="461D4FE2">
                  <w:pPr>
                    <w:pStyle w:val="21"/>
                    <w:snapToGrid w:val="0"/>
                    <w:spacing w:line="360" w:lineRule="exact"/>
                    <w:rPr>
                      <w:szCs w:val="21"/>
                    </w:rPr>
                  </w:pPr>
                  <w:r>
                    <w:rPr>
                      <w:szCs w:val="21"/>
                    </w:rPr>
                    <w:t>相符</w:t>
                  </w:r>
                </w:p>
              </w:tc>
            </w:tr>
            <w:tr w14:paraId="417F5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8" w:type="pct"/>
                  <w:vMerge w:val="continue"/>
                  <w:noWrap w:val="0"/>
                  <w:vAlign w:val="center"/>
                </w:tcPr>
                <w:p w14:paraId="2DF24CF1">
                  <w:pPr>
                    <w:pStyle w:val="21"/>
                    <w:snapToGrid w:val="0"/>
                    <w:spacing w:line="360" w:lineRule="exact"/>
                    <w:rPr>
                      <w:szCs w:val="21"/>
                    </w:rPr>
                  </w:pPr>
                </w:p>
              </w:tc>
              <w:tc>
                <w:tcPr>
                  <w:tcW w:w="385" w:type="pct"/>
                  <w:vMerge w:val="continue"/>
                  <w:noWrap w:val="0"/>
                  <w:vAlign w:val="center"/>
                </w:tcPr>
                <w:p w14:paraId="34892E52">
                  <w:pPr>
                    <w:pStyle w:val="21"/>
                    <w:snapToGrid w:val="0"/>
                    <w:spacing w:line="360" w:lineRule="exact"/>
                    <w:rPr>
                      <w:szCs w:val="21"/>
                    </w:rPr>
                  </w:pPr>
                </w:p>
              </w:tc>
              <w:tc>
                <w:tcPr>
                  <w:tcW w:w="2298" w:type="pct"/>
                  <w:noWrap w:val="0"/>
                  <w:vAlign w:val="center"/>
                </w:tcPr>
                <w:p w14:paraId="2D625342">
                  <w:pPr>
                    <w:pStyle w:val="21"/>
                    <w:snapToGrid w:val="0"/>
                    <w:spacing w:line="360" w:lineRule="exact"/>
                    <w:rPr>
                      <w:szCs w:val="21"/>
                    </w:rPr>
                  </w:pPr>
                  <w:r>
                    <w:rPr>
                      <w:szCs w:val="21"/>
                    </w:rPr>
                    <w:t>①严格控制新建、扩建、改建高耗水项目。②严格限制造纸印染等高耗水、重污染产业发展。开发区现有制浆、造纸等用排水量较大企业改扩建项目不得突破现有用水许可指标，不得增加废水污染物现有许可排放指标。③严把项目生态环境准入关，严控新上高污染、高耗水、高耗能项目</w:t>
                  </w:r>
                </w:p>
              </w:tc>
              <w:tc>
                <w:tcPr>
                  <w:tcW w:w="1700" w:type="pct"/>
                  <w:noWrap w:val="0"/>
                  <w:vAlign w:val="center"/>
                </w:tcPr>
                <w:p w14:paraId="652004A7">
                  <w:pPr>
                    <w:pStyle w:val="21"/>
                    <w:snapToGrid w:val="0"/>
                    <w:spacing w:line="360" w:lineRule="exact"/>
                    <w:jc w:val="both"/>
                    <w:rPr>
                      <w:szCs w:val="21"/>
                    </w:rPr>
                  </w:pPr>
                  <w:r>
                    <w:rPr>
                      <w:rFonts w:hint="default" w:ascii="Times New Roman" w:hAnsi="Times New Roman" w:cs="Times New Roman"/>
                      <w:sz w:val="21"/>
                      <w:szCs w:val="21"/>
                      <w:highlight w:val="none"/>
                    </w:rPr>
                    <w:t>本项目</w:t>
                  </w:r>
                  <w:r>
                    <w:rPr>
                      <w:rFonts w:hint="default" w:ascii="Times New Roman" w:hAnsi="Times New Roman" w:cs="Times New Roman"/>
                      <w:sz w:val="21"/>
                      <w:szCs w:val="21"/>
                      <w:highlight w:val="none"/>
                      <w:lang w:eastAsia="zh-CN"/>
                    </w:rPr>
                    <w:t>为</w:t>
                  </w:r>
                  <w:r>
                    <w:rPr>
                      <w:rFonts w:hint="eastAsia" w:cs="Times New Roman"/>
                      <w:sz w:val="21"/>
                      <w:szCs w:val="21"/>
                      <w:lang w:eastAsia="zh-CN"/>
                    </w:rPr>
                    <w:t>日用塑料制品制造</w:t>
                  </w:r>
                  <w:r>
                    <w:rPr>
                      <w:rFonts w:hint="default" w:ascii="Times New Roman" w:hAnsi="Times New Roman" w:cs="Times New Roman"/>
                      <w:sz w:val="21"/>
                      <w:szCs w:val="21"/>
                      <w:highlight w:val="none"/>
                      <w:lang w:eastAsia="zh-CN"/>
                    </w:rPr>
                    <w:t>，不涉及造纸、制浆、印染等髙耗水、重污染的产业项目。</w:t>
                  </w:r>
                </w:p>
              </w:tc>
              <w:tc>
                <w:tcPr>
                  <w:tcW w:w="385" w:type="pct"/>
                  <w:noWrap w:val="0"/>
                  <w:vAlign w:val="center"/>
                </w:tcPr>
                <w:p w14:paraId="3D4725C7">
                  <w:pPr>
                    <w:pStyle w:val="21"/>
                    <w:snapToGrid w:val="0"/>
                    <w:spacing w:line="360" w:lineRule="exact"/>
                    <w:rPr>
                      <w:szCs w:val="21"/>
                    </w:rPr>
                  </w:pPr>
                  <w:r>
                    <w:rPr>
                      <w:szCs w:val="21"/>
                    </w:rPr>
                    <w:t>相符</w:t>
                  </w:r>
                </w:p>
              </w:tc>
            </w:tr>
            <w:tr w14:paraId="522B5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228" w:type="pct"/>
                  <w:vMerge w:val="continue"/>
                  <w:noWrap w:val="0"/>
                  <w:vAlign w:val="center"/>
                </w:tcPr>
                <w:p w14:paraId="0C8488C3">
                  <w:pPr>
                    <w:pStyle w:val="21"/>
                    <w:snapToGrid w:val="0"/>
                    <w:spacing w:line="360" w:lineRule="exact"/>
                    <w:rPr>
                      <w:szCs w:val="21"/>
                    </w:rPr>
                  </w:pPr>
                </w:p>
              </w:tc>
              <w:tc>
                <w:tcPr>
                  <w:tcW w:w="385" w:type="pct"/>
                  <w:vMerge w:val="continue"/>
                  <w:noWrap w:val="0"/>
                  <w:vAlign w:val="center"/>
                </w:tcPr>
                <w:p w14:paraId="582195AD">
                  <w:pPr>
                    <w:pStyle w:val="21"/>
                    <w:snapToGrid w:val="0"/>
                    <w:spacing w:line="360" w:lineRule="exact"/>
                    <w:rPr>
                      <w:szCs w:val="21"/>
                    </w:rPr>
                  </w:pPr>
                </w:p>
              </w:tc>
              <w:tc>
                <w:tcPr>
                  <w:tcW w:w="2298" w:type="pct"/>
                  <w:noWrap w:val="0"/>
                  <w:vAlign w:val="center"/>
                </w:tcPr>
                <w:p w14:paraId="3DE5D38A">
                  <w:pPr>
                    <w:pStyle w:val="21"/>
                    <w:snapToGrid w:val="0"/>
                    <w:spacing w:line="360" w:lineRule="exact"/>
                    <w:rPr>
                      <w:szCs w:val="21"/>
                    </w:rPr>
                  </w:pPr>
                  <w:r>
                    <w:rPr>
                      <w:szCs w:val="21"/>
                    </w:rPr>
                    <w:t>禁止新建化工项目(包括石油化工、煤化工、盐碱化工、精细化工等)</w:t>
                  </w:r>
                </w:p>
              </w:tc>
              <w:tc>
                <w:tcPr>
                  <w:tcW w:w="1700" w:type="pct"/>
                  <w:noWrap w:val="0"/>
                  <w:vAlign w:val="center"/>
                </w:tcPr>
                <w:p w14:paraId="3A08B5A0">
                  <w:pPr>
                    <w:pStyle w:val="21"/>
                    <w:snapToGrid w:val="0"/>
                    <w:spacing w:line="360" w:lineRule="exact"/>
                    <w:rPr>
                      <w:rFonts w:hint="eastAsia" w:eastAsia="宋体"/>
                      <w:szCs w:val="21"/>
                      <w:lang w:eastAsia="zh-CN"/>
                    </w:rPr>
                  </w:pPr>
                  <w:r>
                    <w:rPr>
                      <w:szCs w:val="21"/>
                    </w:rPr>
                    <w:t>本项目不涉及</w:t>
                  </w:r>
                  <w:r>
                    <w:rPr>
                      <w:rFonts w:hint="eastAsia"/>
                      <w:szCs w:val="21"/>
                      <w:lang w:eastAsia="zh-CN"/>
                    </w:rPr>
                    <w:t>。</w:t>
                  </w:r>
                </w:p>
              </w:tc>
              <w:tc>
                <w:tcPr>
                  <w:tcW w:w="385" w:type="pct"/>
                  <w:noWrap w:val="0"/>
                  <w:vAlign w:val="center"/>
                </w:tcPr>
                <w:p w14:paraId="2A063CF2">
                  <w:pPr>
                    <w:pStyle w:val="21"/>
                    <w:snapToGrid w:val="0"/>
                    <w:spacing w:line="360" w:lineRule="exact"/>
                    <w:rPr>
                      <w:szCs w:val="21"/>
                    </w:rPr>
                  </w:pPr>
                  <w:r>
                    <w:rPr>
                      <w:szCs w:val="21"/>
                    </w:rPr>
                    <w:t>相符</w:t>
                  </w:r>
                </w:p>
              </w:tc>
            </w:tr>
            <w:tr w14:paraId="360D8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228" w:type="pct"/>
                  <w:vMerge w:val="continue"/>
                  <w:noWrap w:val="0"/>
                  <w:vAlign w:val="center"/>
                </w:tcPr>
                <w:p w14:paraId="0E0859EC">
                  <w:pPr>
                    <w:pStyle w:val="21"/>
                    <w:snapToGrid w:val="0"/>
                    <w:spacing w:line="360" w:lineRule="exact"/>
                    <w:rPr>
                      <w:szCs w:val="21"/>
                    </w:rPr>
                  </w:pPr>
                </w:p>
              </w:tc>
              <w:tc>
                <w:tcPr>
                  <w:tcW w:w="385" w:type="pct"/>
                  <w:vMerge w:val="continue"/>
                  <w:noWrap w:val="0"/>
                  <w:vAlign w:val="center"/>
                </w:tcPr>
                <w:p w14:paraId="13B722CF">
                  <w:pPr>
                    <w:pStyle w:val="21"/>
                    <w:snapToGrid w:val="0"/>
                    <w:spacing w:line="360" w:lineRule="exact"/>
                    <w:rPr>
                      <w:szCs w:val="21"/>
                    </w:rPr>
                  </w:pPr>
                </w:p>
              </w:tc>
              <w:tc>
                <w:tcPr>
                  <w:tcW w:w="2298" w:type="pct"/>
                  <w:noWrap w:val="0"/>
                  <w:vAlign w:val="center"/>
                </w:tcPr>
                <w:p w14:paraId="287ABB5D">
                  <w:pPr>
                    <w:pStyle w:val="21"/>
                    <w:snapToGrid w:val="0"/>
                    <w:spacing w:line="360" w:lineRule="exact"/>
                    <w:rPr>
                      <w:szCs w:val="21"/>
                    </w:rPr>
                  </w:pPr>
                  <w:r>
                    <w:rPr>
                      <w:szCs w:val="21"/>
                    </w:rPr>
                    <w:t>强化煤炭消费总量管控，原则上不再新增非电行业耗煤项目，确因产业和民生需要新上的，需落实减量替代。</w:t>
                  </w:r>
                </w:p>
              </w:tc>
              <w:tc>
                <w:tcPr>
                  <w:tcW w:w="1700" w:type="pct"/>
                  <w:noWrap w:val="0"/>
                  <w:vAlign w:val="center"/>
                </w:tcPr>
                <w:p w14:paraId="6E39ADDD">
                  <w:pPr>
                    <w:pStyle w:val="21"/>
                    <w:snapToGrid w:val="0"/>
                    <w:spacing w:line="360" w:lineRule="exact"/>
                    <w:jc w:val="center"/>
                    <w:rPr>
                      <w:rFonts w:hint="eastAsia" w:eastAsia="宋体"/>
                      <w:szCs w:val="21"/>
                      <w:lang w:eastAsia="zh-CN"/>
                    </w:rPr>
                  </w:pPr>
                  <w:r>
                    <w:rPr>
                      <w:szCs w:val="21"/>
                    </w:rPr>
                    <w:t>本项目不涉及煤炭消费</w:t>
                  </w:r>
                  <w:r>
                    <w:rPr>
                      <w:rFonts w:hint="eastAsia"/>
                      <w:szCs w:val="21"/>
                    </w:rPr>
                    <w:t>，不属于耗煤项目</w:t>
                  </w:r>
                  <w:r>
                    <w:rPr>
                      <w:rFonts w:hint="eastAsia"/>
                      <w:szCs w:val="21"/>
                      <w:lang w:eastAsia="zh-CN"/>
                    </w:rPr>
                    <w:t>。</w:t>
                  </w:r>
                </w:p>
              </w:tc>
              <w:tc>
                <w:tcPr>
                  <w:tcW w:w="385" w:type="pct"/>
                  <w:noWrap w:val="0"/>
                  <w:vAlign w:val="center"/>
                </w:tcPr>
                <w:p w14:paraId="2962A3F3">
                  <w:pPr>
                    <w:pStyle w:val="21"/>
                    <w:snapToGrid w:val="0"/>
                    <w:spacing w:line="360" w:lineRule="exact"/>
                    <w:rPr>
                      <w:szCs w:val="21"/>
                    </w:rPr>
                  </w:pPr>
                  <w:r>
                    <w:rPr>
                      <w:szCs w:val="21"/>
                    </w:rPr>
                    <w:t>相符</w:t>
                  </w:r>
                </w:p>
              </w:tc>
            </w:tr>
            <w:tr w14:paraId="4B9DD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9" w:hRule="atLeast"/>
                <w:jc w:val="center"/>
              </w:trPr>
              <w:tc>
                <w:tcPr>
                  <w:tcW w:w="228" w:type="pct"/>
                  <w:vMerge w:val="continue"/>
                  <w:noWrap w:val="0"/>
                  <w:vAlign w:val="center"/>
                </w:tcPr>
                <w:p w14:paraId="109D816F">
                  <w:pPr>
                    <w:pStyle w:val="21"/>
                    <w:snapToGrid w:val="0"/>
                    <w:spacing w:line="360" w:lineRule="exact"/>
                    <w:rPr>
                      <w:szCs w:val="21"/>
                    </w:rPr>
                  </w:pPr>
                </w:p>
              </w:tc>
              <w:tc>
                <w:tcPr>
                  <w:tcW w:w="385" w:type="pct"/>
                  <w:vMerge w:val="continue"/>
                  <w:noWrap w:val="0"/>
                  <w:vAlign w:val="center"/>
                </w:tcPr>
                <w:p w14:paraId="44F78CA3">
                  <w:pPr>
                    <w:pStyle w:val="21"/>
                    <w:snapToGrid w:val="0"/>
                    <w:spacing w:line="360" w:lineRule="exact"/>
                    <w:rPr>
                      <w:szCs w:val="21"/>
                    </w:rPr>
                  </w:pPr>
                </w:p>
              </w:tc>
              <w:tc>
                <w:tcPr>
                  <w:tcW w:w="2298" w:type="pct"/>
                  <w:noWrap w:val="0"/>
                  <w:vAlign w:val="center"/>
                </w:tcPr>
                <w:p w14:paraId="20E71B22">
                  <w:pPr>
                    <w:pStyle w:val="21"/>
                    <w:snapToGrid w:val="0"/>
                    <w:spacing w:line="360" w:lineRule="exact"/>
                    <w:rPr>
                      <w:szCs w:val="21"/>
                    </w:rPr>
                  </w:pPr>
                  <w:r>
                    <w:rPr>
                      <w:szCs w:val="21"/>
                    </w:rPr>
                    <w:t>原焦南新城华夏幸福先进制造业园区南片区；禁止排放《污水综合排放标准》(GB8978-1996)中第一类污染物总汞，烷基汞，总镉，总铬，六价铬，总砷，总铅，总镍，苯并(a)芘，总铍，总银，总α放射性，总β放射性)的项目入驻:②禁止含有电镀工序的项目入驻</w:t>
                  </w:r>
                  <w:r>
                    <w:rPr>
                      <w:rFonts w:hint="eastAsia"/>
                      <w:szCs w:val="21"/>
                    </w:rPr>
                    <w:t>；</w:t>
                  </w:r>
                  <w:r>
                    <w:rPr>
                      <w:szCs w:val="21"/>
                    </w:rPr>
                    <w:t>③禁止三类工业项目入驻</w:t>
                  </w:r>
                  <w:r>
                    <w:rPr>
                      <w:rFonts w:hint="eastAsia"/>
                      <w:szCs w:val="21"/>
                    </w:rPr>
                    <w:t>；</w:t>
                  </w:r>
                  <w:r>
                    <w:rPr>
                      <w:szCs w:val="21"/>
                    </w:rPr>
                    <w:t>④禁止生产高VOC</w:t>
                  </w:r>
                  <w:r>
                    <w:rPr>
                      <w:szCs w:val="21"/>
                      <w:vertAlign w:val="subscript"/>
                    </w:rPr>
                    <w:t>S</w:t>
                  </w:r>
                  <w:r>
                    <w:rPr>
                      <w:szCs w:val="21"/>
                    </w:rPr>
                    <w:t>含量的溶剂型涂料、油墨、胶黏剂等项目入驻。</w:t>
                  </w:r>
                </w:p>
              </w:tc>
              <w:tc>
                <w:tcPr>
                  <w:tcW w:w="1700" w:type="pct"/>
                  <w:noWrap w:val="0"/>
                  <w:vAlign w:val="center"/>
                </w:tcPr>
                <w:p w14:paraId="0352F771">
                  <w:pPr>
                    <w:pStyle w:val="21"/>
                    <w:snapToGrid w:val="0"/>
                    <w:spacing w:line="360" w:lineRule="exact"/>
                    <w:jc w:val="center"/>
                    <w:rPr>
                      <w:szCs w:val="21"/>
                    </w:rPr>
                  </w:pPr>
                  <w:r>
                    <w:rPr>
                      <w:rFonts w:hint="default" w:ascii="Times New Roman" w:hAnsi="Times New Roman" w:cs="Times New Roman"/>
                      <w:color w:val="auto"/>
                      <w:sz w:val="21"/>
                      <w:szCs w:val="21"/>
                      <w:lang w:bidi="ar"/>
                    </w:rPr>
                    <w:t>本项目不涉及</w:t>
                  </w:r>
                  <w:r>
                    <w:rPr>
                      <w:rFonts w:hint="default" w:ascii="Times New Roman" w:hAnsi="Times New Roman" w:cs="Times New Roman"/>
                      <w:color w:val="auto"/>
                      <w:sz w:val="21"/>
                      <w:szCs w:val="21"/>
                      <w:lang w:eastAsia="zh-CN" w:bidi="ar"/>
                    </w:rPr>
                    <w:t>。</w:t>
                  </w:r>
                </w:p>
              </w:tc>
              <w:tc>
                <w:tcPr>
                  <w:tcW w:w="385" w:type="pct"/>
                  <w:noWrap w:val="0"/>
                  <w:vAlign w:val="center"/>
                </w:tcPr>
                <w:p w14:paraId="39DC70E1">
                  <w:pPr>
                    <w:pStyle w:val="21"/>
                    <w:snapToGrid w:val="0"/>
                    <w:spacing w:line="360" w:lineRule="exact"/>
                    <w:rPr>
                      <w:szCs w:val="21"/>
                    </w:rPr>
                  </w:pPr>
                  <w:r>
                    <w:rPr>
                      <w:szCs w:val="21"/>
                    </w:rPr>
                    <w:t>相符</w:t>
                  </w:r>
                </w:p>
              </w:tc>
            </w:tr>
            <w:tr w14:paraId="3999B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228" w:type="pct"/>
                  <w:vMerge w:val="continue"/>
                  <w:noWrap w:val="0"/>
                  <w:vAlign w:val="center"/>
                </w:tcPr>
                <w:p w14:paraId="760C2AB2">
                  <w:pPr>
                    <w:pStyle w:val="21"/>
                    <w:snapToGrid w:val="0"/>
                    <w:spacing w:line="360" w:lineRule="exact"/>
                    <w:rPr>
                      <w:szCs w:val="21"/>
                    </w:rPr>
                  </w:pPr>
                </w:p>
              </w:tc>
              <w:tc>
                <w:tcPr>
                  <w:tcW w:w="385" w:type="pct"/>
                  <w:vMerge w:val="continue"/>
                  <w:noWrap w:val="0"/>
                  <w:vAlign w:val="center"/>
                </w:tcPr>
                <w:p w14:paraId="0930DB81">
                  <w:pPr>
                    <w:pStyle w:val="21"/>
                    <w:snapToGrid w:val="0"/>
                    <w:spacing w:line="360" w:lineRule="exact"/>
                    <w:rPr>
                      <w:szCs w:val="21"/>
                    </w:rPr>
                  </w:pPr>
                </w:p>
              </w:tc>
              <w:tc>
                <w:tcPr>
                  <w:tcW w:w="2298" w:type="pct"/>
                  <w:noWrap w:val="0"/>
                  <w:vAlign w:val="center"/>
                </w:tcPr>
                <w:p w14:paraId="51AF93C4">
                  <w:pPr>
                    <w:pStyle w:val="21"/>
                    <w:snapToGrid w:val="0"/>
                    <w:spacing w:line="360" w:lineRule="exact"/>
                    <w:rPr>
                      <w:szCs w:val="21"/>
                    </w:rPr>
                  </w:pPr>
                  <w:r>
                    <w:rPr>
                      <w:szCs w:val="21"/>
                    </w:rPr>
                    <w:t>对于废水处理难度大，会对园区污水处理厂造成冲击，影响污水处理厂稳定运行达标排放的项目，禁止入驻。</w:t>
                  </w:r>
                </w:p>
              </w:tc>
              <w:tc>
                <w:tcPr>
                  <w:tcW w:w="1700" w:type="pct"/>
                  <w:noWrap w:val="0"/>
                  <w:vAlign w:val="center"/>
                </w:tcPr>
                <w:p w14:paraId="0EBE997E">
                  <w:pPr>
                    <w:pStyle w:val="21"/>
                    <w:snapToGrid w:val="0"/>
                    <w:spacing w:line="360" w:lineRule="exact"/>
                    <w:jc w:val="left"/>
                    <w:rPr>
                      <w:szCs w:val="21"/>
                    </w:rPr>
                  </w:pPr>
                  <w:r>
                    <w:rPr>
                      <w:rFonts w:hint="default" w:ascii="Times New Roman" w:hAnsi="Times New Roman" w:cs="Times New Roman"/>
                      <w:color w:val="auto"/>
                      <w:sz w:val="21"/>
                      <w:szCs w:val="21"/>
                    </w:rPr>
                    <w:t>本项目</w:t>
                  </w:r>
                  <w:r>
                    <w:rPr>
                      <w:rFonts w:hint="default" w:ascii="Times New Roman" w:hAnsi="Times New Roman" w:cs="Times New Roman"/>
                      <w:color w:val="auto"/>
                      <w:sz w:val="21"/>
                      <w:szCs w:val="21"/>
                      <w:lang w:eastAsia="zh-CN"/>
                    </w:rPr>
                    <w:t>外排</w:t>
                  </w:r>
                  <w:r>
                    <w:rPr>
                      <w:rFonts w:hint="default" w:ascii="Times New Roman" w:hAnsi="Times New Roman" w:cs="Times New Roman"/>
                      <w:color w:val="auto"/>
                      <w:sz w:val="21"/>
                      <w:szCs w:val="21"/>
                      <w:lang w:val="en-US" w:eastAsia="zh-CN"/>
                    </w:rPr>
                    <w:t>废水仅涉及生活污水，对</w:t>
                  </w:r>
                  <w:r>
                    <w:rPr>
                      <w:rFonts w:hint="default" w:ascii="Times New Roman" w:hAnsi="Times New Roman" w:eastAsia="宋体" w:cs="Times New Roman"/>
                      <w:color w:val="auto"/>
                      <w:kern w:val="0"/>
                      <w:sz w:val="21"/>
                      <w:szCs w:val="21"/>
                      <w:lang w:val="en-US" w:eastAsia="zh-CN" w:bidi="ar"/>
                    </w:rPr>
                    <w:t>污水处理厂冲击</w:t>
                  </w:r>
                  <w:r>
                    <w:rPr>
                      <w:rFonts w:hint="default" w:ascii="Times New Roman" w:hAnsi="Times New Roman" w:cs="Times New Roman"/>
                      <w:color w:val="auto"/>
                      <w:kern w:val="0"/>
                      <w:sz w:val="21"/>
                      <w:szCs w:val="21"/>
                      <w:lang w:val="en-US" w:eastAsia="zh-CN" w:bidi="ar"/>
                    </w:rPr>
                    <w:t>较低</w:t>
                  </w:r>
                  <w:r>
                    <w:rPr>
                      <w:rFonts w:hint="eastAsia" w:ascii="Times New Roman" w:hAnsi="Times New Roman" w:cs="Times New Roman"/>
                      <w:color w:val="auto"/>
                      <w:kern w:val="0"/>
                      <w:sz w:val="21"/>
                      <w:szCs w:val="21"/>
                      <w:lang w:val="en-US" w:eastAsia="zh-CN" w:bidi="ar"/>
                    </w:rPr>
                    <w:t>。</w:t>
                  </w:r>
                </w:p>
              </w:tc>
              <w:tc>
                <w:tcPr>
                  <w:tcW w:w="385" w:type="pct"/>
                  <w:noWrap w:val="0"/>
                  <w:vAlign w:val="center"/>
                </w:tcPr>
                <w:p w14:paraId="7FDD788B">
                  <w:pPr>
                    <w:pStyle w:val="21"/>
                    <w:snapToGrid w:val="0"/>
                    <w:spacing w:line="360" w:lineRule="exact"/>
                    <w:rPr>
                      <w:szCs w:val="21"/>
                    </w:rPr>
                  </w:pPr>
                  <w:r>
                    <w:rPr>
                      <w:szCs w:val="21"/>
                    </w:rPr>
                    <w:t>相符</w:t>
                  </w:r>
                </w:p>
              </w:tc>
            </w:tr>
            <w:tr w14:paraId="6A491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228" w:type="pct"/>
                  <w:vMerge w:val="continue"/>
                  <w:noWrap w:val="0"/>
                  <w:vAlign w:val="center"/>
                </w:tcPr>
                <w:p w14:paraId="5A36BC60">
                  <w:pPr>
                    <w:pStyle w:val="21"/>
                    <w:snapToGrid w:val="0"/>
                    <w:spacing w:line="360" w:lineRule="exact"/>
                    <w:rPr>
                      <w:szCs w:val="21"/>
                    </w:rPr>
                  </w:pPr>
                </w:p>
              </w:tc>
              <w:tc>
                <w:tcPr>
                  <w:tcW w:w="385" w:type="pct"/>
                  <w:vMerge w:val="restart"/>
                  <w:noWrap w:val="0"/>
                  <w:vAlign w:val="center"/>
                </w:tcPr>
                <w:p w14:paraId="6D6F3842">
                  <w:pPr>
                    <w:pStyle w:val="21"/>
                    <w:snapToGrid w:val="0"/>
                    <w:spacing w:line="360" w:lineRule="exact"/>
                    <w:rPr>
                      <w:szCs w:val="21"/>
                    </w:rPr>
                  </w:pPr>
                  <w:r>
                    <w:rPr>
                      <w:szCs w:val="21"/>
                    </w:rPr>
                    <w:t>空间布局约束</w:t>
                  </w:r>
                </w:p>
              </w:tc>
              <w:tc>
                <w:tcPr>
                  <w:tcW w:w="2298" w:type="pct"/>
                  <w:noWrap w:val="0"/>
                  <w:vAlign w:val="center"/>
                </w:tcPr>
                <w:p w14:paraId="42BD8F92">
                  <w:pPr>
                    <w:pStyle w:val="21"/>
                    <w:snapToGrid w:val="0"/>
                    <w:spacing w:line="360" w:lineRule="exact"/>
                    <w:rPr>
                      <w:szCs w:val="21"/>
                    </w:rPr>
                  </w:pPr>
                  <w:r>
                    <w:rPr>
                      <w:szCs w:val="21"/>
                      <w:highlight w:val="none"/>
                    </w:rPr>
                    <w:t>禁止新建选址不符合“三线一单”和规划环评空间管控要求的项目入驻。</w:t>
                  </w:r>
                </w:p>
              </w:tc>
              <w:tc>
                <w:tcPr>
                  <w:tcW w:w="1700" w:type="pct"/>
                  <w:noWrap w:val="0"/>
                  <w:vAlign w:val="center"/>
                </w:tcPr>
                <w:p w14:paraId="69A04C18">
                  <w:pPr>
                    <w:pStyle w:val="21"/>
                    <w:snapToGrid w:val="0"/>
                    <w:spacing w:line="360" w:lineRule="exact"/>
                    <w:jc w:val="both"/>
                    <w:rPr>
                      <w:szCs w:val="21"/>
                    </w:rPr>
                  </w:pPr>
                  <w:r>
                    <w:rPr>
                      <w:rFonts w:hint="default" w:ascii="Times New Roman" w:hAnsi="Times New Roman" w:cs="Times New Roman"/>
                      <w:color w:val="auto"/>
                      <w:sz w:val="21"/>
                      <w:szCs w:val="21"/>
                    </w:rPr>
                    <w:t>本项目建设不触碰生态保护红线，满足环境质量底线，不触及资源利用上线，符合生态环境准入清单要求，能够满足</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三线一单</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相关规定。</w:t>
                  </w:r>
                </w:p>
              </w:tc>
              <w:tc>
                <w:tcPr>
                  <w:tcW w:w="385" w:type="pct"/>
                  <w:noWrap w:val="0"/>
                  <w:vAlign w:val="center"/>
                </w:tcPr>
                <w:p w14:paraId="4697DEAE">
                  <w:pPr>
                    <w:pStyle w:val="21"/>
                    <w:snapToGrid w:val="0"/>
                    <w:spacing w:line="360" w:lineRule="exact"/>
                    <w:rPr>
                      <w:szCs w:val="21"/>
                    </w:rPr>
                  </w:pPr>
                  <w:r>
                    <w:rPr>
                      <w:szCs w:val="21"/>
                    </w:rPr>
                    <w:t>相符</w:t>
                  </w:r>
                </w:p>
              </w:tc>
            </w:tr>
            <w:tr w14:paraId="6EF42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228" w:type="pct"/>
                  <w:vMerge w:val="continue"/>
                  <w:noWrap w:val="0"/>
                  <w:vAlign w:val="center"/>
                </w:tcPr>
                <w:p w14:paraId="65A3B9D4">
                  <w:pPr>
                    <w:pStyle w:val="21"/>
                    <w:snapToGrid w:val="0"/>
                    <w:spacing w:line="360" w:lineRule="exact"/>
                    <w:rPr>
                      <w:szCs w:val="21"/>
                    </w:rPr>
                  </w:pPr>
                </w:p>
              </w:tc>
              <w:tc>
                <w:tcPr>
                  <w:tcW w:w="385" w:type="pct"/>
                  <w:vMerge w:val="continue"/>
                  <w:noWrap w:val="0"/>
                  <w:vAlign w:val="center"/>
                </w:tcPr>
                <w:p w14:paraId="5697D5EA">
                  <w:pPr>
                    <w:pStyle w:val="21"/>
                    <w:snapToGrid w:val="0"/>
                    <w:spacing w:line="360" w:lineRule="exact"/>
                    <w:rPr>
                      <w:szCs w:val="21"/>
                    </w:rPr>
                  </w:pPr>
                </w:p>
              </w:tc>
              <w:tc>
                <w:tcPr>
                  <w:tcW w:w="2298" w:type="pct"/>
                  <w:noWrap w:val="0"/>
                  <w:vAlign w:val="center"/>
                </w:tcPr>
                <w:p w14:paraId="7EEF0A47">
                  <w:pPr>
                    <w:pStyle w:val="21"/>
                    <w:snapToGrid w:val="0"/>
                    <w:spacing w:line="360" w:lineRule="exact"/>
                    <w:rPr>
                      <w:szCs w:val="21"/>
                    </w:rPr>
                  </w:pPr>
                  <w:r>
                    <w:rPr>
                      <w:szCs w:val="21"/>
                    </w:rPr>
                    <w:t>禁止在黄河干支流岸线管控范围内新建、扩建化工项目；禁止在黄河干流岸线和重要支流岸线的管控范围内新建、改建、扩建尾矿库，但是以提升安全水平、生态环境保护水平为目的的改建除外。</w:t>
                  </w:r>
                </w:p>
              </w:tc>
              <w:tc>
                <w:tcPr>
                  <w:tcW w:w="1700" w:type="pct"/>
                  <w:noWrap w:val="0"/>
                  <w:vAlign w:val="center"/>
                </w:tcPr>
                <w:p w14:paraId="49D4F329">
                  <w:pPr>
                    <w:pStyle w:val="21"/>
                    <w:snapToGrid w:val="0"/>
                    <w:spacing w:line="360" w:lineRule="exact"/>
                    <w:jc w:val="both"/>
                    <w:rPr>
                      <w:szCs w:val="21"/>
                    </w:rPr>
                  </w:pPr>
                  <w:r>
                    <w:rPr>
                      <w:rFonts w:hint="default" w:ascii="Times New Roman" w:hAnsi="Times New Roman" w:cs="Times New Roman"/>
                      <w:sz w:val="21"/>
                      <w:szCs w:val="21"/>
                    </w:rPr>
                    <w:t>本项目不属于黄河干支流岸线管控范围，不属于新建、改建、扩建尾矿库。</w:t>
                  </w:r>
                </w:p>
              </w:tc>
              <w:tc>
                <w:tcPr>
                  <w:tcW w:w="385" w:type="pct"/>
                  <w:vMerge w:val="restart"/>
                  <w:noWrap w:val="0"/>
                  <w:vAlign w:val="center"/>
                </w:tcPr>
                <w:p w14:paraId="7C2009DC">
                  <w:pPr>
                    <w:pStyle w:val="21"/>
                    <w:snapToGrid w:val="0"/>
                    <w:spacing w:line="360" w:lineRule="exact"/>
                    <w:rPr>
                      <w:szCs w:val="21"/>
                    </w:rPr>
                  </w:pPr>
                  <w:r>
                    <w:rPr>
                      <w:szCs w:val="21"/>
                    </w:rPr>
                    <w:t>相符</w:t>
                  </w:r>
                </w:p>
              </w:tc>
            </w:tr>
            <w:tr w14:paraId="0B45C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228" w:type="pct"/>
                  <w:vMerge w:val="continue"/>
                  <w:noWrap w:val="0"/>
                  <w:vAlign w:val="center"/>
                </w:tcPr>
                <w:p w14:paraId="1B9A151C">
                  <w:pPr>
                    <w:pStyle w:val="21"/>
                    <w:snapToGrid w:val="0"/>
                    <w:spacing w:line="360" w:lineRule="exact"/>
                    <w:rPr>
                      <w:szCs w:val="21"/>
                    </w:rPr>
                  </w:pPr>
                </w:p>
              </w:tc>
              <w:tc>
                <w:tcPr>
                  <w:tcW w:w="385" w:type="pct"/>
                  <w:vMerge w:val="continue"/>
                  <w:noWrap w:val="0"/>
                  <w:vAlign w:val="center"/>
                </w:tcPr>
                <w:p w14:paraId="24E5E270">
                  <w:pPr>
                    <w:pStyle w:val="21"/>
                    <w:snapToGrid w:val="0"/>
                    <w:spacing w:line="360" w:lineRule="exact"/>
                    <w:rPr>
                      <w:szCs w:val="21"/>
                    </w:rPr>
                  </w:pPr>
                </w:p>
              </w:tc>
              <w:tc>
                <w:tcPr>
                  <w:tcW w:w="2298" w:type="pct"/>
                  <w:shd w:val="clear" w:color="auto" w:fill="auto"/>
                  <w:noWrap w:val="0"/>
                  <w:vAlign w:val="center"/>
                </w:tcPr>
                <w:p w14:paraId="30A26C64">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leftChars="0" w:right="0" w:rightChars="0" w:firstLine="0" w:firstLineChars="0"/>
                    <w:jc w:val="both"/>
                    <w:textAlignment w:val="auto"/>
                    <w:rPr>
                      <w:rFonts w:hint="default" w:ascii="Times New Roman" w:hAnsi="Times New Roman" w:cs="Times New Roman"/>
                      <w:bCs/>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禁止大气环境防护距离和环境风险防护距离范围涉及现有未搬迁和规划的居住、教育、医疗等用地的项目入驻。</w:t>
                  </w:r>
                </w:p>
              </w:tc>
              <w:tc>
                <w:tcPr>
                  <w:tcW w:w="1700" w:type="pct"/>
                  <w:shd w:val="clear" w:color="auto" w:fill="auto"/>
                  <w:noWrap w:val="0"/>
                  <w:vAlign w:val="center"/>
                </w:tcPr>
                <w:p w14:paraId="210FA2E1">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bCs/>
                      <w:color w:val="000000"/>
                      <w:kern w:val="2"/>
                      <w:sz w:val="21"/>
                      <w:szCs w:val="21"/>
                      <w:lang w:val="en-US" w:eastAsia="zh-CN" w:bidi="ar-SA"/>
                    </w:rPr>
                  </w:pPr>
                  <w:r>
                    <w:rPr>
                      <w:rFonts w:hint="default" w:ascii="Times New Roman" w:hAnsi="Times New Roman" w:cs="Times New Roman"/>
                      <w:color w:val="auto"/>
                      <w:sz w:val="21"/>
                      <w:szCs w:val="21"/>
                    </w:rPr>
                    <w:t>本项目</w:t>
                  </w:r>
                  <w:r>
                    <w:rPr>
                      <w:rFonts w:hint="default" w:ascii="Times New Roman" w:hAnsi="Times New Roman" w:cs="Times New Roman"/>
                      <w:bCs/>
                      <w:color w:val="auto"/>
                      <w:sz w:val="21"/>
                      <w:szCs w:val="21"/>
                      <w:lang w:val="en-US" w:eastAsia="zh-CN"/>
                    </w:rPr>
                    <w:t>不涉及。</w:t>
                  </w:r>
                </w:p>
              </w:tc>
              <w:tc>
                <w:tcPr>
                  <w:tcW w:w="385" w:type="pct"/>
                  <w:vMerge w:val="continue"/>
                  <w:noWrap w:val="0"/>
                  <w:vAlign w:val="center"/>
                </w:tcPr>
                <w:p w14:paraId="199B5CDD">
                  <w:pPr>
                    <w:pStyle w:val="21"/>
                    <w:snapToGrid w:val="0"/>
                    <w:spacing w:line="360" w:lineRule="exact"/>
                    <w:rPr>
                      <w:szCs w:val="21"/>
                    </w:rPr>
                  </w:pPr>
                </w:p>
              </w:tc>
            </w:tr>
            <w:tr w14:paraId="5246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28" w:type="pct"/>
                  <w:vMerge w:val="continue"/>
                  <w:noWrap w:val="0"/>
                  <w:vAlign w:val="center"/>
                </w:tcPr>
                <w:p w14:paraId="071F0A4F">
                  <w:pPr>
                    <w:pStyle w:val="21"/>
                    <w:snapToGrid w:val="0"/>
                    <w:spacing w:line="360" w:lineRule="exact"/>
                    <w:rPr>
                      <w:szCs w:val="21"/>
                    </w:rPr>
                  </w:pPr>
                </w:p>
              </w:tc>
              <w:tc>
                <w:tcPr>
                  <w:tcW w:w="385" w:type="pct"/>
                  <w:vMerge w:val="continue"/>
                  <w:noWrap w:val="0"/>
                  <w:vAlign w:val="center"/>
                </w:tcPr>
                <w:p w14:paraId="59551FA1">
                  <w:pPr>
                    <w:pStyle w:val="21"/>
                    <w:snapToGrid w:val="0"/>
                    <w:spacing w:line="360" w:lineRule="exact"/>
                    <w:rPr>
                      <w:szCs w:val="21"/>
                    </w:rPr>
                  </w:pPr>
                </w:p>
              </w:tc>
              <w:tc>
                <w:tcPr>
                  <w:tcW w:w="2298" w:type="pct"/>
                  <w:noWrap w:val="0"/>
                  <w:vAlign w:val="center"/>
                </w:tcPr>
                <w:p w14:paraId="126B1594">
                  <w:pPr>
                    <w:pStyle w:val="21"/>
                    <w:snapToGrid w:val="0"/>
                    <w:spacing w:line="360" w:lineRule="exact"/>
                    <w:rPr>
                      <w:szCs w:val="21"/>
                      <w:highlight w:val="none"/>
                    </w:rPr>
                  </w:pPr>
                  <w:r>
                    <w:rPr>
                      <w:szCs w:val="21"/>
                      <w:highlight w:val="none"/>
                    </w:rPr>
                    <w:t>开发区内规划项目应远离河道、水源地等水利设施。项目实施前，应及时与武陟县水利局对接办理水土保持、水资源论证、洪水影响评价等相关行政许可审批事宜。</w:t>
                  </w:r>
                </w:p>
              </w:tc>
              <w:tc>
                <w:tcPr>
                  <w:tcW w:w="1700" w:type="pct"/>
                  <w:noWrap w:val="0"/>
                  <w:vAlign w:val="center"/>
                </w:tcPr>
                <w:p w14:paraId="150FDCB2">
                  <w:pPr>
                    <w:pStyle w:val="21"/>
                    <w:keepNext w:val="0"/>
                    <w:keepLines w:val="0"/>
                    <w:pageBreakBefore w:val="0"/>
                    <w:widowControl w:val="0"/>
                    <w:numPr>
                      <w:ilvl w:val="0"/>
                      <w:numId w:val="0"/>
                    </w:numPr>
                    <w:suppressLineNumbers w:val="0"/>
                    <w:kinsoku/>
                    <w:wordWrap w:val="0"/>
                    <w:overflowPunct/>
                    <w:topLinePunct w:val="0"/>
                    <w:autoSpaceDE/>
                    <w:autoSpaceDN/>
                    <w:bidi w:val="0"/>
                    <w:adjustRightInd w:val="0"/>
                    <w:snapToGrid/>
                    <w:spacing w:before="0" w:beforeAutospacing="0" w:after="0" w:afterAutospacing="0" w:line="360" w:lineRule="exact"/>
                    <w:ind w:leftChars="0" w:right="0" w:rightChars="0"/>
                    <w:jc w:val="left"/>
                    <w:textAlignment w:val="auto"/>
                    <w:rPr>
                      <w:szCs w:val="21"/>
                      <w:highlight w:val="none"/>
                    </w:rPr>
                  </w:pPr>
                  <w:r>
                    <w:rPr>
                      <w:rFonts w:hint="default" w:ascii="Times New Roman" w:hAnsi="Times New Roman" w:cs="Times New Roman"/>
                      <w:sz w:val="21"/>
                      <w:szCs w:val="21"/>
                      <w:highlight w:val="none"/>
                    </w:rPr>
                    <w:t>本项目选址位于</w:t>
                  </w:r>
                  <w:r>
                    <w:rPr>
                      <w:rFonts w:hint="default" w:ascii="Times New Roman" w:hAnsi="Times New Roman" w:cs="Times New Roman"/>
                      <w:sz w:val="21"/>
                      <w:szCs w:val="21"/>
                      <w:highlight w:val="none"/>
                      <w:lang w:eastAsia="zh-CN"/>
                    </w:rPr>
                    <w:t>焦作市武陟</w:t>
                  </w:r>
                  <w:r>
                    <w:rPr>
                      <w:rFonts w:hint="eastAsia" w:cs="Times New Roman"/>
                      <w:sz w:val="21"/>
                      <w:szCs w:val="21"/>
                      <w:highlight w:val="none"/>
                      <w:lang w:eastAsia="zh-CN"/>
                    </w:rPr>
                    <w:t>县</w:t>
                  </w:r>
                  <w:r>
                    <w:rPr>
                      <w:rFonts w:hint="default" w:ascii="Times New Roman" w:hAnsi="Times New Roman" w:cs="Times New Roman"/>
                      <w:sz w:val="21"/>
                      <w:szCs w:val="21"/>
                      <w:highlight w:val="none"/>
                      <w:lang w:eastAsia="zh-CN"/>
                    </w:rPr>
                    <w:t>经开区东部园区昌武路与鸿源路交叉口路西200米路南01号</w:t>
                  </w:r>
                  <w:r>
                    <w:rPr>
                      <w:rFonts w:hint="default" w:ascii="Times New Roman" w:hAnsi="Times New Roman" w:cs="Times New Roman"/>
                      <w:sz w:val="21"/>
                      <w:szCs w:val="21"/>
                      <w:highlight w:val="none"/>
                    </w:rPr>
                    <w:t>，远离河道、水源地等水利设施。</w:t>
                  </w:r>
                  <w:r>
                    <w:rPr>
                      <w:rFonts w:hint="eastAsia" w:ascii="Times New Roman" w:hAnsi="Times New Roman" w:cs="Times New Roman"/>
                      <w:sz w:val="21"/>
                      <w:szCs w:val="21"/>
                      <w:highlight w:val="none"/>
                      <w:lang w:eastAsia="zh-CN"/>
                    </w:rPr>
                    <w:t>且</w:t>
                  </w:r>
                  <w:r>
                    <w:rPr>
                      <w:rFonts w:hint="default" w:ascii="Times New Roman" w:hAnsi="Times New Roman" w:cs="Times New Roman"/>
                      <w:sz w:val="21"/>
                      <w:szCs w:val="21"/>
                      <w:highlight w:val="none"/>
                    </w:rPr>
                    <w:t>项目已在武陟经济技术开发区管理委员</w:t>
                  </w:r>
                  <w:r>
                    <w:rPr>
                      <w:rFonts w:hint="eastAsia" w:cs="Times New Roman"/>
                      <w:sz w:val="21"/>
                      <w:szCs w:val="21"/>
                      <w:highlight w:val="none"/>
                      <w:lang w:eastAsia="zh-CN"/>
                    </w:rPr>
                    <w:t>会经济发展局</w:t>
                  </w:r>
                  <w:r>
                    <w:rPr>
                      <w:rFonts w:hint="default" w:ascii="Times New Roman" w:hAnsi="Times New Roman" w:cs="Times New Roman"/>
                      <w:sz w:val="21"/>
                      <w:szCs w:val="21"/>
                      <w:highlight w:val="none"/>
                    </w:rPr>
                    <w:t>会进行备案。</w:t>
                  </w:r>
                </w:p>
              </w:tc>
              <w:tc>
                <w:tcPr>
                  <w:tcW w:w="385" w:type="pct"/>
                  <w:noWrap w:val="0"/>
                  <w:vAlign w:val="center"/>
                </w:tcPr>
                <w:p w14:paraId="540364E4">
                  <w:pPr>
                    <w:pStyle w:val="21"/>
                    <w:snapToGrid w:val="0"/>
                    <w:spacing w:line="360" w:lineRule="exact"/>
                    <w:rPr>
                      <w:szCs w:val="21"/>
                    </w:rPr>
                  </w:pPr>
                  <w:r>
                    <w:rPr>
                      <w:szCs w:val="21"/>
                    </w:rPr>
                    <w:t>相符</w:t>
                  </w:r>
                </w:p>
              </w:tc>
            </w:tr>
            <w:tr w14:paraId="7DAA1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7" w:hRule="atLeast"/>
                <w:jc w:val="center"/>
              </w:trPr>
              <w:tc>
                <w:tcPr>
                  <w:tcW w:w="228" w:type="pct"/>
                  <w:vMerge w:val="continue"/>
                  <w:noWrap w:val="0"/>
                  <w:vAlign w:val="center"/>
                </w:tcPr>
                <w:p w14:paraId="439E2776">
                  <w:pPr>
                    <w:pStyle w:val="21"/>
                    <w:snapToGrid w:val="0"/>
                    <w:spacing w:line="360" w:lineRule="exact"/>
                    <w:rPr>
                      <w:szCs w:val="21"/>
                    </w:rPr>
                  </w:pPr>
                </w:p>
              </w:tc>
              <w:tc>
                <w:tcPr>
                  <w:tcW w:w="385" w:type="pct"/>
                  <w:vMerge w:val="restart"/>
                  <w:noWrap w:val="0"/>
                  <w:vAlign w:val="center"/>
                </w:tcPr>
                <w:p w14:paraId="4B1304F5">
                  <w:pPr>
                    <w:pStyle w:val="21"/>
                    <w:snapToGrid w:val="0"/>
                    <w:spacing w:line="360" w:lineRule="exact"/>
                    <w:rPr>
                      <w:szCs w:val="21"/>
                    </w:rPr>
                  </w:pPr>
                  <w:r>
                    <w:rPr>
                      <w:szCs w:val="21"/>
                    </w:rPr>
                    <w:t>污染物排放管控</w:t>
                  </w:r>
                </w:p>
              </w:tc>
              <w:tc>
                <w:tcPr>
                  <w:tcW w:w="2298" w:type="pct"/>
                  <w:shd w:val="clear" w:color="auto" w:fill="auto"/>
                  <w:noWrap w:val="0"/>
                  <w:vAlign w:val="center"/>
                </w:tcPr>
                <w:p w14:paraId="16785D13">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leftChars="0" w:right="0" w:rightChars="0" w:firstLine="0" w:firstLineChars="0"/>
                    <w:jc w:val="both"/>
                    <w:textAlignment w:val="auto"/>
                    <w:rPr>
                      <w:rFonts w:hint="default" w:ascii="Times New Roman" w:hAnsi="Times New Roman"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
                    </w:rPr>
                    <w:t>涉及VOCs、COD、氨氮、总磷排放项目需实行区域内等量或倍量削减替代。园区内涉及VOCs废气排放的企业废气应配套安装高效VOCs收集、治理措施，采用低温等离子体技术、UV光催化氧化技术、活性炭吸附技术等两种或两种以上组合工艺，禁止使用单一吸附、催化氧化等处理技术。</w:t>
                  </w:r>
                </w:p>
              </w:tc>
              <w:tc>
                <w:tcPr>
                  <w:tcW w:w="1700" w:type="pct"/>
                  <w:shd w:val="clear" w:color="auto" w:fill="auto"/>
                  <w:noWrap w:val="0"/>
                  <w:vAlign w:val="center"/>
                </w:tcPr>
                <w:p w14:paraId="3FBADAB5">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
                    </w:rPr>
                    <w:t>项目涉及COD、氨氮、总磷排放</w:t>
                  </w:r>
                  <w:r>
                    <w:rPr>
                      <w:rFonts w:hint="default" w:ascii="Times New Roman" w:hAnsi="Times New Roman" w:cs="Times New Roman"/>
                      <w:color w:val="auto"/>
                      <w:kern w:val="0"/>
                      <w:sz w:val="21"/>
                      <w:szCs w:val="21"/>
                      <w:lang w:val="en-US" w:eastAsia="zh-CN" w:bidi="ar"/>
                    </w:rPr>
                    <w:t>，</w:t>
                  </w:r>
                  <w:r>
                    <w:rPr>
                      <w:rFonts w:hint="default" w:ascii="Times New Roman" w:hAnsi="Times New Roman" w:cs="Times New Roman"/>
                      <w:sz w:val="21"/>
                      <w:szCs w:val="21"/>
                    </w:rPr>
                    <w:t>项目</w:t>
                  </w:r>
                  <w:r>
                    <w:rPr>
                      <w:rFonts w:hint="eastAsia" w:cs="Times New Roman"/>
                      <w:sz w:val="21"/>
                      <w:szCs w:val="21"/>
                      <w:lang w:eastAsia="zh-CN"/>
                    </w:rPr>
                    <w:t>只排放</w:t>
                  </w:r>
                  <w:r>
                    <w:rPr>
                      <w:rFonts w:hint="default" w:ascii="Times New Roman" w:hAnsi="Times New Roman" w:cs="Times New Roman"/>
                      <w:sz w:val="21"/>
                      <w:szCs w:val="21"/>
                    </w:rPr>
                    <w:t>生活污水</w:t>
                  </w:r>
                  <w:r>
                    <w:rPr>
                      <w:rFonts w:hint="eastAsia" w:cs="Times New Roman"/>
                      <w:sz w:val="21"/>
                      <w:szCs w:val="21"/>
                      <w:lang w:eastAsia="zh-CN"/>
                    </w:rPr>
                    <w:t>，需进行</w:t>
                  </w:r>
                  <w:r>
                    <w:rPr>
                      <w:rFonts w:hint="default" w:ascii="Times New Roman" w:hAnsi="Times New Roman" w:eastAsia="宋体" w:cs="Times New Roman"/>
                      <w:color w:val="auto"/>
                      <w:kern w:val="0"/>
                      <w:sz w:val="21"/>
                      <w:szCs w:val="21"/>
                      <w:lang w:val="en-US" w:eastAsia="zh-CN" w:bidi="ar"/>
                    </w:rPr>
                    <w:t>等量削减</w:t>
                  </w:r>
                  <w:r>
                    <w:rPr>
                      <w:rFonts w:hint="default" w:ascii="Times New Roman" w:hAnsi="Times New Roman" w:cs="Times New Roman"/>
                      <w:sz w:val="21"/>
                      <w:szCs w:val="21"/>
                    </w:rPr>
                    <w:t>替代</w:t>
                  </w:r>
                  <w:r>
                    <w:rPr>
                      <w:rFonts w:hint="default" w:ascii="Times New Roman" w:hAnsi="Times New Roman" w:cs="Times New Roman"/>
                      <w:sz w:val="21"/>
                      <w:szCs w:val="21"/>
                      <w:lang w:eastAsia="zh-CN"/>
                    </w:rPr>
                    <w:t>。</w:t>
                  </w:r>
                  <w:r>
                    <w:rPr>
                      <w:rFonts w:hint="default" w:ascii="Times New Roman" w:hAnsi="Times New Roman" w:cs="Times New Roman"/>
                      <w:color w:val="auto"/>
                      <w:kern w:val="0"/>
                      <w:sz w:val="21"/>
                      <w:szCs w:val="21"/>
                      <w:lang w:val="en-US" w:eastAsia="zh-CN" w:bidi="ar"/>
                    </w:rPr>
                    <w:t>废气为</w:t>
                  </w:r>
                  <w:r>
                    <w:rPr>
                      <w:rFonts w:hint="eastAsia" w:cs="Times New Roman"/>
                      <w:color w:val="auto"/>
                      <w:kern w:val="0"/>
                      <w:sz w:val="21"/>
                      <w:szCs w:val="21"/>
                      <w:lang w:val="en-US" w:eastAsia="zh-CN" w:bidi="ar"/>
                    </w:rPr>
                    <w:t>非甲烷总烃、苯乙烯，</w:t>
                  </w:r>
                  <w:r>
                    <w:rPr>
                      <w:rFonts w:hint="default" w:ascii="Times New Roman" w:hAnsi="Times New Roman" w:cs="Times New Roman"/>
                      <w:color w:val="auto"/>
                      <w:kern w:val="0"/>
                      <w:sz w:val="21"/>
                      <w:szCs w:val="21"/>
                      <w:lang w:val="en-US" w:eastAsia="zh-CN" w:bidi="ar"/>
                    </w:rPr>
                    <w:t>经集气</w:t>
                  </w:r>
                  <w:r>
                    <w:rPr>
                      <w:rFonts w:hint="eastAsia" w:cs="Times New Roman"/>
                      <w:color w:val="auto"/>
                      <w:kern w:val="0"/>
                      <w:sz w:val="21"/>
                      <w:szCs w:val="21"/>
                      <w:lang w:val="en-US" w:eastAsia="zh-CN" w:bidi="ar"/>
                    </w:rPr>
                    <w:t>设施</w:t>
                  </w:r>
                  <w:r>
                    <w:rPr>
                      <w:rFonts w:hint="default" w:ascii="Times New Roman" w:hAnsi="Times New Roman" w:cs="Times New Roman"/>
                      <w:color w:val="auto"/>
                      <w:kern w:val="0"/>
                      <w:sz w:val="21"/>
                      <w:szCs w:val="21"/>
                      <w:lang w:val="en-US" w:eastAsia="zh-CN" w:bidi="ar"/>
                    </w:rPr>
                    <w:t>收集后，</w:t>
                  </w:r>
                  <w:r>
                    <w:rPr>
                      <w:rFonts w:hint="default" w:ascii="Times New Roman" w:hAnsi="Times New Roman" w:cs="Times New Roman"/>
                      <w:color w:val="auto"/>
                      <w:kern w:val="0"/>
                      <w:sz w:val="21"/>
                      <w:szCs w:val="21"/>
                      <w:highlight w:val="none"/>
                      <w:lang w:val="en-US" w:eastAsia="zh-CN" w:bidi="ar"/>
                    </w:rPr>
                    <w:t>通过</w:t>
                  </w:r>
                  <w:r>
                    <w:rPr>
                      <w:rFonts w:hint="eastAsia" w:cs="Times New Roman"/>
                      <w:color w:val="auto"/>
                      <w:kern w:val="0"/>
                      <w:sz w:val="21"/>
                      <w:szCs w:val="21"/>
                      <w:highlight w:val="none"/>
                      <w:lang w:val="en-US" w:eastAsia="zh-CN" w:bidi="ar"/>
                    </w:rPr>
                    <w:t>两级活性炭处理装置进行处理，</w:t>
                  </w:r>
                  <w:r>
                    <w:rPr>
                      <w:rFonts w:hint="default" w:ascii="Times New Roman" w:hAnsi="Times New Roman" w:cs="Times New Roman"/>
                      <w:color w:val="auto"/>
                      <w:kern w:val="0"/>
                      <w:sz w:val="21"/>
                      <w:szCs w:val="21"/>
                      <w:highlight w:val="none"/>
                      <w:lang w:val="en-US" w:eastAsia="zh-CN" w:bidi="ar"/>
                    </w:rPr>
                    <w:t>处理后达标排放，</w:t>
                  </w:r>
                  <w:r>
                    <w:rPr>
                      <w:rFonts w:hint="default" w:ascii="Times New Roman" w:hAnsi="Times New Roman" w:cs="Times New Roman"/>
                      <w:color w:val="auto"/>
                      <w:kern w:val="0"/>
                      <w:sz w:val="21"/>
                      <w:szCs w:val="21"/>
                      <w:lang w:val="en-US" w:eastAsia="zh-CN" w:bidi="ar"/>
                    </w:rPr>
                    <w:t>废气</w:t>
                  </w:r>
                  <w:r>
                    <w:rPr>
                      <w:rFonts w:hint="default" w:ascii="Times New Roman" w:hAnsi="Times New Roman" w:eastAsia="宋体" w:cs="Times New Roman"/>
                      <w:color w:val="auto"/>
                      <w:kern w:val="0"/>
                      <w:sz w:val="21"/>
                      <w:szCs w:val="21"/>
                      <w:lang w:val="en-US" w:eastAsia="zh-CN" w:bidi="ar"/>
                    </w:rPr>
                    <w:t>实行倍量削减替代</w:t>
                  </w:r>
                  <w:r>
                    <w:rPr>
                      <w:rFonts w:hint="default" w:ascii="Times New Roman" w:hAnsi="Times New Roman" w:cs="Times New Roman"/>
                      <w:color w:val="auto"/>
                      <w:kern w:val="0"/>
                      <w:sz w:val="21"/>
                      <w:szCs w:val="21"/>
                      <w:highlight w:val="none"/>
                      <w:lang w:val="en-US" w:eastAsia="zh-CN" w:bidi="ar"/>
                    </w:rPr>
                    <w:t>。</w:t>
                  </w:r>
                </w:p>
              </w:tc>
              <w:tc>
                <w:tcPr>
                  <w:tcW w:w="385" w:type="pct"/>
                  <w:shd w:val="clear" w:color="auto" w:fill="auto"/>
                  <w:noWrap w:val="0"/>
                  <w:vAlign w:val="center"/>
                </w:tcPr>
                <w:p w14:paraId="267D1459">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bCs/>
                      <w:color w:val="000000"/>
                      <w:kern w:val="2"/>
                      <w:sz w:val="21"/>
                      <w:szCs w:val="21"/>
                      <w:lang w:val="en-US" w:eastAsia="zh-CN" w:bidi="ar-SA"/>
                    </w:rPr>
                  </w:pPr>
                  <w:r>
                    <w:rPr>
                      <w:rFonts w:hint="default" w:ascii="Times New Roman" w:hAnsi="Times New Roman" w:cs="Times New Roman"/>
                      <w:bCs/>
                      <w:color w:val="000000"/>
                      <w:sz w:val="21"/>
                      <w:szCs w:val="21"/>
                    </w:rPr>
                    <w:t>相符</w:t>
                  </w:r>
                </w:p>
              </w:tc>
            </w:tr>
            <w:tr w14:paraId="6616C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228" w:type="pct"/>
                  <w:vMerge w:val="continue"/>
                  <w:noWrap w:val="0"/>
                  <w:vAlign w:val="center"/>
                </w:tcPr>
                <w:p w14:paraId="53F11144">
                  <w:pPr>
                    <w:pStyle w:val="21"/>
                    <w:snapToGrid w:val="0"/>
                    <w:spacing w:line="360" w:lineRule="exact"/>
                    <w:rPr>
                      <w:szCs w:val="21"/>
                    </w:rPr>
                  </w:pPr>
                </w:p>
              </w:tc>
              <w:tc>
                <w:tcPr>
                  <w:tcW w:w="385" w:type="pct"/>
                  <w:vMerge w:val="continue"/>
                  <w:noWrap w:val="0"/>
                  <w:vAlign w:val="center"/>
                </w:tcPr>
                <w:p w14:paraId="0D564035">
                  <w:pPr>
                    <w:pStyle w:val="21"/>
                    <w:snapToGrid w:val="0"/>
                    <w:spacing w:line="360" w:lineRule="exact"/>
                    <w:rPr>
                      <w:szCs w:val="21"/>
                    </w:rPr>
                  </w:pPr>
                </w:p>
              </w:tc>
              <w:tc>
                <w:tcPr>
                  <w:tcW w:w="2298" w:type="pct"/>
                  <w:shd w:val="clear" w:color="auto" w:fill="auto"/>
                  <w:noWrap w:val="0"/>
                  <w:vAlign w:val="center"/>
                </w:tcPr>
                <w:p w14:paraId="0A25A11D">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leftChars="0" w:right="0" w:rightChars="0" w:firstLine="0" w:firstLineChars="0"/>
                    <w:jc w:val="both"/>
                    <w:textAlignment w:val="auto"/>
                    <w:rPr>
                      <w:rFonts w:hint="default" w:ascii="Times New Roman" w:hAnsi="Times New Roman"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
                    </w:rPr>
                    <w:t>加快使用粉末、水性、高固体分、辐射固化等低VOCs含量的涂料替代溶剂型涂料。加快推广紧凑式涂装工艺、先进涂装技术和设备，采用自动喷涂、静电喷涂、辊涂等涂装工艺。</w:t>
                  </w:r>
                </w:p>
              </w:tc>
              <w:tc>
                <w:tcPr>
                  <w:tcW w:w="1700" w:type="pct"/>
                  <w:shd w:val="clear" w:color="auto" w:fill="auto"/>
                  <w:noWrap w:val="0"/>
                  <w:vAlign w:val="center"/>
                </w:tcPr>
                <w:p w14:paraId="2A93A25B">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color w:val="auto"/>
                      <w:sz w:val="21"/>
                      <w:szCs w:val="21"/>
                    </w:rPr>
                    <w:t>本项目</w:t>
                  </w:r>
                  <w:r>
                    <w:rPr>
                      <w:rFonts w:hint="default" w:ascii="Times New Roman" w:hAnsi="Times New Roman" w:cs="Times New Roman"/>
                      <w:bCs/>
                      <w:color w:val="auto"/>
                      <w:sz w:val="21"/>
                      <w:szCs w:val="21"/>
                      <w:lang w:val="en-US" w:eastAsia="zh-CN"/>
                    </w:rPr>
                    <w:t>不涉及</w:t>
                  </w:r>
                  <w:r>
                    <w:rPr>
                      <w:rFonts w:hint="eastAsia" w:ascii="Times New Roman" w:hAnsi="Times New Roman" w:cs="Times New Roman"/>
                      <w:bCs/>
                      <w:color w:val="auto"/>
                      <w:sz w:val="21"/>
                      <w:szCs w:val="21"/>
                      <w:lang w:val="en-US" w:eastAsia="zh-CN"/>
                    </w:rPr>
                    <w:t>。</w:t>
                  </w:r>
                </w:p>
              </w:tc>
              <w:tc>
                <w:tcPr>
                  <w:tcW w:w="385" w:type="pct"/>
                  <w:shd w:val="clear" w:color="auto" w:fill="auto"/>
                  <w:noWrap w:val="0"/>
                  <w:vAlign w:val="center"/>
                </w:tcPr>
                <w:p w14:paraId="37E15C9D">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bCs/>
                      <w:color w:val="000000"/>
                      <w:kern w:val="2"/>
                      <w:sz w:val="21"/>
                      <w:szCs w:val="21"/>
                      <w:lang w:val="en-US" w:eastAsia="zh-CN" w:bidi="ar-SA"/>
                    </w:rPr>
                  </w:pPr>
                  <w:r>
                    <w:rPr>
                      <w:rFonts w:hint="default" w:ascii="Times New Roman" w:hAnsi="Times New Roman" w:cs="Times New Roman"/>
                      <w:bCs/>
                      <w:color w:val="000000"/>
                      <w:sz w:val="21"/>
                      <w:szCs w:val="21"/>
                    </w:rPr>
                    <w:t>相符</w:t>
                  </w:r>
                </w:p>
              </w:tc>
            </w:tr>
            <w:tr w14:paraId="31A84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jc w:val="center"/>
              </w:trPr>
              <w:tc>
                <w:tcPr>
                  <w:tcW w:w="228" w:type="pct"/>
                  <w:vMerge w:val="continue"/>
                  <w:noWrap w:val="0"/>
                  <w:vAlign w:val="center"/>
                </w:tcPr>
                <w:p w14:paraId="4CE14A0A">
                  <w:pPr>
                    <w:pStyle w:val="21"/>
                    <w:snapToGrid w:val="0"/>
                    <w:spacing w:line="360" w:lineRule="exact"/>
                    <w:rPr>
                      <w:szCs w:val="21"/>
                    </w:rPr>
                  </w:pPr>
                </w:p>
              </w:tc>
              <w:tc>
                <w:tcPr>
                  <w:tcW w:w="385" w:type="pct"/>
                  <w:vMerge w:val="continue"/>
                  <w:noWrap w:val="0"/>
                  <w:vAlign w:val="center"/>
                </w:tcPr>
                <w:p w14:paraId="6EA0690B">
                  <w:pPr>
                    <w:pStyle w:val="21"/>
                    <w:snapToGrid w:val="0"/>
                    <w:spacing w:line="360" w:lineRule="exact"/>
                    <w:rPr>
                      <w:szCs w:val="21"/>
                    </w:rPr>
                  </w:pPr>
                </w:p>
              </w:tc>
              <w:tc>
                <w:tcPr>
                  <w:tcW w:w="2298" w:type="pct"/>
                  <w:noWrap w:val="0"/>
                  <w:vAlign w:val="center"/>
                </w:tcPr>
                <w:p w14:paraId="62CE24A1">
                  <w:pPr>
                    <w:pStyle w:val="21"/>
                    <w:snapToGrid w:val="0"/>
                    <w:spacing w:line="360" w:lineRule="exact"/>
                    <w:rPr>
                      <w:szCs w:val="21"/>
                    </w:rPr>
                  </w:pPr>
                  <w:r>
                    <w:rPr>
                      <w:szCs w:val="21"/>
                    </w:rPr>
                    <w:t>污水处理厂出水执行《城镇污水处理厂污染物排放标准》(GB18918-2002)一级A标准；黄河流域内污水处理厂出水执行《河南省黄河流域水污染物排放标准》(DB41/2087-2021)，海河流域内污水处理厂出水执行《河南省辖海河流域水污染物排放标准》(DB41777-2013)。</w:t>
                  </w:r>
                </w:p>
              </w:tc>
              <w:tc>
                <w:tcPr>
                  <w:tcW w:w="1700" w:type="pct"/>
                  <w:noWrap w:val="0"/>
                  <w:vAlign w:val="center"/>
                </w:tcPr>
                <w:p w14:paraId="1F5AA345">
                  <w:pPr>
                    <w:pStyle w:val="21"/>
                    <w:snapToGrid w:val="0"/>
                    <w:spacing w:line="360" w:lineRule="exact"/>
                    <w:jc w:val="both"/>
                    <w:rPr>
                      <w:szCs w:val="21"/>
                    </w:rPr>
                  </w:pPr>
                  <w:r>
                    <w:rPr>
                      <w:rFonts w:hint="default" w:ascii="Times New Roman" w:hAnsi="Times New Roman" w:cs="Times New Roman"/>
                      <w:color w:val="auto"/>
                      <w:sz w:val="21"/>
                      <w:szCs w:val="21"/>
                    </w:rPr>
                    <w:t>项目</w:t>
                  </w:r>
                  <w:r>
                    <w:rPr>
                      <w:rFonts w:hint="default" w:ascii="Times New Roman" w:hAnsi="Times New Roman" w:cs="Times New Roman"/>
                      <w:color w:val="auto"/>
                      <w:sz w:val="21"/>
                      <w:szCs w:val="21"/>
                      <w:lang w:eastAsia="zh-CN"/>
                    </w:rPr>
                    <w:t>仅</w:t>
                  </w:r>
                  <w:r>
                    <w:rPr>
                      <w:rFonts w:hint="eastAsia" w:cs="Times New Roman"/>
                      <w:color w:val="auto"/>
                      <w:sz w:val="21"/>
                      <w:szCs w:val="21"/>
                      <w:lang w:eastAsia="zh-CN"/>
                    </w:rPr>
                    <w:t>涉及</w:t>
                  </w:r>
                  <w:r>
                    <w:rPr>
                      <w:rFonts w:hint="default" w:ascii="Times New Roman" w:hAnsi="Times New Roman" w:cs="Times New Roman"/>
                      <w:color w:val="auto"/>
                      <w:sz w:val="21"/>
                      <w:szCs w:val="21"/>
                      <w:lang w:eastAsia="zh-CN"/>
                    </w:rPr>
                    <w:t>生活污水外排，</w:t>
                  </w:r>
                  <w:r>
                    <w:rPr>
                      <w:rFonts w:hint="default" w:ascii="Times New Roman" w:hAnsi="Times New Roman" w:cs="Times New Roman"/>
                      <w:color w:val="auto"/>
                      <w:sz w:val="21"/>
                      <w:szCs w:val="21"/>
                      <w:lang w:val="en-US" w:eastAsia="zh-CN"/>
                    </w:rPr>
                    <w:t>生活污水</w:t>
                  </w:r>
                  <w:r>
                    <w:rPr>
                      <w:rFonts w:hint="default" w:ascii="Times New Roman" w:hAnsi="Times New Roman" w:cs="Times New Roman"/>
                      <w:color w:val="auto"/>
                      <w:sz w:val="21"/>
                      <w:szCs w:val="21"/>
                    </w:rPr>
                    <w:t>经化粪池处理后经污水管网</w:t>
                  </w:r>
                  <w:r>
                    <w:rPr>
                      <w:rFonts w:hint="eastAsia" w:cs="Times New Roman"/>
                      <w:color w:val="auto"/>
                      <w:sz w:val="21"/>
                      <w:szCs w:val="21"/>
                      <w:lang w:eastAsia="zh-CN"/>
                    </w:rPr>
                    <w:t>排</w:t>
                  </w:r>
                  <w:r>
                    <w:rPr>
                      <w:rFonts w:hint="default" w:ascii="Times New Roman" w:hAnsi="Times New Roman" w:cs="Times New Roman"/>
                      <w:color w:val="auto"/>
                      <w:sz w:val="21"/>
                      <w:szCs w:val="21"/>
                    </w:rPr>
                    <w:t>入詹店镇污水处理厂，污水处理厂</w:t>
                  </w:r>
                  <w:r>
                    <w:rPr>
                      <w:rFonts w:hint="default" w:ascii="Times New Roman" w:hAnsi="Times New Roman" w:cs="Times New Roman"/>
                      <w:color w:val="auto"/>
                      <w:sz w:val="21"/>
                      <w:szCs w:val="21"/>
                      <w:lang w:eastAsia="zh-CN"/>
                    </w:rPr>
                    <w:t>处理后</w:t>
                  </w:r>
                  <w:r>
                    <w:rPr>
                      <w:rFonts w:hint="default" w:ascii="Times New Roman" w:hAnsi="Times New Roman" w:cs="Times New Roman"/>
                      <w:color w:val="auto"/>
                      <w:sz w:val="21"/>
                      <w:szCs w:val="21"/>
                    </w:rPr>
                    <w:t>出水执行《城镇污水处理厂污染物排放标准》(GB18918-2002)一级准A标准</w:t>
                  </w:r>
                  <w:r>
                    <w:rPr>
                      <w:rFonts w:hint="default" w:ascii="Times New Roman" w:hAnsi="Times New Roman" w:cs="Times New Roman"/>
                      <w:color w:val="auto"/>
                      <w:sz w:val="21"/>
                      <w:szCs w:val="21"/>
                      <w:lang w:eastAsia="zh-CN"/>
                    </w:rPr>
                    <w:t>。</w:t>
                  </w:r>
                </w:p>
              </w:tc>
              <w:tc>
                <w:tcPr>
                  <w:tcW w:w="385" w:type="pct"/>
                  <w:noWrap w:val="0"/>
                  <w:vAlign w:val="center"/>
                </w:tcPr>
                <w:p w14:paraId="70563D73">
                  <w:pPr>
                    <w:pStyle w:val="21"/>
                    <w:snapToGrid w:val="0"/>
                    <w:spacing w:line="360" w:lineRule="exact"/>
                    <w:rPr>
                      <w:szCs w:val="21"/>
                    </w:rPr>
                  </w:pPr>
                  <w:r>
                    <w:rPr>
                      <w:szCs w:val="21"/>
                    </w:rPr>
                    <w:t>相符</w:t>
                  </w:r>
                </w:p>
              </w:tc>
            </w:tr>
            <w:tr w14:paraId="0FE08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8" w:type="pct"/>
                  <w:vMerge w:val="continue"/>
                  <w:noWrap w:val="0"/>
                  <w:vAlign w:val="center"/>
                </w:tcPr>
                <w:p w14:paraId="0D7E05B6">
                  <w:pPr>
                    <w:pStyle w:val="21"/>
                    <w:snapToGrid w:val="0"/>
                    <w:spacing w:line="360" w:lineRule="exact"/>
                    <w:rPr>
                      <w:szCs w:val="21"/>
                    </w:rPr>
                  </w:pPr>
                </w:p>
              </w:tc>
              <w:tc>
                <w:tcPr>
                  <w:tcW w:w="385" w:type="pct"/>
                  <w:vMerge w:val="continue"/>
                  <w:noWrap w:val="0"/>
                  <w:vAlign w:val="center"/>
                </w:tcPr>
                <w:p w14:paraId="48147651">
                  <w:pPr>
                    <w:pStyle w:val="21"/>
                    <w:snapToGrid w:val="0"/>
                    <w:spacing w:line="360" w:lineRule="exact"/>
                    <w:rPr>
                      <w:szCs w:val="21"/>
                    </w:rPr>
                  </w:pPr>
                </w:p>
              </w:tc>
              <w:tc>
                <w:tcPr>
                  <w:tcW w:w="2298" w:type="pct"/>
                  <w:noWrap w:val="0"/>
                  <w:vAlign w:val="center"/>
                </w:tcPr>
                <w:p w14:paraId="3B430F54">
                  <w:pPr>
                    <w:pStyle w:val="21"/>
                    <w:snapToGrid w:val="0"/>
                    <w:spacing w:line="360" w:lineRule="exact"/>
                    <w:rPr>
                      <w:szCs w:val="21"/>
                    </w:rPr>
                  </w:pPr>
                  <w:r>
                    <w:rPr>
                      <w:szCs w:val="21"/>
                    </w:rPr>
                    <w:t>①新建“两高”项目应按照《关于加强重点行业建设项目区域削减措施监督管理的通知》要求，依据区域环境质量改善标，制定配套区域污染物削减方案，采取有效的污染物区域削减措施，腾出足够的环境容量。己出台超低排放要求的“两高”行业建设项目应满足超低排放要求。②新建、改建、扩建“两高”项目须符合生态环境保护法律法规和相关法定规划，满足重点污染物排放总量控制、碳排放达峰目标、相关规划环评和相应行业建设项目环境准入条件、环评文件审批原则要求。③己出台超放要求的“两高”行业建设项目应满足超低排放要求。</w:t>
                  </w:r>
                </w:p>
              </w:tc>
              <w:tc>
                <w:tcPr>
                  <w:tcW w:w="1700" w:type="pct"/>
                  <w:noWrap w:val="0"/>
                  <w:vAlign w:val="center"/>
                </w:tcPr>
                <w:p w14:paraId="7BFB76D7">
                  <w:pPr>
                    <w:pStyle w:val="21"/>
                    <w:snapToGrid w:val="0"/>
                    <w:spacing w:line="360" w:lineRule="exact"/>
                    <w:rPr>
                      <w:szCs w:val="21"/>
                    </w:rPr>
                  </w:pPr>
                  <w:r>
                    <w:rPr>
                      <w:rFonts w:hint="default" w:ascii="Times New Roman" w:hAnsi="Times New Roman" w:cs="Times New Roman"/>
                      <w:sz w:val="21"/>
                      <w:szCs w:val="21"/>
                    </w:rPr>
                    <w:t>本项目属于</w:t>
                  </w:r>
                  <w:r>
                    <w:rPr>
                      <w:rFonts w:hint="eastAsia" w:cs="Times New Roman"/>
                      <w:sz w:val="21"/>
                      <w:szCs w:val="21"/>
                      <w:lang w:eastAsia="zh-CN"/>
                    </w:rPr>
                    <w:t>新建</w:t>
                  </w:r>
                  <w:r>
                    <w:rPr>
                      <w:rFonts w:hint="default" w:ascii="Times New Roman" w:hAnsi="Times New Roman" w:cs="Times New Roman"/>
                      <w:sz w:val="21"/>
                      <w:szCs w:val="21"/>
                    </w:rPr>
                    <w:t>项目，本项目不属于河南省“两高”项目。</w:t>
                  </w:r>
                </w:p>
              </w:tc>
              <w:tc>
                <w:tcPr>
                  <w:tcW w:w="385" w:type="pct"/>
                  <w:noWrap w:val="0"/>
                  <w:vAlign w:val="center"/>
                </w:tcPr>
                <w:p w14:paraId="769DD763">
                  <w:pPr>
                    <w:pStyle w:val="21"/>
                    <w:snapToGrid w:val="0"/>
                    <w:spacing w:line="360" w:lineRule="exact"/>
                    <w:rPr>
                      <w:szCs w:val="21"/>
                    </w:rPr>
                  </w:pPr>
                  <w:r>
                    <w:rPr>
                      <w:szCs w:val="21"/>
                    </w:rPr>
                    <w:t>相符</w:t>
                  </w:r>
                </w:p>
              </w:tc>
            </w:tr>
            <w:tr w14:paraId="1E2F0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228" w:type="pct"/>
                  <w:vMerge w:val="continue"/>
                  <w:noWrap w:val="0"/>
                  <w:vAlign w:val="center"/>
                </w:tcPr>
                <w:p w14:paraId="169F7E33">
                  <w:pPr>
                    <w:pStyle w:val="21"/>
                    <w:snapToGrid w:val="0"/>
                    <w:spacing w:line="360" w:lineRule="exact"/>
                    <w:rPr>
                      <w:szCs w:val="21"/>
                    </w:rPr>
                  </w:pPr>
                </w:p>
              </w:tc>
              <w:tc>
                <w:tcPr>
                  <w:tcW w:w="385" w:type="pct"/>
                  <w:vMerge w:val="continue"/>
                  <w:noWrap w:val="0"/>
                  <w:vAlign w:val="center"/>
                </w:tcPr>
                <w:p w14:paraId="30C6BFCD">
                  <w:pPr>
                    <w:pStyle w:val="21"/>
                    <w:snapToGrid w:val="0"/>
                    <w:spacing w:line="360" w:lineRule="exact"/>
                    <w:rPr>
                      <w:szCs w:val="21"/>
                    </w:rPr>
                  </w:pPr>
                </w:p>
              </w:tc>
              <w:tc>
                <w:tcPr>
                  <w:tcW w:w="2298" w:type="pct"/>
                  <w:noWrap w:val="0"/>
                  <w:vAlign w:val="center"/>
                </w:tcPr>
                <w:p w14:paraId="5DF6B90E">
                  <w:pPr>
                    <w:pStyle w:val="21"/>
                    <w:snapToGrid w:val="0"/>
                    <w:spacing w:line="360" w:lineRule="exact"/>
                    <w:rPr>
                      <w:szCs w:val="21"/>
                    </w:rPr>
                  </w:pPr>
                  <w:r>
                    <w:rPr>
                      <w:szCs w:val="21"/>
                    </w:rPr>
                    <w:t>园区内所有废水(已取得排污口论证报告的江河纸业、瑞丰纸业及广源纸业除外)都要经园区污水管网排入配套污水处理厂集中处理，企业不得单独设置直接排入周围地表水体的排放口。</w:t>
                  </w:r>
                </w:p>
              </w:tc>
              <w:tc>
                <w:tcPr>
                  <w:tcW w:w="1700" w:type="pct"/>
                  <w:noWrap w:val="0"/>
                  <w:vAlign w:val="center"/>
                </w:tcPr>
                <w:p w14:paraId="2A88288A">
                  <w:pPr>
                    <w:pStyle w:val="21"/>
                    <w:snapToGrid w:val="0"/>
                    <w:spacing w:line="360" w:lineRule="exact"/>
                    <w:rPr>
                      <w:szCs w:val="21"/>
                    </w:rPr>
                  </w:pPr>
                  <w:r>
                    <w:rPr>
                      <w:rFonts w:hint="default" w:ascii="Times New Roman" w:hAnsi="Times New Roman" w:cs="Times New Roman"/>
                      <w:color w:val="auto"/>
                      <w:sz w:val="21"/>
                      <w:szCs w:val="21"/>
                    </w:rPr>
                    <w:t>本项目</w:t>
                  </w:r>
                  <w:r>
                    <w:rPr>
                      <w:rFonts w:hint="default" w:ascii="Times New Roman" w:hAnsi="Times New Roman" w:cs="Times New Roman"/>
                      <w:color w:val="auto"/>
                      <w:sz w:val="21"/>
                      <w:szCs w:val="21"/>
                      <w:lang w:val="en-US" w:eastAsia="zh-CN"/>
                    </w:rPr>
                    <w:t>生活污水</w:t>
                  </w:r>
                  <w:r>
                    <w:rPr>
                      <w:rFonts w:hint="default" w:ascii="Times New Roman" w:hAnsi="Times New Roman" w:cs="Times New Roman"/>
                      <w:color w:val="auto"/>
                      <w:sz w:val="21"/>
                      <w:szCs w:val="21"/>
                    </w:rPr>
                    <w:t>经化粪池处理后经污水管网</w:t>
                  </w:r>
                  <w:r>
                    <w:rPr>
                      <w:rFonts w:hint="eastAsia" w:cs="Times New Roman"/>
                      <w:color w:val="auto"/>
                      <w:sz w:val="21"/>
                      <w:szCs w:val="21"/>
                      <w:lang w:eastAsia="zh-CN"/>
                    </w:rPr>
                    <w:t>排</w:t>
                  </w:r>
                  <w:r>
                    <w:rPr>
                      <w:rFonts w:hint="default" w:ascii="Times New Roman" w:hAnsi="Times New Roman" w:cs="Times New Roman"/>
                      <w:color w:val="auto"/>
                      <w:sz w:val="21"/>
                      <w:szCs w:val="21"/>
                    </w:rPr>
                    <w:t>入詹店镇污水处理厂处理，不单独设置废水</w:t>
                  </w:r>
                  <w:r>
                    <w:rPr>
                      <w:rFonts w:hint="default" w:ascii="Times New Roman" w:hAnsi="Times New Roman" w:eastAsia="宋体" w:cs="Times New Roman"/>
                      <w:color w:val="auto"/>
                      <w:kern w:val="0"/>
                      <w:sz w:val="21"/>
                      <w:szCs w:val="21"/>
                      <w:lang w:val="en-US" w:eastAsia="zh-CN" w:bidi="ar"/>
                    </w:rPr>
                    <w:t>直排</w:t>
                  </w:r>
                  <w:r>
                    <w:rPr>
                      <w:rFonts w:hint="default" w:ascii="Times New Roman" w:hAnsi="Times New Roman" w:cs="Times New Roman"/>
                      <w:color w:val="auto"/>
                      <w:sz w:val="21"/>
                      <w:szCs w:val="21"/>
                    </w:rPr>
                    <w:t>口</w:t>
                  </w:r>
                  <w:r>
                    <w:rPr>
                      <w:rFonts w:hint="default" w:ascii="Times New Roman" w:hAnsi="Times New Roman" w:cs="Times New Roman"/>
                      <w:color w:val="auto"/>
                      <w:sz w:val="21"/>
                      <w:szCs w:val="21"/>
                      <w:lang w:eastAsia="zh-CN"/>
                    </w:rPr>
                    <w:t>。</w:t>
                  </w:r>
                </w:p>
              </w:tc>
              <w:tc>
                <w:tcPr>
                  <w:tcW w:w="385" w:type="pct"/>
                  <w:noWrap w:val="0"/>
                  <w:vAlign w:val="center"/>
                </w:tcPr>
                <w:p w14:paraId="047B769B">
                  <w:pPr>
                    <w:pStyle w:val="21"/>
                    <w:snapToGrid w:val="0"/>
                    <w:spacing w:line="360" w:lineRule="exact"/>
                    <w:rPr>
                      <w:szCs w:val="21"/>
                    </w:rPr>
                  </w:pPr>
                  <w:r>
                    <w:rPr>
                      <w:szCs w:val="21"/>
                    </w:rPr>
                    <w:t>相符</w:t>
                  </w:r>
                </w:p>
              </w:tc>
            </w:tr>
            <w:tr w14:paraId="2A2BB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jc w:val="center"/>
              </w:trPr>
              <w:tc>
                <w:tcPr>
                  <w:tcW w:w="228" w:type="pct"/>
                  <w:vMerge w:val="continue"/>
                  <w:noWrap w:val="0"/>
                  <w:vAlign w:val="center"/>
                </w:tcPr>
                <w:p w14:paraId="146696E7">
                  <w:pPr>
                    <w:pStyle w:val="21"/>
                    <w:snapToGrid w:val="0"/>
                    <w:spacing w:line="360" w:lineRule="exact"/>
                    <w:rPr>
                      <w:szCs w:val="21"/>
                    </w:rPr>
                  </w:pPr>
                </w:p>
              </w:tc>
              <w:tc>
                <w:tcPr>
                  <w:tcW w:w="385" w:type="pct"/>
                  <w:vMerge w:val="continue"/>
                  <w:noWrap w:val="0"/>
                  <w:vAlign w:val="center"/>
                </w:tcPr>
                <w:p w14:paraId="242613B1">
                  <w:pPr>
                    <w:pStyle w:val="21"/>
                    <w:snapToGrid w:val="0"/>
                    <w:spacing w:line="360" w:lineRule="exact"/>
                    <w:rPr>
                      <w:szCs w:val="21"/>
                    </w:rPr>
                  </w:pPr>
                </w:p>
              </w:tc>
              <w:tc>
                <w:tcPr>
                  <w:tcW w:w="2298" w:type="pct"/>
                  <w:noWrap w:val="0"/>
                  <w:vAlign w:val="center"/>
                </w:tcPr>
                <w:p w14:paraId="3A589208">
                  <w:pPr>
                    <w:pStyle w:val="21"/>
                    <w:snapToGrid w:val="0"/>
                    <w:spacing w:line="360" w:lineRule="exact"/>
                    <w:rPr>
                      <w:szCs w:val="21"/>
                    </w:rPr>
                  </w:pPr>
                  <w:r>
                    <w:rPr>
                      <w:szCs w:val="21"/>
                    </w:rPr>
                    <w:t>开发区内项目、企业、污水处理厂向河道内排放废水要实现达标排放。</w:t>
                  </w:r>
                </w:p>
              </w:tc>
              <w:tc>
                <w:tcPr>
                  <w:tcW w:w="1700" w:type="pct"/>
                  <w:noWrap w:val="0"/>
                  <w:vAlign w:val="center"/>
                </w:tcPr>
                <w:p w14:paraId="0B7D4FA4">
                  <w:pPr>
                    <w:pStyle w:val="21"/>
                    <w:snapToGrid w:val="0"/>
                    <w:spacing w:line="360" w:lineRule="exact"/>
                    <w:jc w:val="both"/>
                    <w:rPr>
                      <w:szCs w:val="21"/>
                    </w:rPr>
                  </w:pPr>
                  <w:r>
                    <w:rPr>
                      <w:rFonts w:hint="default" w:ascii="Times New Roman" w:hAnsi="Times New Roman" w:eastAsia="宋体" w:cs="Times New Roman"/>
                      <w:color w:val="auto"/>
                      <w:kern w:val="0"/>
                      <w:sz w:val="21"/>
                      <w:szCs w:val="21"/>
                      <w:lang w:val="en-US" w:eastAsia="zh-CN" w:bidi="ar-SA"/>
                    </w:rPr>
                    <w:t>本项目外排废水</w:t>
                  </w:r>
                  <w:r>
                    <w:rPr>
                      <w:rFonts w:hint="eastAsia" w:cs="Times New Roman"/>
                      <w:color w:val="auto"/>
                      <w:kern w:val="0"/>
                      <w:sz w:val="21"/>
                      <w:szCs w:val="21"/>
                      <w:lang w:val="en-US" w:eastAsia="zh-CN" w:bidi="ar-SA"/>
                    </w:rPr>
                    <w:t>只有</w:t>
                  </w:r>
                  <w:r>
                    <w:rPr>
                      <w:rFonts w:hint="default" w:ascii="Times New Roman" w:hAnsi="Times New Roman" w:eastAsia="宋体" w:cs="Times New Roman"/>
                      <w:color w:val="auto"/>
                      <w:kern w:val="0"/>
                      <w:sz w:val="21"/>
                      <w:szCs w:val="21"/>
                      <w:lang w:val="en-US" w:eastAsia="zh-CN" w:bidi="ar-SA"/>
                    </w:rPr>
                    <w:t>生活污水，</w:t>
                  </w:r>
                  <w:r>
                    <w:rPr>
                      <w:rFonts w:hint="default" w:ascii="Times New Roman" w:hAnsi="Times New Roman" w:cs="Times New Roman"/>
                      <w:sz w:val="21"/>
                      <w:szCs w:val="21"/>
                      <w:lang w:eastAsia="zh-CN"/>
                    </w:rPr>
                    <w:t>生活污水</w:t>
                  </w:r>
                  <w:r>
                    <w:rPr>
                      <w:rFonts w:hint="default" w:ascii="Times New Roman" w:hAnsi="Times New Roman" w:cs="Times New Roman"/>
                      <w:sz w:val="21"/>
                      <w:szCs w:val="21"/>
                    </w:rPr>
                    <w:t>经化粪池处理后经污水管网</w:t>
                  </w:r>
                  <w:r>
                    <w:rPr>
                      <w:rFonts w:hint="eastAsia" w:cs="Times New Roman"/>
                      <w:sz w:val="21"/>
                      <w:szCs w:val="21"/>
                      <w:lang w:eastAsia="zh-CN"/>
                    </w:rPr>
                    <w:t>排</w:t>
                  </w:r>
                  <w:r>
                    <w:rPr>
                      <w:rFonts w:hint="default" w:ascii="Times New Roman" w:hAnsi="Times New Roman" w:cs="Times New Roman"/>
                      <w:sz w:val="21"/>
                      <w:szCs w:val="21"/>
                    </w:rPr>
                    <w:t>入詹店镇污水处理厂处理，污水处理厂出水执行《城镇污水处理厂污染物排放标准》(GB18918-2002)一级A标准。</w:t>
                  </w:r>
                </w:p>
              </w:tc>
              <w:tc>
                <w:tcPr>
                  <w:tcW w:w="385" w:type="pct"/>
                  <w:noWrap w:val="0"/>
                  <w:vAlign w:val="center"/>
                </w:tcPr>
                <w:p w14:paraId="45B59AB7">
                  <w:pPr>
                    <w:pStyle w:val="21"/>
                    <w:snapToGrid w:val="0"/>
                    <w:spacing w:line="360" w:lineRule="exact"/>
                    <w:rPr>
                      <w:szCs w:val="21"/>
                    </w:rPr>
                  </w:pPr>
                  <w:r>
                    <w:rPr>
                      <w:szCs w:val="21"/>
                    </w:rPr>
                    <w:t>相符</w:t>
                  </w:r>
                </w:p>
              </w:tc>
            </w:tr>
            <w:tr w14:paraId="248F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09C3C70A">
                  <w:pPr>
                    <w:pStyle w:val="21"/>
                    <w:snapToGrid w:val="0"/>
                    <w:spacing w:line="360" w:lineRule="exact"/>
                    <w:rPr>
                      <w:szCs w:val="21"/>
                    </w:rPr>
                  </w:pPr>
                </w:p>
              </w:tc>
              <w:tc>
                <w:tcPr>
                  <w:tcW w:w="385" w:type="pct"/>
                  <w:vMerge w:val="continue"/>
                  <w:noWrap w:val="0"/>
                  <w:vAlign w:val="center"/>
                </w:tcPr>
                <w:p w14:paraId="2266DCD3">
                  <w:pPr>
                    <w:pStyle w:val="21"/>
                    <w:snapToGrid w:val="0"/>
                    <w:spacing w:line="360" w:lineRule="exact"/>
                    <w:rPr>
                      <w:szCs w:val="21"/>
                    </w:rPr>
                  </w:pPr>
                </w:p>
              </w:tc>
              <w:tc>
                <w:tcPr>
                  <w:tcW w:w="2298" w:type="pct"/>
                  <w:noWrap w:val="0"/>
                  <w:vAlign w:val="center"/>
                </w:tcPr>
                <w:p w14:paraId="354F1515">
                  <w:pPr>
                    <w:pStyle w:val="21"/>
                    <w:snapToGrid w:val="0"/>
                    <w:spacing w:line="360" w:lineRule="exact"/>
                    <w:rPr>
                      <w:szCs w:val="21"/>
                    </w:rPr>
                  </w:pPr>
                  <w:r>
                    <w:rPr>
                      <w:szCs w:val="21"/>
                    </w:rPr>
                    <w:t>新、改、扩建项目主要污染物排放要求满足当地总量减排要求。</w:t>
                  </w:r>
                </w:p>
              </w:tc>
              <w:tc>
                <w:tcPr>
                  <w:tcW w:w="1700" w:type="pct"/>
                  <w:noWrap w:val="0"/>
                  <w:vAlign w:val="center"/>
                </w:tcPr>
                <w:p w14:paraId="1353152C">
                  <w:pPr>
                    <w:pStyle w:val="21"/>
                    <w:snapToGrid w:val="0"/>
                    <w:spacing w:line="360" w:lineRule="exact"/>
                    <w:jc w:val="both"/>
                    <w:rPr>
                      <w:szCs w:val="21"/>
                    </w:rPr>
                  </w:pPr>
                  <w:r>
                    <w:rPr>
                      <w:rFonts w:hint="default" w:ascii="Times New Roman" w:hAnsi="Times New Roman" w:cs="Times New Roman"/>
                      <w:color w:val="auto"/>
                      <w:sz w:val="21"/>
                      <w:szCs w:val="21"/>
                    </w:rPr>
                    <w:t>项目</w:t>
                  </w:r>
                  <w:r>
                    <w:rPr>
                      <w:rFonts w:hint="default" w:ascii="Times New Roman" w:hAnsi="Times New Roman" w:cs="Times New Roman"/>
                      <w:color w:val="auto"/>
                      <w:sz w:val="21"/>
                      <w:szCs w:val="21"/>
                      <w:lang w:eastAsia="zh-CN"/>
                    </w:rPr>
                    <w:t>废气</w:t>
                  </w:r>
                  <w:r>
                    <w:rPr>
                      <w:rFonts w:hint="default" w:ascii="Times New Roman" w:hAnsi="Times New Roman" w:cs="Times New Roman"/>
                      <w:color w:val="auto"/>
                      <w:sz w:val="21"/>
                      <w:szCs w:val="21"/>
                    </w:rPr>
                    <w:t>实行区域倍量</w:t>
                  </w:r>
                  <w:r>
                    <w:rPr>
                      <w:rFonts w:hint="eastAsia" w:cs="Times New Roman"/>
                      <w:color w:val="auto"/>
                      <w:sz w:val="21"/>
                      <w:szCs w:val="21"/>
                      <w:lang w:eastAsia="zh-CN"/>
                    </w:rPr>
                    <w:t>消减</w:t>
                  </w:r>
                  <w:r>
                    <w:rPr>
                      <w:rFonts w:hint="default" w:ascii="Times New Roman" w:hAnsi="Times New Roman" w:cs="Times New Roman"/>
                      <w:color w:val="auto"/>
                      <w:sz w:val="21"/>
                      <w:szCs w:val="21"/>
                    </w:rPr>
                    <w:t>替代，</w:t>
                  </w:r>
                  <w:r>
                    <w:rPr>
                      <w:rFonts w:hint="default" w:ascii="Times New Roman" w:hAnsi="Times New Roman" w:cs="Times New Roman"/>
                      <w:sz w:val="21"/>
                      <w:szCs w:val="21"/>
                    </w:rPr>
                    <w:t>项目</w:t>
                  </w:r>
                  <w:r>
                    <w:rPr>
                      <w:rFonts w:hint="eastAsia" w:cs="Times New Roman"/>
                      <w:sz w:val="21"/>
                      <w:szCs w:val="21"/>
                      <w:lang w:eastAsia="zh-CN"/>
                    </w:rPr>
                    <w:t>只排放</w:t>
                  </w:r>
                  <w:r>
                    <w:rPr>
                      <w:rFonts w:hint="default" w:ascii="Times New Roman" w:hAnsi="Times New Roman" w:cs="Times New Roman"/>
                      <w:sz w:val="21"/>
                      <w:szCs w:val="21"/>
                    </w:rPr>
                    <w:t>生活污水</w:t>
                  </w:r>
                  <w:r>
                    <w:rPr>
                      <w:rFonts w:hint="eastAsia" w:cs="Times New Roman"/>
                      <w:sz w:val="21"/>
                      <w:szCs w:val="21"/>
                      <w:lang w:eastAsia="zh-CN"/>
                    </w:rPr>
                    <w:t>，废水进行</w:t>
                  </w:r>
                  <w:r>
                    <w:rPr>
                      <w:rFonts w:hint="default" w:ascii="Times New Roman" w:hAnsi="Times New Roman" w:eastAsia="宋体" w:cs="Times New Roman"/>
                      <w:color w:val="auto"/>
                      <w:kern w:val="0"/>
                      <w:sz w:val="21"/>
                      <w:szCs w:val="21"/>
                      <w:lang w:val="en-US" w:eastAsia="zh-CN" w:bidi="ar"/>
                    </w:rPr>
                    <w:t>等量削减</w:t>
                  </w:r>
                  <w:r>
                    <w:rPr>
                      <w:rFonts w:hint="default" w:ascii="Times New Roman" w:hAnsi="Times New Roman" w:cs="Times New Roman"/>
                      <w:sz w:val="21"/>
                      <w:szCs w:val="21"/>
                    </w:rPr>
                    <w:t>替代</w:t>
                  </w:r>
                  <w:r>
                    <w:rPr>
                      <w:rFonts w:hint="eastAsia" w:cs="Times New Roman"/>
                      <w:sz w:val="21"/>
                      <w:szCs w:val="21"/>
                      <w:lang w:eastAsia="zh-CN"/>
                    </w:rPr>
                    <w:t>，</w:t>
                  </w:r>
                  <w:r>
                    <w:rPr>
                      <w:rFonts w:hint="default" w:ascii="Times New Roman" w:hAnsi="Times New Roman" w:cs="Times New Roman"/>
                      <w:color w:val="auto"/>
                      <w:sz w:val="21"/>
                      <w:szCs w:val="21"/>
                    </w:rPr>
                    <w:t>满足当地总量减排要求</w:t>
                  </w:r>
                  <w:r>
                    <w:rPr>
                      <w:rFonts w:hint="default" w:ascii="Times New Roman" w:hAnsi="Times New Roman" w:cs="Times New Roman"/>
                      <w:color w:val="auto"/>
                      <w:sz w:val="21"/>
                      <w:szCs w:val="21"/>
                      <w:lang w:eastAsia="zh-CN"/>
                    </w:rPr>
                    <w:t>。</w:t>
                  </w:r>
                </w:p>
              </w:tc>
              <w:tc>
                <w:tcPr>
                  <w:tcW w:w="385" w:type="pct"/>
                  <w:noWrap w:val="0"/>
                  <w:vAlign w:val="center"/>
                </w:tcPr>
                <w:p w14:paraId="71E8B918">
                  <w:pPr>
                    <w:pStyle w:val="21"/>
                    <w:snapToGrid w:val="0"/>
                    <w:spacing w:line="360" w:lineRule="exact"/>
                    <w:rPr>
                      <w:szCs w:val="21"/>
                    </w:rPr>
                  </w:pPr>
                  <w:r>
                    <w:rPr>
                      <w:szCs w:val="21"/>
                    </w:rPr>
                    <w:t>相符</w:t>
                  </w:r>
                </w:p>
              </w:tc>
            </w:tr>
            <w:tr w14:paraId="621B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1E2614F6">
                  <w:pPr>
                    <w:pStyle w:val="21"/>
                    <w:snapToGrid w:val="0"/>
                    <w:spacing w:line="360" w:lineRule="exact"/>
                    <w:rPr>
                      <w:szCs w:val="21"/>
                    </w:rPr>
                  </w:pPr>
                </w:p>
              </w:tc>
              <w:tc>
                <w:tcPr>
                  <w:tcW w:w="385" w:type="pct"/>
                  <w:vMerge w:val="continue"/>
                  <w:noWrap w:val="0"/>
                  <w:vAlign w:val="center"/>
                </w:tcPr>
                <w:p w14:paraId="62AC9D0A">
                  <w:pPr>
                    <w:pStyle w:val="21"/>
                    <w:snapToGrid w:val="0"/>
                    <w:spacing w:line="360" w:lineRule="exact"/>
                    <w:rPr>
                      <w:szCs w:val="21"/>
                    </w:rPr>
                  </w:pPr>
                </w:p>
              </w:tc>
              <w:tc>
                <w:tcPr>
                  <w:tcW w:w="2298" w:type="pct"/>
                  <w:noWrap w:val="0"/>
                  <w:vAlign w:val="center"/>
                </w:tcPr>
                <w:p w14:paraId="3972EFED">
                  <w:pPr>
                    <w:pStyle w:val="21"/>
                    <w:snapToGrid w:val="0"/>
                    <w:spacing w:line="360" w:lineRule="exact"/>
                    <w:rPr>
                      <w:szCs w:val="21"/>
                    </w:rPr>
                  </w:pPr>
                  <w:r>
                    <w:rPr>
                      <w:szCs w:val="21"/>
                    </w:rPr>
                    <w:t>新、改、扩建重点行业涉重点重金属(铅、汞、镉、铬、砷)项目，需实行重金属污染物排放“减量替代原则”，减量替代比例不低于1.1:1</w:t>
                  </w:r>
                </w:p>
              </w:tc>
              <w:tc>
                <w:tcPr>
                  <w:tcW w:w="1700" w:type="pct"/>
                  <w:noWrap w:val="0"/>
                  <w:vAlign w:val="center"/>
                </w:tcPr>
                <w:p w14:paraId="01E2F30E">
                  <w:pPr>
                    <w:pStyle w:val="21"/>
                    <w:snapToGrid w:val="0"/>
                    <w:spacing w:line="360" w:lineRule="exact"/>
                    <w:rPr>
                      <w:rFonts w:hint="eastAsia" w:eastAsia="宋体"/>
                      <w:szCs w:val="21"/>
                      <w:lang w:eastAsia="zh-CN"/>
                    </w:rPr>
                  </w:pPr>
                  <w:r>
                    <w:rPr>
                      <w:szCs w:val="21"/>
                    </w:rPr>
                    <w:t>本项目不属于重点行业涉重点重金属项目</w:t>
                  </w:r>
                  <w:r>
                    <w:rPr>
                      <w:rFonts w:hint="eastAsia"/>
                      <w:szCs w:val="21"/>
                      <w:lang w:eastAsia="zh-CN"/>
                    </w:rPr>
                    <w:t>。</w:t>
                  </w:r>
                </w:p>
              </w:tc>
              <w:tc>
                <w:tcPr>
                  <w:tcW w:w="385" w:type="pct"/>
                  <w:noWrap w:val="0"/>
                  <w:vAlign w:val="center"/>
                </w:tcPr>
                <w:p w14:paraId="772BC87F">
                  <w:pPr>
                    <w:pStyle w:val="21"/>
                    <w:snapToGrid w:val="0"/>
                    <w:spacing w:line="360" w:lineRule="exact"/>
                    <w:rPr>
                      <w:szCs w:val="21"/>
                    </w:rPr>
                  </w:pPr>
                  <w:r>
                    <w:rPr>
                      <w:szCs w:val="21"/>
                    </w:rPr>
                    <w:t>相符</w:t>
                  </w:r>
                </w:p>
              </w:tc>
            </w:tr>
            <w:tr w14:paraId="4C93E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28" w:type="pct"/>
                  <w:vMerge w:val="continue"/>
                  <w:noWrap w:val="0"/>
                  <w:vAlign w:val="center"/>
                </w:tcPr>
                <w:p w14:paraId="4F4F1012">
                  <w:pPr>
                    <w:pStyle w:val="21"/>
                    <w:snapToGrid w:val="0"/>
                    <w:spacing w:line="360" w:lineRule="exact"/>
                    <w:rPr>
                      <w:szCs w:val="21"/>
                    </w:rPr>
                  </w:pPr>
                </w:p>
              </w:tc>
              <w:tc>
                <w:tcPr>
                  <w:tcW w:w="385" w:type="pct"/>
                  <w:vMerge w:val="continue"/>
                  <w:noWrap w:val="0"/>
                  <w:vAlign w:val="center"/>
                </w:tcPr>
                <w:p w14:paraId="1A0512AB">
                  <w:pPr>
                    <w:pStyle w:val="21"/>
                    <w:snapToGrid w:val="0"/>
                    <w:spacing w:line="360" w:lineRule="exact"/>
                    <w:rPr>
                      <w:szCs w:val="21"/>
                    </w:rPr>
                  </w:pPr>
                </w:p>
              </w:tc>
              <w:tc>
                <w:tcPr>
                  <w:tcW w:w="2298" w:type="pct"/>
                  <w:noWrap w:val="0"/>
                  <w:vAlign w:val="center"/>
                </w:tcPr>
                <w:p w14:paraId="3AE0F3BE">
                  <w:pPr>
                    <w:pStyle w:val="21"/>
                    <w:snapToGrid w:val="0"/>
                    <w:spacing w:line="360" w:lineRule="exact"/>
                    <w:rPr>
                      <w:szCs w:val="21"/>
                    </w:rPr>
                  </w:pPr>
                  <w:r>
                    <w:rPr>
                      <w:szCs w:val="21"/>
                    </w:rPr>
                    <w:t>新建热电联产项目燃煤需减量替代，明确煤炭消减来源</w:t>
                  </w:r>
                </w:p>
              </w:tc>
              <w:tc>
                <w:tcPr>
                  <w:tcW w:w="1700" w:type="pct"/>
                  <w:noWrap w:val="0"/>
                  <w:vAlign w:val="center"/>
                </w:tcPr>
                <w:p w14:paraId="5960C04D">
                  <w:pPr>
                    <w:pStyle w:val="21"/>
                    <w:snapToGrid w:val="0"/>
                    <w:spacing w:line="360" w:lineRule="exact"/>
                    <w:rPr>
                      <w:szCs w:val="21"/>
                    </w:rPr>
                  </w:pPr>
                  <w:r>
                    <w:rPr>
                      <w:szCs w:val="21"/>
                    </w:rPr>
                    <w:t>本项目不</w:t>
                  </w:r>
                  <w:r>
                    <w:rPr>
                      <w:rFonts w:hint="eastAsia"/>
                      <w:szCs w:val="21"/>
                    </w:rPr>
                    <w:t>属于</w:t>
                  </w:r>
                  <w:r>
                    <w:rPr>
                      <w:szCs w:val="21"/>
                    </w:rPr>
                    <w:t>新建热电联产项目</w:t>
                  </w:r>
                </w:p>
              </w:tc>
              <w:tc>
                <w:tcPr>
                  <w:tcW w:w="385" w:type="pct"/>
                  <w:noWrap w:val="0"/>
                  <w:vAlign w:val="center"/>
                </w:tcPr>
                <w:p w14:paraId="46EB6318">
                  <w:pPr>
                    <w:pStyle w:val="21"/>
                    <w:snapToGrid w:val="0"/>
                    <w:spacing w:line="360" w:lineRule="exact"/>
                    <w:rPr>
                      <w:szCs w:val="21"/>
                    </w:rPr>
                  </w:pPr>
                  <w:r>
                    <w:rPr>
                      <w:szCs w:val="21"/>
                    </w:rPr>
                    <w:t>相符</w:t>
                  </w:r>
                </w:p>
              </w:tc>
            </w:tr>
            <w:tr w14:paraId="2305D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58F12052">
                  <w:pPr>
                    <w:pStyle w:val="21"/>
                    <w:snapToGrid w:val="0"/>
                    <w:spacing w:line="360" w:lineRule="exact"/>
                    <w:rPr>
                      <w:szCs w:val="21"/>
                    </w:rPr>
                  </w:pPr>
                </w:p>
              </w:tc>
              <w:tc>
                <w:tcPr>
                  <w:tcW w:w="385" w:type="pct"/>
                  <w:vMerge w:val="restart"/>
                  <w:noWrap w:val="0"/>
                  <w:vAlign w:val="center"/>
                </w:tcPr>
                <w:p w14:paraId="754071F7">
                  <w:pPr>
                    <w:pStyle w:val="21"/>
                    <w:snapToGrid w:val="0"/>
                    <w:spacing w:line="360" w:lineRule="exact"/>
                    <w:rPr>
                      <w:szCs w:val="21"/>
                    </w:rPr>
                  </w:pPr>
                  <w:r>
                    <w:rPr>
                      <w:szCs w:val="21"/>
                    </w:rPr>
                    <w:t>环境风险防控</w:t>
                  </w:r>
                </w:p>
              </w:tc>
              <w:tc>
                <w:tcPr>
                  <w:tcW w:w="2298" w:type="pct"/>
                  <w:noWrap w:val="0"/>
                  <w:vAlign w:val="center"/>
                </w:tcPr>
                <w:p w14:paraId="20E1CC2D">
                  <w:pPr>
                    <w:pStyle w:val="21"/>
                    <w:snapToGrid w:val="0"/>
                    <w:spacing w:line="360" w:lineRule="exact"/>
                    <w:rPr>
                      <w:szCs w:val="21"/>
                    </w:rPr>
                  </w:pPr>
                  <w:r>
                    <w:rPr>
                      <w:szCs w:val="21"/>
                    </w:rPr>
                    <w:t>加强环境应急保障体系建设，园内企业应制定环境应急预案，明确环境风险防范措施。</w:t>
                  </w:r>
                </w:p>
              </w:tc>
              <w:tc>
                <w:tcPr>
                  <w:tcW w:w="1700" w:type="pct"/>
                  <w:noWrap w:val="0"/>
                  <w:vAlign w:val="center"/>
                </w:tcPr>
                <w:p w14:paraId="18849C4D">
                  <w:pPr>
                    <w:pStyle w:val="21"/>
                    <w:snapToGrid w:val="0"/>
                    <w:spacing w:line="360" w:lineRule="exact"/>
                    <w:rPr>
                      <w:szCs w:val="21"/>
                    </w:rPr>
                  </w:pPr>
                  <w:r>
                    <w:rPr>
                      <w:szCs w:val="21"/>
                    </w:rPr>
                    <w:t>本项目按要求制定环境应急预案，明确环境风险防范措施，配备应急物资，并定期开展应急演练。</w:t>
                  </w:r>
                </w:p>
              </w:tc>
              <w:tc>
                <w:tcPr>
                  <w:tcW w:w="385" w:type="pct"/>
                  <w:noWrap w:val="0"/>
                  <w:vAlign w:val="center"/>
                </w:tcPr>
                <w:p w14:paraId="597FBEA8">
                  <w:pPr>
                    <w:pStyle w:val="21"/>
                    <w:snapToGrid w:val="0"/>
                    <w:spacing w:line="360" w:lineRule="exact"/>
                    <w:rPr>
                      <w:szCs w:val="21"/>
                    </w:rPr>
                  </w:pPr>
                  <w:r>
                    <w:rPr>
                      <w:szCs w:val="21"/>
                    </w:rPr>
                    <w:t>相符</w:t>
                  </w:r>
                </w:p>
              </w:tc>
            </w:tr>
            <w:tr w14:paraId="0FA3E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228" w:type="pct"/>
                  <w:vMerge w:val="continue"/>
                  <w:noWrap w:val="0"/>
                  <w:vAlign w:val="center"/>
                </w:tcPr>
                <w:p w14:paraId="07EA7F23">
                  <w:pPr>
                    <w:pStyle w:val="21"/>
                    <w:snapToGrid w:val="0"/>
                    <w:spacing w:line="360" w:lineRule="exact"/>
                    <w:rPr>
                      <w:szCs w:val="21"/>
                    </w:rPr>
                  </w:pPr>
                </w:p>
              </w:tc>
              <w:tc>
                <w:tcPr>
                  <w:tcW w:w="385" w:type="pct"/>
                  <w:vMerge w:val="continue"/>
                  <w:noWrap w:val="0"/>
                  <w:vAlign w:val="center"/>
                </w:tcPr>
                <w:p w14:paraId="71E4270C">
                  <w:pPr>
                    <w:pStyle w:val="21"/>
                    <w:snapToGrid w:val="0"/>
                    <w:spacing w:line="360" w:lineRule="exact"/>
                    <w:rPr>
                      <w:szCs w:val="21"/>
                    </w:rPr>
                  </w:pPr>
                </w:p>
              </w:tc>
              <w:tc>
                <w:tcPr>
                  <w:tcW w:w="2298" w:type="pct"/>
                  <w:noWrap w:val="0"/>
                  <w:vAlign w:val="center"/>
                </w:tcPr>
                <w:p w14:paraId="624DB206">
                  <w:pPr>
                    <w:pStyle w:val="21"/>
                    <w:snapToGrid w:val="0"/>
                    <w:spacing w:line="360" w:lineRule="exact"/>
                    <w:rPr>
                      <w:szCs w:val="21"/>
                    </w:rPr>
                  </w:pPr>
                  <w:r>
                    <w:rPr>
                      <w:szCs w:val="21"/>
                    </w:rPr>
                    <w:t>加快环境风险预警体系建设，健全环境风险单位信息库，严格危险化学品管理；健全环境风险防控工程，建立企业、产业集聚区和周边水系环境风险防控体系。建立完善有效的环境风险防控设施和有效的拦截、降污、导流等措施，防止对地表水环境造成危害。同区管理机构应根据园区自身特点，制定园区级综合环境应急预案，有计划地组织应急培训和演练，全面提升园区风险防控和事故应急处置能力。</w:t>
                  </w:r>
                </w:p>
              </w:tc>
              <w:tc>
                <w:tcPr>
                  <w:tcW w:w="1700" w:type="pct"/>
                  <w:noWrap w:val="0"/>
                  <w:vAlign w:val="center"/>
                </w:tcPr>
                <w:p w14:paraId="21B9E7EC">
                  <w:pPr>
                    <w:pStyle w:val="21"/>
                    <w:snapToGrid w:val="0"/>
                    <w:spacing w:line="360" w:lineRule="exact"/>
                    <w:rPr>
                      <w:szCs w:val="21"/>
                    </w:rPr>
                  </w:pPr>
                  <w:r>
                    <w:rPr>
                      <w:szCs w:val="21"/>
                    </w:rPr>
                    <w:t>本项目已提出风险防范措施，同时要求建设单位按照当地生态环境主管部门要求制定环境应急预案。</w:t>
                  </w:r>
                </w:p>
              </w:tc>
              <w:tc>
                <w:tcPr>
                  <w:tcW w:w="385" w:type="pct"/>
                  <w:noWrap w:val="0"/>
                  <w:vAlign w:val="center"/>
                </w:tcPr>
                <w:p w14:paraId="098389C5">
                  <w:pPr>
                    <w:pStyle w:val="21"/>
                    <w:snapToGrid w:val="0"/>
                    <w:spacing w:line="360" w:lineRule="exact"/>
                    <w:rPr>
                      <w:szCs w:val="21"/>
                    </w:rPr>
                  </w:pPr>
                  <w:r>
                    <w:rPr>
                      <w:szCs w:val="21"/>
                    </w:rPr>
                    <w:t>相符</w:t>
                  </w:r>
                </w:p>
              </w:tc>
            </w:tr>
            <w:tr w14:paraId="1828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4F6D18EE">
                  <w:pPr>
                    <w:pStyle w:val="21"/>
                    <w:snapToGrid w:val="0"/>
                    <w:spacing w:line="360" w:lineRule="exact"/>
                    <w:rPr>
                      <w:szCs w:val="21"/>
                    </w:rPr>
                  </w:pPr>
                </w:p>
              </w:tc>
              <w:tc>
                <w:tcPr>
                  <w:tcW w:w="385" w:type="pct"/>
                  <w:vMerge w:val="continue"/>
                  <w:noWrap w:val="0"/>
                  <w:vAlign w:val="center"/>
                </w:tcPr>
                <w:p w14:paraId="58A4F101">
                  <w:pPr>
                    <w:pStyle w:val="21"/>
                    <w:snapToGrid w:val="0"/>
                    <w:spacing w:line="360" w:lineRule="exact"/>
                    <w:rPr>
                      <w:szCs w:val="21"/>
                    </w:rPr>
                  </w:pPr>
                </w:p>
              </w:tc>
              <w:tc>
                <w:tcPr>
                  <w:tcW w:w="2298" w:type="pct"/>
                  <w:noWrap w:val="0"/>
                  <w:vAlign w:val="center"/>
                </w:tcPr>
                <w:p w14:paraId="7BE5EF1C">
                  <w:pPr>
                    <w:pStyle w:val="21"/>
                    <w:snapToGrid w:val="0"/>
                    <w:spacing w:line="360" w:lineRule="exact"/>
                    <w:rPr>
                      <w:szCs w:val="21"/>
                    </w:rPr>
                  </w:pPr>
                  <w:r>
                    <w:rPr>
                      <w:szCs w:val="21"/>
                    </w:rPr>
                    <w:t>利用重点行业企业用地土壤污染状况调查成果和注销、撤销排污许可的信息，将可能存在土壤污染风险的企业地块纳入监管，并按要求采取污染管控措施。</w:t>
                  </w:r>
                </w:p>
              </w:tc>
              <w:tc>
                <w:tcPr>
                  <w:tcW w:w="1700" w:type="pct"/>
                  <w:noWrap w:val="0"/>
                  <w:vAlign w:val="center"/>
                </w:tcPr>
                <w:p w14:paraId="0C00E081">
                  <w:pPr>
                    <w:pStyle w:val="21"/>
                    <w:snapToGrid w:val="0"/>
                    <w:spacing w:line="360" w:lineRule="exact"/>
                    <w:rPr>
                      <w:color w:val="0000FF"/>
                      <w:szCs w:val="21"/>
                    </w:rPr>
                  </w:pPr>
                  <w:r>
                    <w:rPr>
                      <w:rFonts w:hint="eastAsia" w:ascii="Times New Roman" w:hAnsi="Times New Roman" w:cs="Times New Roman"/>
                      <w:sz w:val="21"/>
                      <w:szCs w:val="21"/>
                      <w:lang w:eastAsia="zh-CN"/>
                    </w:rPr>
                    <w:t>本</w:t>
                  </w:r>
                  <w:r>
                    <w:rPr>
                      <w:rFonts w:hint="default" w:ascii="Times New Roman" w:hAnsi="Times New Roman" w:cs="Times New Roman"/>
                      <w:sz w:val="21"/>
                      <w:szCs w:val="21"/>
                    </w:rPr>
                    <w:t>项目不</w:t>
                  </w:r>
                  <w:r>
                    <w:rPr>
                      <w:rFonts w:hint="default" w:ascii="Times New Roman" w:hAnsi="Times New Roman" w:cs="Times New Roman"/>
                      <w:sz w:val="21"/>
                      <w:szCs w:val="21"/>
                      <w:lang w:eastAsia="zh-CN"/>
                    </w:rPr>
                    <w:t>涉及</w:t>
                  </w:r>
                  <w:r>
                    <w:rPr>
                      <w:rFonts w:hint="default" w:ascii="Times New Roman" w:hAnsi="Times New Roman" w:cs="Times New Roman"/>
                      <w:color w:val="auto"/>
                      <w:sz w:val="21"/>
                      <w:szCs w:val="21"/>
                      <w:lang w:eastAsia="zh-CN"/>
                    </w:rPr>
                    <w:t>。</w:t>
                  </w:r>
                </w:p>
              </w:tc>
              <w:tc>
                <w:tcPr>
                  <w:tcW w:w="385" w:type="pct"/>
                  <w:noWrap w:val="0"/>
                  <w:vAlign w:val="center"/>
                </w:tcPr>
                <w:p w14:paraId="13261631">
                  <w:pPr>
                    <w:pStyle w:val="21"/>
                    <w:snapToGrid w:val="0"/>
                    <w:spacing w:line="360" w:lineRule="exact"/>
                    <w:rPr>
                      <w:szCs w:val="21"/>
                    </w:rPr>
                  </w:pPr>
                  <w:r>
                    <w:rPr>
                      <w:szCs w:val="21"/>
                    </w:rPr>
                    <w:t>相符</w:t>
                  </w:r>
                </w:p>
              </w:tc>
            </w:tr>
            <w:tr w14:paraId="46394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7BD1E778">
                  <w:pPr>
                    <w:pStyle w:val="21"/>
                    <w:snapToGrid w:val="0"/>
                    <w:spacing w:line="360" w:lineRule="exact"/>
                    <w:rPr>
                      <w:szCs w:val="21"/>
                    </w:rPr>
                  </w:pPr>
                </w:p>
              </w:tc>
              <w:tc>
                <w:tcPr>
                  <w:tcW w:w="385" w:type="pct"/>
                  <w:vMerge w:val="continue"/>
                  <w:noWrap w:val="0"/>
                  <w:vAlign w:val="center"/>
                </w:tcPr>
                <w:p w14:paraId="34110A4E">
                  <w:pPr>
                    <w:pStyle w:val="21"/>
                    <w:snapToGrid w:val="0"/>
                    <w:spacing w:line="360" w:lineRule="exact"/>
                    <w:rPr>
                      <w:szCs w:val="21"/>
                    </w:rPr>
                  </w:pPr>
                </w:p>
              </w:tc>
              <w:tc>
                <w:tcPr>
                  <w:tcW w:w="2298" w:type="pct"/>
                  <w:noWrap w:val="0"/>
                  <w:vAlign w:val="center"/>
                </w:tcPr>
                <w:p w14:paraId="6C9B989D">
                  <w:pPr>
                    <w:pStyle w:val="21"/>
                    <w:snapToGrid w:val="0"/>
                    <w:spacing w:line="360" w:lineRule="exact"/>
                    <w:rPr>
                      <w:szCs w:val="21"/>
                    </w:rPr>
                  </w:pPr>
                  <w:r>
                    <w:rPr>
                      <w:szCs w:val="21"/>
                    </w:rPr>
                    <w:t>涉及化学需氧量、氨氮、总磷排放的建设项目，污染物实行等量或减量替代。</w:t>
                  </w:r>
                </w:p>
              </w:tc>
              <w:tc>
                <w:tcPr>
                  <w:tcW w:w="1700" w:type="pct"/>
                  <w:noWrap w:val="0"/>
                  <w:vAlign w:val="center"/>
                </w:tcPr>
                <w:p w14:paraId="7F8F535F">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eastAsia"/>
                      <w:color w:val="0000FF"/>
                      <w:szCs w:val="21"/>
                    </w:rPr>
                  </w:pPr>
                  <w:r>
                    <w:rPr>
                      <w:rFonts w:hint="default" w:ascii="Times New Roman" w:hAnsi="Times New Roman" w:cs="Times New Roman"/>
                      <w:sz w:val="21"/>
                      <w:szCs w:val="21"/>
                    </w:rPr>
                    <w:t>项目外排废水</w:t>
                  </w:r>
                  <w:r>
                    <w:rPr>
                      <w:rFonts w:hint="eastAsia" w:cs="Times New Roman"/>
                      <w:sz w:val="21"/>
                      <w:szCs w:val="21"/>
                      <w:lang w:eastAsia="zh-CN"/>
                    </w:rPr>
                    <w:t>只有</w:t>
                  </w:r>
                  <w:r>
                    <w:rPr>
                      <w:rFonts w:hint="default" w:ascii="Times New Roman" w:hAnsi="Times New Roman" w:cs="Times New Roman"/>
                      <w:sz w:val="21"/>
                      <w:szCs w:val="21"/>
                    </w:rPr>
                    <w:t>生活污水，</w:t>
                  </w:r>
                  <w:r>
                    <w:rPr>
                      <w:rFonts w:hint="default" w:ascii="Times New Roman" w:hAnsi="Times New Roman" w:eastAsia="宋体" w:cs="Times New Roman"/>
                      <w:color w:val="auto"/>
                      <w:kern w:val="0"/>
                      <w:sz w:val="21"/>
                      <w:szCs w:val="21"/>
                      <w:highlight w:val="none"/>
                      <w:lang w:val="en-US" w:eastAsia="zh-CN" w:bidi="ar"/>
                    </w:rPr>
                    <w:t>涉及化学需氧量、氨氮、总磷排放</w:t>
                  </w:r>
                  <w:r>
                    <w:rPr>
                      <w:rFonts w:hint="default" w:ascii="Times New Roman" w:hAnsi="Times New Roman" w:cs="Times New Roman"/>
                      <w:color w:val="auto"/>
                      <w:kern w:val="0"/>
                      <w:sz w:val="21"/>
                      <w:szCs w:val="21"/>
                      <w:highlight w:val="none"/>
                      <w:lang w:val="en-US" w:eastAsia="zh-CN" w:bidi="ar"/>
                    </w:rPr>
                    <w:t>，污染物</w:t>
                  </w:r>
                  <w:r>
                    <w:rPr>
                      <w:rFonts w:hint="eastAsia" w:cs="Times New Roman"/>
                      <w:color w:val="auto"/>
                      <w:kern w:val="0"/>
                      <w:sz w:val="21"/>
                      <w:szCs w:val="21"/>
                      <w:highlight w:val="none"/>
                      <w:lang w:val="en-US" w:eastAsia="zh-CN" w:bidi="ar"/>
                    </w:rPr>
                    <w:t>进行等量消减</w:t>
                  </w:r>
                  <w:r>
                    <w:rPr>
                      <w:rFonts w:hint="default" w:ascii="Times New Roman" w:hAnsi="Times New Roman" w:eastAsia="宋体" w:cs="Times New Roman"/>
                      <w:color w:val="auto"/>
                      <w:kern w:val="0"/>
                      <w:sz w:val="21"/>
                      <w:szCs w:val="21"/>
                      <w:highlight w:val="none"/>
                      <w:lang w:val="en-US" w:eastAsia="zh-CN" w:bidi="ar"/>
                    </w:rPr>
                    <w:t>替代</w:t>
                  </w:r>
                  <w:r>
                    <w:rPr>
                      <w:rFonts w:hint="default" w:ascii="Times New Roman" w:hAnsi="Times New Roman" w:cs="Times New Roman"/>
                      <w:color w:val="auto"/>
                      <w:kern w:val="0"/>
                      <w:sz w:val="21"/>
                      <w:szCs w:val="21"/>
                      <w:highlight w:val="none"/>
                      <w:lang w:val="en-US" w:eastAsia="zh-CN" w:bidi="ar"/>
                    </w:rPr>
                    <w:t>。</w:t>
                  </w:r>
                </w:p>
              </w:tc>
              <w:tc>
                <w:tcPr>
                  <w:tcW w:w="385" w:type="pct"/>
                  <w:noWrap w:val="0"/>
                  <w:vAlign w:val="center"/>
                </w:tcPr>
                <w:p w14:paraId="2BDDC429">
                  <w:pPr>
                    <w:pStyle w:val="21"/>
                    <w:snapToGrid w:val="0"/>
                    <w:spacing w:line="360" w:lineRule="exact"/>
                    <w:rPr>
                      <w:szCs w:val="21"/>
                    </w:rPr>
                  </w:pPr>
                  <w:r>
                    <w:rPr>
                      <w:szCs w:val="21"/>
                    </w:rPr>
                    <w:t>相符</w:t>
                  </w:r>
                </w:p>
              </w:tc>
            </w:tr>
            <w:tr w14:paraId="6FD29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51B5E40C">
                  <w:pPr>
                    <w:pStyle w:val="21"/>
                    <w:snapToGrid w:val="0"/>
                    <w:spacing w:line="360" w:lineRule="exact"/>
                    <w:rPr>
                      <w:szCs w:val="21"/>
                    </w:rPr>
                  </w:pPr>
                </w:p>
              </w:tc>
              <w:tc>
                <w:tcPr>
                  <w:tcW w:w="385" w:type="pct"/>
                  <w:vMerge w:val="restart"/>
                  <w:noWrap w:val="0"/>
                  <w:vAlign w:val="center"/>
                </w:tcPr>
                <w:p w14:paraId="0869FD95">
                  <w:pPr>
                    <w:pStyle w:val="21"/>
                    <w:snapToGrid w:val="0"/>
                    <w:spacing w:line="360" w:lineRule="exact"/>
                    <w:rPr>
                      <w:szCs w:val="21"/>
                    </w:rPr>
                  </w:pPr>
                  <w:r>
                    <w:rPr>
                      <w:szCs w:val="21"/>
                    </w:rPr>
                    <w:t>资源开发利用要求</w:t>
                  </w:r>
                </w:p>
              </w:tc>
              <w:tc>
                <w:tcPr>
                  <w:tcW w:w="2298" w:type="pct"/>
                  <w:noWrap w:val="0"/>
                  <w:vAlign w:val="center"/>
                </w:tcPr>
                <w:p w14:paraId="791D7C75">
                  <w:pPr>
                    <w:pStyle w:val="21"/>
                    <w:snapToGrid w:val="0"/>
                    <w:spacing w:line="360" w:lineRule="exact"/>
                    <w:rPr>
                      <w:szCs w:val="21"/>
                    </w:rPr>
                  </w:pPr>
                  <w:r>
                    <w:rPr>
                      <w:szCs w:val="21"/>
                    </w:rPr>
                    <w:t>禁止工艺落后，生产水平过低导致资源能源消耗量大的项目入驻</w:t>
                  </w:r>
                </w:p>
              </w:tc>
              <w:tc>
                <w:tcPr>
                  <w:tcW w:w="1700" w:type="pct"/>
                  <w:noWrap w:val="0"/>
                  <w:vAlign w:val="center"/>
                </w:tcPr>
                <w:p w14:paraId="291C0757">
                  <w:pPr>
                    <w:pStyle w:val="21"/>
                    <w:snapToGrid w:val="0"/>
                    <w:spacing w:line="360" w:lineRule="exact"/>
                    <w:jc w:val="both"/>
                    <w:rPr>
                      <w:szCs w:val="21"/>
                    </w:rPr>
                  </w:pPr>
                  <w:r>
                    <w:rPr>
                      <w:rFonts w:hint="default" w:ascii="Times New Roman" w:hAnsi="Times New Roman" w:cs="Times New Roman"/>
                      <w:color w:val="auto"/>
                      <w:sz w:val="21"/>
                      <w:szCs w:val="21"/>
                    </w:rPr>
                    <w:t>本项目不属于工艺落后，生产水平过低导致资源能源消耗量大的项目。本项目符合国家产业政策。</w:t>
                  </w:r>
                </w:p>
              </w:tc>
              <w:tc>
                <w:tcPr>
                  <w:tcW w:w="385" w:type="pct"/>
                  <w:noWrap w:val="0"/>
                  <w:vAlign w:val="center"/>
                </w:tcPr>
                <w:p w14:paraId="3E897433">
                  <w:pPr>
                    <w:pStyle w:val="21"/>
                    <w:snapToGrid w:val="0"/>
                    <w:spacing w:line="360" w:lineRule="exact"/>
                    <w:rPr>
                      <w:szCs w:val="21"/>
                    </w:rPr>
                  </w:pPr>
                  <w:r>
                    <w:rPr>
                      <w:szCs w:val="21"/>
                    </w:rPr>
                    <w:t>相符</w:t>
                  </w:r>
                </w:p>
              </w:tc>
            </w:tr>
            <w:tr w14:paraId="588EF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215FB114">
                  <w:pPr>
                    <w:pStyle w:val="21"/>
                    <w:snapToGrid w:val="0"/>
                    <w:spacing w:line="360" w:lineRule="exact"/>
                    <w:rPr>
                      <w:szCs w:val="21"/>
                    </w:rPr>
                  </w:pPr>
                </w:p>
              </w:tc>
              <w:tc>
                <w:tcPr>
                  <w:tcW w:w="385" w:type="pct"/>
                  <w:vMerge w:val="continue"/>
                  <w:noWrap w:val="0"/>
                  <w:vAlign w:val="center"/>
                </w:tcPr>
                <w:p w14:paraId="17675AC5">
                  <w:pPr>
                    <w:pStyle w:val="21"/>
                    <w:snapToGrid w:val="0"/>
                    <w:spacing w:line="360" w:lineRule="exact"/>
                    <w:rPr>
                      <w:szCs w:val="21"/>
                    </w:rPr>
                  </w:pPr>
                </w:p>
              </w:tc>
              <w:tc>
                <w:tcPr>
                  <w:tcW w:w="2298" w:type="pct"/>
                  <w:noWrap w:val="0"/>
                  <w:vAlign w:val="center"/>
                </w:tcPr>
                <w:p w14:paraId="233AED4B">
                  <w:pPr>
                    <w:pStyle w:val="21"/>
                    <w:snapToGrid w:val="0"/>
                    <w:spacing w:line="360" w:lineRule="exact"/>
                    <w:rPr>
                      <w:szCs w:val="21"/>
                    </w:rPr>
                  </w:pPr>
                  <w:r>
                    <w:rPr>
                      <w:szCs w:val="21"/>
                    </w:rPr>
                    <w:t>加强水资源开发利用效率，提高再生水利用率。</w:t>
                  </w:r>
                </w:p>
              </w:tc>
              <w:tc>
                <w:tcPr>
                  <w:tcW w:w="1700" w:type="pct"/>
                  <w:noWrap w:val="0"/>
                  <w:vAlign w:val="center"/>
                </w:tcPr>
                <w:p w14:paraId="5C6FC897">
                  <w:pPr>
                    <w:pStyle w:val="21"/>
                    <w:snapToGrid w:val="0"/>
                    <w:spacing w:line="360" w:lineRule="exact"/>
                    <w:jc w:val="left"/>
                    <w:rPr>
                      <w:szCs w:val="21"/>
                    </w:rPr>
                  </w:pPr>
                  <w:r>
                    <w:rPr>
                      <w:rFonts w:hint="default" w:ascii="Times New Roman" w:hAnsi="Times New Roman" w:cs="Times New Roman"/>
                      <w:color w:val="auto"/>
                      <w:sz w:val="21"/>
                      <w:szCs w:val="21"/>
                    </w:rPr>
                    <w:t>本项目不属于工艺落后，生产水平过低导致资源能源消耗量大的项目。本项目符合国家产业政策。</w:t>
                  </w:r>
                </w:p>
              </w:tc>
              <w:tc>
                <w:tcPr>
                  <w:tcW w:w="385" w:type="pct"/>
                  <w:noWrap w:val="0"/>
                  <w:vAlign w:val="center"/>
                </w:tcPr>
                <w:p w14:paraId="0E62B6B8">
                  <w:pPr>
                    <w:pStyle w:val="21"/>
                    <w:snapToGrid w:val="0"/>
                    <w:spacing w:line="360" w:lineRule="exact"/>
                    <w:rPr>
                      <w:szCs w:val="21"/>
                    </w:rPr>
                  </w:pPr>
                  <w:r>
                    <w:rPr>
                      <w:szCs w:val="21"/>
                    </w:rPr>
                    <w:t>相符</w:t>
                  </w:r>
                </w:p>
              </w:tc>
            </w:tr>
            <w:tr w14:paraId="3DD19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28" w:type="pct"/>
                  <w:vMerge w:val="continue"/>
                  <w:noWrap w:val="0"/>
                  <w:vAlign w:val="center"/>
                </w:tcPr>
                <w:p w14:paraId="7F17CD64">
                  <w:pPr>
                    <w:pStyle w:val="21"/>
                    <w:snapToGrid w:val="0"/>
                    <w:spacing w:line="360" w:lineRule="exact"/>
                    <w:rPr>
                      <w:szCs w:val="21"/>
                    </w:rPr>
                  </w:pPr>
                </w:p>
              </w:tc>
              <w:tc>
                <w:tcPr>
                  <w:tcW w:w="385" w:type="pct"/>
                  <w:vMerge w:val="continue"/>
                  <w:noWrap w:val="0"/>
                  <w:vAlign w:val="center"/>
                </w:tcPr>
                <w:p w14:paraId="03A86E4C">
                  <w:pPr>
                    <w:pStyle w:val="21"/>
                    <w:snapToGrid w:val="0"/>
                    <w:spacing w:line="360" w:lineRule="exact"/>
                    <w:rPr>
                      <w:szCs w:val="21"/>
                    </w:rPr>
                  </w:pPr>
                </w:p>
              </w:tc>
              <w:tc>
                <w:tcPr>
                  <w:tcW w:w="2298" w:type="pct"/>
                  <w:noWrap w:val="0"/>
                  <w:vAlign w:val="center"/>
                </w:tcPr>
                <w:p w14:paraId="5DD82CA6">
                  <w:pPr>
                    <w:pStyle w:val="21"/>
                    <w:snapToGrid w:val="0"/>
                    <w:spacing w:line="360" w:lineRule="exact"/>
                    <w:rPr>
                      <w:szCs w:val="21"/>
                    </w:rPr>
                  </w:pPr>
                  <w:r>
                    <w:rPr>
                      <w:szCs w:val="21"/>
                    </w:rPr>
                    <w:t>严格地下水管理，加强取水许可和计划用水管理，严格实行产业准入制度，严格控制新建、扩建、改建高耗水项目。</w:t>
                  </w:r>
                </w:p>
              </w:tc>
              <w:tc>
                <w:tcPr>
                  <w:tcW w:w="1700" w:type="pct"/>
                  <w:noWrap w:val="0"/>
                  <w:vAlign w:val="center"/>
                </w:tcPr>
                <w:p w14:paraId="694C77A3">
                  <w:pPr>
                    <w:pStyle w:val="21"/>
                    <w:snapToGrid w:val="0"/>
                    <w:spacing w:line="360" w:lineRule="exact"/>
                    <w:jc w:val="both"/>
                    <w:rPr>
                      <w:szCs w:val="21"/>
                    </w:rPr>
                  </w:pPr>
                  <w:r>
                    <w:rPr>
                      <w:rFonts w:hint="default" w:ascii="Times New Roman" w:hAnsi="Times New Roman" w:cs="Times New Roman"/>
                      <w:bCs w:val="0"/>
                      <w:sz w:val="21"/>
                      <w:szCs w:val="21"/>
                    </w:rPr>
                    <w:t>本项目用水由</w:t>
                  </w:r>
                  <w:r>
                    <w:rPr>
                      <w:rFonts w:hint="default" w:ascii="Times New Roman" w:hAnsi="Times New Roman" w:cs="Times New Roman"/>
                      <w:bCs w:val="0"/>
                      <w:sz w:val="21"/>
                      <w:szCs w:val="21"/>
                      <w:lang w:eastAsia="zh-CN"/>
                    </w:rPr>
                    <w:t>经开区</w:t>
                  </w:r>
                  <w:r>
                    <w:rPr>
                      <w:rFonts w:hint="default" w:ascii="Times New Roman" w:hAnsi="Times New Roman" w:cs="Times New Roman"/>
                      <w:bCs w:val="0"/>
                      <w:sz w:val="21"/>
                      <w:szCs w:val="21"/>
                    </w:rPr>
                    <w:t>管网集中供水，能够满足</w:t>
                  </w:r>
                  <w:r>
                    <w:rPr>
                      <w:rFonts w:hint="default" w:ascii="Times New Roman" w:hAnsi="Times New Roman" w:cs="Times New Roman"/>
                      <w:bCs w:val="0"/>
                      <w:sz w:val="21"/>
                      <w:szCs w:val="21"/>
                      <w:lang w:eastAsia="zh-CN"/>
                    </w:rPr>
                    <w:t>员工</w:t>
                  </w:r>
                  <w:r>
                    <w:rPr>
                      <w:rFonts w:hint="default" w:ascii="Times New Roman" w:hAnsi="Times New Roman" w:cs="Times New Roman"/>
                      <w:bCs w:val="0"/>
                      <w:sz w:val="21"/>
                      <w:szCs w:val="21"/>
                    </w:rPr>
                    <w:t>生活需求。不使用地下水资源。本项目不属于高耗水项目。</w:t>
                  </w:r>
                </w:p>
              </w:tc>
              <w:tc>
                <w:tcPr>
                  <w:tcW w:w="385" w:type="pct"/>
                  <w:noWrap w:val="0"/>
                  <w:vAlign w:val="center"/>
                </w:tcPr>
                <w:p w14:paraId="40CD72F2">
                  <w:pPr>
                    <w:pStyle w:val="21"/>
                    <w:snapToGrid w:val="0"/>
                    <w:spacing w:line="360" w:lineRule="exact"/>
                    <w:rPr>
                      <w:szCs w:val="21"/>
                    </w:rPr>
                  </w:pPr>
                  <w:r>
                    <w:rPr>
                      <w:szCs w:val="21"/>
                    </w:rPr>
                    <w:t>相符</w:t>
                  </w:r>
                </w:p>
              </w:tc>
            </w:tr>
            <w:tr w14:paraId="7104D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jc w:val="center"/>
              </w:trPr>
              <w:tc>
                <w:tcPr>
                  <w:tcW w:w="228" w:type="pct"/>
                  <w:vMerge w:val="continue"/>
                  <w:noWrap w:val="0"/>
                  <w:vAlign w:val="center"/>
                </w:tcPr>
                <w:p w14:paraId="5D766D1C">
                  <w:pPr>
                    <w:pStyle w:val="21"/>
                    <w:snapToGrid w:val="0"/>
                    <w:spacing w:line="360" w:lineRule="exact"/>
                    <w:rPr>
                      <w:szCs w:val="21"/>
                    </w:rPr>
                  </w:pPr>
                </w:p>
              </w:tc>
              <w:tc>
                <w:tcPr>
                  <w:tcW w:w="385" w:type="pct"/>
                  <w:vMerge w:val="continue"/>
                  <w:noWrap w:val="0"/>
                  <w:vAlign w:val="center"/>
                </w:tcPr>
                <w:p w14:paraId="64DA9A70">
                  <w:pPr>
                    <w:pStyle w:val="21"/>
                    <w:snapToGrid w:val="0"/>
                    <w:spacing w:line="360" w:lineRule="exact"/>
                    <w:rPr>
                      <w:szCs w:val="21"/>
                    </w:rPr>
                  </w:pPr>
                </w:p>
              </w:tc>
              <w:tc>
                <w:tcPr>
                  <w:tcW w:w="2298" w:type="pct"/>
                  <w:noWrap w:val="0"/>
                  <w:vAlign w:val="center"/>
                </w:tcPr>
                <w:p w14:paraId="155E31AC">
                  <w:pPr>
                    <w:pStyle w:val="21"/>
                    <w:snapToGrid w:val="0"/>
                    <w:spacing w:line="360" w:lineRule="exact"/>
                    <w:rPr>
                      <w:szCs w:val="21"/>
                    </w:rPr>
                  </w:pPr>
                  <w:r>
                    <w:rPr>
                      <w:szCs w:val="21"/>
                    </w:rPr>
                    <w:t>在禁燃区内，禁止销售、燃用高污染燃料；禁止新建、扩建燃用高污染燃料的设施，已建成的，应当在焦作市武陟县人民政府规定的期限内改用天然气、页岩气、液化石油气、电或者其他清洁能源。</w:t>
                  </w:r>
                </w:p>
              </w:tc>
              <w:tc>
                <w:tcPr>
                  <w:tcW w:w="1700" w:type="pct"/>
                  <w:noWrap w:val="0"/>
                  <w:vAlign w:val="center"/>
                </w:tcPr>
                <w:p w14:paraId="0F32F9A1">
                  <w:pPr>
                    <w:pStyle w:val="21"/>
                    <w:snapToGrid w:val="0"/>
                    <w:spacing w:line="360" w:lineRule="exact"/>
                    <w:jc w:val="both"/>
                    <w:rPr>
                      <w:szCs w:val="21"/>
                    </w:rPr>
                  </w:pPr>
                  <w:r>
                    <w:rPr>
                      <w:rFonts w:hint="default" w:ascii="Times New Roman" w:hAnsi="Times New Roman" w:cs="Times New Roman"/>
                      <w:color w:val="auto"/>
                      <w:sz w:val="21"/>
                      <w:szCs w:val="21"/>
                      <w:lang w:val="en-US" w:eastAsia="zh-CN"/>
                    </w:rPr>
                    <w:t>本项目仅使用电能，不涉及</w:t>
                  </w:r>
                  <w:r>
                    <w:rPr>
                      <w:rFonts w:hint="default" w:ascii="Times New Roman" w:hAnsi="Times New Roman" w:eastAsia="宋体" w:cs="Times New Roman"/>
                      <w:color w:val="auto"/>
                      <w:kern w:val="0"/>
                      <w:sz w:val="21"/>
                      <w:szCs w:val="21"/>
                      <w:lang w:val="en-US" w:eastAsia="zh-CN" w:bidi="ar"/>
                    </w:rPr>
                    <w:t>天然气、页岩气、液化石油气</w:t>
                  </w:r>
                  <w:r>
                    <w:rPr>
                      <w:rFonts w:hint="default" w:ascii="Times New Roman" w:hAnsi="Times New Roman"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高污染燃料</w:t>
                  </w:r>
                  <w:r>
                    <w:rPr>
                      <w:rFonts w:hint="default" w:ascii="Times New Roman" w:hAnsi="Times New Roman" w:cs="Times New Roman"/>
                      <w:color w:val="auto"/>
                      <w:kern w:val="0"/>
                      <w:sz w:val="21"/>
                      <w:szCs w:val="21"/>
                      <w:lang w:val="en-US" w:eastAsia="zh-CN" w:bidi="ar"/>
                    </w:rPr>
                    <w:t>的使用。</w:t>
                  </w:r>
                </w:p>
              </w:tc>
              <w:tc>
                <w:tcPr>
                  <w:tcW w:w="385" w:type="pct"/>
                  <w:noWrap w:val="0"/>
                  <w:vAlign w:val="center"/>
                </w:tcPr>
                <w:p w14:paraId="0C2B4875">
                  <w:pPr>
                    <w:pStyle w:val="21"/>
                    <w:snapToGrid w:val="0"/>
                    <w:spacing w:line="360" w:lineRule="exact"/>
                    <w:rPr>
                      <w:szCs w:val="21"/>
                    </w:rPr>
                  </w:pPr>
                  <w:r>
                    <w:rPr>
                      <w:szCs w:val="21"/>
                    </w:rPr>
                    <w:t>相符</w:t>
                  </w:r>
                </w:p>
              </w:tc>
            </w:tr>
          </w:tbl>
          <w:p w14:paraId="582C8D1B">
            <w:pPr>
              <w:pStyle w:val="20"/>
              <w:keepNext w:val="0"/>
              <w:keepLines w:val="0"/>
              <w:pageBreakBefore w:val="0"/>
              <w:widowControl/>
              <w:suppressLineNumbers w:val="0"/>
              <w:tabs>
                <w:tab w:val="left" w:pos="0"/>
              </w:tabs>
              <w:kinsoku/>
              <w:wordWrap/>
              <w:overflowPunct/>
              <w:topLinePunct w:val="0"/>
              <w:autoSpaceDE/>
              <w:autoSpaceDN/>
              <w:bidi w:val="0"/>
              <w:snapToGrid/>
              <w:spacing w:before="0" w:beforeAutospacing="0" w:after="0" w:afterAutospacing="0" w:line="520" w:lineRule="exact"/>
              <w:ind w:left="0" w:right="0" w:firstLine="480" w:firstLineChars="200"/>
              <w:jc w:val="both"/>
              <w:textAlignment w:val="auto"/>
              <w:rPr>
                <w:b w:val="0"/>
                <w:bCs/>
              </w:rPr>
            </w:pPr>
            <w:r>
              <w:rPr>
                <w:b w:val="0"/>
                <w:bCs/>
              </w:rPr>
              <w:t>根据上表可知，</w:t>
            </w:r>
            <w:r>
              <w:rPr>
                <w:rFonts w:hint="eastAsia"/>
                <w:b w:val="0"/>
                <w:bCs/>
                <w:lang w:eastAsia="zh-CN"/>
              </w:rPr>
              <w:t>本</w:t>
            </w:r>
            <w:r>
              <w:rPr>
                <w:b w:val="0"/>
                <w:bCs/>
              </w:rPr>
              <w:t>项目符合</w:t>
            </w:r>
            <w:r>
              <w:rPr>
                <w:rFonts w:hint="default" w:ascii="Times New Roman" w:hAnsi="Times New Roman" w:cs="Times New Roman"/>
                <w:b w:val="0"/>
                <w:bCs/>
                <w:highlight w:val="none"/>
              </w:rPr>
              <w:t>武陟经济技术开发区环境准入条件</w:t>
            </w:r>
            <w:r>
              <w:rPr>
                <w:rFonts w:hint="eastAsia"/>
                <w:b w:val="0"/>
                <w:bCs/>
              </w:rPr>
              <w:t>要求</w:t>
            </w:r>
            <w:r>
              <w:rPr>
                <w:b w:val="0"/>
                <w:bCs/>
              </w:rPr>
              <w:t>。</w:t>
            </w:r>
          </w:p>
          <w:p w14:paraId="5302D5D2">
            <w:pPr>
              <w:numPr>
                <w:ilvl w:val="0"/>
                <w:numId w:val="0"/>
              </w:numPr>
              <w:spacing w:line="520" w:lineRule="exact"/>
              <w:ind w:firstLine="480" w:firstLineChars="200"/>
              <w:rPr>
                <w:rFonts w:hint="eastAsia" w:eastAsia="宋体"/>
                <w:lang w:eastAsia="zh-CN"/>
              </w:rPr>
            </w:pPr>
            <w:r>
              <w:rPr>
                <w:rFonts w:hint="eastAsia"/>
              </w:rPr>
              <w:t>项目与武陟经济技术开发区鼓励类和允许类产业清单相符性</w:t>
            </w:r>
            <w:r>
              <w:rPr>
                <w:rFonts w:hint="eastAsia"/>
                <w:lang w:eastAsia="zh-CN"/>
              </w:rPr>
              <w:t>分析如下：</w:t>
            </w:r>
          </w:p>
          <w:p w14:paraId="6F350AC5">
            <w:pPr>
              <w:pStyle w:val="20"/>
              <w:keepNext w:val="0"/>
              <w:keepLines w:val="0"/>
              <w:pageBreakBefore w:val="0"/>
              <w:widowControl/>
              <w:suppressLineNumbers w:val="0"/>
              <w:tabs>
                <w:tab w:val="left" w:pos="0"/>
              </w:tabs>
              <w:kinsoku/>
              <w:wordWrap/>
              <w:overflowPunct/>
              <w:topLinePunct w:val="0"/>
              <w:autoSpaceDE/>
              <w:autoSpaceDN/>
              <w:bidi w:val="0"/>
              <w:snapToGrid/>
              <w:spacing w:before="0" w:beforeAutospacing="0" w:after="0" w:afterAutospacing="0" w:line="520" w:lineRule="exact"/>
              <w:ind w:left="0" w:right="0" w:firstLine="0" w:firstLineChars="0"/>
              <w:textAlignment w:val="auto"/>
              <w:rPr>
                <w:rFonts w:hint="default" w:ascii="Times New Roman" w:hAnsi="Times New Roman" w:cs="Times New Roman"/>
                <w:b/>
                <w:bCs w:val="0"/>
              </w:rPr>
            </w:pPr>
            <w:r>
              <w:rPr>
                <w:rFonts w:hint="default" w:ascii="Times New Roman" w:hAnsi="Times New Roman" w:cs="Times New Roman"/>
                <w:b/>
                <w:bCs w:val="0"/>
                <w:highlight w:val="none"/>
              </w:rPr>
              <w:t>表1-</w:t>
            </w:r>
            <w:r>
              <w:rPr>
                <w:rFonts w:hint="eastAsia" w:ascii="Times New Roman" w:hAnsi="Times New Roman" w:cs="Times New Roman"/>
                <w:b/>
                <w:bCs w:val="0"/>
                <w:highlight w:val="none"/>
                <w:lang w:val="en-US" w:eastAsia="zh-CN"/>
              </w:rPr>
              <w:t>2</w:t>
            </w:r>
            <w:r>
              <w:rPr>
                <w:rFonts w:hint="default" w:ascii="Times New Roman" w:hAnsi="Times New Roman" w:cs="Times New Roman"/>
                <w:b/>
                <w:bCs w:val="0"/>
                <w:highlight w:val="none"/>
              </w:rPr>
              <w:t xml:space="preserve">  本项目与武陟经济技术开发区</w:t>
            </w:r>
            <w:r>
              <w:rPr>
                <w:rFonts w:hint="eastAsia" w:ascii="Times New Roman" w:hAnsi="Times New Roman" w:cs="Times New Roman"/>
                <w:b/>
                <w:bCs w:val="0"/>
                <w:highlight w:val="none"/>
                <w:lang w:eastAsia="zh-CN"/>
              </w:rPr>
              <w:t>鼓励类和允许类产业</w:t>
            </w:r>
            <w:r>
              <w:rPr>
                <w:rFonts w:hint="default" w:ascii="Times New Roman" w:hAnsi="Times New Roman" w:cs="Times New Roman"/>
                <w:b/>
                <w:bCs w:val="0"/>
                <w:highlight w:val="none"/>
              </w:rPr>
              <w:t>相符</w:t>
            </w:r>
            <w:r>
              <w:rPr>
                <w:rFonts w:hint="default" w:ascii="Times New Roman" w:hAnsi="Times New Roman" w:cs="Times New Roman"/>
                <w:b/>
                <w:bCs w:val="0"/>
              </w:rPr>
              <w:t>性分析一览表</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4815"/>
              <w:gridCol w:w="2151"/>
              <w:gridCol w:w="809"/>
            </w:tblGrid>
            <w:tr w14:paraId="5F099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6" w:type="pct"/>
                  <w:tcBorders>
                    <w:tl2br w:val="nil"/>
                    <w:tr2bl w:val="nil"/>
                  </w:tcBorders>
                  <w:noWrap w:val="0"/>
                  <w:vAlign w:val="center"/>
                </w:tcPr>
                <w:p w14:paraId="77479FE6">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center"/>
                    <w:textAlignment w:val="auto"/>
                    <w:rPr>
                      <w:rFonts w:hint="default" w:ascii="Times New Roman" w:hAnsi="Times New Roman" w:eastAsia="宋体" w:cs="Times New Roman"/>
                      <w:b w:val="0"/>
                      <w:bCs w:val="0"/>
                      <w:color w:val="000000"/>
                      <w:kern w:val="0"/>
                      <w:sz w:val="21"/>
                      <w:szCs w:val="21"/>
                      <w:lang w:val="en-US" w:eastAsia="zh-CN" w:bidi="ar"/>
                    </w:rPr>
                  </w:pPr>
                  <w:r>
                    <w:rPr>
                      <w:rFonts w:hint="default" w:ascii="Times New Roman" w:hAnsi="Times New Roman" w:eastAsia="宋体" w:cs="Times New Roman"/>
                      <w:b w:val="0"/>
                      <w:bCs w:val="0"/>
                      <w:color w:val="000000"/>
                      <w:kern w:val="0"/>
                      <w:sz w:val="21"/>
                      <w:szCs w:val="21"/>
                      <w:lang w:val="en-US" w:eastAsia="zh-CN" w:bidi="ar"/>
                    </w:rPr>
                    <w:t>项目</w:t>
                  </w:r>
                </w:p>
                <w:p w14:paraId="60D670DB">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 w:val="0"/>
                      <w:bCs w:val="0"/>
                      <w:color w:val="000000"/>
                      <w:sz w:val="21"/>
                      <w:szCs w:val="21"/>
                    </w:rPr>
                  </w:pPr>
                  <w:r>
                    <w:rPr>
                      <w:rFonts w:hint="default" w:ascii="Times New Roman" w:hAnsi="Times New Roman" w:eastAsia="宋体" w:cs="Times New Roman"/>
                      <w:b w:val="0"/>
                      <w:bCs w:val="0"/>
                      <w:color w:val="000000"/>
                      <w:kern w:val="0"/>
                      <w:sz w:val="21"/>
                      <w:szCs w:val="21"/>
                      <w:lang w:val="en-US" w:eastAsia="zh-CN" w:bidi="ar"/>
                    </w:rPr>
                    <w:t>类别</w:t>
                  </w:r>
                </w:p>
              </w:tc>
              <w:tc>
                <w:tcPr>
                  <w:tcW w:w="2764" w:type="pct"/>
                  <w:tcBorders>
                    <w:tl2br w:val="nil"/>
                    <w:tr2bl w:val="nil"/>
                  </w:tcBorders>
                  <w:noWrap w:val="0"/>
                  <w:vAlign w:val="center"/>
                </w:tcPr>
                <w:p w14:paraId="05EFF06D">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center"/>
                    <w:textAlignment w:val="auto"/>
                    <w:rPr>
                      <w:rFonts w:hint="default" w:ascii="Times New Roman" w:hAnsi="Times New Roman" w:eastAsia="宋体" w:cs="Times New Roman"/>
                      <w:b w:val="0"/>
                      <w:bCs w:val="0"/>
                      <w:color w:val="000000"/>
                      <w:kern w:val="0"/>
                      <w:sz w:val="21"/>
                      <w:szCs w:val="21"/>
                      <w:lang w:val="en-US" w:eastAsia="zh-CN" w:bidi="ar"/>
                    </w:rPr>
                  </w:pPr>
                  <w:r>
                    <w:rPr>
                      <w:rFonts w:hint="default" w:ascii="Times New Roman" w:hAnsi="Times New Roman" w:eastAsia="宋体" w:cs="Times New Roman"/>
                      <w:b w:val="0"/>
                      <w:bCs w:val="0"/>
                      <w:color w:val="000000"/>
                      <w:kern w:val="0"/>
                      <w:sz w:val="21"/>
                      <w:szCs w:val="21"/>
                      <w:lang w:val="en-US" w:eastAsia="zh-CN" w:bidi="ar"/>
                    </w:rPr>
                    <w:t>生态准入条件</w:t>
                  </w:r>
                </w:p>
              </w:tc>
              <w:tc>
                <w:tcPr>
                  <w:tcW w:w="1234" w:type="pct"/>
                  <w:tcBorders>
                    <w:tl2br w:val="nil"/>
                    <w:tr2bl w:val="nil"/>
                  </w:tcBorders>
                  <w:noWrap w:val="0"/>
                  <w:vAlign w:val="center"/>
                </w:tcPr>
                <w:p w14:paraId="64CAB8B9">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center"/>
                    <w:textAlignment w:val="auto"/>
                    <w:rPr>
                      <w:rFonts w:hint="default" w:ascii="Times New Roman" w:hAnsi="Times New Roman" w:eastAsia="宋体" w:cs="Times New Roman"/>
                      <w:b w:val="0"/>
                      <w:bCs w:val="0"/>
                      <w:color w:val="000000"/>
                      <w:kern w:val="0"/>
                      <w:sz w:val="21"/>
                      <w:szCs w:val="21"/>
                      <w:lang w:val="en-US" w:eastAsia="zh-CN" w:bidi="ar"/>
                    </w:rPr>
                  </w:pPr>
                  <w:r>
                    <w:rPr>
                      <w:rFonts w:hint="default" w:ascii="Times New Roman" w:hAnsi="Times New Roman" w:eastAsia="宋体" w:cs="Times New Roman"/>
                      <w:b w:val="0"/>
                      <w:bCs w:val="0"/>
                      <w:color w:val="000000"/>
                      <w:kern w:val="0"/>
                      <w:sz w:val="21"/>
                      <w:szCs w:val="21"/>
                      <w:lang w:val="en-US" w:eastAsia="zh-CN" w:bidi="ar"/>
                    </w:rPr>
                    <w:t>对比情况</w:t>
                  </w:r>
                </w:p>
              </w:tc>
              <w:tc>
                <w:tcPr>
                  <w:tcW w:w="464" w:type="pct"/>
                  <w:tcBorders>
                    <w:tl2br w:val="nil"/>
                    <w:tr2bl w:val="nil"/>
                  </w:tcBorders>
                  <w:noWrap w:val="0"/>
                  <w:vAlign w:val="center"/>
                </w:tcPr>
                <w:p w14:paraId="1B50C317">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center"/>
                    <w:textAlignment w:val="auto"/>
                    <w:rPr>
                      <w:rFonts w:hint="default" w:ascii="Times New Roman" w:hAnsi="Times New Roman" w:eastAsia="宋体" w:cs="Times New Roman"/>
                      <w:b w:val="0"/>
                      <w:bCs w:val="0"/>
                      <w:color w:val="000000"/>
                      <w:kern w:val="0"/>
                      <w:sz w:val="21"/>
                      <w:szCs w:val="21"/>
                      <w:lang w:val="en-US" w:eastAsia="zh-CN" w:bidi="ar"/>
                    </w:rPr>
                  </w:pPr>
                  <w:r>
                    <w:rPr>
                      <w:rFonts w:hint="default" w:ascii="Times New Roman" w:hAnsi="Times New Roman" w:eastAsia="宋体" w:cs="Times New Roman"/>
                      <w:b w:val="0"/>
                      <w:bCs w:val="0"/>
                      <w:color w:val="000000"/>
                      <w:kern w:val="0"/>
                      <w:sz w:val="21"/>
                      <w:szCs w:val="21"/>
                      <w:lang w:val="en-US" w:eastAsia="zh-CN" w:bidi="ar"/>
                    </w:rPr>
                    <w:t>相符性</w:t>
                  </w:r>
                </w:p>
              </w:tc>
            </w:tr>
            <w:tr w14:paraId="5267B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536" w:type="pct"/>
                  <w:vMerge w:val="restart"/>
                  <w:tcBorders>
                    <w:tl2br w:val="nil"/>
                    <w:tr2bl w:val="nil"/>
                  </w:tcBorders>
                  <w:noWrap w:val="0"/>
                  <w:vAlign w:val="center"/>
                </w:tcPr>
                <w:p w14:paraId="5191C1E0">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cs="Times New Roman"/>
                      <w:bCs/>
                      <w:color w:val="000000"/>
                      <w:sz w:val="21"/>
                      <w:szCs w:val="21"/>
                      <w:highlight w:val="none"/>
                      <w:lang w:val="en-US" w:eastAsia="zh-CN"/>
                    </w:rPr>
                    <w:t>鼓励类</w:t>
                  </w:r>
                </w:p>
              </w:tc>
              <w:tc>
                <w:tcPr>
                  <w:tcW w:w="2764" w:type="pct"/>
                  <w:tcBorders>
                    <w:tl2br w:val="nil"/>
                    <w:tr2bl w:val="nil"/>
                  </w:tcBorders>
                  <w:noWrap w:val="0"/>
                  <w:vAlign w:val="center"/>
                </w:tcPr>
                <w:p w14:paraId="55C7545D">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1、符合开发区规划产业定位，或能与主导产业形成产业链，或者较好资源能源利用项目</w:t>
                  </w:r>
                </w:p>
              </w:tc>
              <w:tc>
                <w:tcPr>
                  <w:tcW w:w="1234" w:type="pct"/>
                  <w:vMerge w:val="restart"/>
                  <w:tcBorders>
                    <w:tl2br w:val="nil"/>
                    <w:tr2bl w:val="nil"/>
                  </w:tcBorders>
                  <w:noWrap w:val="0"/>
                  <w:vAlign w:val="center"/>
                </w:tcPr>
                <w:p w14:paraId="4F9B8B7B">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w:t>
                  </w:r>
                  <w:r>
                    <w:rPr>
                      <w:rFonts w:hint="default" w:ascii="Times New Roman" w:hAnsi="Times New Roman" w:cs="Times New Roman"/>
                      <w:bCs/>
                      <w:color w:val="auto"/>
                      <w:sz w:val="21"/>
                      <w:szCs w:val="21"/>
                      <w:lang w:val="en-US" w:eastAsia="zh-CN"/>
                    </w:rPr>
                    <w:t>不涉及。</w:t>
                  </w:r>
                </w:p>
              </w:tc>
              <w:tc>
                <w:tcPr>
                  <w:tcW w:w="464" w:type="pct"/>
                  <w:vMerge w:val="restart"/>
                  <w:tcBorders>
                    <w:tl2br w:val="nil"/>
                    <w:tr2bl w:val="nil"/>
                  </w:tcBorders>
                  <w:noWrap w:val="0"/>
                  <w:vAlign w:val="center"/>
                </w:tcPr>
                <w:p w14:paraId="75061BD3">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相符</w:t>
                  </w:r>
                </w:p>
              </w:tc>
            </w:tr>
            <w:tr w14:paraId="5BC46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536" w:type="pct"/>
                  <w:vMerge w:val="continue"/>
                  <w:tcBorders>
                    <w:tl2br w:val="nil"/>
                    <w:tr2bl w:val="nil"/>
                  </w:tcBorders>
                  <w:noWrap w:val="0"/>
                  <w:vAlign w:val="center"/>
                </w:tcPr>
                <w:p w14:paraId="19EF2EBD">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000000"/>
                      <w:sz w:val="21"/>
                      <w:szCs w:val="21"/>
                      <w:highlight w:val="none"/>
                    </w:rPr>
                  </w:pPr>
                </w:p>
              </w:tc>
              <w:tc>
                <w:tcPr>
                  <w:tcW w:w="2764" w:type="pct"/>
                  <w:tcBorders>
                    <w:tl2br w:val="nil"/>
                    <w:tr2bl w:val="nil"/>
                  </w:tcBorders>
                  <w:noWrap w:val="0"/>
                  <w:vAlign w:val="center"/>
                </w:tcPr>
                <w:p w14:paraId="7FC0208B">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2、有利于开发区产业链条延伸的项目，市政基础设施、资源综合利用、有利于节能减排的技术改造项目</w:t>
                  </w:r>
                </w:p>
              </w:tc>
              <w:tc>
                <w:tcPr>
                  <w:tcW w:w="1234" w:type="pct"/>
                  <w:vMerge w:val="continue"/>
                  <w:tcBorders>
                    <w:tl2br w:val="nil"/>
                    <w:tr2bl w:val="nil"/>
                  </w:tcBorders>
                  <w:noWrap w:val="0"/>
                  <w:vAlign w:val="center"/>
                </w:tcPr>
                <w:p w14:paraId="122A3FBC">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color w:val="auto"/>
                      <w:sz w:val="21"/>
                      <w:szCs w:val="21"/>
                    </w:rPr>
                  </w:pPr>
                </w:p>
              </w:tc>
              <w:tc>
                <w:tcPr>
                  <w:tcW w:w="464" w:type="pct"/>
                  <w:vMerge w:val="continue"/>
                  <w:tcBorders>
                    <w:tl2br w:val="nil"/>
                    <w:tr2bl w:val="nil"/>
                  </w:tcBorders>
                  <w:noWrap w:val="0"/>
                  <w:vAlign w:val="center"/>
                </w:tcPr>
                <w:p w14:paraId="4E21CC5C">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auto"/>
                      <w:sz w:val="21"/>
                      <w:szCs w:val="21"/>
                      <w:lang w:val="en-US" w:eastAsia="zh-CN"/>
                    </w:rPr>
                  </w:pPr>
                </w:p>
              </w:tc>
            </w:tr>
            <w:tr w14:paraId="19B5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536" w:type="pct"/>
                  <w:vMerge w:val="continue"/>
                  <w:tcBorders>
                    <w:tl2br w:val="nil"/>
                    <w:tr2bl w:val="nil"/>
                  </w:tcBorders>
                  <w:noWrap w:val="0"/>
                  <w:vAlign w:val="center"/>
                </w:tcPr>
                <w:p w14:paraId="113DB096">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000000"/>
                      <w:sz w:val="21"/>
                      <w:szCs w:val="21"/>
                      <w:highlight w:val="none"/>
                    </w:rPr>
                  </w:pPr>
                </w:p>
              </w:tc>
              <w:tc>
                <w:tcPr>
                  <w:tcW w:w="2764" w:type="pct"/>
                  <w:tcBorders>
                    <w:tl2br w:val="nil"/>
                    <w:tr2bl w:val="nil"/>
                  </w:tcBorders>
                  <w:noWrap w:val="0"/>
                  <w:vAlign w:val="center"/>
                </w:tcPr>
                <w:p w14:paraId="710DBC33">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3、符合开发区规划产业定位，风险防范水平高，属国家产业政策鼓励类项目</w:t>
                  </w:r>
                </w:p>
              </w:tc>
              <w:tc>
                <w:tcPr>
                  <w:tcW w:w="1234" w:type="pct"/>
                  <w:vMerge w:val="continue"/>
                  <w:tcBorders>
                    <w:tl2br w:val="nil"/>
                    <w:tr2bl w:val="nil"/>
                  </w:tcBorders>
                  <w:noWrap w:val="0"/>
                  <w:vAlign w:val="center"/>
                </w:tcPr>
                <w:p w14:paraId="7FEC493C">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color w:val="auto"/>
                      <w:sz w:val="21"/>
                      <w:szCs w:val="21"/>
                    </w:rPr>
                  </w:pPr>
                </w:p>
              </w:tc>
              <w:tc>
                <w:tcPr>
                  <w:tcW w:w="464" w:type="pct"/>
                  <w:vMerge w:val="continue"/>
                  <w:tcBorders>
                    <w:tl2br w:val="nil"/>
                    <w:tr2bl w:val="nil"/>
                  </w:tcBorders>
                  <w:noWrap w:val="0"/>
                  <w:vAlign w:val="center"/>
                </w:tcPr>
                <w:p w14:paraId="6D08FFF8">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auto"/>
                      <w:sz w:val="21"/>
                      <w:szCs w:val="21"/>
                      <w:lang w:val="en-US" w:eastAsia="zh-CN"/>
                    </w:rPr>
                  </w:pPr>
                </w:p>
              </w:tc>
            </w:tr>
            <w:tr w14:paraId="5E4CB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536" w:type="pct"/>
                  <w:vMerge w:val="continue"/>
                  <w:tcBorders>
                    <w:tl2br w:val="nil"/>
                    <w:tr2bl w:val="nil"/>
                  </w:tcBorders>
                  <w:noWrap w:val="0"/>
                  <w:vAlign w:val="center"/>
                </w:tcPr>
                <w:p w14:paraId="6274C67F">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000000"/>
                      <w:sz w:val="21"/>
                      <w:szCs w:val="21"/>
                      <w:highlight w:val="none"/>
                    </w:rPr>
                  </w:pPr>
                </w:p>
              </w:tc>
              <w:tc>
                <w:tcPr>
                  <w:tcW w:w="2764" w:type="pct"/>
                  <w:tcBorders>
                    <w:tl2br w:val="nil"/>
                    <w:tr2bl w:val="nil"/>
                  </w:tcBorders>
                  <w:noWrap w:val="0"/>
                  <w:vAlign w:val="center"/>
                </w:tcPr>
                <w:p w14:paraId="3E14D64C">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4、与开发区规划的主导产业上下游产业关联度较高的项目，属于国家产业政策鼓励类项目</w:t>
                  </w:r>
                </w:p>
              </w:tc>
              <w:tc>
                <w:tcPr>
                  <w:tcW w:w="1234" w:type="pct"/>
                  <w:vMerge w:val="continue"/>
                  <w:tcBorders>
                    <w:tl2br w:val="nil"/>
                    <w:tr2bl w:val="nil"/>
                  </w:tcBorders>
                  <w:noWrap w:val="0"/>
                  <w:vAlign w:val="center"/>
                </w:tcPr>
                <w:p w14:paraId="55BB7354">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color w:val="auto"/>
                      <w:sz w:val="21"/>
                      <w:szCs w:val="21"/>
                    </w:rPr>
                  </w:pPr>
                </w:p>
              </w:tc>
              <w:tc>
                <w:tcPr>
                  <w:tcW w:w="464" w:type="pct"/>
                  <w:vMerge w:val="continue"/>
                  <w:tcBorders>
                    <w:tl2br w:val="nil"/>
                    <w:tr2bl w:val="nil"/>
                  </w:tcBorders>
                  <w:noWrap w:val="0"/>
                  <w:vAlign w:val="center"/>
                </w:tcPr>
                <w:p w14:paraId="41037D52">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auto"/>
                      <w:sz w:val="21"/>
                      <w:szCs w:val="21"/>
                      <w:lang w:val="en-US" w:eastAsia="zh-CN"/>
                    </w:rPr>
                  </w:pPr>
                </w:p>
              </w:tc>
            </w:tr>
            <w:tr w14:paraId="1B8AF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6" w:type="pct"/>
                  <w:vMerge w:val="continue"/>
                  <w:tcBorders>
                    <w:tl2br w:val="nil"/>
                    <w:tr2bl w:val="nil"/>
                  </w:tcBorders>
                  <w:noWrap w:val="0"/>
                  <w:vAlign w:val="center"/>
                </w:tcPr>
                <w:p w14:paraId="5DB4AFE6">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000000"/>
                      <w:sz w:val="21"/>
                      <w:szCs w:val="21"/>
                      <w:highlight w:val="none"/>
                    </w:rPr>
                  </w:pPr>
                </w:p>
              </w:tc>
              <w:tc>
                <w:tcPr>
                  <w:tcW w:w="2764" w:type="pct"/>
                  <w:tcBorders>
                    <w:tl2br w:val="nil"/>
                    <w:tr2bl w:val="nil"/>
                  </w:tcBorders>
                  <w:noWrap w:val="0"/>
                  <w:vAlign w:val="center"/>
                </w:tcPr>
                <w:p w14:paraId="69964456">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5、符合开发区土地利用规划、产业定位，绿色低碳、附加值高且规模以上退城入园项目</w:t>
                  </w:r>
                </w:p>
              </w:tc>
              <w:tc>
                <w:tcPr>
                  <w:tcW w:w="1234" w:type="pct"/>
                  <w:vMerge w:val="continue"/>
                  <w:tcBorders>
                    <w:tl2br w:val="nil"/>
                    <w:tr2bl w:val="nil"/>
                  </w:tcBorders>
                  <w:noWrap w:val="0"/>
                  <w:vAlign w:val="center"/>
                </w:tcPr>
                <w:p w14:paraId="7838AD28">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color w:val="auto"/>
                      <w:sz w:val="21"/>
                      <w:szCs w:val="21"/>
                    </w:rPr>
                  </w:pPr>
                </w:p>
              </w:tc>
              <w:tc>
                <w:tcPr>
                  <w:tcW w:w="464" w:type="pct"/>
                  <w:vMerge w:val="continue"/>
                  <w:tcBorders>
                    <w:tl2br w:val="nil"/>
                    <w:tr2bl w:val="nil"/>
                  </w:tcBorders>
                  <w:noWrap w:val="0"/>
                  <w:vAlign w:val="center"/>
                </w:tcPr>
                <w:p w14:paraId="62C53812">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auto"/>
                      <w:sz w:val="21"/>
                      <w:szCs w:val="21"/>
                      <w:lang w:val="en-US" w:eastAsia="zh-CN"/>
                    </w:rPr>
                  </w:pPr>
                </w:p>
              </w:tc>
            </w:tr>
            <w:tr w14:paraId="3E57A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6" w:type="pct"/>
                  <w:vMerge w:val="restart"/>
                  <w:tcBorders>
                    <w:tl2br w:val="nil"/>
                    <w:tr2bl w:val="nil"/>
                  </w:tcBorders>
                  <w:noWrap w:val="0"/>
                  <w:vAlign w:val="center"/>
                </w:tcPr>
                <w:p w14:paraId="6CE98130">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cs="Times New Roman"/>
                      <w:bCs/>
                      <w:color w:val="000000"/>
                      <w:sz w:val="21"/>
                      <w:szCs w:val="21"/>
                      <w:highlight w:val="none"/>
                      <w:lang w:val="en-US" w:eastAsia="zh-CN"/>
                    </w:rPr>
                    <w:t>允许类</w:t>
                  </w:r>
                </w:p>
              </w:tc>
              <w:tc>
                <w:tcPr>
                  <w:tcW w:w="2764" w:type="pct"/>
                  <w:tcBorders>
                    <w:tl2br w:val="nil"/>
                    <w:tr2bl w:val="nil"/>
                  </w:tcBorders>
                  <w:noWrap w:val="0"/>
                  <w:vAlign w:val="center"/>
                </w:tcPr>
                <w:p w14:paraId="7C9E1601">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1、允许符合国家及地方产业政策、环保要求，且符合开发区生态准入条件的项目入驻</w:t>
                  </w:r>
                </w:p>
              </w:tc>
              <w:tc>
                <w:tcPr>
                  <w:tcW w:w="1234" w:type="pct"/>
                  <w:vMerge w:val="restart"/>
                  <w:tcBorders>
                    <w:tl2br w:val="nil"/>
                    <w:tr2bl w:val="nil"/>
                  </w:tcBorders>
                  <w:noWrap w:val="0"/>
                  <w:vAlign w:val="center"/>
                </w:tcPr>
                <w:p w14:paraId="1AB580CF">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w:t>
                  </w:r>
                  <w:r>
                    <w:rPr>
                      <w:rFonts w:hint="default" w:ascii="Times New Roman" w:hAnsi="Times New Roman" w:eastAsia="宋体" w:cs="Times New Roman"/>
                      <w:color w:val="auto"/>
                      <w:kern w:val="0"/>
                      <w:sz w:val="21"/>
                      <w:szCs w:val="21"/>
                      <w:lang w:val="en-US" w:eastAsia="zh-CN" w:bidi="ar"/>
                    </w:rPr>
                    <w:t>符合国家及地方产业政策、环保要求，且符合开发区生态准入条件的项目。</w:t>
                  </w:r>
                </w:p>
              </w:tc>
              <w:tc>
                <w:tcPr>
                  <w:tcW w:w="464" w:type="pct"/>
                  <w:vMerge w:val="restart"/>
                  <w:tcBorders>
                    <w:tl2br w:val="nil"/>
                    <w:tr2bl w:val="nil"/>
                  </w:tcBorders>
                  <w:noWrap w:val="0"/>
                  <w:vAlign w:val="center"/>
                </w:tcPr>
                <w:p w14:paraId="0FD5F6FE">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相符</w:t>
                  </w:r>
                </w:p>
              </w:tc>
            </w:tr>
            <w:tr w14:paraId="153E6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36" w:type="pct"/>
                  <w:vMerge w:val="continue"/>
                  <w:tcBorders>
                    <w:tl2br w:val="nil"/>
                    <w:tr2bl w:val="nil"/>
                  </w:tcBorders>
                  <w:noWrap w:val="0"/>
                  <w:vAlign w:val="center"/>
                </w:tcPr>
                <w:p w14:paraId="3E93E39C">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000000"/>
                      <w:sz w:val="21"/>
                      <w:szCs w:val="21"/>
                    </w:rPr>
                  </w:pPr>
                </w:p>
              </w:tc>
              <w:tc>
                <w:tcPr>
                  <w:tcW w:w="2764" w:type="pct"/>
                  <w:tcBorders>
                    <w:tl2br w:val="nil"/>
                    <w:tr2bl w:val="nil"/>
                  </w:tcBorders>
                  <w:noWrap w:val="0"/>
                  <w:vAlign w:val="center"/>
                </w:tcPr>
                <w:p w14:paraId="0A65B135">
                  <w:pPr>
                    <w:keepNext w:val="0"/>
                    <w:keepLines w:val="0"/>
                    <w:pageBreakBefore w:val="0"/>
                    <w:widowControl/>
                    <w:suppressLineNumbers w:val="0"/>
                    <w:kinsoku/>
                    <w:wordWrap w:val="0"/>
                    <w:overflowPunct/>
                    <w:topLinePunct w:val="0"/>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2、允许为主导产业提供上下游产品支撑及去向，且满足条件1要求的项目入驻</w:t>
                  </w:r>
                </w:p>
              </w:tc>
              <w:tc>
                <w:tcPr>
                  <w:tcW w:w="1234" w:type="pct"/>
                  <w:vMerge w:val="continue"/>
                  <w:tcBorders>
                    <w:tl2br w:val="nil"/>
                    <w:tr2bl w:val="nil"/>
                  </w:tcBorders>
                  <w:noWrap w:val="0"/>
                  <w:vAlign w:val="center"/>
                </w:tcPr>
                <w:p w14:paraId="6484ABA4">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color w:val="0000FF"/>
                      <w:sz w:val="21"/>
                      <w:szCs w:val="21"/>
                    </w:rPr>
                  </w:pPr>
                </w:p>
              </w:tc>
              <w:tc>
                <w:tcPr>
                  <w:tcW w:w="464" w:type="pct"/>
                  <w:vMerge w:val="continue"/>
                  <w:tcBorders>
                    <w:tl2br w:val="nil"/>
                    <w:tr2bl w:val="nil"/>
                  </w:tcBorders>
                  <w:noWrap w:val="0"/>
                  <w:vAlign w:val="center"/>
                </w:tcPr>
                <w:p w14:paraId="00ABC785">
                  <w:pPr>
                    <w:keepNext w:val="0"/>
                    <w:keepLines w:val="0"/>
                    <w:pageBreakBefore w:val="0"/>
                    <w:widowControl w:val="0"/>
                    <w:suppressLineNumbers w:val="0"/>
                    <w:kinsoku/>
                    <w:wordWrap w:val="0"/>
                    <w:overflowPunct/>
                    <w:topLinePunct w:val="0"/>
                    <w:autoSpaceDE w:val="0"/>
                    <w:autoSpaceDN w:val="0"/>
                    <w:bidi w:val="0"/>
                    <w:adjustRightInd w:val="0"/>
                    <w:snapToGrid/>
                    <w:spacing w:before="0" w:beforeAutospacing="0" w:after="0" w:afterAutospacing="0" w:line="360" w:lineRule="exact"/>
                    <w:ind w:left="0" w:right="0" w:firstLine="0" w:firstLineChars="0"/>
                    <w:jc w:val="center"/>
                    <w:textAlignment w:val="auto"/>
                    <w:rPr>
                      <w:rFonts w:hint="default" w:ascii="Times New Roman" w:hAnsi="Times New Roman" w:cs="Times New Roman"/>
                      <w:bCs/>
                      <w:color w:val="000000"/>
                      <w:sz w:val="21"/>
                      <w:szCs w:val="21"/>
                      <w:lang w:val="en-US" w:eastAsia="zh-CN"/>
                    </w:rPr>
                  </w:pPr>
                </w:p>
              </w:tc>
            </w:tr>
          </w:tbl>
          <w:p w14:paraId="366CC9C6">
            <w:pPr>
              <w:spacing w:line="520" w:lineRule="exact"/>
              <w:ind w:firstLine="480"/>
              <w:rPr>
                <w:rFonts w:hint="eastAsia"/>
              </w:rPr>
            </w:pPr>
            <w:r>
              <w:rPr>
                <w:rFonts w:hint="eastAsia"/>
              </w:rPr>
              <w:t>由上表可知，本项目与武陟经济技术开发区鼓励类和允许类产业清单相符。</w:t>
            </w:r>
          </w:p>
          <w:p w14:paraId="4468CEBA">
            <w:pPr>
              <w:spacing w:line="520" w:lineRule="exact"/>
              <w:ind w:firstLine="480"/>
              <w:rPr>
                <w:rFonts w:hint="default" w:eastAsia="宋体"/>
                <w:lang w:val="en-US" w:eastAsia="zh-CN"/>
              </w:rPr>
            </w:pPr>
            <w:r>
              <w:rPr>
                <w:b w:val="0"/>
                <w:bCs w:val="0"/>
              </w:rPr>
              <w:t>项目与</w:t>
            </w:r>
            <w:r>
              <w:rPr>
                <w:rFonts w:hint="default" w:ascii="Times New Roman" w:hAnsi="Times New Roman" w:cs="Times New Roman"/>
                <w:b w:val="0"/>
                <w:bCs w:val="0"/>
              </w:rPr>
              <w:t>武陟经济技术开发区</w:t>
            </w:r>
            <w:r>
              <w:rPr>
                <w:rFonts w:hint="default" w:ascii="Times New Roman" w:hAnsi="Times New Roman" w:cs="Times New Roman"/>
                <w:b w:val="0"/>
                <w:bCs w:val="0"/>
                <w:lang w:eastAsia="zh-CN"/>
              </w:rPr>
              <w:t>规划环评审查意见</w:t>
            </w:r>
            <w:r>
              <w:rPr>
                <w:b w:val="0"/>
                <w:bCs w:val="0"/>
              </w:rPr>
              <w:t>相</w:t>
            </w:r>
            <w:r>
              <w:t>符性</w:t>
            </w:r>
            <w:r>
              <w:rPr>
                <w:rFonts w:hint="eastAsia"/>
                <w:lang w:eastAsia="zh-CN"/>
              </w:rPr>
              <w:t>分析一览表如下：</w:t>
            </w:r>
          </w:p>
          <w:p w14:paraId="1BC8D9D1">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default" w:ascii="Times New Roman" w:hAnsi="Times New Roman" w:cs="Times New Roman"/>
                <w:b/>
                <w:bCs/>
                <w:color w:val="000000"/>
                <w:kern w:val="0"/>
                <w:sz w:val="24"/>
              </w:rPr>
            </w:pPr>
            <w:r>
              <w:rPr>
                <w:rFonts w:hint="default" w:ascii="Times New Roman" w:hAnsi="Times New Roman" w:cs="Times New Roman"/>
                <w:b/>
                <w:bCs w:val="0"/>
              </w:rPr>
              <w:t>表1-</w:t>
            </w:r>
            <w:r>
              <w:rPr>
                <w:rFonts w:hint="default" w:ascii="Times New Roman" w:hAnsi="Times New Roman" w:cs="Times New Roman"/>
                <w:b/>
                <w:bCs w:val="0"/>
                <w:lang w:val="en-US" w:eastAsia="zh-CN"/>
              </w:rPr>
              <w:t>3</w:t>
            </w:r>
            <w:r>
              <w:rPr>
                <w:rFonts w:hint="default" w:ascii="Times New Roman" w:hAnsi="Times New Roman" w:cs="Times New Roman"/>
                <w:b/>
                <w:bCs w:val="0"/>
              </w:rPr>
              <w:t xml:space="preserve">  本项目与武陟经济技术开发区</w:t>
            </w:r>
            <w:r>
              <w:rPr>
                <w:rFonts w:hint="default" w:ascii="Times New Roman" w:hAnsi="Times New Roman" w:cs="Times New Roman"/>
                <w:b/>
                <w:bCs w:val="0"/>
                <w:lang w:eastAsia="zh-CN"/>
              </w:rPr>
              <w:t>规划环评审查意见</w:t>
            </w:r>
            <w:r>
              <w:rPr>
                <w:rFonts w:hint="default" w:ascii="Times New Roman" w:hAnsi="Times New Roman" w:cs="Times New Roman"/>
                <w:b/>
                <w:bCs/>
                <w:color w:val="000000"/>
                <w:kern w:val="0"/>
                <w:sz w:val="24"/>
                <w:lang w:val="en-US" w:eastAsia="zh-CN"/>
              </w:rPr>
              <w:t>（</w:t>
            </w:r>
            <w:r>
              <w:rPr>
                <w:rFonts w:hint="default" w:ascii="Times New Roman" w:hAnsi="Times New Roman" w:cs="Times New Roman"/>
                <w:b/>
                <w:bCs/>
                <w:color w:val="000000"/>
                <w:kern w:val="0"/>
                <w:sz w:val="24"/>
              </w:rPr>
              <w:t>豫环函〔20</w:t>
            </w:r>
            <w:r>
              <w:rPr>
                <w:rFonts w:hint="default" w:ascii="Times New Roman" w:hAnsi="Times New Roman" w:cs="Times New Roman"/>
                <w:b/>
                <w:bCs/>
                <w:color w:val="000000"/>
                <w:kern w:val="0"/>
                <w:sz w:val="24"/>
                <w:lang w:val="en-US" w:eastAsia="zh-CN"/>
              </w:rPr>
              <w:t>24</w:t>
            </w:r>
            <w:r>
              <w:rPr>
                <w:rFonts w:hint="default" w:ascii="Times New Roman" w:hAnsi="Times New Roman" w:cs="Times New Roman"/>
                <w:b/>
                <w:bCs/>
                <w:color w:val="000000"/>
                <w:kern w:val="0"/>
                <w:sz w:val="24"/>
              </w:rPr>
              <w:t>〕</w:t>
            </w:r>
          </w:p>
          <w:p w14:paraId="10C31074">
            <w:pPr>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default" w:ascii="Times New Roman" w:hAnsi="Times New Roman" w:cs="Times New Roman"/>
                <w:b/>
                <w:bCs w:val="0"/>
              </w:rPr>
            </w:pPr>
            <w:r>
              <w:rPr>
                <w:rFonts w:hint="default" w:ascii="Times New Roman" w:hAnsi="Times New Roman" w:cs="Times New Roman"/>
                <w:b/>
                <w:bCs/>
                <w:color w:val="000000"/>
                <w:kern w:val="0"/>
                <w:sz w:val="24"/>
                <w:lang w:val="en-US" w:eastAsia="zh-CN"/>
              </w:rPr>
              <w:t>1</w:t>
            </w:r>
            <w:r>
              <w:rPr>
                <w:rFonts w:hint="default" w:ascii="Times New Roman" w:hAnsi="Times New Roman" w:cs="Times New Roman"/>
                <w:b/>
                <w:bCs/>
                <w:color w:val="000000"/>
                <w:kern w:val="0"/>
                <w:sz w:val="24"/>
              </w:rPr>
              <w:t>53号</w:t>
            </w:r>
            <w:r>
              <w:rPr>
                <w:rFonts w:hint="default" w:ascii="Times New Roman" w:hAnsi="Times New Roman" w:cs="Times New Roman"/>
                <w:b/>
                <w:bCs/>
                <w:color w:val="000000"/>
                <w:kern w:val="0"/>
                <w:sz w:val="24"/>
                <w:lang w:val="en-US" w:eastAsia="zh-CN"/>
              </w:rPr>
              <w:t>）</w:t>
            </w:r>
            <w:r>
              <w:rPr>
                <w:rFonts w:hint="default" w:ascii="Times New Roman" w:hAnsi="Times New Roman" w:cs="Times New Roman"/>
                <w:b/>
                <w:bCs w:val="0"/>
              </w:rPr>
              <w:t>相符性分析一览表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4774"/>
              <w:gridCol w:w="2959"/>
              <w:gridCol w:w="976"/>
            </w:tblGrid>
            <w:tr w14:paraId="3E887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55" w:hRule="atLeast"/>
                <w:jc w:val="center"/>
              </w:trPr>
              <w:tc>
                <w:tcPr>
                  <w:tcW w:w="2740" w:type="pct"/>
                  <w:tcBorders>
                    <w:tl2br w:val="nil"/>
                    <w:tr2bl w:val="nil"/>
                  </w:tcBorders>
                  <w:noWrap w:val="0"/>
                  <w:vAlign w:val="center"/>
                </w:tcPr>
                <w:p w14:paraId="2CE5B2BC">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文件要求</w:t>
                  </w:r>
                </w:p>
              </w:tc>
              <w:tc>
                <w:tcPr>
                  <w:tcW w:w="1698" w:type="pct"/>
                  <w:tcBorders>
                    <w:tl2br w:val="nil"/>
                    <w:tr2bl w:val="nil"/>
                  </w:tcBorders>
                  <w:noWrap w:val="0"/>
                  <w:vAlign w:val="center"/>
                </w:tcPr>
                <w:p w14:paraId="2960EABD">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工程拟建</w:t>
                  </w:r>
                </w:p>
              </w:tc>
              <w:tc>
                <w:tcPr>
                  <w:tcW w:w="560" w:type="pct"/>
                  <w:tcBorders>
                    <w:tl2br w:val="nil"/>
                    <w:tr2bl w:val="nil"/>
                  </w:tcBorders>
                  <w:noWrap w:val="0"/>
                  <w:vAlign w:val="center"/>
                </w:tcPr>
                <w:p w14:paraId="59373628">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相符性</w:t>
                  </w:r>
                </w:p>
              </w:tc>
            </w:tr>
            <w:tr w14:paraId="4F8D2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662" w:hRule="atLeast"/>
                <w:jc w:val="center"/>
              </w:trPr>
              <w:tc>
                <w:tcPr>
                  <w:tcW w:w="2740" w:type="pct"/>
                  <w:tcBorders>
                    <w:tl2br w:val="nil"/>
                    <w:tr2bl w:val="nil"/>
                  </w:tcBorders>
                  <w:noWrap w:val="0"/>
                  <w:vAlign w:val="center"/>
                </w:tcPr>
                <w:p w14:paraId="45A330A4">
                  <w:pPr>
                    <w:keepNext w:val="0"/>
                    <w:keepLines w:val="0"/>
                    <w:pageBreakBefore w:val="0"/>
                    <w:widowControl/>
                    <w:suppressLineNumbers w:val="0"/>
                    <w:kinsoku/>
                    <w:wordWrap w:val="0"/>
                    <w:overflowPunct/>
                    <w:topLinePunct w:val="0"/>
                    <w:autoSpaceDE/>
                    <w:autoSpaceDN/>
                    <w:bidi w:val="0"/>
                    <w:snapToGrid/>
                    <w:spacing w:before="0" w:beforeAutospacing="0" w:after="0" w:afterAutospacing="0" w:line="360" w:lineRule="exact"/>
                    <w:ind w:left="0" w:right="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eastAsia="宋体" w:cs="Times New Roman"/>
                      <w:snapToGrid w:val="0"/>
                      <w:color w:val="auto"/>
                      <w:kern w:val="0"/>
                      <w:sz w:val="21"/>
                      <w:szCs w:val="21"/>
                      <w:lang w:val="en-US" w:eastAsia="zh-CN" w:bidi="ar-SA"/>
                    </w:rPr>
                    <w:t>（一）坚持绿色低碳高质量发展</w:t>
                  </w:r>
                  <w:r>
                    <w:rPr>
                      <w:rFonts w:hint="default" w:ascii="Times New Roman" w:hAnsi="Times New Roman"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zh-CN" w:bidi="ar-SA"/>
                    </w:rPr>
                    <w:t>规划应落实黄河流域生态保护和高质量发展要求，坚持生态优先、高效集约、绿色发展，以改善生态环境质量为核心，进一步优化开发区的产业结构、发展规模、用地布局等，做好与生态环境分区管控成果的协调衔接，实现绿色低碳高质量发展目标。</w:t>
                  </w:r>
                </w:p>
              </w:tc>
              <w:tc>
                <w:tcPr>
                  <w:tcW w:w="1698" w:type="pct"/>
                  <w:tcBorders>
                    <w:tl2br w:val="nil"/>
                    <w:tr2bl w:val="nil"/>
                  </w:tcBorders>
                  <w:noWrap w:val="0"/>
                  <w:vAlign w:val="center"/>
                </w:tcPr>
                <w:p w14:paraId="3E02A31C">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right="0" w:firstLine="0" w:firstLineChars="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本项目距离河南武陟嘉应观黄河省级湿地公园约</w:t>
                  </w:r>
                  <w:r>
                    <w:rPr>
                      <w:rFonts w:hint="eastAsia" w:cs="Times New Roman"/>
                      <w:color w:val="auto"/>
                      <w:sz w:val="21"/>
                      <w:szCs w:val="21"/>
                      <w:lang w:val="en-US" w:eastAsia="zh-CN"/>
                    </w:rPr>
                    <w:t>5.51</w:t>
                  </w:r>
                  <w:r>
                    <w:rPr>
                      <w:rFonts w:hint="default" w:ascii="Times New Roman" w:hAnsi="Times New Roman" w:cs="Times New Roman"/>
                      <w:color w:val="auto"/>
                      <w:sz w:val="21"/>
                      <w:szCs w:val="21"/>
                    </w:rPr>
                    <w:t>km</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距离河南郑州黄河湿地省级自然保护区约</w:t>
                  </w:r>
                  <w:r>
                    <w:rPr>
                      <w:rFonts w:hint="eastAsia" w:cs="Times New Roman"/>
                      <w:color w:val="auto"/>
                      <w:sz w:val="21"/>
                      <w:szCs w:val="21"/>
                      <w:lang w:val="en-US" w:eastAsia="zh-CN"/>
                    </w:rPr>
                    <w:t>9.775</w:t>
                  </w:r>
                  <w:r>
                    <w:rPr>
                      <w:rFonts w:hint="default" w:ascii="Times New Roman" w:hAnsi="Times New Roman" w:cs="Times New Roman"/>
                      <w:color w:val="auto"/>
                      <w:sz w:val="21"/>
                      <w:szCs w:val="21"/>
                    </w:rPr>
                    <w:t>km，不在其保护范围内</w:t>
                  </w:r>
                  <w:r>
                    <w:rPr>
                      <w:rFonts w:hint="default" w:ascii="Times New Roman" w:hAnsi="Times New Roman" w:cs="Times New Roman"/>
                      <w:color w:val="auto"/>
                      <w:sz w:val="21"/>
                      <w:szCs w:val="21"/>
                      <w:lang w:eastAsia="zh-CN"/>
                    </w:rPr>
                    <w:t>。</w:t>
                  </w:r>
                </w:p>
              </w:tc>
              <w:tc>
                <w:tcPr>
                  <w:tcW w:w="560" w:type="pct"/>
                  <w:tcBorders>
                    <w:tl2br w:val="nil"/>
                    <w:tr2bl w:val="nil"/>
                  </w:tcBorders>
                  <w:noWrap w:val="0"/>
                  <w:vAlign w:val="center"/>
                </w:tcPr>
                <w:p w14:paraId="7D8F3096">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r w14:paraId="2010E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662" w:hRule="atLeast"/>
                <w:jc w:val="center"/>
              </w:trPr>
              <w:tc>
                <w:tcPr>
                  <w:tcW w:w="2740" w:type="pct"/>
                  <w:tcBorders>
                    <w:tl2br w:val="nil"/>
                    <w:tr2bl w:val="nil"/>
                  </w:tcBorders>
                  <w:noWrap w:val="0"/>
                  <w:vAlign w:val="center"/>
                </w:tcPr>
                <w:p w14:paraId="634F469F">
                  <w:pPr>
                    <w:keepNext w:val="0"/>
                    <w:keepLines w:val="0"/>
                    <w:pageBreakBefore w:val="0"/>
                    <w:widowControl/>
                    <w:suppressLineNumbers w:val="0"/>
                    <w:kinsoku/>
                    <w:wordWrap w:val="0"/>
                    <w:overflowPunct/>
                    <w:topLinePunct w:val="0"/>
                    <w:autoSpaceDE/>
                    <w:autoSpaceDN/>
                    <w:bidi w:val="0"/>
                    <w:snapToGrid/>
                    <w:spacing w:before="0" w:beforeAutospacing="0" w:after="0" w:afterAutospacing="0" w:line="360" w:lineRule="exact"/>
                    <w:ind w:left="0" w:right="0" w:firstLine="0" w:firstLineChars="0"/>
                    <w:jc w:val="both"/>
                    <w:textAlignment w:val="auto"/>
                    <w:rPr>
                      <w:rFonts w:hint="default" w:ascii="Times New Roman" w:hAnsi="Times New Roman" w:cs="Times New Roman"/>
                      <w:color w:val="auto"/>
                      <w:sz w:val="21"/>
                      <w:szCs w:val="21"/>
                    </w:rPr>
                  </w:pPr>
                  <w:r>
                    <w:rPr>
                      <w:rFonts w:hint="default" w:ascii="Times New Roman" w:hAnsi="Times New Roman" w:cs="Times New Roman"/>
                      <w:snapToGrid w:val="0"/>
                      <w:color w:val="auto"/>
                      <w:kern w:val="0"/>
                      <w:sz w:val="21"/>
                      <w:szCs w:val="21"/>
                      <w:lang w:val="en-US" w:eastAsia="zh-CN" w:bidi="ar-SA"/>
                    </w:rPr>
                    <w:t>（二）</w:t>
                  </w:r>
                  <w:r>
                    <w:rPr>
                      <w:rFonts w:hint="default" w:ascii="Times New Roman" w:hAnsi="Times New Roman" w:eastAsia="宋体" w:cs="Times New Roman"/>
                      <w:snapToGrid w:val="0"/>
                      <w:color w:val="auto"/>
                      <w:kern w:val="0"/>
                      <w:sz w:val="21"/>
                      <w:szCs w:val="21"/>
                      <w:lang w:val="en-US" w:eastAsia="zh-CN" w:bidi="ar-SA"/>
                    </w:rPr>
                    <w:t>加快推进产业转型。开发区应坚持循环经济理念，积极推进产业技术进步和循环化改造；入区新、改、扩建项目应实施清洁生产，生产工艺、设备、污染治理技术以及单位产品能耗、物耗、污染物排放和资源利用率均需达到同行业国内先进水平，确保产业发展与生态环境保护相协调。</w:t>
                  </w:r>
                </w:p>
              </w:tc>
              <w:tc>
                <w:tcPr>
                  <w:tcW w:w="1698" w:type="pct"/>
                  <w:tcBorders>
                    <w:tl2br w:val="nil"/>
                    <w:tr2bl w:val="nil"/>
                  </w:tcBorders>
                  <w:noWrap w:val="0"/>
                  <w:vAlign w:val="center"/>
                </w:tcPr>
                <w:p w14:paraId="41FF262E">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本</w:t>
                  </w:r>
                  <w:r>
                    <w:rPr>
                      <w:rFonts w:hint="default" w:ascii="Times New Roman" w:hAnsi="Times New Roman" w:cs="Times New Roman"/>
                      <w:color w:val="auto"/>
                      <w:sz w:val="21"/>
                      <w:szCs w:val="21"/>
                    </w:rPr>
                    <w:t>项目</w:t>
                  </w:r>
                  <w:r>
                    <w:rPr>
                      <w:rFonts w:hint="eastAsia" w:cs="Times New Roman"/>
                      <w:color w:val="auto"/>
                      <w:sz w:val="21"/>
                      <w:szCs w:val="21"/>
                      <w:lang w:eastAsia="zh-CN"/>
                    </w:rPr>
                    <w:t>为日用塑料制品制造</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项目所用设备</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产品能耗、物耗污染物排放和资源利用等可达到国内同行业先进水平</w:t>
                  </w:r>
                  <w:r>
                    <w:rPr>
                      <w:rFonts w:hint="default" w:ascii="Times New Roman" w:hAnsi="Times New Roman" w:cs="Times New Roman"/>
                      <w:color w:val="auto"/>
                      <w:sz w:val="21"/>
                      <w:szCs w:val="21"/>
                      <w:lang w:eastAsia="zh-CN"/>
                    </w:rPr>
                    <w:t>。</w:t>
                  </w:r>
                </w:p>
              </w:tc>
              <w:tc>
                <w:tcPr>
                  <w:tcW w:w="560" w:type="pct"/>
                  <w:tcBorders>
                    <w:tl2br w:val="nil"/>
                    <w:tr2bl w:val="nil"/>
                  </w:tcBorders>
                  <w:noWrap w:val="0"/>
                  <w:vAlign w:val="center"/>
                </w:tcPr>
                <w:p w14:paraId="6CDCD7B6">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r w14:paraId="71BA5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740" w:type="pct"/>
                  <w:tcBorders>
                    <w:tl2br w:val="nil"/>
                    <w:tr2bl w:val="nil"/>
                  </w:tcBorders>
                  <w:noWrap w:val="0"/>
                  <w:vAlign w:val="center"/>
                </w:tcPr>
                <w:p w14:paraId="02C1E793">
                  <w:pPr>
                    <w:keepNext w:val="0"/>
                    <w:keepLines w:val="0"/>
                    <w:pageBreakBefore w:val="0"/>
                    <w:widowControl/>
                    <w:numPr>
                      <w:ilvl w:val="0"/>
                      <w:numId w:val="0"/>
                    </w:numPr>
                    <w:suppressLineNumbers w:val="0"/>
                    <w:kinsoku/>
                    <w:wordWrap w:val="0"/>
                    <w:overflowPunct/>
                    <w:topLinePunct w:val="0"/>
                    <w:autoSpaceDE/>
                    <w:autoSpaceDN/>
                    <w:bidi w:val="0"/>
                    <w:snapToGrid/>
                    <w:spacing w:before="0" w:beforeAutospacing="0" w:after="0" w:afterAutospacing="0" w:line="360" w:lineRule="exact"/>
                    <w:ind w:left="0" w:right="0" w:firstLine="0" w:firstLineChars="0"/>
                    <w:jc w:val="both"/>
                    <w:textAlignment w:val="auto"/>
                    <w:rPr>
                      <w:rFonts w:hint="default" w:ascii="Times New Roman" w:hAnsi="Times New Roman" w:cs="Times New Roman"/>
                      <w:color w:val="auto"/>
                      <w:sz w:val="21"/>
                      <w:szCs w:val="21"/>
                    </w:rPr>
                  </w:pPr>
                  <w:r>
                    <w:rPr>
                      <w:rFonts w:hint="default" w:ascii="Times New Roman" w:hAnsi="Times New Roman" w:eastAsia="宋体" w:cs="Times New Roman"/>
                      <w:snapToGrid w:val="0"/>
                      <w:color w:val="auto"/>
                      <w:kern w:val="0"/>
                      <w:sz w:val="21"/>
                      <w:szCs w:val="21"/>
                      <w:lang w:val="en-US" w:eastAsia="zh-CN" w:bidi="ar-SA"/>
                    </w:rPr>
                    <w:t>（三）优化空间布局</w:t>
                  </w:r>
                  <w:r>
                    <w:rPr>
                      <w:rFonts w:hint="default" w:ascii="Times New Roman" w:hAnsi="Times New Roman"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zh-CN" w:bidi="ar-SA"/>
                    </w:rPr>
                    <w:t>严格空间管控。进一步加强与国土空间规划的衔接，保持规划之间协调一致；严格落实饮用水水源地和文物保护区的保护要求，做好规划控制和生态隔离带建设，加强对开发区内及周边生活区的防护，确保产业布局与生态环境保护、人居环境安全相协调。</w:t>
                  </w:r>
                </w:p>
              </w:tc>
              <w:tc>
                <w:tcPr>
                  <w:tcW w:w="1698" w:type="pct"/>
                  <w:tcBorders>
                    <w:tl2br w:val="nil"/>
                    <w:tr2bl w:val="nil"/>
                  </w:tcBorders>
                  <w:noWrap w:val="0"/>
                  <w:vAlign w:val="center"/>
                </w:tcPr>
                <w:p w14:paraId="3DA72EBB">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zh-CN" w:eastAsia="zh-CN" w:bidi="ar-SA"/>
                    </w:rPr>
                    <w:t>本项目距离</w:t>
                  </w:r>
                  <w:r>
                    <w:rPr>
                      <w:rFonts w:hint="default" w:ascii="Times New Roman" w:hAnsi="Times New Roman" w:cs="Times New Roman"/>
                      <w:sz w:val="21"/>
                      <w:szCs w:val="21"/>
                      <w:lang w:bidi="ar"/>
                    </w:rPr>
                    <w:t>南贾地下水井</w:t>
                  </w:r>
                  <w:r>
                    <w:rPr>
                      <w:rFonts w:hint="default" w:ascii="Times New Roman" w:hAnsi="Times New Roman" w:cs="Times New Roman"/>
                      <w:sz w:val="21"/>
                      <w:szCs w:val="21"/>
                      <w:highlight w:val="none"/>
                      <w:lang w:bidi="ar"/>
                    </w:rPr>
                    <w:t>群</w:t>
                  </w:r>
                  <w:r>
                    <w:rPr>
                      <w:rFonts w:hint="default" w:ascii="Times New Roman" w:hAnsi="Times New Roman" w:eastAsia="宋体" w:cs="Times New Roman"/>
                      <w:color w:val="auto"/>
                      <w:kern w:val="0"/>
                      <w:sz w:val="21"/>
                      <w:szCs w:val="21"/>
                      <w:lang w:val="zh-CN" w:eastAsia="zh-CN" w:bidi="ar-SA"/>
                    </w:rPr>
                    <w:t>水源地保护区约</w:t>
                  </w:r>
                  <w:r>
                    <w:rPr>
                      <w:rFonts w:hint="eastAsia" w:cs="Times New Roman"/>
                      <w:color w:val="auto"/>
                      <w:kern w:val="0"/>
                      <w:sz w:val="21"/>
                      <w:szCs w:val="21"/>
                      <w:lang w:val="en-US" w:eastAsia="zh-CN" w:bidi="ar-SA"/>
                    </w:rPr>
                    <w:t>12.14</w:t>
                  </w:r>
                  <w:r>
                    <w:rPr>
                      <w:rFonts w:hint="default" w:ascii="Times New Roman" w:hAnsi="Times New Roman" w:eastAsia="宋体" w:cs="Times New Roman"/>
                      <w:color w:val="auto"/>
                      <w:kern w:val="0"/>
                      <w:sz w:val="21"/>
                      <w:szCs w:val="21"/>
                      <w:lang w:val="en-US" w:eastAsia="zh-CN" w:bidi="ar-SA"/>
                    </w:rPr>
                    <w:t>k</w:t>
                  </w:r>
                  <w:r>
                    <w:rPr>
                      <w:rFonts w:hint="default" w:ascii="Times New Roman" w:hAnsi="Times New Roman" w:eastAsia="宋体" w:cs="Times New Roman"/>
                      <w:color w:val="auto"/>
                      <w:kern w:val="0"/>
                      <w:sz w:val="21"/>
                      <w:szCs w:val="21"/>
                      <w:lang w:val="zh-CN" w:eastAsia="zh-CN" w:bidi="ar-SA"/>
                    </w:rPr>
                    <w:t>m，不在其保护区范围内</w:t>
                  </w:r>
                  <w:r>
                    <w:rPr>
                      <w:rFonts w:hint="default" w:ascii="Times New Roman" w:hAnsi="Times New Roman" w:cs="Times New Roman"/>
                      <w:color w:val="auto"/>
                      <w:sz w:val="21"/>
                      <w:szCs w:val="21"/>
                      <w:lang w:eastAsia="zh-CN" w:bidi="ar"/>
                    </w:rPr>
                    <w:t>；</w:t>
                  </w:r>
                  <w:r>
                    <w:rPr>
                      <w:rFonts w:hint="default" w:ascii="Times New Roman" w:hAnsi="Times New Roman" w:cs="Times New Roman"/>
                      <w:color w:val="auto"/>
                      <w:sz w:val="21"/>
                      <w:szCs w:val="21"/>
                      <w:lang w:val="en-US" w:eastAsia="zh-CN"/>
                    </w:rPr>
                    <w:t>距离最近的敏感点为西侧</w:t>
                  </w:r>
                  <w:r>
                    <w:rPr>
                      <w:rFonts w:hint="eastAsia" w:cs="Times New Roman"/>
                      <w:color w:val="auto"/>
                      <w:sz w:val="21"/>
                      <w:szCs w:val="21"/>
                      <w:lang w:val="en-US" w:eastAsia="zh-CN"/>
                    </w:rPr>
                    <w:t>东马村</w:t>
                  </w:r>
                  <w:r>
                    <w:rPr>
                      <w:rFonts w:hint="default" w:ascii="Times New Roman" w:hAnsi="Times New Roman" w:cs="Times New Roman"/>
                      <w:color w:val="auto"/>
                      <w:sz w:val="21"/>
                      <w:szCs w:val="21"/>
                      <w:lang w:val="en-US" w:eastAsia="zh-CN"/>
                    </w:rPr>
                    <w:t>约</w:t>
                  </w:r>
                  <w:r>
                    <w:rPr>
                      <w:rFonts w:hint="eastAsia" w:cs="Times New Roman"/>
                      <w:color w:val="auto"/>
                      <w:sz w:val="21"/>
                      <w:szCs w:val="21"/>
                      <w:lang w:val="en-US" w:eastAsia="zh-CN"/>
                    </w:rPr>
                    <w:t>295</w:t>
                  </w:r>
                  <w:r>
                    <w:rPr>
                      <w:rFonts w:hint="default" w:ascii="Times New Roman" w:hAnsi="Times New Roman" w:cs="Times New Roman"/>
                      <w:color w:val="auto"/>
                      <w:sz w:val="21"/>
                      <w:szCs w:val="21"/>
                      <w:lang w:val="en-US" w:eastAsia="zh-CN"/>
                    </w:rPr>
                    <w:t>m，不会对其造成</w:t>
                  </w:r>
                  <w:r>
                    <w:rPr>
                      <w:rFonts w:hint="eastAsia" w:cs="Times New Roman"/>
                      <w:color w:val="auto"/>
                      <w:sz w:val="21"/>
                      <w:szCs w:val="21"/>
                      <w:lang w:val="en-US" w:eastAsia="zh-CN"/>
                    </w:rPr>
                    <w:t>较大</w:t>
                  </w:r>
                  <w:r>
                    <w:rPr>
                      <w:rFonts w:hint="default" w:ascii="Times New Roman" w:hAnsi="Times New Roman" w:cs="Times New Roman"/>
                      <w:color w:val="auto"/>
                      <w:sz w:val="21"/>
                      <w:szCs w:val="21"/>
                      <w:lang w:val="en-US" w:eastAsia="zh-CN"/>
                    </w:rPr>
                    <w:t>影响。</w:t>
                  </w:r>
                </w:p>
              </w:tc>
              <w:tc>
                <w:tcPr>
                  <w:tcW w:w="560" w:type="pct"/>
                  <w:tcBorders>
                    <w:tl2br w:val="nil"/>
                    <w:tr2bl w:val="nil"/>
                  </w:tcBorders>
                  <w:noWrap w:val="0"/>
                  <w:vAlign w:val="center"/>
                </w:tcPr>
                <w:p w14:paraId="3B899AEA">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r w14:paraId="490A3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83" w:hRule="atLeast"/>
                <w:jc w:val="center"/>
              </w:trPr>
              <w:tc>
                <w:tcPr>
                  <w:tcW w:w="2740" w:type="pct"/>
                  <w:tcBorders>
                    <w:tl2br w:val="nil"/>
                    <w:tr2bl w:val="nil"/>
                  </w:tcBorders>
                  <w:noWrap w:val="0"/>
                  <w:vAlign w:val="center"/>
                </w:tcPr>
                <w:p w14:paraId="24FF171A">
                  <w:pPr>
                    <w:keepNext w:val="0"/>
                    <w:keepLines w:val="0"/>
                    <w:pageBreakBefore w:val="0"/>
                    <w:widowControl/>
                    <w:numPr>
                      <w:ilvl w:val="0"/>
                      <w:numId w:val="0"/>
                    </w:numPr>
                    <w:suppressLineNumbers w:val="0"/>
                    <w:kinsoku/>
                    <w:wordWrap w:val="0"/>
                    <w:overflowPunct/>
                    <w:topLinePunct w:val="0"/>
                    <w:autoSpaceDE/>
                    <w:autoSpaceDN/>
                    <w:bidi w:val="0"/>
                    <w:snapToGrid/>
                    <w:spacing w:before="0" w:beforeAutospacing="0" w:after="0" w:afterAutospacing="0" w:line="360" w:lineRule="exact"/>
                    <w:ind w:left="0" w:leftChars="0" w:right="0" w:firstLine="0" w:firstLineChars="0"/>
                    <w:jc w:val="both"/>
                    <w:textAlignment w:val="auto"/>
                    <w:rPr>
                      <w:rFonts w:hint="default" w:ascii="Times New Roman" w:hAnsi="Times New Roman" w:cs="Times New Roman"/>
                      <w:color w:val="auto"/>
                      <w:sz w:val="21"/>
                      <w:szCs w:val="21"/>
                    </w:rPr>
                  </w:pPr>
                  <w:r>
                    <w:rPr>
                      <w:rFonts w:hint="default" w:ascii="Times New Roman" w:hAnsi="Times New Roman" w:eastAsia="宋体" w:cs="Times New Roman"/>
                      <w:snapToGrid w:val="0"/>
                      <w:color w:val="auto"/>
                      <w:kern w:val="0"/>
                      <w:sz w:val="21"/>
                      <w:szCs w:val="21"/>
                      <w:lang w:val="en-US" w:eastAsia="zh-CN" w:bidi="ar-SA"/>
                    </w:rPr>
                    <w:t>（四）强化减污降碳协同增效。根据国家和我省关于挥发性有机物、工业炉窑等大气和水、土壤污染防治相关要求，严格执行相关行业污染物排放标准及特别排放限值。严格执行污染物排放总量控制制度，主要污染物新增排放量应做到“等量或倍量替代”。结合碳达峰目标，强化碳评价及减排措施，确保区域环境质量持续改善。</w:t>
                  </w:r>
                </w:p>
              </w:tc>
              <w:tc>
                <w:tcPr>
                  <w:tcW w:w="1698" w:type="pct"/>
                  <w:tcBorders>
                    <w:tl2br w:val="nil"/>
                    <w:tr2bl w:val="nil"/>
                  </w:tcBorders>
                  <w:noWrap w:val="0"/>
                  <w:vAlign w:val="center"/>
                </w:tcPr>
                <w:p w14:paraId="71990A79">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本项目</w:t>
                  </w:r>
                  <w:r>
                    <w:rPr>
                      <w:rFonts w:hint="default" w:ascii="Times New Roman" w:hAnsi="Times New Roman" w:eastAsia="宋体" w:cs="Times New Roman"/>
                      <w:color w:val="auto"/>
                      <w:kern w:val="0"/>
                      <w:sz w:val="21"/>
                      <w:szCs w:val="21"/>
                      <w:lang w:val="en-US" w:eastAsia="zh-CN" w:bidi="ar"/>
                    </w:rPr>
                    <w:t>所涉及</w:t>
                  </w:r>
                  <w:r>
                    <w:rPr>
                      <w:rFonts w:hint="default" w:ascii="Times New Roman" w:hAnsi="Times New Roman" w:cs="Times New Roman"/>
                      <w:color w:val="auto"/>
                      <w:kern w:val="0"/>
                      <w:sz w:val="21"/>
                      <w:szCs w:val="21"/>
                      <w:lang w:val="en-US" w:eastAsia="zh-CN" w:bidi="ar"/>
                    </w:rPr>
                    <w:t>的</w:t>
                  </w:r>
                  <w:r>
                    <w:rPr>
                      <w:rFonts w:hint="eastAsia" w:cs="Times New Roman"/>
                      <w:color w:val="auto"/>
                      <w:kern w:val="0"/>
                      <w:sz w:val="21"/>
                      <w:szCs w:val="21"/>
                      <w:lang w:val="en-US" w:eastAsia="zh-CN" w:bidi="ar"/>
                    </w:rPr>
                    <w:t>非甲烷总烃、苯乙烯</w:t>
                  </w:r>
                  <w:r>
                    <w:rPr>
                      <w:rFonts w:hint="default" w:ascii="Times New Roman" w:hAnsi="Times New Roman" w:eastAsia="宋体" w:cs="Times New Roman"/>
                      <w:color w:val="auto"/>
                      <w:kern w:val="0"/>
                      <w:sz w:val="21"/>
                      <w:szCs w:val="21"/>
                      <w:lang w:val="en-US" w:eastAsia="zh-CN" w:bidi="ar"/>
                    </w:rPr>
                    <w:t>、COD、氨氮、总磷</w:t>
                  </w:r>
                  <w:r>
                    <w:rPr>
                      <w:rFonts w:hint="default" w:ascii="Times New Roman" w:hAnsi="Times New Roman" w:eastAsia="宋体" w:cs="Times New Roman"/>
                      <w:snapToGrid w:val="0"/>
                      <w:color w:val="auto"/>
                      <w:kern w:val="0"/>
                      <w:sz w:val="21"/>
                      <w:szCs w:val="21"/>
                      <w:lang w:val="en-US" w:eastAsia="zh-CN" w:bidi="ar-SA"/>
                    </w:rPr>
                    <w:t>严格执行相关行业污染物排放标准及特别排放限值</w:t>
                  </w:r>
                  <w:r>
                    <w:rPr>
                      <w:rFonts w:hint="default" w:ascii="Times New Roman" w:hAnsi="Times New Roman" w:cs="Times New Roman"/>
                      <w:color w:val="auto"/>
                      <w:kern w:val="0"/>
                      <w:sz w:val="21"/>
                      <w:szCs w:val="21"/>
                      <w:lang w:val="en-US" w:eastAsia="zh-CN" w:bidi="ar"/>
                    </w:rPr>
                    <w:t>，其中</w:t>
                  </w:r>
                  <w:r>
                    <w:rPr>
                      <w:rFonts w:hint="eastAsia" w:cs="Times New Roman"/>
                      <w:snapToGrid w:val="0"/>
                      <w:color w:val="auto"/>
                      <w:kern w:val="0"/>
                      <w:sz w:val="21"/>
                      <w:szCs w:val="21"/>
                      <w:lang w:val="en-US" w:eastAsia="zh-CN" w:bidi="ar-SA"/>
                    </w:rPr>
                    <w:t>非甲烷总烃、苯乙烯</w:t>
                  </w:r>
                  <w:r>
                    <w:rPr>
                      <w:rFonts w:hint="default" w:ascii="Times New Roman" w:hAnsi="Times New Roman" w:eastAsia="宋体" w:cs="Times New Roman"/>
                      <w:snapToGrid w:val="0"/>
                      <w:color w:val="auto"/>
                      <w:kern w:val="0"/>
                      <w:sz w:val="21"/>
                      <w:szCs w:val="21"/>
                      <w:lang w:val="en-US" w:eastAsia="zh-CN" w:bidi="ar-SA"/>
                    </w:rPr>
                    <w:t>实行倍量替代，</w:t>
                  </w:r>
                  <w:r>
                    <w:rPr>
                      <w:rFonts w:hint="default" w:ascii="Times New Roman" w:hAnsi="Times New Roman" w:eastAsia="宋体" w:cs="Times New Roman"/>
                      <w:color w:val="auto"/>
                      <w:kern w:val="0"/>
                      <w:sz w:val="21"/>
                      <w:szCs w:val="21"/>
                      <w:lang w:val="en-US" w:eastAsia="zh-CN" w:bidi="ar"/>
                    </w:rPr>
                    <w:t>COD、氨氮、总磷</w:t>
                  </w:r>
                  <w:r>
                    <w:rPr>
                      <w:rFonts w:hint="eastAsia" w:cs="Times New Roman"/>
                      <w:color w:val="auto"/>
                      <w:kern w:val="0"/>
                      <w:sz w:val="21"/>
                      <w:szCs w:val="21"/>
                      <w:lang w:val="en-US" w:eastAsia="zh-CN" w:bidi="ar"/>
                    </w:rPr>
                    <w:t>进行等量</w:t>
                  </w:r>
                  <w:r>
                    <w:rPr>
                      <w:rFonts w:hint="default" w:ascii="Times New Roman" w:hAnsi="Times New Roman" w:eastAsia="宋体" w:cs="Times New Roman"/>
                      <w:color w:val="auto"/>
                      <w:kern w:val="0"/>
                      <w:sz w:val="21"/>
                      <w:szCs w:val="21"/>
                      <w:lang w:val="en-US" w:eastAsia="zh-CN" w:bidi="ar"/>
                    </w:rPr>
                    <w:t>替代。</w:t>
                  </w:r>
                </w:p>
              </w:tc>
              <w:tc>
                <w:tcPr>
                  <w:tcW w:w="560" w:type="pct"/>
                  <w:tcBorders>
                    <w:tl2br w:val="nil"/>
                    <w:tr2bl w:val="nil"/>
                  </w:tcBorders>
                  <w:noWrap w:val="0"/>
                  <w:vAlign w:val="center"/>
                </w:tcPr>
                <w:p w14:paraId="4F42E7C2">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r w14:paraId="5FD50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040" w:hRule="atLeast"/>
                <w:jc w:val="center"/>
              </w:trPr>
              <w:tc>
                <w:tcPr>
                  <w:tcW w:w="2740" w:type="pct"/>
                  <w:tcBorders>
                    <w:tl2br w:val="nil"/>
                    <w:tr2bl w:val="nil"/>
                  </w:tcBorders>
                  <w:noWrap w:val="0"/>
                  <w:vAlign w:val="center"/>
                </w:tcPr>
                <w:p w14:paraId="4830F35F">
                  <w:pPr>
                    <w:keepNext w:val="0"/>
                    <w:keepLines w:val="0"/>
                    <w:pageBreakBefore w:val="0"/>
                    <w:widowControl/>
                    <w:numPr>
                      <w:ilvl w:val="0"/>
                      <w:numId w:val="0"/>
                    </w:numPr>
                    <w:suppressLineNumbers w:val="0"/>
                    <w:kinsoku/>
                    <w:wordWrap w:val="0"/>
                    <w:overflowPunct/>
                    <w:topLinePunct w:val="0"/>
                    <w:autoSpaceDE/>
                    <w:autoSpaceDN/>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五）严格落实建设项目入驻要求。严格落实《报告书》提出的生态环境准入要求，强化区内企业污染物排放控制，严格落实排污许可制度。鼓励符合开发区功能定位、主导产业、国家产业政策鼓励类项目入驻。开发区内历史遗留、手续齐全的化工企业保持现状，禁止扩产，仅允许以现状为基础进行内部挖潜（环保节能改造、安全设施改造等），支持适时搬迁进入化工园区。</w:t>
                  </w:r>
                </w:p>
              </w:tc>
              <w:tc>
                <w:tcPr>
                  <w:tcW w:w="1698" w:type="pct"/>
                  <w:tcBorders>
                    <w:tl2br w:val="nil"/>
                    <w:tr2bl w:val="nil"/>
                  </w:tcBorders>
                  <w:noWrap w:val="0"/>
                  <w:vAlign w:val="center"/>
                </w:tcPr>
                <w:p w14:paraId="48F1DDB9">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本项为</w:t>
                  </w:r>
                  <w:r>
                    <w:rPr>
                      <w:rFonts w:hint="eastAsia" w:cs="Times New Roman"/>
                      <w:color w:val="auto"/>
                      <w:sz w:val="21"/>
                      <w:szCs w:val="21"/>
                      <w:lang w:val="en-US" w:eastAsia="zh-CN"/>
                    </w:rPr>
                    <w:t>新建</w:t>
                  </w:r>
                  <w:r>
                    <w:rPr>
                      <w:rFonts w:hint="default" w:ascii="Times New Roman" w:hAnsi="Times New Roman" w:cs="Times New Roman"/>
                      <w:color w:val="auto"/>
                      <w:sz w:val="21"/>
                      <w:szCs w:val="21"/>
                      <w:lang w:val="en-US" w:eastAsia="zh-CN"/>
                    </w:rPr>
                    <w:t>项目，</w:t>
                  </w:r>
                  <w:r>
                    <w:rPr>
                      <w:rFonts w:hint="default" w:ascii="Times New Roman" w:hAnsi="Times New Roman" w:eastAsia="宋体" w:cs="Times New Roman"/>
                      <w:snapToGrid/>
                      <w:color w:val="auto"/>
                      <w:kern w:val="0"/>
                      <w:sz w:val="21"/>
                      <w:szCs w:val="21"/>
                      <w:lang w:val="en-US" w:eastAsia="zh-CN" w:bidi="ar"/>
                    </w:rPr>
                    <w:t>符合产业定位及规划要求</w:t>
                  </w:r>
                  <w:r>
                    <w:rPr>
                      <w:rFonts w:hint="default" w:ascii="Times New Roman" w:hAnsi="Times New Roman" w:cs="Times New Roman"/>
                      <w:snapToGrid/>
                      <w:color w:val="auto"/>
                      <w:kern w:val="0"/>
                      <w:sz w:val="21"/>
                      <w:szCs w:val="21"/>
                      <w:lang w:val="en-US" w:eastAsia="zh-CN" w:bidi="ar"/>
                    </w:rPr>
                    <w:t>，</w:t>
                  </w:r>
                  <w:r>
                    <w:rPr>
                      <w:rFonts w:hint="default" w:ascii="Times New Roman" w:hAnsi="Times New Roman" w:cs="Times New Roman"/>
                      <w:color w:val="auto"/>
                      <w:sz w:val="21"/>
                      <w:szCs w:val="21"/>
                    </w:rPr>
                    <w:t>不属于禁止开发建设项目</w:t>
                  </w:r>
                  <w:r>
                    <w:rPr>
                      <w:rFonts w:hint="default" w:ascii="Times New Roman" w:hAnsi="Times New Roman" w:cs="Times New Roman"/>
                      <w:color w:val="auto"/>
                      <w:sz w:val="21"/>
                      <w:szCs w:val="21"/>
                      <w:highlight w:val="none"/>
                    </w:rPr>
                    <w:t>，</w:t>
                  </w:r>
                  <w:r>
                    <w:rPr>
                      <w:rFonts w:hint="eastAsia" w:cs="Times New Roman"/>
                      <w:color w:val="auto"/>
                      <w:sz w:val="21"/>
                      <w:szCs w:val="21"/>
                      <w:highlight w:val="none"/>
                      <w:lang w:eastAsia="zh-CN"/>
                    </w:rPr>
                    <w:t>已取得武陟经济技术开发区管理委员会企业服务局</w:t>
                  </w:r>
                  <w:r>
                    <w:rPr>
                      <w:rFonts w:hint="default" w:ascii="Times New Roman" w:hAnsi="Times New Roman" w:cs="Times New Roman"/>
                      <w:color w:val="auto"/>
                      <w:sz w:val="21"/>
                      <w:szCs w:val="21"/>
                      <w:highlight w:val="none"/>
                      <w:lang w:val="en-US" w:eastAsia="zh-CN"/>
                    </w:rPr>
                    <w:t>出具入</w:t>
                  </w:r>
                  <w:r>
                    <w:rPr>
                      <w:rFonts w:hint="eastAsia" w:cs="Times New Roman"/>
                      <w:color w:val="auto"/>
                      <w:sz w:val="21"/>
                      <w:szCs w:val="21"/>
                      <w:highlight w:val="none"/>
                      <w:lang w:val="en-US" w:eastAsia="zh-CN"/>
                    </w:rPr>
                    <w:t>驻</w:t>
                  </w:r>
                  <w:r>
                    <w:rPr>
                      <w:rFonts w:hint="default" w:ascii="Times New Roman" w:hAnsi="Times New Roman" w:cs="Times New Roman"/>
                      <w:color w:val="auto"/>
                      <w:sz w:val="21"/>
                      <w:szCs w:val="21"/>
                      <w:highlight w:val="none"/>
                      <w:lang w:val="en-US" w:eastAsia="zh-CN"/>
                    </w:rPr>
                    <w:t>证明</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lang w:val="en-US" w:eastAsia="zh-CN"/>
                    </w:rPr>
                    <w:t>项目建成后</w:t>
                  </w:r>
                  <w:r>
                    <w:rPr>
                      <w:rFonts w:hint="default" w:ascii="Times New Roman" w:hAnsi="Times New Roman" w:eastAsia="宋体" w:cs="Times New Roman"/>
                      <w:snapToGrid w:val="0"/>
                      <w:color w:val="auto"/>
                      <w:kern w:val="0"/>
                      <w:sz w:val="21"/>
                      <w:szCs w:val="21"/>
                      <w:lang w:val="en-US" w:eastAsia="zh-CN" w:bidi="ar-SA"/>
                    </w:rPr>
                    <w:t>严格落实排污许可制度，</w:t>
                  </w:r>
                  <w:r>
                    <w:rPr>
                      <w:rFonts w:hint="default" w:ascii="Times New Roman" w:hAnsi="Times New Roman" w:cs="Times New Roman"/>
                      <w:color w:val="auto"/>
                      <w:sz w:val="21"/>
                      <w:szCs w:val="21"/>
                    </w:rPr>
                    <w:t>严格执行污染物排放总量控制制度。</w:t>
                  </w:r>
                </w:p>
              </w:tc>
              <w:tc>
                <w:tcPr>
                  <w:tcW w:w="560" w:type="pct"/>
                  <w:tcBorders>
                    <w:tl2br w:val="nil"/>
                    <w:tr2bl w:val="nil"/>
                  </w:tcBorders>
                  <w:noWrap w:val="0"/>
                  <w:vAlign w:val="center"/>
                </w:tcPr>
                <w:p w14:paraId="3854CB50">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r w14:paraId="4CEE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212" w:hRule="atLeast"/>
                <w:jc w:val="center"/>
              </w:trPr>
              <w:tc>
                <w:tcPr>
                  <w:tcW w:w="2740" w:type="pct"/>
                  <w:tcBorders>
                    <w:tl2br w:val="nil"/>
                    <w:tr2bl w:val="nil"/>
                  </w:tcBorders>
                  <w:noWrap w:val="0"/>
                  <w:vAlign w:val="center"/>
                </w:tcPr>
                <w:p w14:paraId="74DD2DD9">
                  <w:pPr>
                    <w:keepNext w:val="0"/>
                    <w:keepLines w:val="0"/>
                    <w:pageBreakBefore w:val="0"/>
                    <w:widowControl/>
                    <w:numPr>
                      <w:ilvl w:val="0"/>
                      <w:numId w:val="0"/>
                    </w:numPr>
                    <w:suppressLineNumbers w:val="0"/>
                    <w:kinsoku/>
                    <w:wordWrap w:val="0"/>
                    <w:overflowPunct/>
                    <w:topLinePunct w:val="0"/>
                    <w:autoSpaceDE/>
                    <w:autoSpaceDN/>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（六）加快环境基础设施建设</w:t>
                  </w:r>
                  <w:r>
                    <w:rPr>
                      <w:rFonts w:hint="default" w:ascii="Times New Roman" w:hAnsi="Times New Roman"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zh-CN" w:bidi="ar-SA"/>
                    </w:rPr>
                    <w:t>建设完善集中供水、排水、供热等基础设施，加快开发区污水处理厂及配套管网、中水回用工程的建设，园区企业不得单独设置排污口，确保企业外排废水全部有效收集，并提高水资源利用率，减少废水排放。工业固体废物应依法依规分类收集、安全妥善处理处置，危险固废严格按照有关规定收集、贮存、转运、处置，确保100%安全处置。</w:t>
                  </w:r>
                </w:p>
              </w:tc>
              <w:tc>
                <w:tcPr>
                  <w:tcW w:w="1698" w:type="pct"/>
                  <w:tcBorders>
                    <w:tl2br w:val="nil"/>
                    <w:tr2bl w:val="nil"/>
                  </w:tcBorders>
                  <w:noWrap w:val="0"/>
                  <w:vAlign w:val="center"/>
                </w:tcPr>
                <w:p w14:paraId="6F531A3B">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本项目</w:t>
                  </w:r>
                  <w:r>
                    <w:rPr>
                      <w:rFonts w:hint="default" w:ascii="Times New Roman" w:hAnsi="Times New Roman" w:cs="Times New Roman"/>
                      <w:color w:val="auto"/>
                      <w:sz w:val="21"/>
                      <w:szCs w:val="21"/>
                      <w:lang w:val="en-US" w:eastAsia="zh-CN"/>
                    </w:rPr>
                    <w:t>用水采用经开区集中供水，生活污水经</w:t>
                  </w:r>
                  <w:r>
                    <w:rPr>
                      <w:rFonts w:hint="eastAsia" w:cs="Times New Roman"/>
                      <w:color w:val="auto"/>
                      <w:sz w:val="21"/>
                      <w:szCs w:val="21"/>
                      <w:lang w:val="en-US" w:eastAsia="zh-CN"/>
                    </w:rPr>
                    <w:t>产业园区</w:t>
                  </w:r>
                  <w:r>
                    <w:rPr>
                      <w:rFonts w:hint="default" w:ascii="Times New Roman" w:hAnsi="Times New Roman" w:cs="Times New Roman"/>
                      <w:color w:val="auto"/>
                      <w:sz w:val="21"/>
                      <w:szCs w:val="21"/>
                      <w:lang w:val="en-US" w:eastAsia="zh-CN"/>
                    </w:rPr>
                    <w:t>污水管网排入</w:t>
                  </w:r>
                  <w:r>
                    <w:rPr>
                      <w:rFonts w:hint="eastAsia" w:cs="Times New Roman"/>
                      <w:color w:val="auto"/>
                      <w:sz w:val="21"/>
                      <w:szCs w:val="21"/>
                      <w:lang w:val="en-US" w:eastAsia="zh-CN"/>
                    </w:rPr>
                    <w:t>詹店镇</w:t>
                  </w:r>
                  <w:r>
                    <w:rPr>
                      <w:rFonts w:hint="default" w:ascii="Times New Roman" w:hAnsi="Times New Roman" w:cs="Times New Roman"/>
                      <w:color w:val="auto"/>
                      <w:sz w:val="21"/>
                      <w:szCs w:val="21"/>
                      <w:lang w:val="en-US" w:eastAsia="zh-CN"/>
                    </w:rPr>
                    <w:t>污水处理厂处理；</w:t>
                  </w:r>
                  <w:r>
                    <w:rPr>
                      <w:rFonts w:hint="default" w:ascii="Times New Roman" w:hAnsi="Times New Roman" w:eastAsia="宋体" w:cs="Times New Roman"/>
                      <w:snapToGrid w:val="0"/>
                      <w:color w:val="auto"/>
                      <w:kern w:val="0"/>
                      <w:sz w:val="21"/>
                      <w:szCs w:val="21"/>
                      <w:lang w:val="en-US" w:eastAsia="zh-CN" w:bidi="ar-SA"/>
                    </w:rPr>
                    <w:t>工业固体废物依法依规分类收集、安全妥善处理处置，危险固废严格按照有关规定收集、贮存、转运、处置，确保100%安全处置。</w:t>
                  </w:r>
                </w:p>
              </w:tc>
              <w:tc>
                <w:tcPr>
                  <w:tcW w:w="560" w:type="pct"/>
                  <w:tcBorders>
                    <w:tl2br w:val="nil"/>
                    <w:tr2bl w:val="nil"/>
                  </w:tcBorders>
                  <w:noWrap w:val="0"/>
                  <w:vAlign w:val="center"/>
                </w:tcPr>
                <w:p w14:paraId="5038E950">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r w14:paraId="377C9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212" w:hRule="atLeast"/>
                <w:jc w:val="center"/>
              </w:trPr>
              <w:tc>
                <w:tcPr>
                  <w:tcW w:w="2740" w:type="pct"/>
                  <w:tcBorders>
                    <w:tl2br w:val="nil"/>
                    <w:tr2bl w:val="nil"/>
                  </w:tcBorders>
                  <w:noWrap w:val="0"/>
                  <w:vAlign w:val="center"/>
                </w:tcPr>
                <w:p w14:paraId="619394BD">
                  <w:pPr>
                    <w:keepNext w:val="0"/>
                    <w:keepLines w:val="0"/>
                    <w:pageBreakBefore w:val="0"/>
                    <w:widowControl/>
                    <w:numPr>
                      <w:ilvl w:val="0"/>
                      <w:numId w:val="0"/>
                    </w:numPr>
                    <w:suppressLineNumbers w:val="0"/>
                    <w:kinsoku/>
                    <w:wordWrap w:val="0"/>
                    <w:overflowPunct/>
                    <w:topLinePunct w:val="0"/>
                    <w:autoSpaceDE/>
                    <w:autoSpaceDN/>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（七）建立健全生态环境监管体系</w:t>
                  </w:r>
                  <w:r>
                    <w:rPr>
                      <w:rFonts w:hint="default" w:ascii="Times New Roman" w:hAnsi="Times New Roman"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zh-CN" w:bidi="ar-SA"/>
                    </w:rPr>
                    <w:t>统筹考虑污染防治、生态恢复与建设、环境风险防范，建立健全区域日常环境管理、环境风险防控体系和联防联控机制，提升环境风险防控和应急响应能力，保障区域生态环境安全。定期开展环境空气、地表水、地下水、土壤等环境要素监测，健全大气污染物自动监测体系，做好长期跟踪监测与管理，并根据监测评估结果适时优化调整规划。</w:t>
                  </w:r>
                </w:p>
              </w:tc>
              <w:tc>
                <w:tcPr>
                  <w:tcW w:w="1698" w:type="pct"/>
                  <w:tcBorders>
                    <w:tl2br w:val="nil"/>
                    <w:tr2bl w:val="nil"/>
                  </w:tcBorders>
                  <w:noWrap w:val="0"/>
                  <w:vAlign w:val="center"/>
                </w:tcPr>
                <w:p w14:paraId="2A9768C3">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both"/>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本项目已提出风险防范措施，同时要求建设单位按照当地生态环境主管部门要求制定环境应急预案</w:t>
                  </w:r>
                </w:p>
              </w:tc>
              <w:tc>
                <w:tcPr>
                  <w:tcW w:w="560" w:type="pct"/>
                  <w:tcBorders>
                    <w:tl2br w:val="nil"/>
                    <w:tr2bl w:val="nil"/>
                  </w:tcBorders>
                  <w:noWrap w:val="0"/>
                  <w:vAlign w:val="center"/>
                </w:tcPr>
                <w:p w14:paraId="0B35EF00">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r w14:paraId="6628C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0" w:hRule="atLeast"/>
                <w:jc w:val="center"/>
              </w:trPr>
              <w:tc>
                <w:tcPr>
                  <w:tcW w:w="2740" w:type="pct"/>
                  <w:tcBorders>
                    <w:tl2br w:val="nil"/>
                    <w:tr2bl w:val="nil"/>
                  </w:tcBorders>
                  <w:noWrap w:val="0"/>
                  <w:vAlign w:val="center"/>
                </w:tcPr>
                <w:p w14:paraId="32D261C0">
                  <w:pPr>
                    <w:keepNext w:val="0"/>
                    <w:keepLines w:val="0"/>
                    <w:pageBreakBefore w:val="0"/>
                    <w:widowControl/>
                    <w:numPr>
                      <w:ilvl w:val="0"/>
                      <w:numId w:val="0"/>
                    </w:numPr>
                    <w:suppressLineNumbers w:val="0"/>
                    <w:kinsoku/>
                    <w:wordWrap w:val="0"/>
                    <w:overflowPunct/>
                    <w:topLinePunct w:val="0"/>
                    <w:autoSpaceDE/>
                    <w:autoSpaceDN/>
                    <w:bidi w:val="0"/>
                    <w:snapToGrid/>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八）严格落实规划环评要求。根据《报告书》和审查意见要求，按期完成现有生态环境问题整改，作为入区建设项目环境准入的重要依据。在《规划》实施过程中，严格按照《规划环境影响评价条例》要求开展环境影响跟踪评价。规划发生重大调整或者修订时应重新进行环境影响评价。</w:t>
                  </w:r>
                </w:p>
              </w:tc>
              <w:tc>
                <w:tcPr>
                  <w:tcW w:w="1698" w:type="pct"/>
                  <w:tcBorders>
                    <w:tl2br w:val="nil"/>
                    <w:tr2bl w:val="nil"/>
                  </w:tcBorders>
                  <w:noWrap w:val="0"/>
                  <w:vAlign w:val="center"/>
                </w:tcPr>
                <w:p w14:paraId="41C0DD16">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jc w:val="both"/>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w:t>
                  </w:r>
                  <w:r>
                    <w:rPr>
                      <w:rFonts w:hint="default" w:ascii="Times New Roman" w:hAnsi="Times New Roman" w:eastAsia="宋体" w:cs="Times New Roman"/>
                      <w:snapToGrid w:val="0"/>
                      <w:color w:val="auto"/>
                      <w:kern w:val="0"/>
                      <w:sz w:val="21"/>
                      <w:szCs w:val="21"/>
                      <w:lang w:val="en-US" w:eastAsia="zh-CN" w:bidi="ar-SA"/>
                    </w:rPr>
                    <w:t>严格落实规划环评要求。</w:t>
                  </w:r>
                </w:p>
              </w:tc>
              <w:tc>
                <w:tcPr>
                  <w:tcW w:w="560" w:type="pct"/>
                  <w:tcBorders>
                    <w:tl2br w:val="nil"/>
                    <w:tr2bl w:val="nil"/>
                  </w:tcBorders>
                  <w:noWrap w:val="0"/>
                  <w:vAlign w:val="center"/>
                </w:tcPr>
                <w:p w14:paraId="48388640">
                  <w:pPr>
                    <w:pStyle w:val="25"/>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360" w:lineRule="exact"/>
                    <w:ind w:left="0" w:righ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相符</w:t>
                  </w:r>
                </w:p>
              </w:tc>
            </w:tr>
          </w:tbl>
          <w:p w14:paraId="4E319250">
            <w:pPr>
              <w:pStyle w:val="26"/>
              <w:keepNext w:val="0"/>
              <w:keepLines w:val="0"/>
              <w:pageBreakBefore w:val="0"/>
              <w:widowControl w:val="0"/>
              <w:tabs>
                <w:tab w:val="left" w:pos="338"/>
              </w:tabs>
              <w:kinsoku/>
              <w:wordWrap/>
              <w:overflowPunct/>
              <w:topLinePunct w:val="0"/>
              <w:autoSpaceDE/>
              <w:autoSpaceDN/>
              <w:bidi w:val="0"/>
              <w:adjustRightInd/>
              <w:snapToGrid w:val="0"/>
              <w:spacing w:line="520" w:lineRule="atLeast"/>
              <w:ind w:left="0" w:leftChars="0" w:firstLine="480" w:firstLineChars="200"/>
              <w:textAlignment w:val="auto"/>
              <w:rPr>
                <w:rFonts w:hint="default" w:ascii="Times New Roman" w:hAnsi="Times New Roman" w:cs="Times New Roman"/>
              </w:rPr>
            </w:pPr>
            <w:r>
              <w:rPr>
                <w:rFonts w:hint="default" w:ascii="Times New Roman" w:hAnsi="Times New Roman" w:cs="Times New Roman"/>
                <w:highlight w:val="none"/>
              </w:rPr>
              <w:t>综上，</w:t>
            </w:r>
            <w:r>
              <w:rPr>
                <w:rFonts w:hint="eastAsia" w:cs="Times New Roman"/>
                <w:highlight w:val="none"/>
                <w:lang w:eastAsia="zh-CN"/>
              </w:rPr>
              <w:t>本</w:t>
            </w:r>
            <w:r>
              <w:rPr>
                <w:rFonts w:hint="default" w:ascii="Times New Roman" w:hAnsi="Times New Roman" w:cs="Times New Roman"/>
                <w:highlight w:val="none"/>
              </w:rPr>
              <w:t>项目符合武陟经济技术开发区规划环评审查意见的相关要求。</w:t>
            </w:r>
          </w:p>
        </w:tc>
      </w:tr>
      <w:tr w14:paraId="13EB2C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08" w:hRule="atLeast"/>
          <w:jc w:val="center"/>
        </w:trPr>
        <w:tc>
          <w:tcPr>
            <w:tcW w:w="422" w:type="pct"/>
            <w:noWrap w:val="0"/>
            <w:vAlign w:val="center"/>
          </w:tcPr>
          <w:p w14:paraId="26F9C8B7">
            <w:pPr>
              <w:pStyle w:val="5"/>
              <w:jc w:val="center"/>
              <w:rPr>
                <w:rFonts w:hint="default" w:ascii="Times New Roman" w:hAnsi="Times New Roman" w:cs="Times New Roman"/>
                <w:kern w:val="0"/>
              </w:rPr>
            </w:pPr>
            <w:r>
              <w:rPr>
                <w:rFonts w:hint="default" w:ascii="Times New Roman" w:hAnsi="Times New Roman" w:cs="Times New Roman"/>
              </w:rPr>
              <w:t>其他符合性分析</w:t>
            </w:r>
          </w:p>
        </w:tc>
        <w:tc>
          <w:tcPr>
            <w:tcW w:w="4577" w:type="pct"/>
            <w:gridSpan w:val="4"/>
            <w:noWrap w:val="0"/>
            <w:vAlign w:val="center"/>
          </w:tcPr>
          <w:p w14:paraId="346C0B31">
            <w:pPr>
              <w:keepNext w:val="0"/>
              <w:keepLines w:val="0"/>
              <w:pageBreakBefore w:val="0"/>
              <w:kinsoku/>
              <w:wordWrap/>
              <w:overflowPunct/>
              <w:topLinePunct w:val="0"/>
              <w:autoSpaceDE/>
              <w:autoSpaceDN/>
              <w:bidi w:val="0"/>
              <w:adjustRightInd/>
              <w:snapToGrid w:val="0"/>
              <w:spacing w:line="520" w:lineRule="exact"/>
              <w:ind w:left="0" w:hanging="482" w:hangingChars="200"/>
              <w:textAlignment w:val="auto"/>
              <w:rPr>
                <w:rFonts w:hint="default" w:ascii="Times New Roman" w:hAnsi="Times New Roman" w:cs="Times New Roman"/>
                <w:b/>
                <w:bCs/>
              </w:rPr>
            </w:pPr>
            <w:r>
              <w:rPr>
                <w:rFonts w:hint="default" w:ascii="Times New Roman" w:hAnsi="Times New Roman" w:cs="Times New Roman"/>
                <w:b/>
                <w:bCs/>
              </w:rPr>
              <w:t>1</w:t>
            </w:r>
            <w:r>
              <w:rPr>
                <w:rFonts w:hint="default" w:ascii="Times New Roman" w:hAnsi="Times New Roman" w:cs="Times New Roman"/>
                <w:b/>
                <w:bCs/>
                <w:lang w:eastAsia="zh-CN"/>
              </w:rPr>
              <w:t>、</w:t>
            </w:r>
            <w:r>
              <w:rPr>
                <w:rFonts w:hint="default" w:ascii="Times New Roman" w:hAnsi="Times New Roman" w:cs="Times New Roman"/>
                <w:b/>
                <w:bCs/>
              </w:rPr>
              <w:t>与“三线一单”相符性分析</w:t>
            </w:r>
          </w:p>
          <w:p w14:paraId="6DEF8602">
            <w:pPr>
              <w:keepNext w:val="0"/>
              <w:keepLines w:val="0"/>
              <w:pageBreakBefore w:val="0"/>
              <w:widowControl/>
              <w:kinsoku/>
              <w:wordWrap/>
              <w:overflowPunct/>
              <w:topLinePunct w:val="0"/>
              <w:autoSpaceDE/>
              <w:autoSpaceDN/>
              <w:bidi w:val="0"/>
              <w:adjustRightInd/>
              <w:snapToGrid w:val="0"/>
              <w:spacing w:line="520" w:lineRule="exact"/>
              <w:ind w:left="0" w:firstLine="480"/>
              <w:jc w:val="left"/>
              <w:textAlignment w:val="auto"/>
              <w:rPr>
                <w:rFonts w:hint="default" w:ascii="Times New Roman" w:hAnsi="Times New Roman" w:cs="Times New Roman"/>
                <w:highlight w:val="none"/>
              </w:rPr>
            </w:pPr>
            <w:r>
              <w:rPr>
                <w:rFonts w:hint="default" w:ascii="Times New Roman" w:hAnsi="Times New Roman" w:cs="Times New Roman"/>
              </w:rPr>
              <w:t>按照《河南省人民政府关于实施“三线一单”生态环境分区管控的意见》(豫政（2020）37号)相关要求，河南省生态环境厅于2021年11月发布了《河南省生态环境分区管控总体要求（试行）》</w:t>
            </w:r>
            <w:r>
              <w:rPr>
                <w:rFonts w:hint="eastAsia" w:cs="Times New Roman"/>
                <w:lang w:eastAsia="zh-CN"/>
              </w:rPr>
              <w:t>（</w:t>
            </w:r>
            <w:r>
              <w:rPr>
                <w:rFonts w:hint="default" w:ascii="Times New Roman" w:hAnsi="Times New Roman" w:cs="Times New Roman"/>
              </w:rPr>
              <w:t>豫环函（2021）171号)各地市也相继发布了各地市的“三线一单”生态环境分区管控要求。2024年2月5日，河南省生态环境厅发布了《关于公布河南省“三线一单”生态环境分区管控更新成果（2023年版）的通知》对</w:t>
            </w:r>
            <w:r>
              <w:rPr>
                <w:rFonts w:hint="eastAsia" w:cs="Times New Roman"/>
                <w:lang w:eastAsia="zh-CN"/>
              </w:rPr>
              <w:t>“三线一单”</w:t>
            </w:r>
            <w:r>
              <w:rPr>
                <w:rFonts w:hint="default" w:ascii="Times New Roman" w:hAnsi="Times New Roman" w:cs="Times New Roman"/>
              </w:rPr>
              <w:t>成果进行了更新，按照“1+1+4”的整体架构</w:t>
            </w:r>
            <w:r>
              <w:rPr>
                <w:rFonts w:hint="default" w:ascii="Times New Roman" w:hAnsi="Times New Roman" w:cs="Times New Roman"/>
                <w:lang w:eastAsia="zh-CN"/>
              </w:rPr>
              <w:t>（</w:t>
            </w:r>
            <w:r>
              <w:rPr>
                <w:rFonts w:hint="default" w:ascii="Times New Roman" w:hAnsi="Times New Roman" w:cs="Times New Roman"/>
              </w:rPr>
              <w:t>即全省生态环境总体准入要求+京津冀及周边地区重点区域生态环境管控要求+省辖黄河流域、省辖淮河流域、省辖海河流域和省辖长江流域生态环境管控要求</w:t>
            </w:r>
            <w:r>
              <w:rPr>
                <w:rFonts w:hint="default" w:ascii="Times New Roman" w:hAnsi="Times New Roman" w:cs="Times New Roman"/>
                <w:lang w:eastAsia="zh-CN"/>
              </w:rPr>
              <w:t>）</w:t>
            </w:r>
            <w:r>
              <w:rPr>
                <w:rFonts w:hint="default" w:ascii="Times New Roman" w:hAnsi="Times New Roman" w:cs="Times New Roman"/>
              </w:rPr>
              <w:t>对河南省生态环境分区管控提出了总体要求，并把生态保护红线、环境质量底线、资源利用上线等生态环境“硬约束”，落实到1145个生态环境管控单元(全省共划分优先保护单元353个、重点管控单元677个、一般管控单115个)，一单元一策略，制定了生态环境准入清单，积极服务全省重大发展战略实施，科学指导各类开发保护建设活动，推动空间布局优化和产业结构转型升级。对照《河南省“三线一单”生态环境分区管控更新成果(2023年版)》，本项目涉及的重点区域为“京津冀及周边地区”中的焦作地区，纳污水体属于省</w:t>
            </w:r>
            <w:r>
              <w:rPr>
                <w:rFonts w:hint="default" w:ascii="Times New Roman" w:hAnsi="Times New Roman" w:cs="Times New Roman"/>
                <w:highlight w:val="none"/>
              </w:rPr>
              <w:t>辖海河流域，项目具体位置位于河南省环境管控单元武陟经济技术开发区重点管控单元，环境管控单元编码为ZH41082320001。</w:t>
            </w:r>
          </w:p>
          <w:p w14:paraId="209DA17A">
            <w:pPr>
              <w:keepNext w:val="0"/>
              <w:keepLines w:val="0"/>
              <w:pageBreakBefore w:val="0"/>
              <w:widowControl/>
              <w:kinsoku/>
              <w:wordWrap w:val="0"/>
              <w:overflowPunct/>
              <w:topLinePunct w:val="0"/>
              <w:autoSpaceDE/>
              <w:autoSpaceDN/>
              <w:bidi w:val="0"/>
              <w:adjustRightInd/>
              <w:snapToGrid w:val="0"/>
              <w:spacing w:line="520" w:lineRule="exact"/>
              <w:ind w:left="0" w:firstLine="480"/>
              <w:jc w:val="left"/>
              <w:textAlignment w:val="auto"/>
              <w:rPr>
                <w:rFonts w:hint="default" w:ascii="Times New Roman" w:hAnsi="Times New Roman" w:cs="Times New Roman"/>
              </w:rPr>
            </w:pPr>
            <w:r>
              <w:rPr>
                <w:rFonts w:hint="default" w:ascii="Times New Roman" w:hAnsi="Times New Roman" w:cs="Times New Roman"/>
                <w:highlight w:val="none"/>
              </w:rPr>
              <w:t>本项目位于焦作市武陟</w:t>
            </w:r>
            <w:r>
              <w:rPr>
                <w:rFonts w:hint="eastAsia" w:cs="Times New Roman"/>
                <w:highlight w:val="none"/>
                <w:lang w:eastAsia="zh-CN"/>
              </w:rPr>
              <w:t>县</w:t>
            </w:r>
            <w:r>
              <w:rPr>
                <w:rFonts w:hint="default" w:ascii="Times New Roman" w:hAnsi="Times New Roman" w:cs="Times New Roman"/>
                <w:highlight w:val="none"/>
              </w:rPr>
              <w:t>经开区东部园区昌武路与鸿源路交叉口路西200米路南01号。</w:t>
            </w:r>
            <w:r>
              <w:rPr>
                <w:rFonts w:hint="eastAsia" w:cs="Times New Roman"/>
                <w:highlight w:val="none"/>
                <w:lang w:eastAsia="zh-CN"/>
              </w:rPr>
              <w:t>距离该项目最近的</w:t>
            </w:r>
            <w:r>
              <w:rPr>
                <w:rFonts w:hint="default" w:ascii="Times New Roman" w:hAnsi="Times New Roman" w:cs="Times New Roman"/>
                <w:highlight w:val="none"/>
                <w:lang w:eastAsia="zh-CN"/>
              </w:rPr>
              <w:t>生态保护红线</w:t>
            </w:r>
            <w:r>
              <w:rPr>
                <w:rFonts w:hint="eastAsia" w:cs="Times New Roman"/>
                <w:highlight w:val="none"/>
                <w:lang w:eastAsia="zh-CN"/>
              </w:rPr>
              <w:t>是河南省新乡市获嘉县生态保护红线</w:t>
            </w:r>
            <w:r>
              <w:rPr>
                <w:rFonts w:hint="eastAsia" w:cs="Times New Roman"/>
                <w:highlight w:val="none"/>
                <w:lang w:val="en-US" w:eastAsia="zh-CN"/>
              </w:rPr>
              <w:t>-</w:t>
            </w:r>
            <w:r>
              <w:rPr>
                <w:rFonts w:hint="default" w:ascii="Times New Roman" w:hAnsi="Times New Roman" w:cs="Times New Roman"/>
                <w:highlight w:val="none"/>
                <w:lang w:val="en-US" w:eastAsia="zh-CN"/>
              </w:rPr>
              <w:t>生态功能</w:t>
            </w:r>
            <w:r>
              <w:rPr>
                <w:rFonts w:hint="eastAsia" w:cs="Times New Roman"/>
                <w:highlight w:val="none"/>
                <w:lang w:val="en-US" w:eastAsia="zh-CN"/>
              </w:rPr>
              <w:t>，距离约5.642</w:t>
            </w:r>
            <w:r>
              <w:rPr>
                <w:rFonts w:hint="default" w:ascii="Times New Roman" w:hAnsi="Times New Roman" w:cs="Times New Roman"/>
                <w:highlight w:val="none"/>
              </w:rPr>
              <w:t>km；距离该项目最近的水源地是新乡市黄河七里营，距离约5.64</w:t>
            </w:r>
            <w:r>
              <w:rPr>
                <w:rFonts w:hint="eastAsia" w:cs="Times New Roman"/>
                <w:highlight w:val="none"/>
                <w:lang w:val="en-US" w:eastAsia="zh-CN"/>
              </w:rPr>
              <w:t>km，</w:t>
            </w:r>
            <w:r>
              <w:rPr>
                <w:rFonts w:hint="default" w:ascii="Times New Roman" w:hAnsi="Times New Roman" w:cs="Times New Roman"/>
              </w:rPr>
              <w:t>该项目周边10km无森林公园</w:t>
            </w:r>
            <w:r>
              <w:rPr>
                <w:rFonts w:hint="default" w:ascii="Times New Roman" w:hAnsi="Times New Roman" w:cs="Times New Roman"/>
                <w:lang w:eastAsia="zh-CN"/>
              </w:rPr>
              <w:t>；</w:t>
            </w:r>
            <w:r>
              <w:rPr>
                <w:rFonts w:hint="default" w:ascii="Times New Roman" w:hAnsi="Times New Roman" w:cs="Times New Roman"/>
                <w:highlight w:val="none"/>
              </w:rPr>
              <w:t>距离该项目最近的</w:t>
            </w:r>
            <w:r>
              <w:rPr>
                <w:rFonts w:hint="default" w:ascii="Times New Roman" w:hAnsi="Times New Roman" w:cs="Times New Roman"/>
                <w:highlight w:val="none"/>
                <w:lang w:eastAsia="zh-CN"/>
              </w:rPr>
              <w:t>风景名胜区是黄河风景名胜区</w:t>
            </w:r>
            <w:r>
              <w:rPr>
                <w:rFonts w:hint="default" w:ascii="Times New Roman" w:hAnsi="Times New Roman" w:cs="Times New Roman"/>
                <w:highlight w:val="none"/>
              </w:rPr>
              <w:t>，距离约</w:t>
            </w:r>
            <w:r>
              <w:rPr>
                <w:rFonts w:hint="eastAsia" w:cs="Times New Roman"/>
                <w:highlight w:val="none"/>
                <w:lang w:val="en-US" w:eastAsia="zh-CN"/>
              </w:rPr>
              <w:t>5.031</w:t>
            </w:r>
            <w:r>
              <w:rPr>
                <w:rFonts w:hint="default" w:ascii="Times New Roman" w:hAnsi="Times New Roman" w:cs="Times New Roman"/>
                <w:highlight w:val="none"/>
              </w:rPr>
              <w:t>km；距离该</w:t>
            </w:r>
            <w:r>
              <w:rPr>
                <w:rFonts w:hint="default" w:ascii="Times New Roman" w:hAnsi="Times New Roman" w:cs="Times New Roman"/>
              </w:rPr>
              <w:t>项目最近的湿地公园是河南武陟嘉应观黄河省级湿地公园，距离约</w:t>
            </w:r>
            <w:r>
              <w:rPr>
                <w:rFonts w:hint="eastAsia" w:cs="Times New Roman"/>
                <w:lang w:val="en-US" w:eastAsia="zh-CN"/>
              </w:rPr>
              <w:t>5.51</w:t>
            </w:r>
            <w:r>
              <w:rPr>
                <w:rFonts w:hint="default" w:ascii="Times New Roman" w:hAnsi="Times New Roman" w:cs="Times New Roman"/>
              </w:rPr>
              <w:t>km；</w:t>
            </w:r>
            <w:r>
              <w:rPr>
                <w:rFonts w:hint="default" w:ascii="Times New Roman" w:hAnsi="Times New Roman" w:cs="Times New Roman"/>
                <w:highlight w:val="none"/>
              </w:rPr>
              <w:t>距离该项目最近的</w:t>
            </w:r>
            <w:r>
              <w:rPr>
                <w:rFonts w:hint="default" w:ascii="Times New Roman" w:hAnsi="Times New Roman" w:cs="Times New Roman"/>
                <w:highlight w:val="none"/>
                <w:lang w:eastAsia="zh-CN"/>
              </w:rPr>
              <w:t>自然保护区</w:t>
            </w:r>
            <w:r>
              <w:rPr>
                <w:rFonts w:hint="default" w:ascii="Times New Roman" w:hAnsi="Times New Roman" w:cs="Times New Roman"/>
                <w:highlight w:val="none"/>
              </w:rPr>
              <w:t>是</w:t>
            </w:r>
            <w:r>
              <w:rPr>
                <w:rFonts w:hint="default" w:ascii="Times New Roman" w:hAnsi="Times New Roman" w:cs="Times New Roman"/>
                <w:highlight w:val="none"/>
                <w:lang w:eastAsia="zh-CN"/>
              </w:rPr>
              <w:t>河南郑州黄河湿地省级自然保护区</w:t>
            </w:r>
            <w:r>
              <w:rPr>
                <w:rFonts w:hint="default" w:ascii="Times New Roman" w:hAnsi="Times New Roman" w:cs="Times New Roman"/>
                <w:highlight w:val="none"/>
              </w:rPr>
              <w:t>，距离约</w:t>
            </w:r>
            <w:r>
              <w:rPr>
                <w:rFonts w:hint="eastAsia" w:cs="Times New Roman"/>
                <w:highlight w:val="none"/>
                <w:lang w:val="en-US" w:eastAsia="zh-CN"/>
              </w:rPr>
              <w:t>9.775</w:t>
            </w:r>
            <w:r>
              <w:rPr>
                <w:rFonts w:hint="default" w:ascii="Times New Roman" w:hAnsi="Times New Roman" w:cs="Times New Roman"/>
                <w:highlight w:val="none"/>
              </w:rPr>
              <w:t>km</w:t>
            </w:r>
            <w:r>
              <w:rPr>
                <w:rFonts w:hint="default" w:ascii="Times New Roman" w:hAnsi="Times New Roman" w:cs="Times New Roman"/>
              </w:rPr>
              <w:t>。经研判，初步判定本项目无空间冲突。</w:t>
            </w:r>
          </w:p>
          <w:p w14:paraId="3B97DCED">
            <w:pPr>
              <w:keepNext w:val="0"/>
              <w:keepLines w:val="0"/>
              <w:pageBreakBefore w:val="0"/>
              <w:widowControl w:val="0"/>
              <w:kinsoku/>
              <w:wordWrap/>
              <w:overflowPunct/>
              <w:topLinePunct w:val="0"/>
              <w:autoSpaceDE/>
              <w:autoSpaceDN/>
              <w:bidi w:val="0"/>
              <w:adjustRightInd/>
              <w:snapToGrid/>
              <w:spacing w:line="520" w:lineRule="exact"/>
              <w:ind w:left="0" w:firstLine="0" w:firstLineChars="0"/>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表1-</w:t>
            </w:r>
            <w:r>
              <w:rPr>
                <w:rFonts w:hint="default" w:ascii="Times New Roman" w:hAnsi="Times New Roman" w:cs="Times New Roman"/>
                <w:b/>
                <w:bCs/>
                <w:highlight w:val="none"/>
                <w:lang w:val="en-US" w:eastAsia="zh-CN"/>
              </w:rPr>
              <w:t>4</w:t>
            </w:r>
            <w:r>
              <w:rPr>
                <w:rFonts w:hint="default" w:ascii="Times New Roman" w:hAnsi="Times New Roman" w:cs="Times New Roman"/>
                <w:b/>
                <w:bCs/>
                <w:highlight w:val="none"/>
              </w:rPr>
              <w:t xml:space="preserve">   本项目与全省生态环境总体准入要求相符性分析</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718"/>
              <w:gridCol w:w="4414"/>
              <w:gridCol w:w="2179"/>
              <w:gridCol w:w="651"/>
            </w:tblGrid>
            <w:tr w14:paraId="64D27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trPr>
              <w:tc>
                <w:tcPr>
                  <w:tcW w:w="428" w:type="pct"/>
                  <w:tcBorders>
                    <w:top w:val="single" w:color="auto" w:sz="4" w:space="0"/>
                    <w:left w:val="single" w:color="auto" w:sz="4" w:space="0"/>
                    <w:bottom w:val="single" w:color="auto" w:sz="4" w:space="0"/>
                    <w:right w:val="single" w:color="auto" w:sz="4" w:space="0"/>
                  </w:tcBorders>
                  <w:noWrap w:val="0"/>
                  <w:vAlign w:val="center"/>
                </w:tcPr>
                <w:p w14:paraId="6C5AC2F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管控单元分类</w:t>
                  </w:r>
                </w:p>
              </w:tc>
              <w:tc>
                <w:tcPr>
                  <w:tcW w:w="412" w:type="pct"/>
                  <w:tcBorders>
                    <w:top w:val="single" w:color="auto" w:sz="4" w:space="0"/>
                    <w:left w:val="single" w:color="auto" w:sz="4" w:space="0"/>
                    <w:bottom w:val="single" w:color="auto" w:sz="4" w:space="0"/>
                    <w:right w:val="single" w:color="auto" w:sz="4" w:space="0"/>
                  </w:tcBorders>
                  <w:noWrap w:val="0"/>
                  <w:vAlign w:val="center"/>
                </w:tcPr>
                <w:p w14:paraId="284B639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lang w:val="zh-CN"/>
                    </w:rPr>
                    <w:t>管控</w:t>
                  </w:r>
                  <w:r>
                    <w:rPr>
                      <w:rFonts w:hint="default" w:ascii="Times New Roman" w:hAnsi="Times New Roman" w:cs="Times New Roman"/>
                      <w:b w:val="0"/>
                      <w:bCs w:val="0"/>
                      <w:kern w:val="0"/>
                      <w:sz w:val="21"/>
                      <w:szCs w:val="18"/>
                    </w:rPr>
                    <w:t>类别</w:t>
                  </w:r>
                </w:p>
              </w:tc>
              <w:tc>
                <w:tcPr>
                  <w:tcW w:w="2534" w:type="pct"/>
                  <w:tcBorders>
                    <w:top w:val="single" w:color="auto" w:sz="4" w:space="0"/>
                    <w:left w:val="single" w:color="auto" w:sz="4" w:space="0"/>
                    <w:bottom w:val="single" w:color="auto" w:sz="4" w:space="0"/>
                    <w:right w:val="single" w:color="auto" w:sz="4" w:space="0"/>
                  </w:tcBorders>
                  <w:noWrap w:val="0"/>
                  <w:vAlign w:val="center"/>
                </w:tcPr>
                <w:p w14:paraId="6E655B4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准入要求</w:t>
                  </w:r>
                </w:p>
              </w:tc>
              <w:tc>
                <w:tcPr>
                  <w:tcW w:w="1251" w:type="pct"/>
                  <w:tcBorders>
                    <w:top w:val="single" w:color="auto" w:sz="4" w:space="0"/>
                    <w:left w:val="single" w:color="auto" w:sz="4" w:space="0"/>
                    <w:bottom w:val="single" w:color="auto" w:sz="4" w:space="0"/>
                    <w:right w:val="single" w:color="auto" w:sz="4" w:space="0"/>
                  </w:tcBorders>
                  <w:noWrap w:val="0"/>
                  <w:vAlign w:val="center"/>
                </w:tcPr>
                <w:p w14:paraId="0663E38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本项目情况</w:t>
                  </w:r>
                </w:p>
              </w:tc>
              <w:tc>
                <w:tcPr>
                  <w:tcW w:w="373" w:type="pct"/>
                  <w:tcBorders>
                    <w:top w:val="single" w:color="auto" w:sz="4" w:space="0"/>
                    <w:left w:val="single" w:color="auto" w:sz="4" w:space="0"/>
                    <w:bottom w:val="single" w:color="auto" w:sz="4" w:space="0"/>
                    <w:right w:val="single" w:color="auto" w:sz="4" w:space="0"/>
                  </w:tcBorders>
                  <w:noWrap w:val="0"/>
                  <w:vAlign w:val="center"/>
                </w:tcPr>
                <w:p w14:paraId="263128C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相符性</w:t>
                  </w:r>
                </w:p>
              </w:tc>
            </w:tr>
            <w:tr w14:paraId="52461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pct"/>
                  <w:vMerge w:val="restart"/>
                  <w:tcBorders>
                    <w:top w:val="single" w:color="auto" w:sz="4" w:space="0"/>
                    <w:left w:val="single" w:color="auto" w:sz="4" w:space="0"/>
                    <w:right w:val="single" w:color="auto" w:sz="4" w:space="0"/>
                  </w:tcBorders>
                  <w:noWrap w:val="0"/>
                  <w:vAlign w:val="center"/>
                </w:tcPr>
                <w:p w14:paraId="6CD72A9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重点管控单元</w:t>
                  </w:r>
                </w:p>
              </w:tc>
              <w:tc>
                <w:tcPr>
                  <w:tcW w:w="412" w:type="pct"/>
                  <w:tcBorders>
                    <w:top w:val="single" w:color="auto" w:sz="4" w:space="0"/>
                    <w:left w:val="single" w:color="auto" w:sz="4" w:space="0"/>
                    <w:bottom w:val="single" w:color="auto" w:sz="4" w:space="0"/>
                    <w:right w:val="single" w:color="auto" w:sz="4" w:space="0"/>
                  </w:tcBorders>
                  <w:noWrap w:val="0"/>
                  <w:vAlign w:val="center"/>
                </w:tcPr>
                <w:p w14:paraId="6E8EC64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空间布局约束</w:t>
                  </w:r>
                </w:p>
              </w:tc>
              <w:tc>
                <w:tcPr>
                  <w:tcW w:w="2534" w:type="pct"/>
                  <w:tcBorders>
                    <w:top w:val="single" w:color="auto" w:sz="4" w:space="0"/>
                    <w:left w:val="single" w:color="auto" w:sz="4" w:space="0"/>
                    <w:bottom w:val="single" w:color="auto" w:sz="4" w:space="0"/>
                    <w:right w:val="single" w:color="auto" w:sz="4" w:space="0"/>
                  </w:tcBorders>
                  <w:noWrap w:val="0"/>
                  <w:vAlign w:val="center"/>
                </w:tcPr>
                <w:p w14:paraId="6F659AD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rPr>
                    <w:t>1.</w:t>
                  </w:r>
                  <w:r>
                    <w:rPr>
                      <w:rFonts w:hint="default" w:ascii="Times New Roman" w:hAnsi="Times New Roman" w:cs="Times New Roman"/>
                      <w:kern w:val="0"/>
                      <w:sz w:val="21"/>
                      <w:szCs w:val="18"/>
                      <w:lang w:val="zh-CN"/>
                    </w:rPr>
                    <w:t>根据国家产业政策、区域定位及环境特征等，建立差别化的产业准入要求，鼓励建设符合</w:t>
                  </w:r>
                  <w:r>
                    <w:rPr>
                      <w:rFonts w:hint="default" w:ascii="Times New Roman" w:hAnsi="Times New Roman" w:cs="Times New Roman"/>
                      <w:kern w:val="0"/>
                      <w:sz w:val="21"/>
                      <w:szCs w:val="18"/>
                    </w:rPr>
                    <w:t>规划环评的</w:t>
                  </w:r>
                  <w:r>
                    <w:rPr>
                      <w:rFonts w:hint="default" w:ascii="Times New Roman" w:hAnsi="Times New Roman" w:cs="Times New Roman"/>
                      <w:kern w:val="0"/>
                      <w:sz w:val="21"/>
                      <w:szCs w:val="18"/>
                      <w:lang w:val="zh-CN"/>
                    </w:rPr>
                    <w:t>项目。</w:t>
                  </w:r>
                </w:p>
                <w:p w14:paraId="2691088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2</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推行绿色制造，支持创建</w:t>
                  </w:r>
                  <w:r>
                    <w:rPr>
                      <w:rFonts w:hint="default" w:ascii="Times New Roman" w:hAnsi="Times New Roman" w:cs="Times New Roman"/>
                      <w:kern w:val="0"/>
                      <w:sz w:val="21"/>
                      <w:szCs w:val="18"/>
                    </w:rPr>
                    <w:t>绿色</w:t>
                  </w:r>
                  <w:r>
                    <w:rPr>
                      <w:rFonts w:hint="default" w:ascii="Times New Roman" w:hAnsi="Times New Roman" w:cs="Times New Roman"/>
                      <w:kern w:val="0"/>
                      <w:sz w:val="21"/>
                      <w:szCs w:val="18"/>
                      <w:lang w:val="zh-CN"/>
                    </w:rPr>
                    <w:t>工厂、绿色园区、绿色供应链。</w:t>
                  </w:r>
                </w:p>
                <w:p w14:paraId="7E2D9CF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3</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推进新建石化化工项目向资源环境优势基地集中，引导化工项目进区入园，促进高水平集聚发展。</w:t>
                  </w:r>
                </w:p>
                <w:p w14:paraId="7AFF7B6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4</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强化环境准入约束，坚决遏制“两高一低”项目</w:t>
                  </w:r>
                  <w:r>
                    <w:rPr>
                      <w:rFonts w:hint="default" w:ascii="Times New Roman" w:hAnsi="Times New Roman" w:cs="Times New Roman"/>
                      <w:kern w:val="0"/>
                      <w:sz w:val="21"/>
                      <w:szCs w:val="18"/>
                    </w:rPr>
                    <w:t>盲目发展，</w:t>
                  </w:r>
                  <w:r>
                    <w:rPr>
                      <w:rFonts w:hint="default" w:ascii="Times New Roman" w:hAnsi="Times New Roman" w:cs="Times New Roman"/>
                      <w:kern w:val="0"/>
                      <w:sz w:val="21"/>
                      <w:szCs w:val="18"/>
                      <w:lang w:val="zh-CN"/>
                    </w:rPr>
                    <w:t>对不符合规定的项目坚决停批停建。</w:t>
                  </w:r>
                </w:p>
                <w:p w14:paraId="1F336D5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5</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涉及产能置换的项目，被置换产能及其配</w:t>
                  </w:r>
                  <w:r>
                    <w:rPr>
                      <w:rFonts w:hint="default" w:ascii="Times New Roman" w:hAnsi="Times New Roman" w:cs="Times New Roman"/>
                      <w:kern w:val="0"/>
                      <w:sz w:val="21"/>
                      <w:szCs w:val="18"/>
                    </w:rPr>
                    <w:t>套</w:t>
                  </w:r>
                  <w:r>
                    <w:rPr>
                      <w:rFonts w:hint="default" w:ascii="Times New Roman" w:hAnsi="Times New Roman" w:cs="Times New Roman"/>
                      <w:kern w:val="0"/>
                      <w:sz w:val="21"/>
                      <w:szCs w:val="18"/>
                      <w:lang w:val="zh-CN"/>
                    </w:rPr>
                    <w:t>设施关停后，新建项目方可投产。</w:t>
                  </w:r>
                </w:p>
                <w:p w14:paraId="0C2CE91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rPr>
                    <w:t>6.加快城市建成区内重污染企业就地改造、退</w:t>
                  </w:r>
                  <w:r>
                    <w:rPr>
                      <w:rFonts w:hint="default" w:ascii="Times New Roman" w:hAnsi="Times New Roman" w:cs="Times New Roman"/>
                      <w:kern w:val="0"/>
                      <w:sz w:val="21"/>
                      <w:szCs w:val="18"/>
                      <w:lang w:val="zh-CN"/>
                    </w:rPr>
                    <w:t>城入园、转型转产或关闭退出。</w:t>
                  </w:r>
                </w:p>
                <w:p w14:paraId="5A0C739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7</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将土壤环境要求纳入国土空间规划，根据土壤污染</w:t>
                  </w:r>
                  <w:r>
                    <w:rPr>
                      <w:rFonts w:hint="default" w:ascii="Times New Roman" w:hAnsi="Times New Roman" w:cs="Times New Roman"/>
                      <w:kern w:val="0"/>
                      <w:sz w:val="21"/>
                      <w:szCs w:val="18"/>
                    </w:rPr>
                    <w:t>状况和</w:t>
                  </w:r>
                  <w:r>
                    <w:rPr>
                      <w:rFonts w:hint="default" w:ascii="Times New Roman" w:hAnsi="Times New Roman" w:cs="Times New Roman"/>
                      <w:kern w:val="0"/>
                      <w:sz w:val="21"/>
                      <w:szCs w:val="18"/>
                      <w:lang w:val="zh-CN"/>
                    </w:rPr>
                    <w:t>风险</w:t>
                  </w:r>
                  <w:r>
                    <w:rPr>
                      <w:rFonts w:hint="default" w:ascii="Times New Roman" w:hAnsi="Times New Roman" w:cs="Times New Roman"/>
                      <w:kern w:val="0"/>
                      <w:sz w:val="21"/>
                      <w:szCs w:val="18"/>
                    </w:rPr>
                    <w:t>合理规划土地用途。对列入建设用地土壤污染风险管控和修复名录的地块，</w:t>
                  </w:r>
                  <w:r>
                    <w:rPr>
                      <w:rFonts w:hint="default" w:ascii="Times New Roman" w:hAnsi="Times New Roman" w:cs="Times New Roman"/>
                      <w:kern w:val="0"/>
                      <w:sz w:val="21"/>
                      <w:szCs w:val="18"/>
                      <w:lang w:val="zh-CN"/>
                    </w:rPr>
                    <w:t>不得</w:t>
                  </w:r>
                  <w:r>
                    <w:rPr>
                      <w:rFonts w:hint="default" w:ascii="Times New Roman" w:hAnsi="Times New Roman" w:cs="Times New Roman"/>
                      <w:kern w:val="0"/>
                      <w:sz w:val="21"/>
                      <w:szCs w:val="18"/>
                    </w:rPr>
                    <w:t>作为住宅、公共管理与公服务用地；不得</w:t>
                  </w:r>
                  <w:r>
                    <w:rPr>
                      <w:rFonts w:hint="default" w:ascii="Times New Roman" w:hAnsi="Times New Roman" w:cs="Times New Roman"/>
                      <w:kern w:val="0"/>
                      <w:sz w:val="21"/>
                      <w:szCs w:val="18"/>
                      <w:lang w:val="zh-CN"/>
                    </w:rPr>
                    <w:t>办理土地征收、回购、收购、土地供应以及改变土地用途等手续。</w:t>
                  </w:r>
                </w:p>
                <w:p w14:paraId="1413409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8</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在集中供热管网覆盖地区，禁止新建、扩建分散燃煤供热锅炉。</w:t>
                  </w:r>
                </w:p>
              </w:tc>
              <w:tc>
                <w:tcPr>
                  <w:tcW w:w="1251" w:type="pct"/>
                  <w:tcBorders>
                    <w:top w:val="single" w:color="auto" w:sz="4" w:space="0"/>
                    <w:left w:val="single" w:color="auto" w:sz="4" w:space="0"/>
                    <w:right w:val="single" w:color="auto" w:sz="4" w:space="0"/>
                  </w:tcBorders>
                  <w:noWrap w:val="0"/>
                  <w:vAlign w:val="center"/>
                </w:tcPr>
                <w:p w14:paraId="3CB4F9B4">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21"/>
                      <w:lang w:val="zh-CN"/>
                    </w:rPr>
                  </w:pPr>
                  <w:r>
                    <w:rPr>
                      <w:rFonts w:hint="default" w:ascii="Times New Roman" w:hAnsi="Times New Roman" w:cs="Times New Roman"/>
                      <w:kern w:val="0"/>
                      <w:sz w:val="21"/>
                      <w:szCs w:val="21"/>
                    </w:rPr>
                    <w:t>1</w:t>
                  </w:r>
                  <w:r>
                    <w:rPr>
                      <w:rFonts w:hint="eastAsia" w:cs="Times New Roman"/>
                      <w:kern w:val="0"/>
                      <w:sz w:val="21"/>
                      <w:szCs w:val="21"/>
                      <w:lang w:eastAsia="zh-CN"/>
                    </w:rPr>
                    <w:t>.</w:t>
                  </w:r>
                  <w:r>
                    <w:rPr>
                      <w:rFonts w:hint="default" w:ascii="Times New Roman" w:hAnsi="Times New Roman" w:cs="Times New Roman"/>
                      <w:kern w:val="0"/>
                      <w:sz w:val="21"/>
                      <w:szCs w:val="21"/>
                      <w:lang w:val="zh-CN"/>
                    </w:rPr>
                    <w:t>本项目属于日用塑料制品制造</w:t>
                  </w:r>
                  <w:r>
                    <w:rPr>
                      <w:rFonts w:hint="eastAsia" w:cs="Times New Roman"/>
                      <w:kern w:val="0"/>
                      <w:sz w:val="21"/>
                      <w:szCs w:val="21"/>
                      <w:lang w:val="zh-CN"/>
                    </w:rPr>
                    <w:t>，</w:t>
                  </w:r>
                  <w:r>
                    <w:rPr>
                      <w:rFonts w:hint="default" w:ascii="Times New Roman" w:hAnsi="Times New Roman" w:cs="Times New Roman"/>
                      <w:kern w:val="0"/>
                      <w:sz w:val="21"/>
                      <w:szCs w:val="21"/>
                      <w:lang w:val="zh-CN"/>
                    </w:rPr>
                    <w:t>根据《产业结构调整指导目录（2024年本）》，项目不属于淘汰类和限制类，为允许建设项目。</w:t>
                  </w:r>
                </w:p>
                <w:p w14:paraId="1126734E">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2</w:t>
                  </w:r>
                  <w:r>
                    <w:rPr>
                      <w:rFonts w:hint="eastAsia" w:cs="Times New Roman"/>
                      <w:sz w:val="21"/>
                      <w:szCs w:val="21"/>
                      <w:lang w:eastAsia="zh-CN"/>
                    </w:rPr>
                    <w:t>.</w:t>
                  </w:r>
                  <w:r>
                    <w:rPr>
                      <w:rFonts w:hint="eastAsia" w:cs="Times New Roman"/>
                      <w:kern w:val="0"/>
                      <w:sz w:val="21"/>
                      <w:szCs w:val="21"/>
                      <w:highlight w:val="none"/>
                      <w:lang w:val="en-US" w:eastAsia="zh-CN"/>
                    </w:rPr>
                    <w:t>企业推行绿色制造，减少生产过程中污染物的排放。</w:t>
                  </w:r>
                </w:p>
                <w:p w14:paraId="3DE3B1F9">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eastAsia" w:cs="Times New Roman"/>
                      <w:sz w:val="21"/>
                      <w:szCs w:val="21"/>
                      <w:lang w:eastAsia="zh-CN"/>
                    </w:rPr>
                  </w:pPr>
                  <w:r>
                    <w:rPr>
                      <w:rFonts w:hint="default" w:ascii="Times New Roman" w:hAnsi="Times New Roman" w:cs="Times New Roman"/>
                      <w:sz w:val="21"/>
                      <w:szCs w:val="21"/>
                    </w:rPr>
                    <w:t>3</w:t>
                  </w:r>
                  <w:r>
                    <w:rPr>
                      <w:rFonts w:hint="eastAsia" w:cs="Times New Roman"/>
                      <w:sz w:val="21"/>
                      <w:szCs w:val="21"/>
                      <w:lang w:eastAsia="zh-CN"/>
                    </w:rPr>
                    <w:t>.本项目不涉及。</w:t>
                  </w:r>
                </w:p>
                <w:p w14:paraId="66FF6A5A">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4.</w:t>
                  </w:r>
                  <w:r>
                    <w:rPr>
                      <w:rFonts w:hint="default" w:ascii="Times New Roman" w:hAnsi="Times New Roman" w:cs="Times New Roman"/>
                      <w:sz w:val="21"/>
                      <w:szCs w:val="21"/>
                    </w:rPr>
                    <w:t>本项目不属于</w:t>
                  </w:r>
                  <w:r>
                    <w:rPr>
                      <w:rFonts w:hint="eastAsia" w:cs="Times New Roman"/>
                      <w:sz w:val="21"/>
                      <w:szCs w:val="21"/>
                      <w:lang w:eastAsia="zh-CN"/>
                    </w:rPr>
                    <w:t>“两高一低”</w:t>
                  </w:r>
                  <w:r>
                    <w:rPr>
                      <w:rFonts w:hint="default" w:ascii="Times New Roman" w:hAnsi="Times New Roman" w:cs="Times New Roman"/>
                      <w:sz w:val="21"/>
                      <w:szCs w:val="21"/>
                    </w:rPr>
                    <w:t>项目</w:t>
                  </w:r>
                  <w:r>
                    <w:rPr>
                      <w:rFonts w:hint="eastAsia" w:ascii="Times New Roman" w:hAnsi="Times New Roman" w:cs="Times New Roman"/>
                      <w:sz w:val="21"/>
                      <w:szCs w:val="21"/>
                      <w:lang w:eastAsia="zh-CN"/>
                    </w:rPr>
                    <w:t>。</w:t>
                  </w:r>
                </w:p>
                <w:p w14:paraId="4EE29A68">
                  <w:pPr>
                    <w:keepNext w:val="0"/>
                    <w:keepLines w:val="0"/>
                    <w:pageBreakBefore w:val="0"/>
                    <w:widowControl w:val="0"/>
                    <w:numPr>
                      <w:ilvl w:val="0"/>
                      <w:numId w:val="0"/>
                    </w:numPr>
                    <w:kinsoku/>
                    <w:wordWrap w:val="0"/>
                    <w:overflowPunct/>
                    <w:topLinePunct w:val="0"/>
                    <w:autoSpaceDE w:val="0"/>
                    <w:autoSpaceDN w:val="0"/>
                    <w:bidi w:val="0"/>
                    <w:adjustRightInd w:val="0"/>
                    <w:snapToGrid/>
                    <w:spacing w:line="360" w:lineRule="exact"/>
                    <w:ind w:firstLine="0" w:firstLineChars="0"/>
                    <w:jc w:val="left"/>
                    <w:textAlignment w:val="auto"/>
                    <w:rPr>
                      <w:rFonts w:hint="eastAsia" w:cs="Times New Roman"/>
                      <w:kern w:val="0"/>
                      <w:sz w:val="21"/>
                      <w:szCs w:val="18"/>
                      <w:lang w:eastAsia="zh-CN"/>
                    </w:rPr>
                  </w:pPr>
                  <w:r>
                    <w:rPr>
                      <w:rFonts w:hint="eastAsia" w:ascii="Times New Roman" w:hAnsi="Times New Roman" w:eastAsia="宋体" w:cs="Times New Roman"/>
                      <w:kern w:val="0"/>
                      <w:sz w:val="21"/>
                      <w:szCs w:val="18"/>
                      <w:lang w:val="en-US" w:eastAsia="zh-CN" w:bidi="ar-SA"/>
                    </w:rPr>
                    <w:t>5</w:t>
                  </w:r>
                  <w:r>
                    <w:rPr>
                      <w:rFonts w:hint="eastAsia" w:cs="Times New Roman"/>
                      <w:kern w:val="0"/>
                      <w:sz w:val="21"/>
                      <w:szCs w:val="18"/>
                      <w:lang w:val="en-US" w:eastAsia="zh-CN" w:bidi="ar-SA"/>
                    </w:rPr>
                    <w:t>.</w:t>
                  </w:r>
                  <w:r>
                    <w:rPr>
                      <w:rFonts w:hint="eastAsia" w:cs="Times New Roman"/>
                      <w:kern w:val="0"/>
                      <w:sz w:val="21"/>
                      <w:szCs w:val="18"/>
                      <w:lang w:eastAsia="zh-CN"/>
                    </w:rPr>
                    <w:t>本</w:t>
                  </w:r>
                  <w:r>
                    <w:rPr>
                      <w:rFonts w:hint="default" w:ascii="Times New Roman" w:hAnsi="Times New Roman" w:cs="Times New Roman"/>
                      <w:kern w:val="0"/>
                      <w:sz w:val="21"/>
                      <w:szCs w:val="18"/>
                    </w:rPr>
                    <w:t>项目建设符合国家产业政策等相关要求，不涉及产能置换</w:t>
                  </w:r>
                  <w:r>
                    <w:rPr>
                      <w:rFonts w:hint="eastAsia" w:cs="Times New Roman"/>
                      <w:kern w:val="0"/>
                      <w:sz w:val="21"/>
                      <w:szCs w:val="18"/>
                      <w:lang w:eastAsia="zh-CN"/>
                    </w:rPr>
                    <w:t>。</w:t>
                  </w:r>
                </w:p>
                <w:p w14:paraId="0799AE31">
                  <w:pPr>
                    <w:keepNext w:val="0"/>
                    <w:keepLines w:val="0"/>
                    <w:pageBreakBefore w:val="0"/>
                    <w:widowControl w:val="0"/>
                    <w:numPr>
                      <w:ilvl w:val="0"/>
                      <w:numId w:val="0"/>
                    </w:numPr>
                    <w:kinsoku/>
                    <w:wordWrap w:val="0"/>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eastAsia="宋体" w:cs="Times New Roman"/>
                      <w:kern w:val="0"/>
                      <w:sz w:val="21"/>
                      <w:szCs w:val="18"/>
                      <w:lang w:val="en-US" w:eastAsia="zh-CN" w:bidi="ar-SA"/>
                    </w:rPr>
                    <w:t>6</w:t>
                  </w:r>
                  <w:r>
                    <w:rPr>
                      <w:rFonts w:hint="eastAsia" w:cs="Times New Roman"/>
                      <w:kern w:val="0"/>
                      <w:sz w:val="21"/>
                      <w:szCs w:val="18"/>
                      <w:lang w:val="en-US" w:eastAsia="zh-CN" w:bidi="ar-SA"/>
                    </w:rPr>
                    <w:t>.</w:t>
                  </w:r>
                  <w:r>
                    <w:rPr>
                      <w:rFonts w:hint="eastAsia" w:cs="Times New Roman"/>
                      <w:kern w:val="0"/>
                      <w:sz w:val="21"/>
                      <w:szCs w:val="18"/>
                      <w:lang w:eastAsia="zh-CN"/>
                    </w:rPr>
                    <w:t>本项目属于</w:t>
                  </w:r>
                  <w:r>
                    <w:rPr>
                      <w:rFonts w:hint="default" w:ascii="Times New Roman" w:hAnsi="Times New Roman" w:cs="Times New Roman"/>
                      <w:kern w:val="0"/>
                      <w:sz w:val="21"/>
                      <w:szCs w:val="18"/>
                    </w:rPr>
                    <w:t>武陟经开区东部园区</w:t>
                  </w:r>
                  <w:r>
                    <w:rPr>
                      <w:rFonts w:hint="eastAsia" w:ascii="Times New Roman" w:hAnsi="Times New Roman" w:cs="Times New Roman"/>
                      <w:kern w:val="0"/>
                      <w:sz w:val="21"/>
                      <w:szCs w:val="18"/>
                      <w:lang w:eastAsia="zh-CN"/>
                    </w:rPr>
                    <w:t>内。</w:t>
                  </w:r>
                </w:p>
                <w:p w14:paraId="21C5E06D">
                  <w:pPr>
                    <w:keepNext w:val="0"/>
                    <w:keepLines w:val="0"/>
                    <w:pageBreakBefore w:val="0"/>
                    <w:widowControl w:val="0"/>
                    <w:numPr>
                      <w:ilvl w:val="0"/>
                      <w:numId w:val="0"/>
                    </w:numPr>
                    <w:kinsoku/>
                    <w:wordWrap w:val="0"/>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eastAsia="宋体" w:cs="Times New Roman"/>
                      <w:kern w:val="0"/>
                      <w:sz w:val="21"/>
                      <w:szCs w:val="18"/>
                      <w:lang w:val="en-US" w:eastAsia="zh-CN" w:bidi="ar-SA"/>
                    </w:rPr>
                    <w:t>7</w:t>
                  </w:r>
                  <w:r>
                    <w:rPr>
                      <w:rFonts w:hint="eastAsia" w:cs="Times New Roman"/>
                      <w:kern w:val="0"/>
                      <w:sz w:val="21"/>
                      <w:szCs w:val="18"/>
                      <w:lang w:val="en-US" w:eastAsia="zh-CN" w:bidi="ar-SA"/>
                    </w:rPr>
                    <w:t>.</w:t>
                  </w:r>
                  <w:r>
                    <w:rPr>
                      <w:rFonts w:hint="eastAsia" w:cs="Times New Roman"/>
                      <w:kern w:val="0"/>
                      <w:sz w:val="21"/>
                      <w:szCs w:val="18"/>
                      <w:lang w:eastAsia="zh-CN"/>
                    </w:rPr>
                    <w:t>本项目不涉及。</w:t>
                  </w:r>
                </w:p>
                <w:p w14:paraId="5749CAA8">
                  <w:pPr>
                    <w:keepNext w:val="0"/>
                    <w:keepLines w:val="0"/>
                    <w:pageBreakBefore w:val="0"/>
                    <w:widowControl w:val="0"/>
                    <w:numPr>
                      <w:ilvl w:val="0"/>
                      <w:numId w:val="0"/>
                    </w:numPr>
                    <w:kinsoku/>
                    <w:wordWrap w:val="0"/>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eastAsia="宋体" w:cs="Times New Roman"/>
                      <w:kern w:val="0"/>
                      <w:sz w:val="21"/>
                      <w:szCs w:val="18"/>
                      <w:lang w:val="en-US" w:eastAsia="zh-CN" w:bidi="ar-SA"/>
                    </w:rPr>
                    <w:t>8</w:t>
                  </w:r>
                  <w:r>
                    <w:rPr>
                      <w:rFonts w:hint="eastAsia" w:cs="Times New Roman"/>
                      <w:kern w:val="0"/>
                      <w:sz w:val="21"/>
                      <w:szCs w:val="18"/>
                      <w:lang w:val="en-US" w:eastAsia="zh-CN" w:bidi="ar-SA"/>
                    </w:rPr>
                    <w:t>.</w:t>
                  </w:r>
                  <w:r>
                    <w:rPr>
                      <w:rFonts w:hint="eastAsia" w:cs="Times New Roman"/>
                      <w:kern w:val="0"/>
                      <w:sz w:val="21"/>
                      <w:szCs w:val="18"/>
                      <w:lang w:eastAsia="zh-CN"/>
                    </w:rPr>
                    <w:t>本项目</w:t>
                  </w:r>
                  <w:r>
                    <w:rPr>
                      <w:rFonts w:hint="default" w:ascii="Times New Roman" w:hAnsi="Times New Roman" w:cs="Times New Roman"/>
                      <w:kern w:val="0"/>
                      <w:sz w:val="21"/>
                      <w:szCs w:val="18"/>
                    </w:rPr>
                    <w:t>不涉及燃煤锅炉</w:t>
                  </w:r>
                  <w:r>
                    <w:rPr>
                      <w:rFonts w:hint="eastAsia" w:cs="Times New Roman"/>
                      <w:kern w:val="0"/>
                      <w:sz w:val="21"/>
                      <w:szCs w:val="18"/>
                      <w:lang w:eastAsia="zh-CN"/>
                    </w:rPr>
                    <w:t>建设</w:t>
                  </w:r>
                  <w:r>
                    <w:rPr>
                      <w:rFonts w:hint="default" w:ascii="Times New Roman" w:hAnsi="Times New Roman" w:cs="Times New Roman"/>
                      <w:kern w:val="0"/>
                      <w:sz w:val="21"/>
                      <w:szCs w:val="18"/>
                    </w:rPr>
                    <w:t>。</w:t>
                  </w:r>
                </w:p>
              </w:tc>
              <w:tc>
                <w:tcPr>
                  <w:tcW w:w="373" w:type="pct"/>
                  <w:tcBorders>
                    <w:top w:val="single" w:color="auto" w:sz="4" w:space="0"/>
                    <w:left w:val="single" w:color="auto" w:sz="4" w:space="0"/>
                    <w:right w:val="single" w:color="auto" w:sz="4" w:space="0"/>
                  </w:tcBorders>
                  <w:noWrap w:val="0"/>
                  <w:vAlign w:val="center"/>
                </w:tcPr>
                <w:p w14:paraId="43B74F4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2148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pct"/>
                  <w:vMerge w:val="continue"/>
                  <w:tcBorders>
                    <w:left w:val="single" w:color="auto" w:sz="4" w:space="0"/>
                    <w:right w:val="single" w:color="auto" w:sz="4" w:space="0"/>
                  </w:tcBorders>
                  <w:noWrap w:val="0"/>
                  <w:vAlign w:val="center"/>
                </w:tcPr>
                <w:p w14:paraId="404F533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12" w:type="pct"/>
                  <w:tcBorders>
                    <w:top w:val="single" w:color="auto" w:sz="4" w:space="0"/>
                    <w:left w:val="single" w:color="auto" w:sz="4" w:space="0"/>
                    <w:bottom w:val="single" w:color="auto" w:sz="4" w:space="0"/>
                    <w:right w:val="single" w:color="auto" w:sz="4" w:space="0"/>
                  </w:tcBorders>
                  <w:noWrap w:val="0"/>
                  <w:vAlign w:val="center"/>
                </w:tcPr>
                <w:p w14:paraId="0E7E109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污染物排放管控</w:t>
                  </w:r>
                </w:p>
              </w:tc>
              <w:tc>
                <w:tcPr>
                  <w:tcW w:w="2534" w:type="pct"/>
                  <w:tcBorders>
                    <w:top w:val="single" w:color="auto" w:sz="4" w:space="0"/>
                    <w:left w:val="single" w:color="auto" w:sz="4" w:space="0"/>
                    <w:bottom w:val="single" w:color="auto" w:sz="4" w:space="0"/>
                    <w:right w:val="single" w:color="auto" w:sz="4" w:space="0"/>
                  </w:tcBorders>
                  <w:noWrap w:val="0"/>
                  <w:vAlign w:val="center"/>
                </w:tcPr>
                <w:p w14:paraId="6C8AE99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1.重点行业建设项目应满足区域、流域控制单元环境质量改善目标管理要求。</w:t>
                  </w:r>
                </w:p>
                <w:p w14:paraId="2E2A39E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2.强化项目环评及“三同时”管理。新建、扩建“两高”项目应采用先进的工艺技术和装备，单位产品污染物排放强度应达到清洁生产先进水平，其中，国家、省绩效分级重点行业新建、扩建项目达到A级水平，改建项目达到B级以上水平。</w:t>
                  </w:r>
                </w:p>
                <w:p w14:paraId="00DA9FC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3.以钢铁、焦化、铸造、建材、有色、石化、化工工业涂装、包装印刷、电镀、制革、石油开采、造纸、纺织印染、农副食品加工等行业为重点，开展全流程清洁化、循环化、低碳化改造；加快推进钢铁、水泥、焦化行业超低排放改造。</w:t>
                  </w:r>
                </w:p>
                <w:p w14:paraId="0EEDAD6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4.深入推进低挥发性有机物含量原辅材料源头替代，全面推广使用低挥发性有机物含量的涂料、油墨、胶粘剂、清洗剂等新兴原辅材料。</w:t>
                  </w:r>
                </w:p>
                <w:p w14:paraId="7C995A0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5</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采矿项目矿井涌水应尽可能回用生产或综合利用，外排矿井涌水应满足受纳水体水功能区划和控制断面水质要求；选厂的生产废水及初期雨水、矿石及废石场的淋溶水、尾矿库澄清水及渗滤水应收集回用，不外排。</w:t>
                  </w:r>
                </w:p>
                <w:p w14:paraId="63C5FF4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lang w:val="zh-CN"/>
                    </w:rPr>
                    <w:t>6</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新建、扩建开发区、工业园区同步规划建设污水收集和集中处理设施，强化工业废水处理设施运行管理，确保稳定达标排放：按照“减量化、稳定化、无害化、资源化”要求，加快城镇污水</w:t>
                  </w:r>
                  <w:r>
                    <w:rPr>
                      <w:rFonts w:hint="default" w:ascii="Times New Roman" w:hAnsi="Times New Roman" w:cs="Times New Roman"/>
                      <w:kern w:val="0"/>
                      <w:sz w:val="21"/>
                      <w:szCs w:val="18"/>
                    </w:rPr>
                    <w:t>处理厂污泥处理设施建设，新建污水处理厂必须有明确的污泥处置途径：依法查处取缔非法污泥堆放点，禁止重金属等污染物不达标的污泥进行土地利用。</w:t>
                  </w:r>
                </w:p>
                <w:p w14:paraId="02D38BE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7.鼓励企业采用先进治理技术，打造行业噪声污染治理示范典型。排放噪声的工业企业应切实采取减振降噪措施，加强厂区内固定设备、运输工具、货物装卸等噪声源管理，同时避免突发噪声扰民。</w:t>
                  </w:r>
                </w:p>
              </w:tc>
              <w:tc>
                <w:tcPr>
                  <w:tcW w:w="1251" w:type="pct"/>
                  <w:tcBorders>
                    <w:left w:val="single" w:color="auto" w:sz="4" w:space="0"/>
                    <w:right w:val="single" w:color="auto" w:sz="4" w:space="0"/>
                  </w:tcBorders>
                  <w:noWrap w:val="0"/>
                  <w:vAlign w:val="center"/>
                </w:tcPr>
                <w:p w14:paraId="52BF7351">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eastAsia" w:cs="Times New Roman"/>
                      <w:kern w:val="0"/>
                      <w:sz w:val="21"/>
                      <w:szCs w:val="21"/>
                      <w:highlight w:val="none"/>
                      <w:lang w:val="en-US" w:eastAsia="zh-CN"/>
                    </w:rPr>
                  </w:pPr>
                  <w:r>
                    <w:rPr>
                      <w:rFonts w:hint="default" w:ascii="Times New Roman" w:hAnsi="Times New Roman" w:cs="Times New Roman"/>
                      <w:kern w:val="0"/>
                      <w:sz w:val="21"/>
                      <w:szCs w:val="21"/>
                    </w:rPr>
                    <w:t>1</w:t>
                  </w:r>
                  <w:r>
                    <w:rPr>
                      <w:rFonts w:hint="eastAsia" w:cs="Times New Roman"/>
                      <w:kern w:val="0"/>
                      <w:sz w:val="21"/>
                      <w:szCs w:val="21"/>
                      <w:lang w:eastAsia="zh-CN"/>
                    </w:rPr>
                    <w:t>.</w:t>
                  </w:r>
                  <w:r>
                    <w:rPr>
                      <w:rFonts w:hint="default" w:ascii="Times New Roman" w:hAnsi="Times New Roman" w:cs="Times New Roman"/>
                      <w:kern w:val="0"/>
                      <w:sz w:val="21"/>
                      <w:szCs w:val="21"/>
                      <w:highlight w:val="none"/>
                    </w:rPr>
                    <w:t>本项目</w:t>
                  </w:r>
                  <w:r>
                    <w:rPr>
                      <w:rFonts w:hint="default" w:ascii="Times New Roman" w:hAnsi="Times New Roman" w:cs="Times New Roman"/>
                      <w:kern w:val="0"/>
                      <w:sz w:val="21"/>
                      <w:szCs w:val="21"/>
                      <w:highlight w:val="none"/>
                      <w:lang w:val="zh-CN"/>
                    </w:rPr>
                    <w:t>属于</w:t>
                  </w:r>
                  <w:r>
                    <w:rPr>
                      <w:rFonts w:hint="eastAsia" w:cs="Times New Roman"/>
                      <w:kern w:val="0"/>
                      <w:sz w:val="21"/>
                      <w:szCs w:val="21"/>
                      <w:highlight w:val="none"/>
                      <w:lang w:val="zh-CN"/>
                    </w:rPr>
                    <w:t>日用塑料制品制造，</w:t>
                  </w:r>
                  <w:r>
                    <w:rPr>
                      <w:rFonts w:hint="eastAsia" w:cs="Times New Roman"/>
                      <w:kern w:val="0"/>
                      <w:sz w:val="21"/>
                      <w:szCs w:val="21"/>
                      <w:highlight w:val="none"/>
                      <w:lang w:val="en-US" w:eastAsia="zh-CN"/>
                    </w:rPr>
                    <w:t>本项目满足国家重点行业绩效分级指标，项日建设满足区域环境质量改善目标管理要求。</w:t>
                  </w:r>
                </w:p>
                <w:p w14:paraId="5FFA3741">
                  <w:pPr>
                    <w:keepNext w:val="0"/>
                    <w:keepLines w:val="0"/>
                    <w:pageBreakBefore w:val="0"/>
                    <w:widowControl w:val="0"/>
                    <w:kinsoku/>
                    <w:wordWrap/>
                    <w:overflowPunct/>
                    <w:topLinePunct w:val="0"/>
                    <w:autoSpaceDE/>
                    <w:autoSpaceDN/>
                    <w:bidi w:val="0"/>
                    <w:adjustRightInd/>
                    <w:snapToGrid w:val="0"/>
                    <w:spacing w:line="360" w:lineRule="exact"/>
                    <w:ind w:left="0" w:leftChars="0"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2</w:t>
                  </w:r>
                  <w:r>
                    <w:rPr>
                      <w:rFonts w:hint="eastAsia" w:cs="Times New Roman"/>
                      <w:kern w:val="0"/>
                      <w:sz w:val="21"/>
                      <w:szCs w:val="18"/>
                      <w:lang w:eastAsia="zh-CN"/>
                    </w:rPr>
                    <w:t>.</w:t>
                  </w:r>
                  <w:r>
                    <w:rPr>
                      <w:rFonts w:hint="default" w:ascii="Times New Roman" w:hAnsi="Times New Roman" w:cs="Times New Roman"/>
                      <w:kern w:val="0"/>
                      <w:sz w:val="21"/>
                      <w:szCs w:val="18"/>
                    </w:rPr>
                    <w:t>项目建设满足环评及“三同时”管理。本项目</w:t>
                  </w:r>
                  <w:r>
                    <w:rPr>
                      <w:rFonts w:hint="default" w:ascii="Times New Roman" w:hAnsi="Times New Roman" w:cs="Times New Roman"/>
                      <w:kern w:val="0"/>
                      <w:sz w:val="21"/>
                      <w:szCs w:val="21"/>
                      <w:lang w:val="zh-CN"/>
                    </w:rPr>
                    <w:t>属于</w:t>
                  </w:r>
                  <w:r>
                    <w:rPr>
                      <w:rFonts w:hint="eastAsia" w:cs="Times New Roman"/>
                      <w:kern w:val="0"/>
                      <w:sz w:val="21"/>
                      <w:szCs w:val="21"/>
                      <w:lang w:val="zh-CN"/>
                    </w:rPr>
                    <w:t>新建项目，符合</w:t>
                  </w:r>
                  <w:r>
                    <w:rPr>
                      <w:rFonts w:hint="default" w:ascii="Times New Roman" w:hAnsi="Times New Roman" w:cs="Times New Roman"/>
                      <w:b/>
                      <w:bCs/>
                      <w:kern w:val="0"/>
                      <w:sz w:val="21"/>
                      <w:szCs w:val="18"/>
                      <w:lang w:val="zh-CN"/>
                    </w:rPr>
                    <w:t>省绩效分级</w:t>
                  </w:r>
                  <w:r>
                    <w:rPr>
                      <w:rFonts w:hint="eastAsia" w:cs="Times New Roman"/>
                      <w:b/>
                      <w:bCs/>
                      <w:kern w:val="0"/>
                      <w:sz w:val="21"/>
                      <w:szCs w:val="18"/>
                      <w:lang w:val="zh-CN"/>
                    </w:rPr>
                    <w:t>重点</w:t>
                  </w:r>
                  <w:r>
                    <w:rPr>
                      <w:rFonts w:hint="default" w:ascii="Times New Roman" w:hAnsi="Times New Roman" w:cs="Times New Roman"/>
                      <w:b/>
                      <w:bCs/>
                      <w:kern w:val="0"/>
                      <w:sz w:val="21"/>
                      <w:szCs w:val="18"/>
                      <w:lang w:val="zh-CN"/>
                    </w:rPr>
                    <w:t>行业</w:t>
                  </w:r>
                  <w:r>
                    <w:rPr>
                      <w:rFonts w:hint="default" w:ascii="Times New Roman" w:hAnsi="Times New Roman" w:cs="Times New Roman"/>
                      <w:kern w:val="0"/>
                      <w:sz w:val="21"/>
                      <w:szCs w:val="18"/>
                      <w:lang w:val="zh-CN"/>
                    </w:rPr>
                    <w:t>A级水平</w:t>
                  </w:r>
                  <w:r>
                    <w:rPr>
                      <w:rFonts w:hint="default" w:ascii="Times New Roman" w:hAnsi="Times New Roman" w:cs="Times New Roman"/>
                      <w:kern w:val="0"/>
                      <w:sz w:val="21"/>
                      <w:szCs w:val="18"/>
                    </w:rPr>
                    <w:t>。</w:t>
                  </w:r>
                </w:p>
                <w:p w14:paraId="39924AA5">
                  <w:pPr>
                    <w:keepNext w:val="0"/>
                    <w:keepLines w:val="0"/>
                    <w:pageBreakBefore w:val="0"/>
                    <w:widowControl w:val="0"/>
                    <w:kinsoku/>
                    <w:wordWrap/>
                    <w:overflowPunct/>
                    <w:topLinePunct w:val="0"/>
                    <w:autoSpaceDE/>
                    <w:autoSpaceDN/>
                    <w:bidi w:val="0"/>
                    <w:adjustRightInd/>
                    <w:snapToGrid w:val="0"/>
                    <w:spacing w:line="360" w:lineRule="exact"/>
                    <w:ind w:left="0" w:leftChars="0"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rPr>
                    <w:t>3</w:t>
                  </w:r>
                  <w:r>
                    <w:rPr>
                      <w:rFonts w:hint="eastAsia" w:cs="Times New Roman"/>
                      <w:kern w:val="0"/>
                      <w:sz w:val="21"/>
                      <w:szCs w:val="18"/>
                      <w:lang w:eastAsia="zh-CN"/>
                    </w:rPr>
                    <w:t>.</w:t>
                  </w:r>
                  <w:r>
                    <w:rPr>
                      <w:rFonts w:hint="default" w:ascii="Times New Roman" w:hAnsi="Times New Roman" w:cs="Times New Roman"/>
                      <w:kern w:val="0"/>
                      <w:sz w:val="21"/>
                      <w:szCs w:val="18"/>
                    </w:rPr>
                    <w:t>本项目</w:t>
                  </w:r>
                  <w:r>
                    <w:rPr>
                      <w:rFonts w:hint="default" w:ascii="Times New Roman" w:hAnsi="Times New Roman" w:cs="Times New Roman"/>
                      <w:kern w:val="0"/>
                      <w:sz w:val="21"/>
                      <w:szCs w:val="18"/>
                      <w:lang w:eastAsia="zh-CN"/>
                    </w:rPr>
                    <w:t>不涉及。</w:t>
                  </w:r>
                </w:p>
                <w:p w14:paraId="078E4495">
                  <w:pPr>
                    <w:keepNext w:val="0"/>
                    <w:keepLines w:val="0"/>
                    <w:pageBreakBefore w:val="0"/>
                    <w:widowControl w:val="0"/>
                    <w:kinsoku/>
                    <w:wordWrap w:val="0"/>
                    <w:overflowPunct/>
                    <w:topLinePunct w:val="0"/>
                    <w:autoSpaceDE/>
                    <w:autoSpaceDN/>
                    <w:bidi w:val="0"/>
                    <w:adjustRightInd/>
                    <w:snapToGrid w:val="0"/>
                    <w:spacing w:line="360" w:lineRule="exact"/>
                    <w:ind w:left="0" w:leftChars="0" w:firstLine="0" w:firstLineChars="0"/>
                    <w:jc w:val="left"/>
                    <w:textAlignment w:val="auto"/>
                    <w:rPr>
                      <w:rFonts w:hint="default" w:ascii="Times New Roman" w:hAnsi="Times New Roman" w:cs="Times New Roman"/>
                      <w:kern w:val="0"/>
                      <w:sz w:val="21"/>
                      <w:szCs w:val="18"/>
                      <w:highlight w:val="green"/>
                      <w:lang w:val="zh-CN"/>
                    </w:rPr>
                  </w:pPr>
                  <w:r>
                    <w:rPr>
                      <w:rFonts w:hint="default" w:ascii="Times New Roman" w:hAnsi="Times New Roman" w:cs="Times New Roman"/>
                      <w:kern w:val="0"/>
                      <w:sz w:val="21"/>
                      <w:szCs w:val="18"/>
                      <w:lang w:val="en-US" w:eastAsia="zh-CN"/>
                    </w:rPr>
                    <w:t>4</w:t>
                  </w:r>
                  <w:r>
                    <w:rPr>
                      <w:rFonts w:hint="eastAsia" w:cs="Times New Roman"/>
                      <w:kern w:val="0"/>
                      <w:sz w:val="21"/>
                      <w:szCs w:val="18"/>
                      <w:lang w:val="en-US" w:eastAsia="zh-CN"/>
                    </w:rPr>
                    <w:t>.</w:t>
                  </w:r>
                  <w:r>
                    <w:rPr>
                      <w:rFonts w:hint="eastAsia" w:cs="Times New Roman"/>
                      <w:kern w:val="0"/>
                      <w:sz w:val="21"/>
                      <w:szCs w:val="18"/>
                      <w:highlight w:val="none"/>
                      <w:lang w:val="en-US" w:eastAsia="zh-CN"/>
                    </w:rPr>
                    <w:t>本项目原料为BOPS片材，不属于液态含挥发性有机物的</w:t>
                  </w:r>
                  <w:r>
                    <w:rPr>
                      <w:rFonts w:hint="default" w:ascii="Times New Roman" w:hAnsi="Times New Roman" w:cs="Times New Roman"/>
                      <w:kern w:val="0"/>
                      <w:sz w:val="21"/>
                      <w:szCs w:val="18"/>
                      <w:highlight w:val="none"/>
                      <w:lang w:val="zh-CN"/>
                    </w:rPr>
                    <w:t>涂料、油墨、胶粘剂、清洗剂等</w:t>
                  </w:r>
                  <w:r>
                    <w:rPr>
                      <w:rFonts w:hint="eastAsia" w:ascii="Times New Roman" w:hAnsi="Times New Roman" w:cs="Times New Roman"/>
                      <w:kern w:val="0"/>
                      <w:sz w:val="21"/>
                      <w:szCs w:val="18"/>
                      <w:highlight w:val="none"/>
                      <w:lang w:val="zh-CN"/>
                    </w:rPr>
                    <w:t>原辅材料</w:t>
                  </w:r>
                  <w:r>
                    <w:rPr>
                      <w:rFonts w:hint="default" w:ascii="Times New Roman" w:hAnsi="Times New Roman" w:cs="Times New Roman"/>
                      <w:kern w:val="0"/>
                      <w:sz w:val="21"/>
                      <w:szCs w:val="18"/>
                      <w:highlight w:val="none"/>
                      <w:lang w:val="zh-CN"/>
                    </w:rPr>
                    <w:t>。</w:t>
                  </w:r>
                </w:p>
                <w:p w14:paraId="490354BD">
                  <w:pPr>
                    <w:keepNext w:val="0"/>
                    <w:keepLines w:val="0"/>
                    <w:pageBreakBefore w:val="0"/>
                    <w:widowControl w:val="0"/>
                    <w:kinsoku/>
                    <w:wordWrap/>
                    <w:overflowPunct/>
                    <w:topLinePunct w:val="0"/>
                    <w:autoSpaceDE/>
                    <w:autoSpaceDN/>
                    <w:bidi w:val="0"/>
                    <w:adjustRightInd/>
                    <w:snapToGrid w:val="0"/>
                    <w:spacing w:line="360" w:lineRule="exact"/>
                    <w:ind w:left="0" w:leftChars="0" w:firstLine="0" w:firstLineChars="0"/>
                    <w:jc w:val="left"/>
                    <w:textAlignment w:val="auto"/>
                    <w:rPr>
                      <w:rFonts w:hint="default" w:ascii="Times New Roman" w:hAnsi="Times New Roman" w:cs="Times New Roman"/>
                      <w:kern w:val="0"/>
                      <w:sz w:val="21"/>
                      <w:szCs w:val="18"/>
                      <w:highlight w:val="none"/>
                      <w:lang w:eastAsia="zh-CN"/>
                    </w:rPr>
                  </w:pPr>
                  <w:r>
                    <w:rPr>
                      <w:rFonts w:hint="default" w:ascii="Times New Roman" w:hAnsi="Times New Roman" w:cs="Times New Roman"/>
                      <w:kern w:val="0"/>
                      <w:sz w:val="21"/>
                      <w:szCs w:val="18"/>
                      <w:highlight w:val="none"/>
                    </w:rPr>
                    <w:t>5</w:t>
                  </w:r>
                  <w:r>
                    <w:rPr>
                      <w:rFonts w:hint="eastAsia" w:cs="Times New Roman"/>
                      <w:kern w:val="0"/>
                      <w:sz w:val="21"/>
                      <w:szCs w:val="18"/>
                      <w:highlight w:val="none"/>
                      <w:lang w:eastAsia="zh-CN"/>
                    </w:rPr>
                    <w:t>.</w:t>
                  </w:r>
                  <w:r>
                    <w:rPr>
                      <w:rFonts w:hint="default" w:ascii="Times New Roman" w:hAnsi="Times New Roman" w:cs="Times New Roman"/>
                      <w:kern w:val="0"/>
                      <w:sz w:val="21"/>
                      <w:szCs w:val="18"/>
                      <w:highlight w:val="none"/>
                      <w:lang w:eastAsia="zh-CN"/>
                    </w:rPr>
                    <w:t>本</w:t>
                  </w:r>
                  <w:r>
                    <w:rPr>
                      <w:rFonts w:hint="default" w:ascii="Times New Roman" w:hAnsi="Times New Roman" w:cs="Times New Roman"/>
                      <w:kern w:val="0"/>
                      <w:sz w:val="21"/>
                      <w:szCs w:val="18"/>
                      <w:highlight w:val="none"/>
                    </w:rPr>
                    <w:t>项目不</w:t>
                  </w:r>
                  <w:r>
                    <w:rPr>
                      <w:rFonts w:hint="default" w:ascii="Times New Roman" w:hAnsi="Times New Roman" w:cs="Times New Roman"/>
                      <w:kern w:val="0"/>
                      <w:sz w:val="21"/>
                      <w:szCs w:val="18"/>
                      <w:highlight w:val="none"/>
                      <w:lang w:eastAsia="zh-CN"/>
                    </w:rPr>
                    <w:t>涉及。</w:t>
                  </w:r>
                </w:p>
                <w:p w14:paraId="4C707EE7">
                  <w:pPr>
                    <w:keepNext w:val="0"/>
                    <w:keepLines w:val="0"/>
                    <w:pageBreakBefore w:val="0"/>
                    <w:widowControl w:val="0"/>
                    <w:kinsoku/>
                    <w:wordWrap/>
                    <w:overflowPunct/>
                    <w:topLinePunct w:val="0"/>
                    <w:autoSpaceDE/>
                    <w:autoSpaceDN/>
                    <w:bidi w:val="0"/>
                    <w:adjustRightInd/>
                    <w:snapToGrid w:val="0"/>
                    <w:spacing w:line="360" w:lineRule="exact"/>
                    <w:ind w:left="0" w:leftChars="0"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rPr>
                    <w:t>6</w:t>
                  </w:r>
                  <w:r>
                    <w:rPr>
                      <w:rFonts w:hint="eastAsia" w:cs="Times New Roman"/>
                      <w:kern w:val="0"/>
                      <w:sz w:val="21"/>
                      <w:szCs w:val="18"/>
                      <w:lang w:eastAsia="zh-CN"/>
                    </w:rPr>
                    <w:t>.</w:t>
                  </w:r>
                  <w:r>
                    <w:rPr>
                      <w:rFonts w:hint="default" w:ascii="Times New Roman" w:hAnsi="Times New Roman" w:cs="Times New Roman"/>
                      <w:kern w:val="0"/>
                      <w:sz w:val="21"/>
                      <w:szCs w:val="18"/>
                      <w:lang w:eastAsia="zh-CN"/>
                    </w:rPr>
                    <w:t>本</w:t>
                  </w:r>
                  <w:r>
                    <w:rPr>
                      <w:rFonts w:hint="default" w:ascii="Times New Roman" w:hAnsi="Times New Roman" w:cs="Times New Roman"/>
                      <w:kern w:val="0"/>
                      <w:sz w:val="21"/>
                      <w:szCs w:val="18"/>
                    </w:rPr>
                    <w:t>项目不属于</w:t>
                  </w:r>
                  <w:r>
                    <w:rPr>
                      <w:rFonts w:hint="default" w:ascii="Times New Roman" w:hAnsi="Times New Roman" w:cs="Times New Roman"/>
                      <w:kern w:val="0"/>
                      <w:sz w:val="21"/>
                      <w:szCs w:val="18"/>
                      <w:lang w:val="zh-CN"/>
                    </w:rPr>
                    <w:t>新建、扩建开发区、工业园区污水处理厂设施，不涉及污泥。</w:t>
                  </w:r>
                </w:p>
                <w:p w14:paraId="00C13B30">
                  <w:pPr>
                    <w:keepNext w:val="0"/>
                    <w:keepLines w:val="0"/>
                    <w:pageBreakBefore w:val="0"/>
                    <w:widowControl w:val="0"/>
                    <w:kinsoku/>
                    <w:wordWrap/>
                    <w:overflowPunct/>
                    <w:topLinePunct w:val="0"/>
                    <w:autoSpaceDE/>
                    <w:autoSpaceDN/>
                    <w:bidi w:val="0"/>
                    <w:adjustRightInd/>
                    <w:snapToGrid w:val="0"/>
                    <w:spacing w:line="360" w:lineRule="exact"/>
                    <w:ind w:left="0" w:leftChars="0"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7</w:t>
                  </w:r>
                  <w:r>
                    <w:rPr>
                      <w:rFonts w:hint="eastAsia" w:cs="Times New Roman"/>
                      <w:kern w:val="0"/>
                      <w:sz w:val="21"/>
                      <w:szCs w:val="18"/>
                      <w:lang w:eastAsia="zh-CN"/>
                    </w:rPr>
                    <w:t>.</w:t>
                  </w:r>
                  <w:r>
                    <w:rPr>
                      <w:rFonts w:hint="default" w:ascii="Times New Roman" w:hAnsi="Times New Roman" w:cs="Times New Roman"/>
                      <w:kern w:val="0"/>
                      <w:sz w:val="21"/>
                      <w:szCs w:val="18"/>
                    </w:rPr>
                    <w:t>评价要求项目加强厂区内固定设备、货物装卸等噪声源管理。经预测，厂界噪声昼夜间贡献值均能满足《工业企业厂界环境噪声排放标准》（GB 12348-2008）3类标准要求。</w:t>
                  </w:r>
                </w:p>
              </w:tc>
              <w:tc>
                <w:tcPr>
                  <w:tcW w:w="373" w:type="pct"/>
                  <w:tcBorders>
                    <w:left w:val="single" w:color="auto" w:sz="4" w:space="0"/>
                    <w:right w:val="single" w:color="auto" w:sz="4" w:space="0"/>
                  </w:tcBorders>
                  <w:noWrap w:val="0"/>
                  <w:vAlign w:val="center"/>
                </w:tcPr>
                <w:p w14:paraId="5169D53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4D6B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pct"/>
                  <w:vMerge w:val="continue"/>
                  <w:tcBorders>
                    <w:left w:val="single" w:color="auto" w:sz="4" w:space="0"/>
                    <w:right w:val="single" w:color="auto" w:sz="4" w:space="0"/>
                  </w:tcBorders>
                  <w:noWrap w:val="0"/>
                  <w:vAlign w:val="center"/>
                </w:tcPr>
                <w:p w14:paraId="22218B4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12" w:type="pct"/>
                  <w:tcBorders>
                    <w:top w:val="single" w:color="auto" w:sz="4" w:space="0"/>
                    <w:left w:val="single" w:color="auto" w:sz="4" w:space="0"/>
                    <w:bottom w:val="single" w:color="auto" w:sz="4" w:space="0"/>
                    <w:right w:val="single" w:color="auto" w:sz="4" w:space="0"/>
                  </w:tcBorders>
                  <w:noWrap w:val="0"/>
                  <w:vAlign w:val="center"/>
                </w:tcPr>
                <w:p w14:paraId="3D27C39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环境风险防控</w:t>
                  </w:r>
                </w:p>
              </w:tc>
              <w:tc>
                <w:tcPr>
                  <w:tcW w:w="2534" w:type="pct"/>
                  <w:tcBorders>
                    <w:top w:val="single" w:color="auto" w:sz="4" w:space="0"/>
                    <w:left w:val="single" w:color="auto" w:sz="4" w:space="0"/>
                    <w:bottom w:val="single" w:color="auto" w:sz="4" w:space="0"/>
                    <w:right w:val="single" w:color="auto" w:sz="4" w:space="0"/>
                  </w:tcBorders>
                  <w:noWrap w:val="0"/>
                  <w:vAlign w:val="center"/>
                </w:tcPr>
                <w:p w14:paraId="47B54DB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1.依法推行农用地分类管理制度，强化受污染耕地安全利用和风险管控；用途变更为住宅公共管理与公共服务用地及有土壤污染风险的建设用地地块，应当依法开展土壤污染状况调查；污染地块经治理与修复，并符合相应规划用地土壤环境质量要求后，方可进入用地程序；合理规划污染地块土地用途，鼓励农药、化工等行业中重度污染地块优先规划用于拓展生态空间。</w:t>
                  </w:r>
                </w:p>
                <w:p w14:paraId="1FEE55C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2.以涉重涉危及有毒有害等行业企业为重点，加强水环境风险日常监管：推进涉水企业的环境风险排查整治、风险预防设施设备建设；制定水环境污染事故处置应急预案，加强上下游联防联控，防范跨界水环境风险，提升环境应急处置能力。</w:t>
                  </w:r>
                </w:p>
                <w:p w14:paraId="3F17168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3.化工园区内涉及有毒有害物质的重点场所或者重点设施设备(特别是地下储罐、管网等)应进行防渗漏设计和建设，消除土壤和地下水污染隐患；建立完善的生态环境监测监控和风险预警体系，相关监测监控数据应接入地方监测预警系统；建立满足突发环境事件情形下应急处置需求的应急救援体系、预案、平台和专职应急救援队伍，配备符合相关国家标准、行业标准要求的人员和装备。</w:t>
                  </w:r>
                </w:p>
              </w:tc>
              <w:tc>
                <w:tcPr>
                  <w:tcW w:w="1251" w:type="pct"/>
                  <w:tcBorders>
                    <w:left w:val="single" w:color="auto" w:sz="4" w:space="0"/>
                    <w:right w:val="single" w:color="auto" w:sz="4" w:space="0"/>
                  </w:tcBorders>
                  <w:noWrap w:val="0"/>
                  <w:vAlign w:val="center"/>
                </w:tcPr>
                <w:p w14:paraId="6F4D76A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eastAsia" w:cs="Times New Roman"/>
                      <w:kern w:val="0"/>
                      <w:sz w:val="21"/>
                      <w:szCs w:val="18"/>
                      <w:highlight w:val="none"/>
                      <w:lang w:val="zh-CN"/>
                    </w:rPr>
                  </w:pPr>
                  <w:r>
                    <w:rPr>
                      <w:rFonts w:hint="default" w:ascii="Times New Roman" w:hAnsi="Times New Roman" w:cs="Times New Roman"/>
                      <w:kern w:val="0"/>
                      <w:sz w:val="21"/>
                      <w:szCs w:val="18"/>
                      <w:highlight w:val="none"/>
                    </w:rPr>
                    <w:t>1</w:t>
                  </w:r>
                  <w:r>
                    <w:rPr>
                      <w:rFonts w:hint="eastAsia" w:cs="Times New Roman"/>
                      <w:kern w:val="0"/>
                      <w:sz w:val="21"/>
                      <w:szCs w:val="18"/>
                      <w:highlight w:val="none"/>
                      <w:lang w:eastAsia="zh-CN"/>
                    </w:rPr>
                    <w:t>.本项目位于装备制造区，</w:t>
                  </w:r>
                  <w:r>
                    <w:rPr>
                      <w:rFonts w:hint="default" w:ascii="Times New Roman" w:hAnsi="Times New Roman" w:cs="Times New Roman"/>
                      <w:kern w:val="0"/>
                      <w:sz w:val="21"/>
                      <w:szCs w:val="18"/>
                      <w:highlight w:val="none"/>
                    </w:rPr>
                    <w:t>项目</w:t>
                  </w:r>
                  <w:r>
                    <w:rPr>
                      <w:rFonts w:hint="default" w:ascii="Times New Roman" w:hAnsi="Times New Roman" w:cs="Times New Roman"/>
                      <w:kern w:val="0"/>
                      <w:sz w:val="21"/>
                      <w:szCs w:val="21"/>
                      <w:highlight w:val="none"/>
                    </w:rPr>
                    <w:t>用地为工业用地，</w:t>
                  </w:r>
                  <w:r>
                    <w:rPr>
                      <w:rFonts w:hint="default" w:ascii="Times New Roman" w:hAnsi="Times New Roman" w:cs="Times New Roman"/>
                      <w:kern w:val="0"/>
                      <w:sz w:val="21"/>
                      <w:szCs w:val="18"/>
                      <w:highlight w:val="none"/>
                    </w:rPr>
                    <w:t>不涉及</w:t>
                  </w:r>
                  <w:r>
                    <w:rPr>
                      <w:rFonts w:hint="default" w:ascii="Times New Roman" w:hAnsi="Times New Roman" w:cs="Times New Roman"/>
                      <w:kern w:val="0"/>
                      <w:sz w:val="21"/>
                      <w:szCs w:val="18"/>
                      <w:highlight w:val="none"/>
                      <w:lang w:val="zh-CN"/>
                    </w:rPr>
                    <w:t>农用地</w:t>
                  </w:r>
                  <w:r>
                    <w:rPr>
                      <w:rFonts w:hint="eastAsia" w:cs="Times New Roman"/>
                      <w:kern w:val="0"/>
                      <w:sz w:val="21"/>
                      <w:szCs w:val="18"/>
                      <w:highlight w:val="none"/>
                      <w:lang w:val="zh-CN"/>
                    </w:rPr>
                    <w:t>。</w:t>
                  </w:r>
                </w:p>
                <w:p w14:paraId="3688976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highlight w:val="none"/>
                    </w:rPr>
                  </w:pPr>
                  <w:r>
                    <w:rPr>
                      <w:rFonts w:hint="eastAsia" w:cs="Times New Roman"/>
                      <w:sz w:val="21"/>
                      <w:szCs w:val="21"/>
                      <w:highlight w:val="none"/>
                      <w:lang w:val="en-US" w:eastAsia="zh-CN"/>
                    </w:rPr>
                    <w:t>2.</w:t>
                  </w:r>
                  <w:r>
                    <w:rPr>
                      <w:rFonts w:hint="default" w:ascii="Times New Roman" w:hAnsi="Times New Roman" w:cs="Times New Roman"/>
                      <w:sz w:val="21"/>
                      <w:szCs w:val="21"/>
                      <w:highlight w:val="none"/>
                      <w:lang w:val="en-US" w:eastAsia="zh-CN"/>
                    </w:rPr>
                    <w:t>本项目土壤和地下水采取“源头控制、分区防渗、监控计划”等措施后对土壤和地下水环境影响较小。项目在严格采取各项风险防范措施后，环境风险可控。</w:t>
                  </w:r>
                </w:p>
                <w:p w14:paraId="63B633F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highlight w:val="none"/>
                    </w:rPr>
                  </w:pPr>
                  <w:r>
                    <w:rPr>
                      <w:rFonts w:hint="default" w:ascii="Times New Roman" w:hAnsi="Times New Roman" w:cs="Times New Roman"/>
                      <w:kern w:val="0"/>
                      <w:sz w:val="21"/>
                      <w:szCs w:val="18"/>
                      <w:highlight w:val="none"/>
                    </w:rPr>
                    <w:t>3</w:t>
                  </w:r>
                  <w:r>
                    <w:rPr>
                      <w:rFonts w:hint="eastAsia" w:cs="Times New Roman"/>
                      <w:kern w:val="0"/>
                      <w:sz w:val="21"/>
                      <w:szCs w:val="18"/>
                      <w:highlight w:val="none"/>
                      <w:lang w:eastAsia="zh-CN"/>
                    </w:rPr>
                    <w:t>.</w:t>
                  </w:r>
                  <w:r>
                    <w:rPr>
                      <w:rFonts w:hint="eastAsia" w:cs="Times New Roman"/>
                      <w:sz w:val="21"/>
                      <w:szCs w:val="21"/>
                      <w:highlight w:val="none"/>
                      <w:lang w:val="en-US" w:eastAsia="zh-CN"/>
                    </w:rPr>
                    <w:t>本项目位于装备制造区，不涉及有毒有害物质和重点设施设备，</w:t>
                  </w:r>
                  <w:r>
                    <w:rPr>
                      <w:rFonts w:hint="default" w:ascii="Times New Roman" w:hAnsi="Times New Roman" w:eastAsia="宋体" w:cs="Times New Roman"/>
                      <w:b w:val="0"/>
                      <w:bCs w:val="0"/>
                      <w:color w:val="auto"/>
                      <w:kern w:val="0"/>
                      <w:sz w:val="21"/>
                      <w:szCs w:val="20"/>
                      <w:highlight w:val="none"/>
                      <w:u w:val="none"/>
                      <w:lang w:val="en-US" w:eastAsia="zh-CN" w:bidi="ar-SA"/>
                    </w:rPr>
                    <w:t>项目建成后按照相关要求编制突发环境风险应急预案</w:t>
                  </w:r>
                  <w:r>
                    <w:rPr>
                      <w:rFonts w:hint="eastAsia" w:ascii="Times New Roman" w:hAnsi="Times New Roman" w:eastAsia="宋体" w:cs="Times New Roman"/>
                      <w:b w:val="0"/>
                      <w:bCs w:val="0"/>
                      <w:color w:val="auto"/>
                      <w:kern w:val="0"/>
                      <w:sz w:val="21"/>
                      <w:szCs w:val="20"/>
                      <w:highlight w:val="none"/>
                      <w:u w:val="none"/>
                      <w:lang w:val="en-US" w:eastAsia="zh-CN" w:bidi="ar-SA"/>
                    </w:rPr>
                    <w:t>。</w:t>
                  </w:r>
                </w:p>
              </w:tc>
              <w:tc>
                <w:tcPr>
                  <w:tcW w:w="373" w:type="pct"/>
                  <w:tcBorders>
                    <w:left w:val="single" w:color="auto" w:sz="4" w:space="0"/>
                    <w:right w:val="single" w:color="auto" w:sz="4" w:space="0"/>
                  </w:tcBorders>
                  <w:noWrap w:val="0"/>
                  <w:vAlign w:val="center"/>
                </w:tcPr>
                <w:p w14:paraId="797CA4E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highlight w:val="none"/>
                      <w:lang w:val="zh-CN"/>
                    </w:rPr>
                  </w:pPr>
                  <w:r>
                    <w:rPr>
                      <w:rFonts w:hint="default" w:ascii="Times New Roman" w:hAnsi="Times New Roman" w:cs="Times New Roman"/>
                      <w:kern w:val="0"/>
                      <w:sz w:val="21"/>
                      <w:szCs w:val="18"/>
                      <w:highlight w:val="none"/>
                      <w:lang w:val="zh-CN"/>
                    </w:rPr>
                    <w:t>相符</w:t>
                  </w:r>
                </w:p>
              </w:tc>
            </w:tr>
            <w:tr w14:paraId="7C252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pct"/>
                  <w:vMerge w:val="continue"/>
                  <w:tcBorders>
                    <w:left w:val="single" w:color="auto" w:sz="4" w:space="0"/>
                    <w:bottom w:val="single" w:color="auto" w:sz="4" w:space="0"/>
                    <w:right w:val="single" w:color="auto" w:sz="4" w:space="0"/>
                  </w:tcBorders>
                  <w:noWrap w:val="0"/>
                  <w:vAlign w:val="center"/>
                </w:tcPr>
                <w:p w14:paraId="37CEE45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12" w:type="pct"/>
                  <w:tcBorders>
                    <w:top w:val="single" w:color="auto" w:sz="4" w:space="0"/>
                    <w:left w:val="single" w:color="auto" w:sz="4" w:space="0"/>
                    <w:bottom w:val="single" w:color="auto" w:sz="4" w:space="0"/>
                    <w:right w:val="single" w:color="auto" w:sz="4" w:space="0"/>
                  </w:tcBorders>
                  <w:noWrap w:val="0"/>
                  <w:vAlign w:val="center"/>
                </w:tcPr>
                <w:p w14:paraId="2F5A571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资源利用效率要求</w:t>
                  </w:r>
                </w:p>
              </w:tc>
              <w:tc>
                <w:tcPr>
                  <w:tcW w:w="2534" w:type="pct"/>
                  <w:tcBorders>
                    <w:top w:val="single" w:color="auto" w:sz="4" w:space="0"/>
                    <w:left w:val="single" w:color="auto" w:sz="4" w:space="0"/>
                    <w:bottom w:val="single" w:color="auto" w:sz="4" w:space="0"/>
                    <w:right w:val="single" w:color="auto" w:sz="4" w:space="0"/>
                  </w:tcBorders>
                  <w:noWrap w:val="0"/>
                  <w:vAlign w:val="center"/>
                </w:tcPr>
                <w:p w14:paraId="2F9CC42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1.“十四五”时期，规模以上工业单位增加值能耗下降18%，万元工业增加值用水量下降10%。</w:t>
                  </w:r>
                </w:p>
                <w:p w14:paraId="3B17E0B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2</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新建、扩建“两高”项目单位产品物耗、能耗、水耗等达到清洁生产先进水平。</w:t>
                  </w:r>
                </w:p>
                <w:p w14:paraId="68659A4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3.实施重点领域节能降碳改造，到2025年钢铁、电解铝、水泥、炼油、乙烯、焦化等重点行业产能达到能效标杆水平的比例超过30%，行业整体能效水平明显提升，碳排放强度明显下降，绿色低碳发展能力显著增强。</w:t>
                  </w:r>
                </w:p>
                <w:p w14:paraId="2F70B57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4.对以煤、石油焦、渣油、重油等为燃料的锅炉和工业炉窑，加快使用工业余热、电厂热力、清洁能源等进行替代。</w:t>
                  </w:r>
                </w:p>
                <w:p w14:paraId="0C07884B">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5</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除应急取(排)水、地下水监测外，在地下水禁采区内，禁止取用地下水；在地下水限采区内，禁止开凿新的取水井或者增加地下水取水量。</w:t>
                  </w:r>
                </w:p>
              </w:tc>
              <w:tc>
                <w:tcPr>
                  <w:tcW w:w="1251" w:type="pct"/>
                  <w:tcBorders>
                    <w:left w:val="single" w:color="auto" w:sz="4" w:space="0"/>
                    <w:bottom w:val="single" w:color="auto" w:sz="4" w:space="0"/>
                    <w:right w:val="single" w:color="auto" w:sz="4" w:space="0"/>
                  </w:tcBorders>
                  <w:noWrap w:val="0"/>
                  <w:vAlign w:val="center"/>
                </w:tcPr>
                <w:p w14:paraId="49BB130B">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eastAsia" w:cs="Times New Roman"/>
                      <w:color w:val="auto"/>
                      <w:kern w:val="0"/>
                      <w:sz w:val="21"/>
                      <w:szCs w:val="18"/>
                      <w:highlight w:val="none"/>
                      <w:lang w:val="en-US" w:eastAsia="zh-CN" w:bidi="ar-SA"/>
                    </w:rPr>
                  </w:pPr>
                  <w:r>
                    <w:rPr>
                      <w:rFonts w:hint="eastAsia" w:cs="Times New Roman"/>
                      <w:color w:val="auto"/>
                      <w:kern w:val="0"/>
                      <w:sz w:val="21"/>
                      <w:szCs w:val="18"/>
                      <w:highlight w:val="none"/>
                      <w:lang w:val="en-US" w:eastAsia="zh-CN" w:bidi="ar-SA"/>
                    </w:rPr>
                    <w:t>1.本项目不涉及。</w:t>
                  </w:r>
                </w:p>
                <w:p w14:paraId="7817DC4F">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eastAsia" w:cs="Times New Roman"/>
                      <w:color w:val="auto"/>
                      <w:kern w:val="0"/>
                      <w:sz w:val="21"/>
                      <w:szCs w:val="18"/>
                      <w:highlight w:val="none"/>
                      <w:lang w:val="en-US" w:eastAsia="zh-CN" w:bidi="ar-SA"/>
                    </w:rPr>
                  </w:pPr>
                  <w:r>
                    <w:rPr>
                      <w:rFonts w:hint="eastAsia" w:cs="Times New Roman"/>
                      <w:color w:val="auto"/>
                      <w:kern w:val="0"/>
                      <w:sz w:val="21"/>
                      <w:szCs w:val="18"/>
                      <w:highlight w:val="none"/>
                      <w:lang w:val="en-US" w:eastAsia="zh-CN" w:bidi="ar-SA"/>
                    </w:rPr>
                    <w:t>2.本项目不属于“两高”项目。</w:t>
                  </w:r>
                </w:p>
                <w:p w14:paraId="34E798FC">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eastAsia" w:cs="Times New Roman"/>
                      <w:color w:val="auto"/>
                      <w:kern w:val="0"/>
                      <w:sz w:val="21"/>
                      <w:szCs w:val="18"/>
                      <w:highlight w:val="none"/>
                      <w:lang w:val="en-US" w:eastAsia="zh-CN" w:bidi="ar-SA"/>
                    </w:rPr>
                  </w:pPr>
                  <w:r>
                    <w:rPr>
                      <w:rFonts w:hint="eastAsia" w:cs="Times New Roman"/>
                      <w:color w:val="auto"/>
                      <w:kern w:val="0"/>
                      <w:sz w:val="21"/>
                      <w:szCs w:val="18"/>
                      <w:highlight w:val="none"/>
                      <w:lang w:val="en-US" w:eastAsia="zh-CN" w:bidi="ar-SA"/>
                    </w:rPr>
                    <w:t>3.本项目不涉及。</w:t>
                  </w:r>
                </w:p>
                <w:p w14:paraId="6348F66B">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eastAsia" w:cs="Times New Roman"/>
                      <w:color w:val="auto"/>
                      <w:kern w:val="0"/>
                      <w:sz w:val="21"/>
                      <w:szCs w:val="18"/>
                      <w:highlight w:val="none"/>
                      <w:lang w:val="en-US" w:eastAsia="zh-CN" w:bidi="ar-SA"/>
                    </w:rPr>
                  </w:pPr>
                  <w:r>
                    <w:rPr>
                      <w:rFonts w:hint="eastAsia" w:cs="Times New Roman"/>
                      <w:color w:val="auto"/>
                      <w:kern w:val="0"/>
                      <w:sz w:val="21"/>
                      <w:szCs w:val="18"/>
                      <w:highlight w:val="none"/>
                      <w:lang w:val="en-US" w:eastAsia="zh-CN" w:bidi="ar-SA"/>
                    </w:rPr>
                    <w:t>4.本项目使用电能，不涉及锅炉或炉窑，不是以煤、石油焦、渣油、重油等为燃料。</w:t>
                  </w:r>
                </w:p>
                <w:p w14:paraId="7B4DD7D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eastAsia" w:cs="Times New Roman"/>
                      <w:color w:val="auto"/>
                      <w:kern w:val="0"/>
                      <w:sz w:val="21"/>
                      <w:szCs w:val="18"/>
                      <w:highlight w:val="none"/>
                      <w:lang w:val="en-US" w:eastAsia="zh-CN" w:bidi="ar-SA"/>
                    </w:rPr>
                    <w:t>5.</w:t>
                  </w:r>
                  <w:r>
                    <w:rPr>
                      <w:rFonts w:hint="default" w:ascii="Times New Roman" w:hAnsi="Times New Roman" w:eastAsia="宋体" w:cs="Times New Roman"/>
                      <w:color w:val="auto"/>
                      <w:kern w:val="0"/>
                      <w:sz w:val="21"/>
                      <w:szCs w:val="18"/>
                      <w:highlight w:val="none"/>
                      <w:lang w:val="zh-CN" w:eastAsia="zh-CN" w:bidi="ar-SA"/>
                    </w:rPr>
                    <w:t>项目</w:t>
                  </w:r>
                  <w:r>
                    <w:rPr>
                      <w:rFonts w:hint="default" w:ascii="Times New Roman" w:hAnsi="Times New Roman" w:eastAsia="宋体" w:cs="Times New Roman"/>
                      <w:color w:val="auto"/>
                      <w:kern w:val="0"/>
                      <w:sz w:val="21"/>
                      <w:szCs w:val="18"/>
                      <w:highlight w:val="none"/>
                      <w:lang w:val="en-US" w:eastAsia="zh-CN" w:bidi="ar-SA"/>
                    </w:rPr>
                    <w:t>用水采用</w:t>
                  </w:r>
                  <w:r>
                    <w:rPr>
                      <w:rFonts w:hint="eastAsia" w:cs="Times New Roman"/>
                      <w:color w:val="auto"/>
                      <w:kern w:val="0"/>
                      <w:sz w:val="21"/>
                      <w:szCs w:val="18"/>
                      <w:highlight w:val="none"/>
                      <w:lang w:val="en-US" w:eastAsia="zh-CN" w:bidi="ar-SA"/>
                    </w:rPr>
                    <w:t>园</w:t>
                  </w:r>
                  <w:r>
                    <w:rPr>
                      <w:rFonts w:hint="default" w:ascii="Times New Roman" w:hAnsi="Times New Roman" w:eastAsia="宋体" w:cs="Times New Roman"/>
                      <w:color w:val="auto"/>
                      <w:kern w:val="0"/>
                      <w:sz w:val="21"/>
                      <w:szCs w:val="18"/>
                      <w:highlight w:val="none"/>
                      <w:lang w:val="en-US" w:eastAsia="zh-CN" w:bidi="ar-SA"/>
                    </w:rPr>
                    <w:t>区供水管网供水</w:t>
                  </w:r>
                  <w:r>
                    <w:rPr>
                      <w:rFonts w:hint="eastAsia" w:cs="Times New Roman"/>
                      <w:color w:val="auto"/>
                      <w:kern w:val="0"/>
                      <w:sz w:val="21"/>
                      <w:szCs w:val="18"/>
                      <w:highlight w:val="none"/>
                      <w:lang w:val="en-US" w:eastAsia="zh-CN" w:bidi="ar-SA"/>
                    </w:rPr>
                    <w:t>，不使用地下水</w:t>
                  </w:r>
                  <w:r>
                    <w:rPr>
                      <w:rFonts w:hint="default" w:ascii="Times New Roman" w:hAnsi="Times New Roman" w:eastAsia="宋体" w:cs="Times New Roman"/>
                      <w:color w:val="auto"/>
                      <w:kern w:val="0"/>
                      <w:sz w:val="21"/>
                      <w:szCs w:val="18"/>
                      <w:highlight w:val="none"/>
                      <w:lang w:val="en-US" w:eastAsia="zh-CN" w:bidi="ar-SA"/>
                    </w:rPr>
                    <w:t>。</w:t>
                  </w:r>
                </w:p>
              </w:tc>
              <w:tc>
                <w:tcPr>
                  <w:tcW w:w="373" w:type="pct"/>
                  <w:tcBorders>
                    <w:left w:val="single" w:color="auto" w:sz="4" w:space="0"/>
                    <w:bottom w:val="single" w:color="auto" w:sz="4" w:space="0"/>
                    <w:right w:val="single" w:color="auto" w:sz="4" w:space="0"/>
                  </w:tcBorders>
                  <w:noWrap w:val="0"/>
                  <w:vAlign w:val="center"/>
                </w:tcPr>
                <w:p w14:paraId="5B88D25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相符</w:t>
                  </w:r>
                </w:p>
              </w:tc>
            </w:tr>
          </w:tbl>
          <w:p w14:paraId="53FD119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黑体" w:cs="Times New Roman"/>
                <w:b/>
                <w:bCs/>
                <w:szCs w:val="22"/>
              </w:rPr>
            </w:pPr>
            <w:r>
              <w:rPr>
                <w:rFonts w:hint="default" w:ascii="Times New Roman" w:hAnsi="Times New Roman" w:cs="Times New Roman"/>
                <w:b/>
                <w:bCs/>
              </w:rPr>
              <w:t>表1-</w:t>
            </w:r>
            <w:r>
              <w:rPr>
                <w:rFonts w:hint="default" w:ascii="Times New Roman" w:hAnsi="Times New Roman" w:cs="Times New Roman"/>
                <w:b/>
                <w:bCs/>
                <w:lang w:val="en-US" w:eastAsia="zh-CN"/>
              </w:rPr>
              <w:t>5</w:t>
            </w:r>
            <w:r>
              <w:rPr>
                <w:rFonts w:hint="default" w:ascii="Times New Roman" w:hAnsi="Times New Roman" w:cs="Times New Roman"/>
                <w:b/>
                <w:bCs/>
              </w:rPr>
              <w:t xml:space="preserve">   本项目与重点区域生态环境管控要求相符性分析</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1"/>
              <w:gridCol w:w="713"/>
              <w:gridCol w:w="3729"/>
              <w:gridCol w:w="2216"/>
              <w:gridCol w:w="769"/>
            </w:tblGrid>
            <w:tr w14:paraId="30F2E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pct"/>
                  <w:tcBorders>
                    <w:top w:val="single" w:color="auto" w:sz="4" w:space="0"/>
                    <w:left w:val="single" w:color="auto" w:sz="4" w:space="0"/>
                    <w:bottom w:val="single" w:color="auto" w:sz="4" w:space="0"/>
                    <w:right w:val="single" w:color="auto" w:sz="4" w:space="0"/>
                  </w:tcBorders>
                  <w:noWrap w:val="0"/>
                  <w:vAlign w:val="center"/>
                </w:tcPr>
                <w:p w14:paraId="545C11C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rPr>
                    <w:t>区域</w:t>
                  </w:r>
                </w:p>
              </w:tc>
              <w:tc>
                <w:tcPr>
                  <w:tcW w:w="409" w:type="pct"/>
                  <w:tcBorders>
                    <w:top w:val="single" w:color="auto" w:sz="4" w:space="0"/>
                    <w:left w:val="single" w:color="auto" w:sz="4" w:space="0"/>
                    <w:bottom w:val="single" w:color="auto" w:sz="4" w:space="0"/>
                    <w:right w:val="single" w:color="auto" w:sz="4" w:space="0"/>
                  </w:tcBorders>
                  <w:noWrap w:val="0"/>
                  <w:vAlign w:val="center"/>
                </w:tcPr>
                <w:p w14:paraId="071E30B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lang w:val="zh-CN"/>
                    </w:rPr>
                    <w:t>管控</w:t>
                  </w:r>
                  <w:r>
                    <w:rPr>
                      <w:rFonts w:hint="default" w:ascii="Times New Roman" w:hAnsi="Times New Roman" w:cs="Times New Roman"/>
                      <w:b w:val="0"/>
                      <w:bCs w:val="0"/>
                      <w:kern w:val="0"/>
                      <w:sz w:val="21"/>
                      <w:szCs w:val="18"/>
                    </w:rPr>
                    <w:t>类别</w:t>
                  </w:r>
                </w:p>
              </w:tc>
              <w:tc>
                <w:tcPr>
                  <w:tcW w:w="2141" w:type="pct"/>
                  <w:tcBorders>
                    <w:top w:val="single" w:color="auto" w:sz="4" w:space="0"/>
                    <w:left w:val="single" w:color="auto" w:sz="4" w:space="0"/>
                    <w:bottom w:val="single" w:color="auto" w:sz="4" w:space="0"/>
                    <w:right w:val="single" w:color="auto" w:sz="4" w:space="0"/>
                  </w:tcBorders>
                  <w:noWrap w:val="0"/>
                  <w:vAlign w:val="center"/>
                </w:tcPr>
                <w:p w14:paraId="3E1FBCD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准入要求</w:t>
                  </w:r>
                </w:p>
              </w:tc>
              <w:tc>
                <w:tcPr>
                  <w:tcW w:w="1272" w:type="pct"/>
                  <w:tcBorders>
                    <w:top w:val="single" w:color="auto" w:sz="4" w:space="0"/>
                    <w:left w:val="single" w:color="auto" w:sz="4" w:space="0"/>
                    <w:bottom w:val="single" w:color="auto" w:sz="4" w:space="0"/>
                    <w:right w:val="single" w:color="auto" w:sz="4" w:space="0"/>
                  </w:tcBorders>
                  <w:noWrap w:val="0"/>
                  <w:vAlign w:val="center"/>
                </w:tcPr>
                <w:p w14:paraId="7460328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本项目情况</w:t>
                  </w:r>
                </w:p>
              </w:tc>
              <w:tc>
                <w:tcPr>
                  <w:tcW w:w="441" w:type="pct"/>
                  <w:tcBorders>
                    <w:top w:val="single" w:color="auto" w:sz="4" w:space="0"/>
                    <w:left w:val="single" w:color="auto" w:sz="4" w:space="0"/>
                    <w:bottom w:val="single" w:color="auto" w:sz="4" w:space="0"/>
                    <w:right w:val="single" w:color="auto" w:sz="4" w:space="0"/>
                  </w:tcBorders>
                  <w:noWrap w:val="0"/>
                  <w:vAlign w:val="center"/>
                </w:tcPr>
                <w:p w14:paraId="69B9051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相符性</w:t>
                  </w:r>
                </w:p>
              </w:tc>
            </w:tr>
            <w:tr w14:paraId="7D4A4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pct"/>
                  <w:vMerge w:val="restart"/>
                  <w:tcBorders>
                    <w:top w:val="single" w:color="auto" w:sz="4" w:space="0"/>
                    <w:left w:val="single" w:color="auto" w:sz="4" w:space="0"/>
                    <w:right w:val="single" w:color="auto" w:sz="4" w:space="0"/>
                  </w:tcBorders>
                  <w:noWrap w:val="0"/>
                  <w:vAlign w:val="center"/>
                </w:tcPr>
                <w:p w14:paraId="602C78B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rPr>
                    <w:t>京津冀及周边地区（郑</w:t>
                  </w:r>
                  <w:r>
                    <w:rPr>
                      <w:rFonts w:hint="default" w:ascii="Times New Roman" w:hAnsi="Times New Roman" w:cs="Times New Roman"/>
                      <w:kern w:val="0"/>
                      <w:sz w:val="21"/>
                      <w:szCs w:val="21"/>
                      <w:lang w:val="zh-CN"/>
                    </w:rPr>
                    <w:t>州、开封、洛阳、</w:t>
                  </w:r>
                  <w:r>
                    <w:rPr>
                      <w:rFonts w:hint="default" w:ascii="Times New Roman" w:hAnsi="Times New Roman" w:cs="Times New Roman"/>
                      <w:kern w:val="0"/>
                      <w:sz w:val="21"/>
                      <w:szCs w:val="21"/>
                    </w:rPr>
                    <w:t>平顶山、安阳、鹤壁、</w:t>
                  </w:r>
                  <w:r>
                    <w:rPr>
                      <w:rFonts w:hint="default" w:ascii="Times New Roman" w:hAnsi="Times New Roman" w:cs="Times New Roman"/>
                      <w:kern w:val="0"/>
                      <w:sz w:val="21"/>
                      <w:szCs w:val="21"/>
                      <w:lang w:val="zh-CN"/>
                    </w:rPr>
                    <w:t>新乡、</w:t>
                  </w:r>
                  <w:r>
                    <w:rPr>
                      <w:rFonts w:hint="default" w:ascii="Times New Roman" w:hAnsi="Times New Roman" w:cs="Times New Roman"/>
                      <w:kern w:val="0"/>
                      <w:sz w:val="21"/>
                      <w:szCs w:val="21"/>
                    </w:rPr>
                    <w:t>焦作、</w:t>
                  </w:r>
                  <w:r>
                    <w:rPr>
                      <w:rFonts w:hint="default" w:ascii="Times New Roman" w:hAnsi="Times New Roman" w:cs="Times New Roman"/>
                      <w:kern w:val="0"/>
                      <w:sz w:val="21"/>
                      <w:szCs w:val="21"/>
                      <w:lang w:val="zh-CN"/>
                    </w:rPr>
                    <w:t>濮阳、</w:t>
                  </w:r>
                  <w:r>
                    <w:rPr>
                      <w:rFonts w:hint="default" w:ascii="Times New Roman" w:hAnsi="Times New Roman" w:cs="Times New Roman"/>
                      <w:kern w:val="0"/>
                      <w:sz w:val="21"/>
                      <w:szCs w:val="21"/>
                    </w:rPr>
                    <w:t>许昌、漯河、</w:t>
                  </w:r>
                  <w:r>
                    <w:rPr>
                      <w:rFonts w:hint="default" w:ascii="Times New Roman" w:hAnsi="Times New Roman" w:cs="Times New Roman"/>
                      <w:kern w:val="0"/>
                      <w:sz w:val="21"/>
                      <w:szCs w:val="21"/>
                      <w:lang w:val="zh-CN"/>
                    </w:rPr>
                    <w:t>三门峡、</w:t>
                  </w:r>
                  <w:r>
                    <w:rPr>
                      <w:rFonts w:hint="default" w:ascii="Times New Roman" w:hAnsi="Times New Roman" w:cs="Times New Roman"/>
                      <w:kern w:val="0"/>
                      <w:sz w:val="21"/>
                      <w:szCs w:val="21"/>
                    </w:rPr>
                    <w:t>商丘、周口市以及</w:t>
                  </w:r>
                  <w:r>
                    <w:rPr>
                      <w:rFonts w:hint="default" w:ascii="Times New Roman" w:hAnsi="Times New Roman" w:cs="Times New Roman"/>
                      <w:kern w:val="0"/>
                      <w:sz w:val="21"/>
                      <w:szCs w:val="21"/>
                      <w:lang w:val="zh-CN"/>
                    </w:rPr>
                    <w:t>济源示范区</w:t>
                  </w:r>
                  <w:r>
                    <w:rPr>
                      <w:rFonts w:hint="default" w:ascii="Times New Roman" w:hAnsi="Times New Roman" w:cs="Times New Roman"/>
                      <w:kern w:val="0"/>
                      <w:sz w:val="21"/>
                      <w:szCs w:val="18"/>
                    </w:rPr>
                    <w:t>）</w:t>
                  </w:r>
                </w:p>
              </w:tc>
              <w:tc>
                <w:tcPr>
                  <w:tcW w:w="409" w:type="pct"/>
                  <w:tcBorders>
                    <w:top w:val="single" w:color="auto" w:sz="4" w:space="0"/>
                    <w:left w:val="single" w:color="auto" w:sz="4" w:space="0"/>
                    <w:bottom w:val="single" w:color="auto" w:sz="4" w:space="0"/>
                    <w:right w:val="single" w:color="auto" w:sz="4" w:space="0"/>
                  </w:tcBorders>
                  <w:noWrap w:val="0"/>
                  <w:vAlign w:val="center"/>
                </w:tcPr>
                <w:p w14:paraId="63179EF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空间布局约束</w:t>
                  </w:r>
                </w:p>
              </w:tc>
              <w:tc>
                <w:tcPr>
                  <w:tcW w:w="2141" w:type="pct"/>
                  <w:tcBorders>
                    <w:top w:val="single" w:color="auto" w:sz="4" w:space="0"/>
                    <w:left w:val="single" w:color="auto" w:sz="4" w:space="0"/>
                    <w:bottom w:val="single" w:color="auto" w:sz="4" w:space="0"/>
                    <w:right w:val="single" w:color="auto" w:sz="4" w:space="0"/>
                  </w:tcBorders>
                  <w:noWrap w:val="0"/>
                  <w:vAlign w:val="center"/>
                </w:tcPr>
                <w:p w14:paraId="5A54C819">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坚决遏制“两高”项目盲目发展,落实《中共河南省委河南省人民政府关于深入打好污染防治攻坚战的实施意见》中关于空间布局约束的相关要求。</w:t>
                  </w:r>
                </w:p>
                <w:p w14:paraId="0A9C65C4">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exact"/>
                    <w:ind w:left="0" w:leftChars="0"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严控磷铵、电石、黄磷等行业新增产能，禁止新建用汞的(聚)氯乙烯产能，加快低效落后产能退出。</w:t>
                  </w:r>
                </w:p>
                <w:p w14:paraId="0A20C1BD">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exact"/>
                    <w:ind w:left="0" w:leftChars="0"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原则上禁止新建企业自备燃煤机组，有序关停整合30万千瓦以上热电联产机组供热合理半径范围内的落后燃煤小热电机组(含自备电厂)。</w:t>
                  </w:r>
                </w:p>
                <w:p w14:paraId="33B4F4EC">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exact"/>
                    <w:ind w:left="0" w:leftChars="0"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优化危险化学品生产布局，禁止在化工园区外新建、扩建危险化学品生产项目。新建危险化学品生产项目必须进入通过认定的一般或较低安全风险的化工园区(与其他行业生产装置配套建设的项目除外)。</w:t>
                  </w:r>
                </w:p>
                <w:p w14:paraId="025DE6A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5</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新建、扩建石化项目不得位于黄河干支流岸线管控范围内等法律法规明令禁止的区域，尽可能远离居民集中区、医院、学校等环境敏感区。</w:t>
                  </w:r>
                </w:p>
                <w:p w14:paraId="283C335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6.严格采矿权准入管理，新建露天矿山项目原则上必须位于省级矿产资源规划划定的重点开采区内，鼓励集中连片规模化开发。</w:t>
                  </w:r>
                </w:p>
              </w:tc>
              <w:tc>
                <w:tcPr>
                  <w:tcW w:w="1272" w:type="pct"/>
                  <w:tcBorders>
                    <w:top w:val="single" w:color="auto" w:sz="4" w:space="0"/>
                    <w:left w:val="single" w:color="auto" w:sz="4" w:space="0"/>
                    <w:right w:val="single" w:color="auto" w:sz="4" w:space="0"/>
                  </w:tcBorders>
                  <w:noWrap w:val="0"/>
                  <w:vAlign w:val="center"/>
                </w:tcPr>
                <w:p w14:paraId="74978CA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eastAsia="zh-CN"/>
                    </w:rPr>
                    <w:t>、</w:t>
                  </w:r>
                  <w:r>
                    <w:rPr>
                      <w:rFonts w:hint="default" w:ascii="Times New Roman" w:hAnsi="Times New Roman" w:cs="Times New Roman"/>
                      <w:sz w:val="21"/>
                      <w:szCs w:val="21"/>
                    </w:rPr>
                    <w:t>本项目不属于</w:t>
                  </w:r>
                  <w:r>
                    <w:rPr>
                      <w:rFonts w:hint="eastAsia" w:cs="Times New Roman"/>
                      <w:sz w:val="21"/>
                      <w:szCs w:val="21"/>
                      <w:lang w:eastAsia="zh-CN"/>
                    </w:rPr>
                    <w:t>“两高”</w:t>
                  </w:r>
                  <w:r>
                    <w:rPr>
                      <w:rFonts w:hint="default" w:ascii="Times New Roman" w:hAnsi="Times New Roman" w:cs="Times New Roman"/>
                      <w:sz w:val="21"/>
                      <w:szCs w:val="21"/>
                    </w:rPr>
                    <w:t>项目。</w:t>
                  </w:r>
                </w:p>
                <w:p w14:paraId="4D200EEB">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sz w:val="21"/>
                      <w:szCs w:val="21"/>
                    </w:rPr>
                    <w:t>2、</w:t>
                  </w:r>
                  <w:r>
                    <w:rPr>
                      <w:rFonts w:hint="default" w:ascii="Times New Roman" w:hAnsi="Times New Roman" w:cs="Times New Roman"/>
                      <w:sz w:val="21"/>
                      <w:szCs w:val="21"/>
                      <w:lang w:eastAsia="zh-CN"/>
                    </w:rPr>
                    <w:t>本项目属于</w:t>
                  </w:r>
                  <w:r>
                    <w:rPr>
                      <w:rFonts w:hint="eastAsia" w:cs="Times New Roman"/>
                      <w:sz w:val="21"/>
                      <w:szCs w:val="21"/>
                      <w:lang w:eastAsia="zh-CN"/>
                    </w:rPr>
                    <w:t>日用塑料制品制造</w:t>
                  </w:r>
                  <w:r>
                    <w:rPr>
                      <w:rFonts w:hint="default" w:ascii="Times New Roman" w:hAnsi="Times New Roman" w:cs="Times New Roman"/>
                      <w:sz w:val="21"/>
                      <w:szCs w:val="21"/>
                      <w:lang w:eastAsia="zh-CN"/>
                    </w:rPr>
                    <w:t>，</w:t>
                  </w:r>
                  <w:r>
                    <w:rPr>
                      <w:rFonts w:hint="default" w:ascii="Times New Roman" w:hAnsi="Times New Roman" w:cs="Times New Roman"/>
                      <w:sz w:val="21"/>
                      <w:szCs w:val="21"/>
                    </w:rPr>
                    <w:t>不属于</w:t>
                  </w:r>
                  <w:r>
                    <w:rPr>
                      <w:rFonts w:hint="default" w:ascii="Times New Roman" w:hAnsi="Times New Roman" w:cs="Times New Roman"/>
                      <w:kern w:val="0"/>
                      <w:sz w:val="21"/>
                      <w:szCs w:val="18"/>
                      <w:lang w:val="zh-CN"/>
                    </w:rPr>
                    <w:t>磷铵、电石、黄磷等行业。</w:t>
                  </w:r>
                </w:p>
                <w:p w14:paraId="44A1155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rPr>
                    <w:t>3、本项目不涉及使用</w:t>
                  </w:r>
                  <w:r>
                    <w:rPr>
                      <w:rFonts w:hint="default" w:ascii="Times New Roman" w:hAnsi="Times New Roman" w:cs="Times New Roman"/>
                      <w:kern w:val="0"/>
                      <w:sz w:val="21"/>
                      <w:szCs w:val="18"/>
                      <w:lang w:val="zh-CN"/>
                    </w:rPr>
                    <w:t>燃煤机组。</w:t>
                  </w:r>
                </w:p>
                <w:p w14:paraId="1F7DC45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rPr>
                    <w:t>4、</w:t>
                  </w:r>
                  <w:r>
                    <w:rPr>
                      <w:rFonts w:hint="eastAsia" w:cs="Times New Roman"/>
                      <w:kern w:val="0"/>
                      <w:sz w:val="21"/>
                      <w:szCs w:val="18"/>
                      <w:lang w:eastAsia="zh-CN"/>
                    </w:rPr>
                    <w:t>本</w:t>
                  </w:r>
                  <w:r>
                    <w:rPr>
                      <w:rFonts w:hint="default" w:ascii="Times New Roman" w:hAnsi="Times New Roman" w:cs="Times New Roman"/>
                      <w:kern w:val="0"/>
                      <w:sz w:val="21"/>
                      <w:szCs w:val="18"/>
                    </w:rPr>
                    <w:t>项目不涉及</w:t>
                  </w:r>
                  <w:r>
                    <w:rPr>
                      <w:rFonts w:hint="default" w:ascii="Times New Roman" w:hAnsi="Times New Roman" w:cs="Times New Roman"/>
                      <w:kern w:val="0"/>
                      <w:sz w:val="21"/>
                      <w:szCs w:val="18"/>
                      <w:lang w:val="zh-CN"/>
                    </w:rPr>
                    <w:t>危险化学品生产。</w:t>
                  </w:r>
                </w:p>
                <w:p w14:paraId="67E75CD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5、</w:t>
                  </w:r>
                  <w:r>
                    <w:rPr>
                      <w:rFonts w:hint="default" w:ascii="Times New Roman" w:hAnsi="Times New Roman" w:cs="Times New Roman"/>
                      <w:sz w:val="21"/>
                      <w:szCs w:val="21"/>
                      <w:lang w:eastAsia="zh-CN"/>
                    </w:rPr>
                    <w:t>本项目属于</w:t>
                  </w:r>
                  <w:r>
                    <w:rPr>
                      <w:rFonts w:hint="eastAsia" w:cs="Times New Roman"/>
                      <w:sz w:val="21"/>
                      <w:szCs w:val="21"/>
                      <w:lang w:eastAsia="zh-CN"/>
                    </w:rPr>
                    <w:t>日用塑料制品制造</w:t>
                  </w:r>
                  <w:r>
                    <w:rPr>
                      <w:rFonts w:hint="default" w:ascii="Times New Roman" w:hAnsi="Times New Roman" w:cs="Times New Roman"/>
                      <w:sz w:val="21"/>
                      <w:szCs w:val="21"/>
                      <w:lang w:eastAsia="zh-CN"/>
                    </w:rPr>
                    <w:t>，</w:t>
                  </w:r>
                  <w:r>
                    <w:rPr>
                      <w:rFonts w:hint="default" w:ascii="Times New Roman" w:hAnsi="Times New Roman" w:cs="Times New Roman"/>
                      <w:kern w:val="0"/>
                      <w:sz w:val="21"/>
                      <w:szCs w:val="18"/>
                    </w:rPr>
                    <w:t>不属于石化项目。</w:t>
                  </w:r>
                </w:p>
                <w:p w14:paraId="1A52AA7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6</w:t>
                  </w:r>
                  <w:r>
                    <w:rPr>
                      <w:rFonts w:hint="default" w:ascii="Times New Roman" w:hAnsi="Times New Roman" w:cs="Times New Roman"/>
                      <w:sz w:val="21"/>
                      <w:szCs w:val="21"/>
                    </w:rPr>
                    <w:t>、</w:t>
                  </w:r>
                  <w:r>
                    <w:rPr>
                      <w:rFonts w:hint="default" w:ascii="Times New Roman" w:hAnsi="Times New Roman" w:cs="Times New Roman"/>
                      <w:sz w:val="21"/>
                      <w:szCs w:val="21"/>
                      <w:lang w:eastAsia="zh-CN"/>
                    </w:rPr>
                    <w:t>本项目属于</w:t>
                  </w:r>
                  <w:r>
                    <w:rPr>
                      <w:rFonts w:hint="eastAsia" w:cs="Times New Roman"/>
                      <w:sz w:val="21"/>
                      <w:szCs w:val="21"/>
                      <w:lang w:eastAsia="zh-CN"/>
                    </w:rPr>
                    <w:t>日用塑料制品制造</w:t>
                  </w:r>
                  <w:r>
                    <w:rPr>
                      <w:rFonts w:hint="default" w:ascii="Times New Roman" w:hAnsi="Times New Roman" w:cs="Times New Roman"/>
                      <w:sz w:val="21"/>
                      <w:szCs w:val="21"/>
                      <w:lang w:eastAsia="zh-CN"/>
                    </w:rPr>
                    <w:t>，不涉及露天矿山采矿项目</w:t>
                  </w:r>
                  <w:r>
                    <w:rPr>
                      <w:rFonts w:hint="default" w:ascii="Times New Roman" w:hAnsi="Times New Roman" w:cs="Times New Roman"/>
                      <w:kern w:val="0"/>
                      <w:sz w:val="21"/>
                      <w:szCs w:val="18"/>
                    </w:rPr>
                    <w:t>。</w:t>
                  </w:r>
                </w:p>
              </w:tc>
              <w:tc>
                <w:tcPr>
                  <w:tcW w:w="441" w:type="pct"/>
                  <w:tcBorders>
                    <w:top w:val="single" w:color="auto" w:sz="4" w:space="0"/>
                    <w:left w:val="single" w:color="auto" w:sz="4" w:space="0"/>
                    <w:right w:val="single" w:color="auto" w:sz="4" w:space="0"/>
                  </w:tcBorders>
                  <w:noWrap w:val="0"/>
                  <w:vAlign w:val="center"/>
                </w:tcPr>
                <w:p w14:paraId="49C68EC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7D9B2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pct"/>
                  <w:vMerge w:val="continue"/>
                  <w:tcBorders>
                    <w:left w:val="single" w:color="auto" w:sz="4" w:space="0"/>
                    <w:right w:val="single" w:color="auto" w:sz="4" w:space="0"/>
                  </w:tcBorders>
                  <w:noWrap w:val="0"/>
                  <w:vAlign w:val="center"/>
                </w:tcPr>
                <w:p w14:paraId="66D006F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09" w:type="pct"/>
                  <w:tcBorders>
                    <w:top w:val="single" w:color="auto" w:sz="4" w:space="0"/>
                    <w:left w:val="single" w:color="auto" w:sz="4" w:space="0"/>
                    <w:bottom w:val="single" w:color="auto" w:sz="4" w:space="0"/>
                    <w:right w:val="single" w:color="auto" w:sz="4" w:space="0"/>
                  </w:tcBorders>
                  <w:noWrap w:val="0"/>
                  <w:vAlign w:val="center"/>
                </w:tcPr>
                <w:p w14:paraId="22ADF29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污染物排放管控</w:t>
                  </w:r>
                </w:p>
              </w:tc>
              <w:tc>
                <w:tcPr>
                  <w:tcW w:w="2141" w:type="pct"/>
                  <w:tcBorders>
                    <w:top w:val="single" w:color="auto" w:sz="4" w:space="0"/>
                    <w:left w:val="single" w:color="auto" w:sz="4" w:space="0"/>
                    <w:bottom w:val="single" w:color="auto" w:sz="4" w:space="0"/>
                    <w:right w:val="single" w:color="auto" w:sz="4" w:space="0"/>
                  </w:tcBorders>
                  <w:noWrap w:val="0"/>
                  <w:vAlign w:val="center"/>
                </w:tcPr>
                <w:p w14:paraId="1636D43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eastAsia="宋体" w:cs="Times New Roman"/>
                      <w:kern w:val="0"/>
                      <w:sz w:val="21"/>
                      <w:szCs w:val="18"/>
                      <w:lang w:val="en-US" w:eastAsia="zh-CN" w:bidi="ar-SA"/>
                    </w:rPr>
                    <w:t>1.</w:t>
                  </w:r>
                  <w:r>
                    <w:rPr>
                      <w:rFonts w:hint="default" w:ascii="Times New Roman" w:hAnsi="Times New Roman" w:cs="Times New Roman"/>
                      <w:kern w:val="0"/>
                      <w:sz w:val="21"/>
                      <w:szCs w:val="18"/>
                    </w:rPr>
                    <w:t>落实超低排放要求、无组织排放特别控制要求。</w:t>
                  </w:r>
                </w:p>
                <w:p w14:paraId="51E6DF9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0" w:leftChars="0" w:firstLine="0" w:firstLineChars="0"/>
                    <w:jc w:val="left"/>
                    <w:textAlignment w:val="auto"/>
                    <w:rPr>
                      <w:rFonts w:hint="default" w:ascii="Times New Roman" w:hAnsi="Times New Roman" w:cs="Times New Roman"/>
                      <w:kern w:val="0"/>
                      <w:sz w:val="21"/>
                      <w:szCs w:val="18"/>
                    </w:rPr>
                  </w:pPr>
                  <w:r>
                    <w:rPr>
                      <w:rFonts w:hint="default" w:ascii="Times New Roman" w:hAnsi="Times New Roman" w:eastAsia="宋体" w:cs="Times New Roman"/>
                      <w:kern w:val="0"/>
                      <w:sz w:val="21"/>
                      <w:szCs w:val="18"/>
                      <w:lang w:val="en-US" w:eastAsia="zh-CN" w:bidi="ar-SA"/>
                    </w:rPr>
                    <w:t>2.</w:t>
                  </w:r>
                  <w:r>
                    <w:rPr>
                      <w:rFonts w:hint="default" w:ascii="Times New Roman" w:hAnsi="Times New Roman" w:cs="Times New Roman"/>
                      <w:kern w:val="0"/>
                      <w:sz w:val="21"/>
                      <w:szCs w:val="18"/>
                    </w:rPr>
                    <w:t>聚焦夏秋季臭氧污染，推进挥发性有机物和氮氧化物协同减排。以石化、化工、涂装、医药、包装印刷、油品储运销等行业领域为重点，推进挥发性有机物综合治理，实施原辅材料和产品源头替代工程。</w:t>
                  </w:r>
                </w:p>
                <w:p w14:paraId="20FA6B30">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0" w:leftChars="0"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3.全面淘汰国三及以下排放标准营运中重型柴油货车；推进大宗货物“公转铁”“公转水”。</w:t>
                  </w:r>
                </w:p>
                <w:p w14:paraId="1FFFDEB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0" w:leftChars="0" w:firstLine="0" w:firstLineChars="0"/>
                    <w:jc w:val="left"/>
                    <w:textAlignment w:val="auto"/>
                    <w:rPr>
                      <w:rFonts w:hint="default" w:ascii="Times New Roman" w:hAnsi="Times New Roman" w:cs="Times New Roman"/>
                      <w:kern w:val="0"/>
                      <w:sz w:val="21"/>
                      <w:szCs w:val="18"/>
                    </w:rPr>
                  </w:pPr>
                  <w:r>
                    <w:rPr>
                      <w:rFonts w:hint="eastAsia" w:cs="Times New Roman"/>
                      <w:kern w:val="0"/>
                      <w:sz w:val="21"/>
                      <w:szCs w:val="18"/>
                      <w:lang w:val="en-US" w:eastAsia="zh-CN" w:bidi="ar-SA"/>
                    </w:rPr>
                    <w:t>4</w:t>
                  </w:r>
                  <w:r>
                    <w:rPr>
                      <w:rFonts w:hint="default" w:ascii="Times New Roman" w:hAnsi="Times New Roman" w:eastAsia="宋体" w:cs="Times New Roman"/>
                      <w:kern w:val="0"/>
                      <w:sz w:val="21"/>
                      <w:szCs w:val="18"/>
                      <w:lang w:val="en-US" w:eastAsia="zh-CN" w:bidi="ar-SA"/>
                    </w:rPr>
                    <w:t>.</w:t>
                  </w:r>
                  <w:r>
                    <w:rPr>
                      <w:rFonts w:hint="default" w:ascii="Times New Roman" w:hAnsi="Times New Roman" w:cs="Times New Roman"/>
                      <w:kern w:val="0"/>
                      <w:sz w:val="21"/>
                      <w:szCs w:val="18"/>
                    </w:rPr>
                    <w:t>全面推广绿色化工制造技术，实现化工原料和反应介质、生产工艺和制造过程绿色化，从源头上控制和减少污染。</w:t>
                  </w:r>
                </w:p>
                <w:p w14:paraId="0F49CC8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5.推行农业绿色生产方式，协同推进种植业、养殖业节能减排与污染治理；推广生物质能、太阳能等绿色用能模式，加快农业及农产品加工设施等可再生能源替代。</w:t>
                  </w:r>
                </w:p>
              </w:tc>
              <w:tc>
                <w:tcPr>
                  <w:tcW w:w="1272" w:type="pct"/>
                  <w:tcBorders>
                    <w:left w:val="single" w:color="auto" w:sz="4" w:space="0"/>
                    <w:right w:val="single" w:color="auto" w:sz="4" w:space="0"/>
                  </w:tcBorders>
                  <w:noWrap w:val="0"/>
                  <w:vAlign w:val="center"/>
                </w:tcPr>
                <w:p w14:paraId="628554D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highlight w:val="none"/>
                    </w:rPr>
                  </w:pPr>
                  <w:r>
                    <w:rPr>
                      <w:rFonts w:hint="default" w:ascii="Times New Roman" w:hAnsi="Times New Roman" w:cs="Times New Roman"/>
                      <w:kern w:val="0"/>
                      <w:sz w:val="21"/>
                      <w:szCs w:val="18"/>
                    </w:rPr>
                    <w:t>1</w:t>
                  </w:r>
                  <w:r>
                    <w:rPr>
                      <w:rFonts w:hint="eastAsia" w:cs="Times New Roman"/>
                      <w:kern w:val="0"/>
                      <w:sz w:val="21"/>
                      <w:szCs w:val="18"/>
                      <w:lang w:eastAsia="zh-CN"/>
                    </w:rPr>
                    <w:t>.本</w:t>
                  </w:r>
                  <w:r>
                    <w:rPr>
                      <w:rFonts w:hint="default" w:ascii="Times New Roman" w:hAnsi="Times New Roman" w:cs="Times New Roman"/>
                      <w:kern w:val="0"/>
                      <w:sz w:val="21"/>
                      <w:szCs w:val="18"/>
                    </w:rPr>
                    <w:t>项目</w:t>
                  </w:r>
                  <w:r>
                    <w:rPr>
                      <w:rFonts w:hint="eastAsia" w:cs="Times New Roman"/>
                      <w:sz w:val="21"/>
                      <w:szCs w:val="21"/>
                      <w:highlight w:val="none"/>
                      <w:lang w:val="en-US" w:eastAsia="zh-CN"/>
                    </w:rPr>
                    <w:t>废气经过治理后满足排放限值要求。</w:t>
                  </w:r>
                </w:p>
                <w:p w14:paraId="44A659B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sz w:val="21"/>
                      <w:szCs w:val="21"/>
                      <w:highlight w:val="none"/>
                      <w:lang w:val="zh-CN"/>
                    </w:rPr>
                  </w:pPr>
                  <w:r>
                    <w:rPr>
                      <w:rFonts w:hint="default" w:ascii="Times New Roman" w:hAnsi="Times New Roman" w:cs="Times New Roman"/>
                      <w:kern w:val="0"/>
                      <w:sz w:val="21"/>
                      <w:szCs w:val="18"/>
                      <w:highlight w:val="none"/>
                    </w:rPr>
                    <w:t>2</w:t>
                  </w:r>
                  <w:r>
                    <w:rPr>
                      <w:rFonts w:hint="eastAsia" w:cs="Times New Roman"/>
                      <w:kern w:val="0"/>
                      <w:sz w:val="21"/>
                      <w:szCs w:val="18"/>
                      <w:highlight w:val="none"/>
                      <w:lang w:eastAsia="zh-CN"/>
                    </w:rPr>
                    <w:t>.本项目属于日用塑料制品制造，加热成型工序和危废间危废会产生</w:t>
                  </w:r>
                  <w:r>
                    <w:rPr>
                      <w:rFonts w:hint="default" w:ascii="Times New Roman" w:hAnsi="Times New Roman" w:cs="Times New Roman"/>
                      <w:kern w:val="0"/>
                      <w:sz w:val="21"/>
                      <w:szCs w:val="18"/>
                      <w:highlight w:val="none"/>
                    </w:rPr>
                    <w:t>挥发性有机物排放</w:t>
                  </w:r>
                  <w:r>
                    <w:rPr>
                      <w:rFonts w:hint="default" w:ascii="Times New Roman" w:hAnsi="Times New Roman" w:cs="Times New Roman"/>
                      <w:kern w:val="0"/>
                      <w:sz w:val="21"/>
                      <w:szCs w:val="18"/>
                      <w:highlight w:val="none"/>
                      <w:lang w:eastAsia="zh-CN"/>
                    </w:rPr>
                    <w:t>，</w:t>
                  </w:r>
                  <w:r>
                    <w:rPr>
                      <w:rFonts w:hint="eastAsia" w:cs="Times New Roman"/>
                      <w:kern w:val="0"/>
                      <w:sz w:val="21"/>
                      <w:szCs w:val="18"/>
                      <w:highlight w:val="none"/>
                      <w:lang w:eastAsia="zh-CN"/>
                    </w:rPr>
                    <w:t>但</w:t>
                  </w:r>
                  <w:r>
                    <w:rPr>
                      <w:rFonts w:hint="default" w:ascii="Times New Roman" w:hAnsi="Times New Roman" w:cs="Times New Roman"/>
                      <w:kern w:val="0"/>
                      <w:sz w:val="21"/>
                      <w:szCs w:val="18"/>
                      <w:highlight w:val="none"/>
                      <w:lang w:eastAsia="zh-CN"/>
                    </w:rPr>
                    <w:t>不涉及含挥发性有机物</w:t>
                  </w:r>
                  <w:r>
                    <w:rPr>
                      <w:rFonts w:hint="eastAsia" w:cs="Times New Roman"/>
                      <w:kern w:val="0"/>
                      <w:sz w:val="21"/>
                      <w:szCs w:val="18"/>
                      <w:highlight w:val="none"/>
                      <w:lang w:eastAsia="zh-CN"/>
                    </w:rPr>
                    <w:t>的液态</w:t>
                  </w:r>
                  <w:r>
                    <w:rPr>
                      <w:rFonts w:hint="default" w:ascii="Times New Roman" w:hAnsi="Times New Roman" w:cs="Times New Roman"/>
                      <w:kern w:val="0"/>
                      <w:sz w:val="21"/>
                      <w:szCs w:val="18"/>
                      <w:highlight w:val="none"/>
                      <w:lang w:eastAsia="zh-CN"/>
                    </w:rPr>
                    <w:t>原辅料</w:t>
                  </w:r>
                  <w:r>
                    <w:rPr>
                      <w:rFonts w:hint="default" w:ascii="Times New Roman" w:hAnsi="Times New Roman" w:cs="Times New Roman"/>
                      <w:sz w:val="21"/>
                      <w:szCs w:val="21"/>
                      <w:highlight w:val="none"/>
                      <w:lang w:val="zh-CN"/>
                    </w:rPr>
                    <w:t>。</w:t>
                  </w:r>
                </w:p>
                <w:p w14:paraId="196A3F8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eastAsia" w:cs="Times New Roman"/>
                      <w:sz w:val="21"/>
                      <w:szCs w:val="21"/>
                      <w:highlight w:val="none"/>
                      <w:lang w:val="en-US" w:eastAsia="zh-CN"/>
                    </w:rPr>
                  </w:pPr>
                  <w:r>
                    <w:rPr>
                      <w:rFonts w:hint="default" w:ascii="Times New Roman" w:hAnsi="Times New Roman" w:cs="Times New Roman"/>
                      <w:kern w:val="0"/>
                      <w:sz w:val="21"/>
                      <w:szCs w:val="18"/>
                      <w:highlight w:val="none"/>
                    </w:rPr>
                    <w:t>3</w:t>
                  </w:r>
                  <w:r>
                    <w:rPr>
                      <w:rFonts w:hint="eastAsia" w:cs="Times New Roman"/>
                      <w:kern w:val="0"/>
                      <w:sz w:val="21"/>
                      <w:szCs w:val="18"/>
                      <w:highlight w:val="none"/>
                      <w:lang w:eastAsia="zh-CN"/>
                    </w:rPr>
                    <w:t>.评价</w:t>
                  </w:r>
                  <w:r>
                    <w:rPr>
                      <w:rFonts w:hint="eastAsia" w:cs="Times New Roman"/>
                      <w:sz w:val="21"/>
                      <w:szCs w:val="21"/>
                      <w:highlight w:val="none"/>
                      <w:lang w:val="en-US" w:eastAsia="zh-CN"/>
                    </w:rPr>
                    <w:t>要求企业使用符合国家标准的车辆。</w:t>
                  </w:r>
                </w:p>
                <w:p w14:paraId="0F6673F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eastAsia" w:cs="Times New Roman"/>
                      <w:sz w:val="21"/>
                      <w:szCs w:val="21"/>
                      <w:highlight w:val="none"/>
                      <w:lang w:val="en-US" w:eastAsia="zh-CN"/>
                    </w:rPr>
                  </w:pPr>
                  <w:r>
                    <w:rPr>
                      <w:rFonts w:hint="eastAsia" w:cs="Times New Roman"/>
                      <w:sz w:val="21"/>
                      <w:szCs w:val="21"/>
                      <w:highlight w:val="none"/>
                      <w:lang w:val="en-US" w:eastAsia="zh-CN"/>
                    </w:rPr>
                    <w:t>4.本项目属于日用塑料制品制造，不属于化工制造业。</w:t>
                  </w:r>
                </w:p>
                <w:p w14:paraId="2807CD2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5.本项目不涉及。</w:t>
                  </w:r>
                </w:p>
              </w:tc>
              <w:tc>
                <w:tcPr>
                  <w:tcW w:w="441" w:type="pct"/>
                  <w:tcBorders>
                    <w:left w:val="single" w:color="auto" w:sz="4" w:space="0"/>
                    <w:right w:val="single" w:color="auto" w:sz="4" w:space="0"/>
                  </w:tcBorders>
                  <w:noWrap w:val="0"/>
                  <w:vAlign w:val="center"/>
                </w:tcPr>
                <w:p w14:paraId="14FA630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02500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pct"/>
                  <w:vMerge w:val="continue"/>
                  <w:tcBorders>
                    <w:left w:val="single" w:color="auto" w:sz="4" w:space="0"/>
                    <w:right w:val="single" w:color="auto" w:sz="4" w:space="0"/>
                  </w:tcBorders>
                  <w:noWrap w:val="0"/>
                  <w:vAlign w:val="center"/>
                </w:tcPr>
                <w:p w14:paraId="5993BC1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09" w:type="pct"/>
                  <w:tcBorders>
                    <w:top w:val="single" w:color="auto" w:sz="4" w:space="0"/>
                    <w:left w:val="single" w:color="auto" w:sz="4" w:space="0"/>
                    <w:bottom w:val="single" w:color="auto" w:sz="4" w:space="0"/>
                    <w:right w:val="single" w:color="auto" w:sz="4" w:space="0"/>
                  </w:tcBorders>
                  <w:noWrap w:val="0"/>
                  <w:vAlign w:val="center"/>
                </w:tcPr>
                <w:p w14:paraId="7DD4524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环境风险防控</w:t>
                  </w:r>
                </w:p>
              </w:tc>
              <w:tc>
                <w:tcPr>
                  <w:tcW w:w="2141" w:type="pct"/>
                  <w:tcBorders>
                    <w:top w:val="single" w:color="auto" w:sz="4" w:space="0"/>
                    <w:left w:val="single" w:color="auto" w:sz="4" w:space="0"/>
                    <w:bottom w:val="single" w:color="auto" w:sz="4" w:space="0"/>
                    <w:right w:val="single" w:color="auto" w:sz="4" w:space="0"/>
                  </w:tcBorders>
                  <w:noWrap w:val="0"/>
                  <w:vAlign w:val="center"/>
                </w:tcPr>
                <w:p w14:paraId="445A12A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jc w:val="left"/>
                    <w:textAlignment w:val="auto"/>
                    <w:rPr>
                      <w:rFonts w:hint="default" w:ascii="Times New Roman" w:hAnsi="Times New Roman" w:cs="Times New Roman"/>
                      <w:kern w:val="0"/>
                      <w:sz w:val="21"/>
                      <w:szCs w:val="18"/>
                      <w:highlight w:val="none"/>
                      <w:lang w:val="zh-CN"/>
                    </w:rPr>
                  </w:pPr>
                  <w:r>
                    <w:rPr>
                      <w:rFonts w:hint="eastAsia" w:cs="Times New Roman"/>
                      <w:kern w:val="0"/>
                      <w:sz w:val="21"/>
                      <w:szCs w:val="18"/>
                      <w:lang w:val="en-US" w:eastAsia="zh-CN"/>
                    </w:rPr>
                    <w:t>1.</w:t>
                  </w:r>
                  <w:r>
                    <w:rPr>
                      <w:rFonts w:hint="default" w:ascii="Times New Roman" w:hAnsi="Times New Roman" w:cs="Times New Roman"/>
                      <w:kern w:val="0"/>
                      <w:sz w:val="21"/>
                      <w:szCs w:val="18"/>
                      <w:lang w:val="zh-CN"/>
                    </w:rPr>
                    <w:t>对无法实现低VOC</w:t>
                  </w:r>
                  <w:r>
                    <w:rPr>
                      <w:rFonts w:hint="default" w:ascii="Times New Roman" w:hAnsi="Times New Roman" w:cs="Times New Roman"/>
                      <w:kern w:val="0"/>
                      <w:sz w:val="21"/>
                      <w:szCs w:val="18"/>
                      <w:vertAlign w:val="subscript"/>
                    </w:rPr>
                    <w:t>S</w:t>
                  </w:r>
                  <w:r>
                    <w:rPr>
                      <w:rFonts w:hint="default" w:ascii="Times New Roman" w:hAnsi="Times New Roman" w:cs="Times New Roman"/>
                      <w:kern w:val="0"/>
                      <w:sz w:val="21"/>
                      <w:szCs w:val="18"/>
                      <w:lang w:val="zh-CN"/>
                    </w:rPr>
                    <w:t>原辅材料替代的工序，在保证安全情况下</w:t>
                  </w:r>
                  <w:r>
                    <w:rPr>
                      <w:rFonts w:hint="default" w:ascii="Times New Roman" w:hAnsi="Times New Roman" w:cs="Times New Roman"/>
                      <w:kern w:val="0"/>
                      <w:sz w:val="21"/>
                      <w:szCs w:val="18"/>
                      <w:highlight w:val="none"/>
                      <w:lang w:val="zh-CN"/>
                    </w:rPr>
                    <w:t>，应在密闭设备、密闭空间作业或安装二次密闭设施。</w:t>
                  </w:r>
                </w:p>
                <w:p w14:paraId="2813AB5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Chars="0"/>
                    <w:jc w:val="left"/>
                    <w:textAlignment w:val="auto"/>
                    <w:rPr>
                      <w:rFonts w:hint="default" w:ascii="Times New Roman" w:hAnsi="Times New Roman" w:cs="Times New Roman"/>
                      <w:kern w:val="0"/>
                      <w:sz w:val="21"/>
                      <w:szCs w:val="18"/>
                      <w:lang w:val="zh-CN"/>
                    </w:rPr>
                  </w:pPr>
                  <w:r>
                    <w:rPr>
                      <w:rFonts w:hint="eastAsia" w:cs="Times New Roman"/>
                      <w:kern w:val="0"/>
                      <w:sz w:val="21"/>
                      <w:szCs w:val="18"/>
                      <w:highlight w:val="none"/>
                      <w:lang w:val="en-US" w:eastAsia="zh-CN"/>
                    </w:rPr>
                    <w:t>2.</w:t>
                  </w:r>
                  <w:r>
                    <w:rPr>
                      <w:rFonts w:hint="default" w:ascii="Times New Roman" w:hAnsi="Times New Roman" w:cs="Times New Roman"/>
                      <w:kern w:val="0"/>
                      <w:sz w:val="21"/>
                      <w:szCs w:val="18"/>
                      <w:highlight w:val="none"/>
                      <w:lang w:val="zh-CN"/>
                    </w:rPr>
                    <w:t>矿山开采、选矿、运</w:t>
                  </w:r>
                  <w:r>
                    <w:rPr>
                      <w:rFonts w:hint="default" w:ascii="Times New Roman" w:hAnsi="Times New Roman" w:cs="Times New Roman"/>
                      <w:kern w:val="0"/>
                      <w:sz w:val="21"/>
                      <w:szCs w:val="18"/>
                      <w:lang w:val="zh-CN"/>
                    </w:rPr>
                    <w:t>输过程中应采取相应的防尘措施，化学矿、有色金属矿石及产品堆场应采取“三防”措施。</w:t>
                  </w:r>
                </w:p>
                <w:p w14:paraId="6807E91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ind w:left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3.加强空气质量预测预报能力，完善联动应急响应体系，强化区域联防联控。</w:t>
                  </w:r>
                </w:p>
              </w:tc>
              <w:tc>
                <w:tcPr>
                  <w:tcW w:w="1272" w:type="pct"/>
                  <w:tcBorders>
                    <w:left w:val="single" w:color="auto" w:sz="4" w:space="0"/>
                    <w:right w:val="single" w:color="auto" w:sz="4" w:space="0"/>
                  </w:tcBorders>
                  <w:noWrap w:val="0"/>
                  <w:vAlign w:val="center"/>
                </w:tcPr>
                <w:p w14:paraId="55EFD36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eastAsia" w:cs="Times New Roman"/>
                      <w:color w:val="000000"/>
                      <w:kern w:val="0"/>
                      <w:sz w:val="21"/>
                      <w:szCs w:val="21"/>
                      <w:highlight w:val="none"/>
                      <w:lang w:eastAsia="zh-CN"/>
                    </w:rPr>
                  </w:pPr>
                  <w:r>
                    <w:rPr>
                      <w:rFonts w:hint="eastAsia" w:cs="Times New Roman"/>
                      <w:color w:val="000000"/>
                      <w:kern w:val="0"/>
                      <w:sz w:val="21"/>
                      <w:szCs w:val="21"/>
                      <w:highlight w:val="none"/>
                      <w:lang w:val="en-US" w:eastAsia="zh-CN"/>
                    </w:rPr>
                    <w:t>1.本项目原材料</w:t>
                  </w:r>
                  <w:r>
                    <w:rPr>
                      <w:rFonts w:hint="eastAsia" w:cs="Times New Roman"/>
                      <w:kern w:val="0"/>
                      <w:sz w:val="21"/>
                      <w:szCs w:val="18"/>
                      <w:highlight w:val="none"/>
                      <w:lang w:eastAsia="zh-CN"/>
                    </w:rPr>
                    <w:t>为</w:t>
                  </w:r>
                  <w:r>
                    <w:rPr>
                      <w:rFonts w:hint="eastAsia" w:ascii="Times New Roman" w:hAnsi="Times New Roman" w:cs="Times New Roman"/>
                      <w:kern w:val="0"/>
                      <w:sz w:val="21"/>
                      <w:szCs w:val="18"/>
                      <w:highlight w:val="none"/>
                      <w:lang w:val="en-US" w:eastAsia="zh-CN"/>
                    </w:rPr>
                    <w:t>BOPS片材</w:t>
                  </w:r>
                  <w:r>
                    <w:rPr>
                      <w:rFonts w:hint="eastAsia" w:cs="Times New Roman"/>
                      <w:kern w:val="0"/>
                      <w:sz w:val="21"/>
                      <w:szCs w:val="18"/>
                      <w:highlight w:val="none"/>
                      <w:lang w:val="en-US" w:eastAsia="zh-CN"/>
                    </w:rPr>
                    <w:t>，</w:t>
                  </w:r>
                  <w:r>
                    <w:rPr>
                      <w:rFonts w:hint="eastAsia" w:ascii="Times New Roman" w:hAnsi="Times New Roman" w:cs="Times New Roman"/>
                      <w:kern w:val="0"/>
                      <w:sz w:val="21"/>
                      <w:szCs w:val="18"/>
                      <w:highlight w:val="none"/>
                      <w:lang w:val="en-US" w:eastAsia="zh-CN"/>
                    </w:rPr>
                    <w:t>成型</w:t>
                  </w:r>
                  <w:r>
                    <w:rPr>
                      <w:rFonts w:hint="eastAsia" w:cs="Times New Roman"/>
                      <w:kern w:val="0"/>
                      <w:sz w:val="21"/>
                      <w:szCs w:val="18"/>
                      <w:highlight w:val="none"/>
                      <w:lang w:val="en-US" w:eastAsia="zh-CN"/>
                    </w:rPr>
                    <w:t>加热</w:t>
                  </w:r>
                  <w:r>
                    <w:rPr>
                      <w:rFonts w:hint="eastAsia" w:ascii="Times New Roman" w:hAnsi="Times New Roman" w:cs="Times New Roman"/>
                      <w:kern w:val="0"/>
                      <w:sz w:val="21"/>
                      <w:szCs w:val="18"/>
                      <w:highlight w:val="none"/>
                      <w:lang w:val="en-US" w:eastAsia="zh-CN"/>
                    </w:rPr>
                    <w:t>工序</w:t>
                  </w:r>
                  <w:r>
                    <w:rPr>
                      <w:rFonts w:hint="eastAsia" w:cs="Times New Roman"/>
                      <w:color w:val="000000"/>
                      <w:kern w:val="0"/>
                      <w:sz w:val="21"/>
                      <w:szCs w:val="21"/>
                      <w:highlight w:val="none"/>
                      <w:lang w:val="zh-CN"/>
                    </w:rPr>
                    <w:t>会产生有机废气，该生产工序在密闭</w:t>
                  </w:r>
                  <w:r>
                    <w:rPr>
                      <w:rFonts w:hint="default" w:ascii="Times New Roman" w:hAnsi="Times New Roman" w:cs="Times New Roman"/>
                      <w:color w:val="000000"/>
                      <w:kern w:val="0"/>
                      <w:sz w:val="21"/>
                      <w:szCs w:val="21"/>
                      <w:highlight w:val="none"/>
                      <w:lang w:val="zh-CN"/>
                    </w:rPr>
                    <w:t>车间</w:t>
                  </w:r>
                  <w:r>
                    <w:rPr>
                      <w:rFonts w:hint="eastAsia" w:cs="Times New Roman"/>
                      <w:color w:val="000000"/>
                      <w:kern w:val="0"/>
                      <w:sz w:val="21"/>
                      <w:szCs w:val="21"/>
                      <w:highlight w:val="none"/>
                      <w:lang w:val="zh-CN"/>
                    </w:rPr>
                    <w:t>内</w:t>
                  </w:r>
                  <w:r>
                    <w:rPr>
                      <w:rFonts w:hint="default" w:ascii="Times New Roman" w:hAnsi="Times New Roman" w:cs="Times New Roman"/>
                      <w:color w:val="000000"/>
                      <w:kern w:val="0"/>
                      <w:sz w:val="21"/>
                      <w:szCs w:val="21"/>
                      <w:highlight w:val="none"/>
                      <w:lang w:val="zh-CN"/>
                    </w:rPr>
                    <w:t>进行</w:t>
                  </w:r>
                  <w:r>
                    <w:rPr>
                      <w:rFonts w:hint="eastAsia" w:cs="Times New Roman"/>
                      <w:color w:val="000000"/>
                      <w:kern w:val="0"/>
                      <w:sz w:val="21"/>
                      <w:szCs w:val="21"/>
                      <w:highlight w:val="none"/>
                      <w:lang w:val="zh-CN"/>
                    </w:rPr>
                    <w:t>，且评价要求对成型机进行二次封闭再加装</w:t>
                  </w:r>
                  <w:r>
                    <w:rPr>
                      <w:rFonts w:hint="eastAsia" w:cs="Times New Roman"/>
                      <w:color w:val="000000"/>
                      <w:kern w:val="0"/>
                      <w:sz w:val="21"/>
                      <w:szCs w:val="21"/>
                      <w:highlight w:val="none"/>
                      <w:lang w:val="en-US" w:eastAsia="zh-CN"/>
                    </w:rPr>
                    <w:t>集气罩</w:t>
                  </w:r>
                  <w:r>
                    <w:rPr>
                      <w:rFonts w:hint="eastAsia" w:cs="Times New Roman"/>
                      <w:color w:val="000000"/>
                      <w:kern w:val="0"/>
                      <w:sz w:val="21"/>
                      <w:szCs w:val="21"/>
                      <w:highlight w:val="none"/>
                      <w:lang w:eastAsia="zh-CN"/>
                    </w:rPr>
                    <w:t>。</w:t>
                  </w:r>
                </w:p>
                <w:p w14:paraId="49DD149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cs="Times New Roman"/>
                      <w:color w:val="000000"/>
                      <w:kern w:val="0"/>
                      <w:sz w:val="21"/>
                      <w:szCs w:val="21"/>
                      <w:highlight w:val="none"/>
                      <w:lang w:val="en-US" w:eastAsia="zh-CN"/>
                    </w:rPr>
                  </w:pPr>
                  <w:r>
                    <w:rPr>
                      <w:rFonts w:hint="eastAsia" w:cs="Times New Roman"/>
                      <w:color w:val="000000"/>
                      <w:kern w:val="0"/>
                      <w:sz w:val="21"/>
                      <w:szCs w:val="21"/>
                      <w:highlight w:val="none"/>
                      <w:lang w:val="en-US" w:eastAsia="zh-CN"/>
                    </w:rPr>
                    <w:t>2.本项目不涉及。</w:t>
                  </w:r>
                </w:p>
                <w:p w14:paraId="07062ABD">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left"/>
                    <w:textAlignment w:val="auto"/>
                    <w:rPr>
                      <w:rFonts w:hint="default" w:ascii="Times New Roman" w:hAnsi="Times New Roman" w:cs="Times New Roman"/>
                      <w:kern w:val="0"/>
                      <w:sz w:val="21"/>
                      <w:szCs w:val="18"/>
                    </w:rPr>
                  </w:pPr>
                  <w:r>
                    <w:rPr>
                      <w:rFonts w:hint="eastAsia" w:cs="Times New Roman"/>
                      <w:color w:val="000000"/>
                      <w:kern w:val="0"/>
                      <w:sz w:val="21"/>
                      <w:szCs w:val="21"/>
                      <w:highlight w:val="none"/>
                      <w:lang w:val="en-US" w:eastAsia="zh-CN"/>
                    </w:rPr>
                    <w:t>3.本项目</w:t>
                  </w:r>
                  <w:r>
                    <w:rPr>
                      <w:rFonts w:ascii="Times New Roman" w:hAnsi="Times New Roman" w:eastAsia="宋体" w:cs="宋体"/>
                      <w:kern w:val="0"/>
                      <w:sz w:val="21"/>
                      <w:szCs w:val="21"/>
                      <w:lang w:val="zh-CN" w:bidi="zh-CN"/>
                    </w:rPr>
                    <w:t>环境风险潜势</w:t>
                  </w:r>
                  <w:r>
                    <w:rPr>
                      <w:rFonts w:hint="eastAsia" w:ascii="Times New Roman" w:hAnsi="Times New Roman" w:eastAsia="宋体" w:cs="宋体"/>
                      <w:kern w:val="0"/>
                      <w:sz w:val="21"/>
                      <w:szCs w:val="21"/>
                      <w:lang w:val="zh-CN" w:bidi="zh-CN"/>
                    </w:rPr>
                    <w:t>为I</w:t>
                  </w:r>
                  <w:r>
                    <w:rPr>
                      <w:rFonts w:hint="eastAsia" w:cs="Times New Roman"/>
                      <w:color w:val="000000"/>
                      <w:kern w:val="0"/>
                      <w:sz w:val="21"/>
                      <w:szCs w:val="21"/>
                      <w:highlight w:val="none"/>
                      <w:lang w:val="en-US" w:eastAsia="zh-CN"/>
                    </w:rPr>
                    <w:t>，采取评价要求风险防范措施后，</w:t>
                  </w:r>
                  <w:r>
                    <w:rPr>
                      <w:rFonts w:hint="default" w:ascii="Times New Roman" w:hAnsi="Times New Roman" w:cs="Times New Roman"/>
                      <w:color w:val="000000"/>
                      <w:kern w:val="0"/>
                      <w:sz w:val="21"/>
                      <w:szCs w:val="21"/>
                      <w:highlight w:val="none"/>
                    </w:rPr>
                    <w:t>环境风险可控。</w:t>
                  </w:r>
                </w:p>
              </w:tc>
              <w:tc>
                <w:tcPr>
                  <w:tcW w:w="441" w:type="pct"/>
                  <w:tcBorders>
                    <w:left w:val="single" w:color="auto" w:sz="4" w:space="0"/>
                    <w:right w:val="single" w:color="auto" w:sz="4" w:space="0"/>
                  </w:tcBorders>
                  <w:noWrap w:val="0"/>
                  <w:vAlign w:val="center"/>
                </w:tcPr>
                <w:p w14:paraId="2371B66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693FD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pct"/>
                  <w:vMerge w:val="continue"/>
                  <w:tcBorders>
                    <w:left w:val="single" w:color="auto" w:sz="4" w:space="0"/>
                    <w:bottom w:val="single" w:color="auto" w:sz="4" w:space="0"/>
                    <w:right w:val="single" w:color="auto" w:sz="4" w:space="0"/>
                  </w:tcBorders>
                  <w:noWrap w:val="0"/>
                  <w:vAlign w:val="center"/>
                </w:tcPr>
                <w:p w14:paraId="3BC777A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09" w:type="pct"/>
                  <w:tcBorders>
                    <w:top w:val="single" w:color="auto" w:sz="4" w:space="0"/>
                    <w:left w:val="single" w:color="auto" w:sz="4" w:space="0"/>
                    <w:bottom w:val="single" w:color="auto" w:sz="4" w:space="0"/>
                    <w:right w:val="single" w:color="auto" w:sz="4" w:space="0"/>
                  </w:tcBorders>
                  <w:noWrap w:val="0"/>
                  <w:vAlign w:val="center"/>
                </w:tcPr>
                <w:p w14:paraId="3869828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资源利用效率要求</w:t>
                  </w:r>
                </w:p>
              </w:tc>
              <w:tc>
                <w:tcPr>
                  <w:tcW w:w="2141" w:type="pct"/>
                  <w:tcBorders>
                    <w:top w:val="single" w:color="auto" w:sz="4" w:space="0"/>
                    <w:left w:val="single" w:color="auto" w:sz="4" w:space="0"/>
                    <w:bottom w:val="single" w:color="auto" w:sz="4" w:space="0"/>
                    <w:right w:val="single" w:color="auto" w:sz="4" w:space="0"/>
                  </w:tcBorders>
                  <w:noWrap w:val="0"/>
                  <w:vAlign w:val="center"/>
                </w:tcPr>
                <w:p w14:paraId="2DA0352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1"/>
                      <w:szCs w:val="18"/>
                      <w:lang w:val="zh-CN"/>
                    </w:rPr>
                  </w:pPr>
                  <w:r>
                    <w:rPr>
                      <w:rFonts w:hint="eastAsia" w:cs="Times New Roman"/>
                      <w:kern w:val="0"/>
                      <w:sz w:val="21"/>
                      <w:szCs w:val="18"/>
                      <w:lang w:val="en-US" w:eastAsia="zh-CN"/>
                    </w:rPr>
                    <w:t>1.</w:t>
                  </w:r>
                  <w:r>
                    <w:rPr>
                      <w:rFonts w:hint="default" w:ascii="Times New Roman" w:hAnsi="Times New Roman" w:cs="Times New Roman"/>
                      <w:kern w:val="0"/>
                      <w:sz w:val="21"/>
                      <w:szCs w:val="18"/>
                      <w:lang w:val="zh-CN"/>
                    </w:rPr>
                    <w:t>严格合理控制煤炭消费，“十四五”期间完成省定煤炭消费总量控制目标。</w:t>
                  </w:r>
                </w:p>
                <w:p w14:paraId="69888BD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2.到2025年，吨钢综合能耗达到国内先进水平。</w:t>
                  </w:r>
                </w:p>
                <w:p w14:paraId="2846299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3</w:t>
                  </w:r>
                  <w:r>
                    <w:rPr>
                      <w:rFonts w:hint="default" w:ascii="Times New Roman" w:hAnsi="Times New Roman" w:cs="Times New Roman"/>
                      <w:kern w:val="0"/>
                      <w:sz w:val="21"/>
                      <w:szCs w:val="18"/>
                    </w:rPr>
                    <w:t>.</w:t>
                  </w:r>
                  <w:r>
                    <w:rPr>
                      <w:rFonts w:hint="default" w:ascii="Times New Roman" w:hAnsi="Times New Roman" w:cs="Times New Roman"/>
                      <w:kern w:val="0"/>
                      <w:sz w:val="21"/>
                      <w:szCs w:val="18"/>
                      <w:lang w:val="zh-CN"/>
                    </w:rPr>
                    <w:t>到2025年，钢铁、石化化工、有色金属、建材等行业重点产品能效达到国际先进水平，规模以上工业单位增加值能耗比2020年下降13.5%。</w:t>
                  </w:r>
                </w:p>
              </w:tc>
              <w:tc>
                <w:tcPr>
                  <w:tcW w:w="1272" w:type="pct"/>
                  <w:tcBorders>
                    <w:left w:val="single" w:color="auto" w:sz="4" w:space="0"/>
                    <w:bottom w:val="single" w:color="auto" w:sz="4" w:space="0"/>
                    <w:right w:val="single" w:color="auto" w:sz="4" w:space="0"/>
                  </w:tcBorders>
                  <w:noWrap w:val="0"/>
                  <w:vAlign w:val="center"/>
                </w:tcPr>
                <w:p w14:paraId="1C898986">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jc w:val="left"/>
                    <w:textAlignment w:val="auto"/>
                    <w:rPr>
                      <w:rFonts w:hint="default" w:ascii="Times New Roman" w:hAnsi="Times New Roman" w:cs="Times New Roman"/>
                      <w:color w:val="000000"/>
                      <w:kern w:val="0"/>
                      <w:sz w:val="21"/>
                      <w:szCs w:val="21"/>
                      <w:highlight w:val="none"/>
                    </w:rPr>
                  </w:pPr>
                  <w:r>
                    <w:rPr>
                      <w:rFonts w:hint="eastAsia" w:cs="Times New Roman"/>
                      <w:color w:val="000000"/>
                      <w:kern w:val="0"/>
                      <w:sz w:val="21"/>
                      <w:szCs w:val="21"/>
                      <w:highlight w:val="none"/>
                      <w:lang w:val="en-US" w:eastAsia="zh-CN"/>
                    </w:rPr>
                    <w:t>1.</w:t>
                  </w:r>
                  <w:r>
                    <w:rPr>
                      <w:rFonts w:hint="default" w:ascii="Times New Roman" w:hAnsi="Times New Roman" w:cs="Times New Roman"/>
                      <w:color w:val="000000"/>
                      <w:kern w:val="0"/>
                      <w:sz w:val="21"/>
                      <w:szCs w:val="21"/>
                      <w:highlight w:val="none"/>
                      <w:lang w:val="zh-CN"/>
                    </w:rPr>
                    <w:t>本项目能源使用水、电，不</w:t>
                  </w:r>
                  <w:r>
                    <w:rPr>
                      <w:rFonts w:hint="eastAsia" w:cs="Times New Roman"/>
                      <w:color w:val="000000"/>
                      <w:kern w:val="0"/>
                      <w:sz w:val="21"/>
                      <w:szCs w:val="21"/>
                      <w:highlight w:val="none"/>
                      <w:lang w:val="zh-CN"/>
                    </w:rPr>
                    <w:t>涉及</w:t>
                  </w:r>
                  <w:r>
                    <w:rPr>
                      <w:rFonts w:hint="default" w:ascii="Times New Roman" w:hAnsi="Times New Roman" w:cs="Times New Roman"/>
                      <w:color w:val="000000"/>
                      <w:kern w:val="0"/>
                      <w:sz w:val="21"/>
                      <w:szCs w:val="21"/>
                      <w:highlight w:val="none"/>
                      <w:lang w:val="zh-CN"/>
                    </w:rPr>
                    <w:t>煤炭</w:t>
                  </w:r>
                  <w:r>
                    <w:rPr>
                      <w:rFonts w:hint="eastAsia" w:cs="Times New Roman"/>
                      <w:color w:val="000000"/>
                      <w:kern w:val="0"/>
                      <w:sz w:val="21"/>
                      <w:szCs w:val="21"/>
                      <w:highlight w:val="none"/>
                      <w:lang w:val="zh-CN"/>
                    </w:rPr>
                    <w:t>使用</w:t>
                  </w:r>
                  <w:r>
                    <w:rPr>
                      <w:rFonts w:hint="default" w:ascii="Times New Roman" w:hAnsi="Times New Roman" w:cs="Times New Roman"/>
                      <w:color w:val="000000"/>
                      <w:kern w:val="0"/>
                      <w:sz w:val="21"/>
                      <w:szCs w:val="21"/>
                      <w:highlight w:val="none"/>
                    </w:rPr>
                    <w:t>。</w:t>
                  </w:r>
                </w:p>
                <w:p w14:paraId="3E9E0C35">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exact"/>
                    <w:jc w:val="left"/>
                    <w:textAlignment w:val="auto"/>
                    <w:rPr>
                      <w:rFonts w:hint="default" w:cs="Times New Roman"/>
                      <w:color w:val="000000"/>
                      <w:kern w:val="0"/>
                      <w:sz w:val="21"/>
                      <w:szCs w:val="21"/>
                      <w:highlight w:val="none"/>
                      <w:lang w:val="en-US" w:eastAsia="zh-CN"/>
                    </w:rPr>
                  </w:pPr>
                  <w:r>
                    <w:rPr>
                      <w:rFonts w:hint="eastAsia" w:cs="Times New Roman"/>
                      <w:color w:val="000000"/>
                      <w:kern w:val="0"/>
                      <w:sz w:val="21"/>
                      <w:szCs w:val="21"/>
                      <w:highlight w:val="none"/>
                      <w:lang w:val="en-US" w:eastAsia="zh-CN"/>
                    </w:rPr>
                    <w:t>2.本项目不涉及。</w:t>
                  </w:r>
                </w:p>
                <w:p w14:paraId="77842D5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eastAsia" w:cs="Times New Roman"/>
                      <w:color w:val="000000"/>
                      <w:kern w:val="0"/>
                      <w:sz w:val="21"/>
                      <w:szCs w:val="21"/>
                      <w:highlight w:val="none"/>
                      <w:lang w:val="en-US" w:eastAsia="zh-CN"/>
                    </w:rPr>
                    <w:t>3.</w:t>
                  </w:r>
                  <w:r>
                    <w:rPr>
                      <w:rFonts w:hint="default" w:ascii="Times New Roman" w:hAnsi="Times New Roman" w:cs="Times New Roman"/>
                      <w:color w:val="000000"/>
                      <w:kern w:val="0"/>
                      <w:sz w:val="21"/>
                      <w:szCs w:val="21"/>
                      <w:highlight w:val="none"/>
                      <w:lang w:eastAsia="zh-CN"/>
                    </w:rPr>
                    <w:t>本</w:t>
                  </w:r>
                  <w:r>
                    <w:rPr>
                      <w:rFonts w:hint="default" w:ascii="Times New Roman" w:hAnsi="Times New Roman" w:cs="Times New Roman"/>
                      <w:b w:val="0"/>
                      <w:bCs w:val="0"/>
                      <w:color w:val="000000"/>
                      <w:kern w:val="0"/>
                      <w:sz w:val="21"/>
                      <w:szCs w:val="21"/>
                      <w:highlight w:val="none"/>
                      <w:lang w:eastAsia="zh-CN"/>
                    </w:rPr>
                    <w:t>项目</w:t>
                  </w:r>
                  <w:r>
                    <w:rPr>
                      <w:rFonts w:hint="eastAsia" w:cs="Times New Roman"/>
                      <w:b w:val="0"/>
                      <w:bCs w:val="0"/>
                      <w:color w:val="000000"/>
                      <w:kern w:val="0"/>
                      <w:sz w:val="21"/>
                      <w:szCs w:val="21"/>
                      <w:highlight w:val="none"/>
                      <w:lang w:eastAsia="zh-CN"/>
                    </w:rPr>
                    <w:t>不涉及</w:t>
                  </w:r>
                  <w:r>
                    <w:rPr>
                      <w:rFonts w:hint="default" w:ascii="Times New Roman" w:hAnsi="Times New Roman" w:cs="Times New Roman"/>
                      <w:kern w:val="0"/>
                      <w:sz w:val="21"/>
                      <w:szCs w:val="18"/>
                    </w:rPr>
                    <w:t>。</w:t>
                  </w:r>
                </w:p>
              </w:tc>
              <w:tc>
                <w:tcPr>
                  <w:tcW w:w="441" w:type="pct"/>
                  <w:tcBorders>
                    <w:left w:val="single" w:color="auto" w:sz="4" w:space="0"/>
                    <w:bottom w:val="single" w:color="auto" w:sz="4" w:space="0"/>
                    <w:right w:val="single" w:color="auto" w:sz="4" w:space="0"/>
                  </w:tcBorders>
                  <w:noWrap w:val="0"/>
                  <w:vAlign w:val="center"/>
                </w:tcPr>
                <w:p w14:paraId="7B0B075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相符</w:t>
                  </w:r>
                </w:p>
              </w:tc>
            </w:tr>
          </w:tbl>
          <w:p w14:paraId="5D9C025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表1-</w:t>
            </w:r>
            <w:r>
              <w:rPr>
                <w:rFonts w:hint="default" w:ascii="Times New Roman" w:hAnsi="Times New Roman" w:cs="Times New Roman"/>
                <w:b/>
                <w:bCs/>
                <w:lang w:val="en-US" w:eastAsia="zh-CN"/>
              </w:rPr>
              <w:t>6</w:t>
            </w:r>
            <w:r>
              <w:rPr>
                <w:rFonts w:hint="default" w:ascii="Times New Roman" w:hAnsi="Times New Roman" w:cs="Times New Roman"/>
                <w:b/>
                <w:bCs/>
              </w:rPr>
              <w:t xml:space="preserve">  </w:t>
            </w:r>
            <w:r>
              <w:rPr>
                <w:rFonts w:hint="default" w:ascii="Times New Roman" w:hAnsi="Times New Roman" w:cs="Times New Roman"/>
                <w:b/>
                <w:bCs/>
                <w:lang w:val="en-US" w:eastAsia="zh-CN"/>
              </w:rPr>
              <w:t xml:space="preserve"> </w:t>
            </w:r>
            <w:r>
              <w:rPr>
                <w:rFonts w:hint="default" w:ascii="Times New Roman" w:hAnsi="Times New Roman" w:cs="Times New Roman"/>
                <w:b/>
                <w:bCs/>
              </w:rPr>
              <w:t>本项目与省辖海河流域生态环境管控要求相符性分析</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765"/>
              <w:gridCol w:w="3596"/>
              <w:gridCol w:w="2824"/>
              <w:gridCol w:w="767"/>
            </w:tblGrid>
            <w:tr w14:paraId="471AB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tcBorders>
                    <w:top w:val="single" w:color="auto" w:sz="4" w:space="0"/>
                    <w:left w:val="single" w:color="auto" w:sz="4" w:space="0"/>
                    <w:bottom w:val="single" w:color="auto" w:sz="4" w:space="0"/>
                    <w:right w:val="single" w:color="auto" w:sz="4" w:space="0"/>
                  </w:tcBorders>
                  <w:noWrap w:val="0"/>
                  <w:vAlign w:val="center"/>
                </w:tcPr>
                <w:p w14:paraId="480373F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rPr>
                    <w:t>区域</w:t>
                  </w:r>
                </w:p>
              </w:tc>
              <w:tc>
                <w:tcPr>
                  <w:tcW w:w="439" w:type="pct"/>
                  <w:tcBorders>
                    <w:top w:val="single" w:color="auto" w:sz="4" w:space="0"/>
                    <w:left w:val="single" w:color="auto" w:sz="4" w:space="0"/>
                    <w:bottom w:val="single" w:color="auto" w:sz="4" w:space="0"/>
                    <w:right w:val="single" w:color="auto" w:sz="4" w:space="0"/>
                  </w:tcBorders>
                  <w:noWrap w:val="0"/>
                  <w:vAlign w:val="center"/>
                </w:tcPr>
                <w:p w14:paraId="7E8B322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lang w:val="zh-CN"/>
                    </w:rPr>
                    <w:t>管控</w:t>
                  </w:r>
                  <w:r>
                    <w:rPr>
                      <w:rFonts w:hint="default" w:ascii="Times New Roman" w:hAnsi="Times New Roman" w:cs="Times New Roman"/>
                      <w:b w:val="0"/>
                      <w:bCs w:val="0"/>
                      <w:kern w:val="0"/>
                      <w:sz w:val="21"/>
                      <w:szCs w:val="18"/>
                    </w:rPr>
                    <w:t>类别</w:t>
                  </w:r>
                </w:p>
              </w:tc>
              <w:tc>
                <w:tcPr>
                  <w:tcW w:w="2064" w:type="pct"/>
                  <w:tcBorders>
                    <w:top w:val="single" w:color="auto" w:sz="4" w:space="0"/>
                    <w:left w:val="single" w:color="auto" w:sz="4" w:space="0"/>
                    <w:bottom w:val="single" w:color="auto" w:sz="4" w:space="0"/>
                    <w:right w:val="single" w:color="auto" w:sz="4" w:space="0"/>
                  </w:tcBorders>
                  <w:noWrap w:val="0"/>
                  <w:vAlign w:val="center"/>
                </w:tcPr>
                <w:p w14:paraId="63AFA3E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管控要求</w:t>
                  </w:r>
                </w:p>
              </w:tc>
              <w:tc>
                <w:tcPr>
                  <w:tcW w:w="1620" w:type="pct"/>
                  <w:tcBorders>
                    <w:top w:val="single" w:color="auto" w:sz="4" w:space="0"/>
                    <w:left w:val="single" w:color="auto" w:sz="4" w:space="0"/>
                    <w:bottom w:val="single" w:color="auto" w:sz="4" w:space="0"/>
                    <w:right w:val="single" w:color="auto" w:sz="4" w:space="0"/>
                  </w:tcBorders>
                  <w:noWrap w:val="0"/>
                  <w:vAlign w:val="center"/>
                </w:tcPr>
                <w:p w14:paraId="64C43C2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相符性分析</w:t>
                  </w:r>
                </w:p>
              </w:tc>
              <w:tc>
                <w:tcPr>
                  <w:tcW w:w="440" w:type="pct"/>
                  <w:tcBorders>
                    <w:top w:val="single" w:color="auto" w:sz="4" w:space="0"/>
                    <w:left w:val="single" w:color="auto" w:sz="4" w:space="0"/>
                    <w:bottom w:val="single" w:color="auto" w:sz="4" w:space="0"/>
                    <w:right w:val="single" w:color="auto" w:sz="4" w:space="0"/>
                  </w:tcBorders>
                  <w:noWrap w:val="0"/>
                  <w:vAlign w:val="center"/>
                </w:tcPr>
                <w:p w14:paraId="5FE0133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相符性</w:t>
                  </w:r>
                </w:p>
              </w:tc>
            </w:tr>
            <w:tr w14:paraId="7500A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restart"/>
                  <w:tcBorders>
                    <w:top w:val="single" w:color="auto" w:sz="4" w:space="0"/>
                    <w:left w:val="single" w:color="auto" w:sz="4" w:space="0"/>
                    <w:right w:val="single" w:color="auto" w:sz="4" w:space="0"/>
                  </w:tcBorders>
                  <w:noWrap w:val="0"/>
                  <w:vAlign w:val="center"/>
                </w:tcPr>
                <w:p w14:paraId="72117DF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省辖海河流域</w:t>
                  </w:r>
                </w:p>
              </w:tc>
              <w:tc>
                <w:tcPr>
                  <w:tcW w:w="439" w:type="pct"/>
                  <w:tcBorders>
                    <w:top w:val="single" w:color="auto" w:sz="4" w:space="0"/>
                    <w:left w:val="single" w:color="auto" w:sz="4" w:space="0"/>
                    <w:bottom w:val="single" w:color="auto" w:sz="4" w:space="0"/>
                    <w:right w:val="single" w:color="auto" w:sz="4" w:space="0"/>
                  </w:tcBorders>
                  <w:noWrap w:val="0"/>
                  <w:vAlign w:val="center"/>
                </w:tcPr>
                <w:p w14:paraId="7431EBC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空间布局约束</w:t>
                  </w:r>
                </w:p>
              </w:tc>
              <w:tc>
                <w:tcPr>
                  <w:tcW w:w="2064" w:type="pct"/>
                  <w:tcBorders>
                    <w:top w:val="single" w:color="auto" w:sz="4" w:space="0"/>
                    <w:left w:val="single" w:color="auto" w:sz="4" w:space="0"/>
                    <w:bottom w:val="single" w:color="auto" w:sz="4" w:space="0"/>
                    <w:right w:val="single" w:color="auto" w:sz="4" w:space="0"/>
                  </w:tcBorders>
                  <w:noWrap w:val="0"/>
                  <w:vAlign w:val="center"/>
                </w:tcPr>
                <w:p w14:paraId="7144CAE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1.严格限制造纸、印染等高耗水、重污染产业发展。</w:t>
                  </w:r>
                </w:p>
                <w:p w14:paraId="4219250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2.严格落实南水北调干渠水源地保护的有关规定，避免水体受到污染。</w:t>
                  </w:r>
                </w:p>
              </w:tc>
              <w:tc>
                <w:tcPr>
                  <w:tcW w:w="1620" w:type="pct"/>
                  <w:tcBorders>
                    <w:top w:val="single" w:color="auto" w:sz="4" w:space="0"/>
                    <w:left w:val="single" w:color="auto" w:sz="4" w:space="0"/>
                    <w:right w:val="single" w:color="auto" w:sz="4" w:space="0"/>
                  </w:tcBorders>
                  <w:noWrap w:val="0"/>
                  <w:vAlign w:val="center"/>
                </w:tcPr>
                <w:p w14:paraId="79675FC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w:t>
                  </w:r>
                  <w:r>
                    <w:rPr>
                      <w:rFonts w:hint="default" w:ascii="Times New Roman" w:hAnsi="Times New Roman" w:cs="Times New Roman"/>
                      <w:kern w:val="0"/>
                      <w:sz w:val="21"/>
                      <w:szCs w:val="21"/>
                      <w:highlight w:val="none"/>
                      <w:lang w:val="zh-CN"/>
                    </w:rPr>
                    <w:t>本项目属于</w:t>
                  </w:r>
                  <w:r>
                    <w:rPr>
                      <w:rFonts w:hint="eastAsia" w:cs="Times New Roman"/>
                      <w:sz w:val="21"/>
                      <w:szCs w:val="21"/>
                      <w:highlight w:val="none"/>
                      <w:lang w:val="en-US" w:eastAsia="zh-CN"/>
                    </w:rPr>
                    <w:t>日用塑料制品制造</w:t>
                  </w:r>
                  <w:r>
                    <w:rPr>
                      <w:rFonts w:hint="default" w:ascii="Times New Roman" w:hAnsi="Times New Roman" w:cs="Times New Roman"/>
                      <w:kern w:val="0"/>
                      <w:sz w:val="21"/>
                      <w:szCs w:val="18"/>
                      <w:highlight w:val="none"/>
                    </w:rPr>
                    <w:t>，</w:t>
                  </w:r>
                  <w:r>
                    <w:rPr>
                      <w:rFonts w:hint="default" w:ascii="Times New Roman" w:hAnsi="Times New Roman" w:cs="Times New Roman"/>
                      <w:kern w:val="0"/>
                      <w:sz w:val="21"/>
                      <w:szCs w:val="21"/>
                      <w:highlight w:val="none"/>
                      <w:lang w:val="zh-CN"/>
                    </w:rPr>
                    <w:t>不属于造纸、印染等髙耗水、重污染产业。</w:t>
                  </w:r>
                </w:p>
                <w:p w14:paraId="40B1A98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21"/>
                      <w:highlight w:val="none"/>
                    </w:rPr>
                    <w:t>2、项目</w:t>
                  </w:r>
                  <w:r>
                    <w:rPr>
                      <w:rFonts w:hint="default" w:ascii="Times New Roman" w:hAnsi="Times New Roman" w:cs="Times New Roman"/>
                      <w:kern w:val="0"/>
                      <w:sz w:val="21"/>
                      <w:szCs w:val="18"/>
                      <w:highlight w:val="none"/>
                    </w:rPr>
                    <w:t>位于焦作市武陟</w:t>
                  </w:r>
                  <w:r>
                    <w:rPr>
                      <w:rFonts w:hint="eastAsia" w:cs="Times New Roman"/>
                      <w:kern w:val="0"/>
                      <w:sz w:val="21"/>
                      <w:szCs w:val="18"/>
                      <w:highlight w:val="none"/>
                      <w:lang w:eastAsia="zh-CN"/>
                    </w:rPr>
                    <w:t>县</w:t>
                  </w:r>
                  <w:r>
                    <w:rPr>
                      <w:rFonts w:hint="default" w:ascii="Times New Roman" w:hAnsi="Times New Roman" w:cs="Times New Roman"/>
                      <w:kern w:val="0"/>
                      <w:sz w:val="21"/>
                      <w:szCs w:val="18"/>
                      <w:highlight w:val="none"/>
                    </w:rPr>
                    <w:t>经开区东部园区昌武路与鸿源路交叉口路西200米路南01号</w:t>
                  </w:r>
                  <w:r>
                    <w:rPr>
                      <w:rFonts w:hint="default" w:ascii="Times New Roman" w:hAnsi="Times New Roman" w:cs="Times New Roman"/>
                      <w:kern w:val="0"/>
                      <w:sz w:val="21"/>
                      <w:szCs w:val="21"/>
                      <w:highlight w:val="none"/>
                    </w:rPr>
                    <w:t>，</w:t>
                  </w:r>
                  <w:r>
                    <w:rPr>
                      <w:rFonts w:hint="default" w:ascii="Times New Roman" w:hAnsi="Times New Roman" w:eastAsia="宋体" w:cs="Times New Roman"/>
                      <w:b w:val="0"/>
                      <w:bCs w:val="0"/>
                      <w:color w:val="auto"/>
                      <w:kern w:val="0"/>
                      <w:sz w:val="21"/>
                      <w:szCs w:val="18"/>
                      <w:highlight w:val="none"/>
                      <w:u w:val="none"/>
                      <w:lang w:val="zh-CN" w:eastAsia="zh-CN" w:bidi="ar-SA"/>
                    </w:rPr>
                    <w:t>不在其</w:t>
                  </w:r>
                  <w:r>
                    <w:rPr>
                      <w:rFonts w:hint="eastAsia" w:cs="Times New Roman"/>
                      <w:b w:val="0"/>
                      <w:bCs w:val="0"/>
                      <w:color w:val="auto"/>
                      <w:kern w:val="0"/>
                      <w:sz w:val="21"/>
                      <w:szCs w:val="18"/>
                      <w:highlight w:val="none"/>
                      <w:u w:val="none"/>
                      <w:lang w:val="zh-CN" w:eastAsia="zh-CN" w:bidi="ar-SA"/>
                    </w:rPr>
                    <w:t>南水北调干渠水源地</w:t>
                  </w:r>
                  <w:r>
                    <w:rPr>
                      <w:rFonts w:hint="default" w:ascii="Times New Roman" w:hAnsi="Times New Roman" w:eastAsia="宋体" w:cs="Times New Roman"/>
                      <w:b w:val="0"/>
                      <w:bCs w:val="0"/>
                      <w:color w:val="auto"/>
                      <w:kern w:val="0"/>
                      <w:sz w:val="21"/>
                      <w:szCs w:val="18"/>
                      <w:highlight w:val="none"/>
                      <w:u w:val="none"/>
                      <w:lang w:val="zh-CN" w:eastAsia="zh-CN" w:bidi="ar-SA"/>
                    </w:rPr>
                    <w:t>保护</w:t>
                  </w:r>
                  <w:r>
                    <w:rPr>
                      <w:rFonts w:hint="default" w:ascii="Times New Roman" w:hAnsi="Times New Roman" w:eastAsia="宋体" w:cs="Times New Roman"/>
                      <w:b w:val="0"/>
                      <w:bCs w:val="0"/>
                      <w:color w:val="auto"/>
                      <w:kern w:val="0"/>
                      <w:sz w:val="21"/>
                      <w:szCs w:val="21"/>
                      <w:highlight w:val="none"/>
                      <w:u w:val="none"/>
                      <w:lang w:val="zh-CN" w:eastAsia="zh-CN" w:bidi="ar-SA"/>
                    </w:rPr>
                    <w:t>区域范围内</w:t>
                  </w:r>
                  <w:r>
                    <w:rPr>
                      <w:rFonts w:hint="default" w:ascii="Times New Roman" w:hAnsi="Times New Roman" w:eastAsia="宋体" w:cs="Times New Roman"/>
                      <w:b w:val="0"/>
                      <w:bCs w:val="0"/>
                      <w:color w:val="auto"/>
                      <w:kern w:val="0"/>
                      <w:sz w:val="21"/>
                      <w:szCs w:val="18"/>
                      <w:highlight w:val="none"/>
                      <w:u w:val="none"/>
                      <w:lang w:val="en-US" w:eastAsia="zh-CN" w:bidi="ar-SA"/>
                    </w:rPr>
                    <w:t>。</w:t>
                  </w:r>
                </w:p>
              </w:tc>
              <w:tc>
                <w:tcPr>
                  <w:tcW w:w="440" w:type="pct"/>
                  <w:tcBorders>
                    <w:top w:val="single" w:color="auto" w:sz="4" w:space="0"/>
                    <w:left w:val="single" w:color="auto" w:sz="4" w:space="0"/>
                    <w:right w:val="single" w:color="auto" w:sz="4" w:space="0"/>
                  </w:tcBorders>
                  <w:noWrap w:val="0"/>
                  <w:vAlign w:val="center"/>
                </w:tcPr>
                <w:p w14:paraId="1C5AAD8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38755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tcBorders>
                    <w:left w:val="single" w:color="auto" w:sz="4" w:space="0"/>
                    <w:right w:val="single" w:color="auto" w:sz="4" w:space="0"/>
                  </w:tcBorders>
                  <w:noWrap w:val="0"/>
                  <w:vAlign w:val="center"/>
                </w:tcPr>
                <w:p w14:paraId="0AC7D04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39" w:type="pct"/>
                  <w:tcBorders>
                    <w:top w:val="single" w:color="auto" w:sz="4" w:space="0"/>
                    <w:left w:val="single" w:color="auto" w:sz="4" w:space="0"/>
                    <w:bottom w:val="single" w:color="auto" w:sz="4" w:space="0"/>
                    <w:right w:val="single" w:color="auto" w:sz="4" w:space="0"/>
                  </w:tcBorders>
                  <w:noWrap w:val="0"/>
                  <w:vAlign w:val="center"/>
                </w:tcPr>
                <w:p w14:paraId="13558BC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污染物排放管控</w:t>
                  </w:r>
                </w:p>
              </w:tc>
              <w:tc>
                <w:tcPr>
                  <w:tcW w:w="2064" w:type="pct"/>
                  <w:tcBorders>
                    <w:top w:val="single" w:color="auto" w:sz="4" w:space="0"/>
                    <w:left w:val="single" w:color="auto" w:sz="4" w:space="0"/>
                    <w:bottom w:val="single" w:color="auto" w:sz="4" w:space="0"/>
                    <w:right w:val="single" w:color="auto" w:sz="4" w:space="0"/>
                  </w:tcBorders>
                  <w:noWrap w:val="0"/>
                  <w:vAlign w:val="center"/>
                </w:tcPr>
                <w:p w14:paraId="0EFA579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加快补齐城镇污水处理短板，推进污水处理设施及配套管网建设，实施雨污分流系统改造，尽快实现管网全覆盖。</w:t>
                  </w:r>
                </w:p>
              </w:tc>
              <w:tc>
                <w:tcPr>
                  <w:tcW w:w="1620" w:type="pct"/>
                  <w:tcBorders>
                    <w:left w:val="single" w:color="auto" w:sz="4" w:space="0"/>
                    <w:right w:val="single" w:color="auto" w:sz="4" w:space="0"/>
                  </w:tcBorders>
                  <w:noWrap w:val="0"/>
                  <w:vAlign w:val="center"/>
                </w:tcPr>
                <w:p w14:paraId="2CB560A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default" w:ascii="Times New Roman" w:hAnsi="Times New Roman" w:eastAsia="宋体" w:cs="Times New Roman"/>
                      <w:color w:val="auto"/>
                      <w:kern w:val="0"/>
                      <w:sz w:val="21"/>
                      <w:szCs w:val="18"/>
                      <w:highlight w:val="none"/>
                      <w:lang w:val="en-US" w:eastAsia="zh-CN" w:bidi="ar-SA"/>
                    </w:rPr>
                    <w:t>企业实施雨污分流，无生产废水外排，仅外排生活污水</w:t>
                  </w:r>
                  <w:r>
                    <w:rPr>
                      <w:rFonts w:hint="eastAsia" w:cs="Times New Roman"/>
                      <w:color w:val="auto"/>
                      <w:kern w:val="0"/>
                      <w:sz w:val="21"/>
                      <w:szCs w:val="18"/>
                      <w:highlight w:val="none"/>
                      <w:lang w:val="en-US" w:eastAsia="zh-CN" w:bidi="ar-SA"/>
                    </w:rPr>
                    <w:t>，</w:t>
                  </w:r>
                  <w:r>
                    <w:rPr>
                      <w:rFonts w:hint="default" w:ascii="Times New Roman" w:hAnsi="Times New Roman" w:cs="Times New Roman"/>
                      <w:kern w:val="0"/>
                      <w:sz w:val="21"/>
                      <w:szCs w:val="18"/>
                      <w:lang w:eastAsia="zh-CN"/>
                    </w:rPr>
                    <w:t>生活污水</w:t>
                  </w:r>
                  <w:r>
                    <w:rPr>
                      <w:rFonts w:hint="default" w:ascii="Times New Roman" w:hAnsi="Times New Roman" w:cs="Times New Roman"/>
                      <w:kern w:val="0"/>
                      <w:sz w:val="21"/>
                      <w:szCs w:val="18"/>
                    </w:rPr>
                    <w:t>经化粪池处理后经污水管网</w:t>
                  </w:r>
                  <w:r>
                    <w:rPr>
                      <w:rFonts w:hint="default" w:ascii="Times New Roman" w:hAnsi="Times New Roman" w:cs="Times New Roman"/>
                      <w:kern w:val="0"/>
                      <w:sz w:val="21"/>
                      <w:szCs w:val="18"/>
                      <w:lang w:eastAsia="zh-CN"/>
                    </w:rPr>
                    <w:t>排</w:t>
                  </w:r>
                  <w:r>
                    <w:rPr>
                      <w:rFonts w:hint="default" w:ascii="Times New Roman" w:hAnsi="Times New Roman" w:cs="Times New Roman"/>
                      <w:kern w:val="0"/>
                      <w:sz w:val="21"/>
                      <w:szCs w:val="18"/>
                    </w:rPr>
                    <w:t>入</w:t>
                  </w:r>
                  <w:r>
                    <w:rPr>
                      <w:rFonts w:hint="eastAsia" w:cs="Times New Roman"/>
                      <w:kern w:val="0"/>
                      <w:sz w:val="21"/>
                      <w:szCs w:val="18"/>
                      <w:lang w:eastAsia="zh-CN"/>
                    </w:rPr>
                    <w:t>詹店镇</w:t>
                  </w:r>
                  <w:r>
                    <w:rPr>
                      <w:rFonts w:hint="default" w:ascii="Times New Roman" w:hAnsi="Times New Roman" w:cs="Times New Roman"/>
                      <w:kern w:val="0"/>
                      <w:sz w:val="21"/>
                      <w:szCs w:val="18"/>
                    </w:rPr>
                    <w:t>处理厂</w:t>
                  </w:r>
                  <w:r>
                    <w:rPr>
                      <w:rFonts w:hint="default" w:ascii="Times New Roman" w:hAnsi="Times New Roman" w:cs="Times New Roman"/>
                      <w:kern w:val="0"/>
                      <w:sz w:val="21"/>
                      <w:szCs w:val="18"/>
                      <w:lang w:eastAsia="zh-CN"/>
                    </w:rPr>
                    <w:t>进行进一步</w:t>
                  </w:r>
                  <w:r>
                    <w:rPr>
                      <w:rFonts w:hint="default" w:ascii="Times New Roman" w:hAnsi="Times New Roman" w:cs="Times New Roman"/>
                      <w:kern w:val="0"/>
                      <w:sz w:val="21"/>
                      <w:szCs w:val="18"/>
                    </w:rPr>
                    <w:t>处理。</w:t>
                  </w:r>
                </w:p>
              </w:tc>
              <w:tc>
                <w:tcPr>
                  <w:tcW w:w="440" w:type="pct"/>
                  <w:tcBorders>
                    <w:left w:val="single" w:color="auto" w:sz="4" w:space="0"/>
                    <w:right w:val="single" w:color="auto" w:sz="4" w:space="0"/>
                  </w:tcBorders>
                  <w:noWrap w:val="0"/>
                  <w:vAlign w:val="center"/>
                </w:tcPr>
                <w:p w14:paraId="65F15C7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59062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vMerge w:val="continue"/>
                  <w:tcBorders>
                    <w:left w:val="single" w:color="auto" w:sz="4" w:space="0"/>
                    <w:right w:val="single" w:color="auto" w:sz="4" w:space="0"/>
                  </w:tcBorders>
                  <w:noWrap w:val="0"/>
                  <w:vAlign w:val="center"/>
                </w:tcPr>
                <w:p w14:paraId="000D248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39" w:type="pct"/>
                  <w:tcBorders>
                    <w:top w:val="single" w:color="auto" w:sz="4" w:space="0"/>
                    <w:left w:val="single" w:color="auto" w:sz="4" w:space="0"/>
                    <w:bottom w:val="single" w:color="auto" w:sz="4" w:space="0"/>
                    <w:right w:val="single" w:color="auto" w:sz="4" w:space="0"/>
                  </w:tcBorders>
                  <w:noWrap w:val="0"/>
                  <w:vAlign w:val="center"/>
                </w:tcPr>
                <w:p w14:paraId="2A52661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环境风险防控</w:t>
                  </w:r>
                </w:p>
              </w:tc>
              <w:tc>
                <w:tcPr>
                  <w:tcW w:w="2064" w:type="pct"/>
                  <w:tcBorders>
                    <w:top w:val="single" w:color="auto" w:sz="4" w:space="0"/>
                    <w:left w:val="single" w:color="auto" w:sz="4" w:space="0"/>
                    <w:bottom w:val="single" w:color="auto" w:sz="4" w:space="0"/>
                    <w:right w:val="single" w:color="auto" w:sz="4" w:space="0"/>
                  </w:tcBorders>
                  <w:noWrap w:val="0"/>
                  <w:vAlign w:val="center"/>
                </w:tcPr>
                <w:p w14:paraId="5E80783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加强水环境风险源日常管理，以化工园区污水处理厂和化工、制药、造纸等主要排污企业为重点，加强日常监测监控。</w:t>
                  </w:r>
                </w:p>
              </w:tc>
              <w:tc>
                <w:tcPr>
                  <w:tcW w:w="1620" w:type="pct"/>
                  <w:tcBorders>
                    <w:left w:val="single" w:color="auto" w:sz="4" w:space="0"/>
                    <w:right w:val="single" w:color="auto" w:sz="4" w:space="0"/>
                  </w:tcBorders>
                  <w:noWrap w:val="0"/>
                  <w:vAlign w:val="center"/>
                </w:tcPr>
                <w:p w14:paraId="7B233FA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highlight w:val="yellow"/>
                    </w:rPr>
                  </w:pPr>
                  <w:r>
                    <w:rPr>
                      <w:rFonts w:hint="default" w:ascii="Times New Roman" w:hAnsi="Times New Roman" w:cs="Times New Roman"/>
                      <w:kern w:val="0"/>
                      <w:sz w:val="21"/>
                      <w:szCs w:val="18"/>
                    </w:rPr>
                    <w:t>评价要求建设</w:t>
                  </w:r>
                  <w:r>
                    <w:rPr>
                      <w:rFonts w:hint="eastAsia" w:cs="Times New Roman"/>
                      <w:kern w:val="0"/>
                      <w:sz w:val="21"/>
                      <w:szCs w:val="18"/>
                      <w:lang w:eastAsia="zh-CN"/>
                    </w:rPr>
                    <w:t>符合规范的</w:t>
                  </w:r>
                  <w:r>
                    <w:rPr>
                      <w:rFonts w:hint="default" w:ascii="Times New Roman" w:hAnsi="Times New Roman" w:cs="Times New Roman"/>
                      <w:kern w:val="0"/>
                      <w:sz w:val="21"/>
                      <w:szCs w:val="18"/>
                    </w:rPr>
                    <w:t>危废</w:t>
                  </w:r>
                  <w:r>
                    <w:rPr>
                      <w:rFonts w:hint="default" w:ascii="Times New Roman" w:hAnsi="Times New Roman" w:cs="Times New Roman"/>
                      <w:kern w:val="0"/>
                      <w:sz w:val="21"/>
                      <w:szCs w:val="18"/>
                      <w:lang w:eastAsia="zh-CN"/>
                    </w:rPr>
                    <w:t>间</w:t>
                  </w:r>
                  <w:r>
                    <w:rPr>
                      <w:rFonts w:hint="default" w:ascii="Times New Roman" w:hAnsi="Times New Roman" w:cs="Times New Roman"/>
                      <w:kern w:val="0"/>
                      <w:sz w:val="21"/>
                      <w:szCs w:val="18"/>
                    </w:rPr>
                    <w:t>，</w:t>
                  </w:r>
                  <w:r>
                    <w:rPr>
                      <w:rFonts w:hint="eastAsia" w:cs="Times New Roman"/>
                      <w:kern w:val="0"/>
                      <w:sz w:val="21"/>
                      <w:szCs w:val="18"/>
                      <w:lang w:eastAsia="zh-CN"/>
                    </w:rPr>
                    <w:t>并</w:t>
                  </w:r>
                  <w:r>
                    <w:rPr>
                      <w:rFonts w:hint="default" w:ascii="Times New Roman" w:hAnsi="Times New Roman" w:cs="Times New Roman"/>
                      <w:kern w:val="0"/>
                      <w:sz w:val="21"/>
                      <w:szCs w:val="18"/>
                    </w:rPr>
                    <w:t>做好危废</w:t>
                  </w:r>
                  <w:r>
                    <w:rPr>
                      <w:rFonts w:hint="default" w:ascii="Times New Roman" w:hAnsi="Times New Roman" w:cs="Times New Roman"/>
                      <w:kern w:val="0"/>
                      <w:sz w:val="21"/>
                      <w:szCs w:val="18"/>
                      <w:lang w:eastAsia="zh-CN"/>
                    </w:rPr>
                    <w:t>间</w:t>
                  </w:r>
                  <w:r>
                    <w:rPr>
                      <w:rFonts w:hint="default" w:ascii="Times New Roman" w:hAnsi="Times New Roman" w:cs="Times New Roman"/>
                      <w:kern w:val="0"/>
                      <w:sz w:val="21"/>
                      <w:szCs w:val="18"/>
                    </w:rPr>
                    <w:t>防渗处理，并合理存储、转运危险废物。</w:t>
                  </w:r>
                </w:p>
              </w:tc>
              <w:tc>
                <w:tcPr>
                  <w:tcW w:w="440" w:type="pct"/>
                  <w:tcBorders>
                    <w:left w:val="single" w:color="auto" w:sz="4" w:space="0"/>
                    <w:right w:val="single" w:color="auto" w:sz="4" w:space="0"/>
                  </w:tcBorders>
                  <w:noWrap w:val="0"/>
                  <w:vAlign w:val="center"/>
                </w:tcPr>
                <w:p w14:paraId="09D8732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相符</w:t>
                  </w:r>
                </w:p>
              </w:tc>
            </w:tr>
            <w:tr w14:paraId="3F29A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3" w:hRule="atLeast"/>
                <w:jc w:val="center"/>
              </w:trPr>
              <w:tc>
                <w:tcPr>
                  <w:tcW w:w="435" w:type="pct"/>
                  <w:vMerge w:val="continue"/>
                  <w:tcBorders>
                    <w:left w:val="single" w:color="auto" w:sz="4" w:space="0"/>
                    <w:bottom w:val="single" w:color="auto" w:sz="4" w:space="0"/>
                    <w:right w:val="single" w:color="auto" w:sz="4" w:space="0"/>
                  </w:tcBorders>
                  <w:noWrap w:val="0"/>
                  <w:vAlign w:val="center"/>
                </w:tcPr>
                <w:p w14:paraId="68F568EB">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439" w:type="pct"/>
                  <w:tcBorders>
                    <w:top w:val="single" w:color="auto" w:sz="4" w:space="0"/>
                    <w:left w:val="single" w:color="auto" w:sz="4" w:space="0"/>
                    <w:bottom w:val="single" w:color="auto" w:sz="4" w:space="0"/>
                    <w:right w:val="single" w:color="auto" w:sz="4" w:space="0"/>
                  </w:tcBorders>
                  <w:noWrap w:val="0"/>
                  <w:vAlign w:val="center"/>
                </w:tcPr>
                <w:p w14:paraId="0B3611A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资源利用效率要求</w:t>
                  </w:r>
                </w:p>
              </w:tc>
              <w:tc>
                <w:tcPr>
                  <w:tcW w:w="2064" w:type="pct"/>
                  <w:tcBorders>
                    <w:top w:val="single" w:color="auto" w:sz="4" w:space="0"/>
                    <w:left w:val="single" w:color="auto" w:sz="4" w:space="0"/>
                    <w:bottom w:val="single" w:color="auto" w:sz="4" w:space="0"/>
                    <w:right w:val="single" w:color="auto" w:sz="4" w:space="0"/>
                  </w:tcBorders>
                  <w:noWrap w:val="0"/>
                  <w:vAlign w:val="center"/>
                </w:tcPr>
                <w:p w14:paraId="5CAEA6F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1.按照合理有序使用地表水、控制使用地下水、积极利用非常规水的要求，做好区域水资源统筹调配工作，逐步降低部分过度开发河流和区域的水资源开发利用强度，退减被挤占的生态用水。</w:t>
                  </w:r>
                </w:p>
                <w:p w14:paraId="7C71D0C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2.在粮食核心区规模化推行高效节水灌溉；实施工业节水减排行动，大力推进工业水循环利用，推进节水型企业、节水型工业园区建设。</w:t>
                  </w:r>
                </w:p>
                <w:p w14:paraId="6604916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default" w:ascii="Times New Roman" w:hAnsi="Times New Roman" w:cs="Times New Roman"/>
                      <w:kern w:val="0"/>
                      <w:sz w:val="21"/>
                      <w:szCs w:val="18"/>
                      <w:lang w:val="zh-CN"/>
                    </w:rPr>
                  </w:pPr>
                  <w:r>
                    <w:rPr>
                      <w:rFonts w:hint="default" w:ascii="Times New Roman" w:hAnsi="Times New Roman" w:cs="Times New Roman"/>
                      <w:kern w:val="0"/>
                      <w:sz w:val="21"/>
                      <w:szCs w:val="18"/>
                      <w:lang w:val="zh-CN"/>
                    </w:rPr>
                    <w:t>3.重点推进南水北调受水区地下水压采工作，加快公共供水管网建设，逐步关停自备井。</w:t>
                  </w:r>
                </w:p>
              </w:tc>
              <w:tc>
                <w:tcPr>
                  <w:tcW w:w="1620" w:type="pct"/>
                  <w:tcBorders>
                    <w:left w:val="single" w:color="auto" w:sz="4" w:space="0"/>
                    <w:bottom w:val="single" w:color="auto" w:sz="4" w:space="0"/>
                    <w:right w:val="single" w:color="auto" w:sz="4" w:space="0"/>
                  </w:tcBorders>
                  <w:noWrap w:val="0"/>
                  <w:vAlign w:val="center"/>
                </w:tcPr>
                <w:p w14:paraId="46CE8D2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highlight w:val="none"/>
                    </w:rPr>
                  </w:pPr>
                  <w:r>
                    <w:rPr>
                      <w:rFonts w:hint="default" w:ascii="Times New Roman" w:hAnsi="Times New Roman" w:cs="Times New Roman"/>
                      <w:kern w:val="0"/>
                      <w:sz w:val="21"/>
                      <w:szCs w:val="18"/>
                    </w:rPr>
                    <w:t>1</w:t>
                  </w:r>
                  <w:r>
                    <w:rPr>
                      <w:rFonts w:hint="eastAsia" w:cs="Times New Roman"/>
                      <w:kern w:val="0"/>
                      <w:sz w:val="21"/>
                      <w:szCs w:val="18"/>
                      <w:lang w:eastAsia="zh-CN"/>
                    </w:rPr>
                    <w:t>.本项目</w:t>
                  </w:r>
                  <w:r>
                    <w:rPr>
                      <w:rFonts w:hint="default" w:ascii="Times New Roman" w:hAnsi="Times New Roman" w:eastAsia="宋体" w:cs="Times New Roman"/>
                      <w:color w:val="auto"/>
                      <w:kern w:val="0"/>
                      <w:sz w:val="21"/>
                      <w:szCs w:val="18"/>
                      <w:highlight w:val="none"/>
                      <w:lang w:val="en-US" w:eastAsia="zh-CN" w:bidi="ar-SA"/>
                    </w:rPr>
                    <w:t>采用</w:t>
                  </w:r>
                  <w:r>
                    <w:rPr>
                      <w:rFonts w:hint="eastAsia" w:cs="Times New Roman"/>
                      <w:color w:val="auto"/>
                      <w:kern w:val="0"/>
                      <w:sz w:val="21"/>
                      <w:szCs w:val="18"/>
                      <w:highlight w:val="none"/>
                      <w:lang w:val="en-US" w:eastAsia="zh-CN" w:bidi="ar-SA"/>
                    </w:rPr>
                    <w:t>园</w:t>
                  </w:r>
                  <w:r>
                    <w:rPr>
                      <w:rFonts w:hint="default" w:ascii="Times New Roman" w:hAnsi="Times New Roman" w:eastAsia="宋体" w:cs="Times New Roman"/>
                      <w:color w:val="auto"/>
                      <w:kern w:val="0"/>
                      <w:sz w:val="21"/>
                      <w:szCs w:val="18"/>
                      <w:highlight w:val="none"/>
                      <w:lang w:val="en-US" w:eastAsia="zh-CN" w:bidi="ar-SA"/>
                    </w:rPr>
                    <w:t>区供水管网供水</w:t>
                  </w:r>
                  <w:r>
                    <w:rPr>
                      <w:rFonts w:hint="eastAsia" w:ascii="Times New Roman" w:hAnsi="Times New Roman" w:eastAsia="宋体" w:cs="Times New Roman"/>
                      <w:color w:val="auto"/>
                      <w:kern w:val="0"/>
                      <w:sz w:val="21"/>
                      <w:szCs w:val="18"/>
                      <w:highlight w:val="none"/>
                      <w:lang w:val="en-US" w:eastAsia="zh-CN" w:bidi="ar-SA"/>
                    </w:rPr>
                    <w:t>，</w:t>
                  </w:r>
                  <w:r>
                    <w:rPr>
                      <w:rFonts w:hint="eastAsia" w:cs="Times New Roman"/>
                      <w:color w:val="000000"/>
                      <w:kern w:val="0"/>
                      <w:sz w:val="21"/>
                      <w:szCs w:val="21"/>
                      <w:highlight w:val="none"/>
                      <w:lang w:val="en-US" w:eastAsia="zh-CN"/>
                    </w:rPr>
                    <w:t>不使用地下水，项目</w:t>
                  </w:r>
                  <w:r>
                    <w:rPr>
                      <w:rFonts w:hint="eastAsia" w:cs="Times New Roman"/>
                      <w:color w:val="000000"/>
                      <w:kern w:val="0"/>
                      <w:sz w:val="21"/>
                      <w:szCs w:val="21"/>
                      <w:highlight w:val="none"/>
                      <w:lang w:eastAsia="zh-CN"/>
                    </w:rPr>
                    <w:t>只排放生活污水。</w:t>
                  </w:r>
                </w:p>
                <w:p w14:paraId="356BFF1E">
                  <w:pPr>
                    <w:widowControl w:val="0"/>
                    <w:autoSpaceDE w:val="0"/>
                    <w:autoSpaceDN w:val="0"/>
                    <w:bidi w:val="0"/>
                    <w:adjustRightInd w:val="0"/>
                    <w:spacing w:line="360" w:lineRule="exact"/>
                    <w:ind w:firstLine="0" w:firstLineChars="0"/>
                    <w:jc w:val="both"/>
                    <w:rPr>
                      <w:rFonts w:hint="eastAsia" w:cs="Times New Roman"/>
                      <w:color w:val="000000"/>
                      <w:kern w:val="0"/>
                      <w:sz w:val="21"/>
                      <w:szCs w:val="21"/>
                      <w:highlight w:val="none"/>
                      <w:lang w:val="en-US" w:eastAsia="zh-CN"/>
                    </w:rPr>
                  </w:pPr>
                  <w:r>
                    <w:rPr>
                      <w:rFonts w:hint="eastAsia" w:cs="Times New Roman"/>
                      <w:color w:val="000000"/>
                      <w:kern w:val="0"/>
                      <w:sz w:val="21"/>
                      <w:szCs w:val="21"/>
                      <w:highlight w:val="none"/>
                      <w:lang w:val="en-US" w:eastAsia="zh-CN"/>
                    </w:rPr>
                    <w:t>2.企业</w:t>
                  </w:r>
                  <w:r>
                    <w:rPr>
                      <w:rFonts w:hint="default" w:ascii="Times New Roman" w:hAnsi="Times New Roman" w:eastAsia="宋体" w:cs="Times New Roman"/>
                      <w:color w:val="auto"/>
                      <w:kern w:val="0"/>
                      <w:sz w:val="21"/>
                      <w:szCs w:val="18"/>
                      <w:highlight w:val="none"/>
                      <w:lang w:val="zh-CN" w:eastAsia="zh-CN" w:bidi="ar-SA"/>
                    </w:rPr>
                    <w:t>大力推进</w:t>
                  </w:r>
                  <w:r>
                    <w:rPr>
                      <w:rFonts w:hint="eastAsia" w:ascii="Times New Roman" w:hAnsi="Times New Roman" w:eastAsia="宋体" w:cs="Times New Roman"/>
                      <w:color w:val="auto"/>
                      <w:kern w:val="0"/>
                      <w:sz w:val="21"/>
                      <w:szCs w:val="18"/>
                      <w:highlight w:val="none"/>
                      <w:lang w:val="zh-CN" w:eastAsia="zh-CN" w:bidi="ar-SA"/>
                    </w:rPr>
                    <w:t>生产用水</w:t>
                  </w:r>
                  <w:r>
                    <w:rPr>
                      <w:rFonts w:hint="default" w:ascii="Times New Roman" w:hAnsi="Times New Roman" w:eastAsia="宋体" w:cs="Times New Roman"/>
                      <w:color w:val="auto"/>
                      <w:kern w:val="0"/>
                      <w:sz w:val="21"/>
                      <w:szCs w:val="18"/>
                      <w:highlight w:val="none"/>
                      <w:lang w:val="zh-CN" w:eastAsia="zh-CN" w:bidi="ar-SA"/>
                    </w:rPr>
                    <w:t>循环利用</w:t>
                  </w:r>
                  <w:r>
                    <w:rPr>
                      <w:rFonts w:hint="eastAsia" w:ascii="Times New Roman" w:hAnsi="Times New Roman" w:eastAsia="宋体" w:cs="Times New Roman"/>
                      <w:color w:val="auto"/>
                      <w:kern w:val="0"/>
                      <w:sz w:val="21"/>
                      <w:szCs w:val="18"/>
                      <w:highlight w:val="none"/>
                      <w:lang w:val="zh-CN" w:eastAsia="zh-CN" w:bidi="ar-SA"/>
                    </w:rPr>
                    <w:t>，</w:t>
                  </w:r>
                  <w:r>
                    <w:rPr>
                      <w:rFonts w:hint="default" w:ascii="Times New Roman" w:hAnsi="Times New Roman" w:cs="Times New Roman"/>
                      <w:color w:val="000000"/>
                      <w:kern w:val="0"/>
                      <w:sz w:val="21"/>
                      <w:szCs w:val="21"/>
                      <w:highlight w:val="none"/>
                      <w:lang w:val="zh-CN"/>
                    </w:rPr>
                    <w:t>项目资源消耗量相对区域利用总量较少</w:t>
                  </w:r>
                  <w:r>
                    <w:rPr>
                      <w:rFonts w:hint="eastAsia" w:ascii="Times New Roman" w:hAnsi="Times New Roman" w:cs="Times New Roman"/>
                      <w:color w:val="000000"/>
                      <w:kern w:val="0"/>
                      <w:sz w:val="21"/>
                      <w:szCs w:val="21"/>
                      <w:highlight w:val="none"/>
                      <w:lang w:val="zh-CN"/>
                    </w:rPr>
                    <w:t>。</w:t>
                  </w:r>
                </w:p>
                <w:p w14:paraId="39663113">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kern w:val="0"/>
                      <w:sz w:val="21"/>
                      <w:szCs w:val="18"/>
                    </w:rPr>
                  </w:pPr>
                  <w:r>
                    <w:rPr>
                      <w:rFonts w:hint="eastAsia" w:cs="Times New Roman"/>
                      <w:color w:val="000000"/>
                      <w:kern w:val="0"/>
                      <w:sz w:val="21"/>
                      <w:szCs w:val="21"/>
                      <w:highlight w:val="none"/>
                      <w:lang w:val="en-US" w:eastAsia="zh-CN"/>
                    </w:rPr>
                    <w:t>3.</w:t>
                  </w:r>
                  <w:r>
                    <w:rPr>
                      <w:rFonts w:hint="default" w:ascii="Times New Roman" w:hAnsi="Times New Roman" w:cs="Times New Roman"/>
                      <w:color w:val="000000"/>
                      <w:kern w:val="0"/>
                      <w:sz w:val="21"/>
                      <w:szCs w:val="21"/>
                      <w:highlight w:val="none"/>
                    </w:rPr>
                    <w:t>项目供水为</w:t>
                  </w:r>
                  <w:r>
                    <w:rPr>
                      <w:rFonts w:hint="default" w:ascii="Times New Roman" w:hAnsi="Times New Roman" w:cs="Times New Roman"/>
                      <w:color w:val="000000"/>
                      <w:kern w:val="0"/>
                      <w:sz w:val="21"/>
                      <w:szCs w:val="21"/>
                      <w:highlight w:val="none"/>
                      <w:lang w:eastAsia="zh-CN"/>
                    </w:rPr>
                    <w:t>当地</w:t>
                  </w:r>
                  <w:r>
                    <w:rPr>
                      <w:rFonts w:hint="eastAsia" w:cs="Times New Roman"/>
                      <w:color w:val="000000"/>
                      <w:kern w:val="0"/>
                      <w:sz w:val="21"/>
                      <w:szCs w:val="21"/>
                      <w:highlight w:val="none"/>
                      <w:lang w:eastAsia="zh-CN"/>
                    </w:rPr>
                    <w:t>园区</w:t>
                  </w:r>
                  <w:r>
                    <w:rPr>
                      <w:rFonts w:hint="default" w:ascii="Times New Roman" w:hAnsi="Times New Roman" w:cs="Times New Roman"/>
                      <w:color w:val="000000"/>
                      <w:kern w:val="0"/>
                      <w:sz w:val="21"/>
                      <w:szCs w:val="21"/>
                      <w:highlight w:val="none"/>
                      <w:lang w:eastAsia="zh-CN"/>
                    </w:rPr>
                    <w:t>供水管网</w:t>
                  </w:r>
                  <w:r>
                    <w:rPr>
                      <w:rFonts w:hint="eastAsia" w:cs="Times New Roman"/>
                      <w:color w:val="000000"/>
                      <w:kern w:val="0"/>
                      <w:sz w:val="21"/>
                      <w:szCs w:val="21"/>
                      <w:highlight w:val="none"/>
                      <w:lang w:eastAsia="zh-CN"/>
                    </w:rPr>
                    <w:t>供给</w:t>
                  </w:r>
                  <w:r>
                    <w:rPr>
                      <w:rFonts w:hint="default" w:ascii="Times New Roman" w:hAnsi="Times New Roman" w:cs="Times New Roman"/>
                      <w:color w:val="000000"/>
                      <w:kern w:val="0"/>
                      <w:sz w:val="21"/>
                      <w:szCs w:val="21"/>
                      <w:highlight w:val="none"/>
                    </w:rPr>
                    <w:t>。</w:t>
                  </w:r>
                </w:p>
              </w:tc>
              <w:tc>
                <w:tcPr>
                  <w:tcW w:w="440" w:type="pct"/>
                  <w:tcBorders>
                    <w:left w:val="single" w:color="auto" w:sz="4" w:space="0"/>
                    <w:bottom w:val="single" w:color="auto" w:sz="4" w:space="0"/>
                    <w:right w:val="single" w:color="auto" w:sz="4" w:space="0"/>
                  </w:tcBorders>
                  <w:noWrap w:val="0"/>
                  <w:vAlign w:val="center"/>
                </w:tcPr>
                <w:p w14:paraId="34EA7C4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相符</w:t>
                  </w:r>
                </w:p>
              </w:tc>
            </w:tr>
          </w:tbl>
          <w:p w14:paraId="03B8A7F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highlight w:val="none"/>
              </w:rPr>
              <w:t>表1-</w:t>
            </w:r>
            <w:r>
              <w:rPr>
                <w:rFonts w:hint="default" w:ascii="Times New Roman" w:hAnsi="Times New Roman" w:cs="Times New Roman"/>
                <w:b/>
                <w:bCs/>
                <w:highlight w:val="none"/>
                <w:lang w:val="en-US" w:eastAsia="zh-CN"/>
              </w:rPr>
              <w:t>7</w:t>
            </w:r>
            <w:r>
              <w:rPr>
                <w:rFonts w:hint="default" w:ascii="Times New Roman" w:hAnsi="Times New Roman" w:cs="Times New Roman"/>
                <w:b/>
                <w:bCs/>
                <w:highlight w:val="none"/>
              </w:rPr>
              <w:t xml:space="preserve">  </w:t>
            </w:r>
            <w:r>
              <w:rPr>
                <w:rFonts w:hint="default" w:ascii="Times New Roman" w:hAnsi="Times New Roman" w:cs="Times New Roman"/>
                <w:b/>
                <w:bCs/>
                <w:highlight w:val="none"/>
                <w:lang w:val="en-US" w:eastAsia="zh-CN"/>
              </w:rPr>
              <w:t xml:space="preserve"> </w:t>
            </w:r>
            <w:r>
              <w:rPr>
                <w:rFonts w:hint="default" w:ascii="Times New Roman" w:hAnsi="Times New Roman" w:cs="Times New Roman"/>
                <w:b/>
                <w:bCs/>
                <w:highlight w:val="none"/>
              </w:rPr>
              <w:t>本项目与武陟经济技术开发区重点管控单元要求相符性分析</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022"/>
              <w:gridCol w:w="913"/>
              <w:gridCol w:w="885"/>
              <w:gridCol w:w="800"/>
              <w:gridCol w:w="2826"/>
              <w:gridCol w:w="2263"/>
            </w:tblGrid>
            <w:tr w14:paraId="36848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3" w:hRule="atLeast"/>
                <w:tblHeader/>
                <w:jc w:val="center"/>
              </w:trPr>
              <w:tc>
                <w:tcPr>
                  <w:tcW w:w="1619" w:type="pct"/>
                  <w:gridSpan w:val="3"/>
                  <w:noWrap w:val="0"/>
                  <w:vAlign w:val="center"/>
                </w:tcPr>
                <w:p w14:paraId="0F5DA471">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b w:val="0"/>
                      <w:bCs w:val="0"/>
                      <w:kern w:val="0"/>
                      <w:sz w:val="21"/>
                      <w:szCs w:val="20"/>
                    </w:rPr>
                  </w:pPr>
                  <w:r>
                    <w:rPr>
                      <w:rFonts w:hint="default" w:ascii="Times New Roman" w:hAnsi="Times New Roman" w:cs="Times New Roman"/>
                      <w:b w:val="0"/>
                      <w:bCs w:val="0"/>
                      <w:kern w:val="0"/>
                      <w:sz w:val="21"/>
                      <w:szCs w:val="20"/>
                    </w:rPr>
                    <w:t>环境管控单元</w:t>
                  </w:r>
                </w:p>
              </w:tc>
              <w:tc>
                <w:tcPr>
                  <w:tcW w:w="2081" w:type="pct"/>
                  <w:gridSpan w:val="2"/>
                  <w:vMerge w:val="restart"/>
                  <w:noWrap w:val="0"/>
                  <w:vAlign w:val="center"/>
                </w:tcPr>
                <w:p w14:paraId="4836BAB0">
                  <w:pPr>
                    <w:keepNext w:val="0"/>
                    <w:keepLines w:val="0"/>
                    <w:pageBreakBefore w:val="0"/>
                    <w:kinsoku/>
                    <w:wordWrap w:val="0"/>
                    <w:overflowPunct/>
                    <w:topLinePunct/>
                    <w:autoSpaceDE/>
                    <w:autoSpaceDN/>
                    <w:bidi w:val="0"/>
                    <w:adjustRightInd/>
                    <w:snapToGrid/>
                    <w:spacing w:line="360" w:lineRule="exact"/>
                    <w:ind w:firstLine="0" w:firstLineChars="0"/>
                    <w:jc w:val="center"/>
                    <w:rPr>
                      <w:rFonts w:hint="default" w:ascii="Times New Roman" w:hAnsi="Times New Roman" w:cs="Times New Roman"/>
                      <w:b w:val="0"/>
                      <w:bCs w:val="0"/>
                      <w:kern w:val="0"/>
                      <w:sz w:val="21"/>
                      <w:szCs w:val="20"/>
                    </w:rPr>
                  </w:pPr>
                  <w:r>
                    <w:rPr>
                      <w:rFonts w:hint="default" w:ascii="Times New Roman" w:hAnsi="Times New Roman" w:cs="Times New Roman"/>
                      <w:b w:val="0"/>
                      <w:bCs w:val="0"/>
                      <w:kern w:val="0"/>
                      <w:sz w:val="21"/>
                      <w:szCs w:val="20"/>
                    </w:rPr>
                    <w:t>管控要求</w:t>
                  </w:r>
                </w:p>
              </w:tc>
              <w:tc>
                <w:tcPr>
                  <w:tcW w:w="1299" w:type="pct"/>
                  <w:vMerge w:val="restart"/>
                  <w:noWrap w:val="0"/>
                  <w:vAlign w:val="center"/>
                </w:tcPr>
                <w:p w14:paraId="0EF37A98">
                  <w:pPr>
                    <w:keepNext w:val="0"/>
                    <w:keepLines w:val="0"/>
                    <w:pageBreakBefore w:val="0"/>
                    <w:kinsoku/>
                    <w:wordWrap w:val="0"/>
                    <w:overflowPunct/>
                    <w:topLinePunct/>
                    <w:autoSpaceDE/>
                    <w:autoSpaceDN/>
                    <w:bidi w:val="0"/>
                    <w:adjustRightInd/>
                    <w:snapToGrid/>
                    <w:spacing w:line="360" w:lineRule="exact"/>
                    <w:ind w:firstLine="0" w:firstLineChars="0"/>
                    <w:jc w:val="center"/>
                    <w:rPr>
                      <w:rFonts w:hint="default" w:ascii="Times New Roman" w:hAnsi="Times New Roman" w:cs="Times New Roman"/>
                      <w:b w:val="0"/>
                      <w:bCs w:val="0"/>
                      <w:sz w:val="21"/>
                    </w:rPr>
                  </w:pPr>
                  <w:r>
                    <w:rPr>
                      <w:rFonts w:hint="default" w:ascii="Times New Roman" w:hAnsi="Times New Roman" w:cs="Times New Roman"/>
                      <w:b w:val="0"/>
                      <w:bCs w:val="0"/>
                      <w:sz w:val="21"/>
                    </w:rPr>
                    <w:t>本项目情况</w:t>
                  </w:r>
                </w:p>
              </w:tc>
            </w:tr>
            <w:tr w14:paraId="49F4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tblHeader/>
                <w:jc w:val="center"/>
              </w:trPr>
              <w:tc>
                <w:tcPr>
                  <w:tcW w:w="586" w:type="pct"/>
                  <w:noWrap w:val="0"/>
                  <w:vAlign w:val="center"/>
                </w:tcPr>
                <w:p w14:paraId="593C4E30">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b w:val="0"/>
                      <w:bCs w:val="0"/>
                      <w:kern w:val="0"/>
                      <w:sz w:val="21"/>
                      <w:szCs w:val="20"/>
                    </w:rPr>
                  </w:pPr>
                  <w:r>
                    <w:rPr>
                      <w:rFonts w:hint="default" w:ascii="Times New Roman" w:hAnsi="Times New Roman" w:cs="Times New Roman"/>
                      <w:b w:val="0"/>
                      <w:bCs w:val="0"/>
                      <w:kern w:val="0"/>
                      <w:sz w:val="21"/>
                      <w:szCs w:val="20"/>
                    </w:rPr>
                    <w:t>编码</w:t>
                  </w:r>
                </w:p>
              </w:tc>
              <w:tc>
                <w:tcPr>
                  <w:tcW w:w="524" w:type="pct"/>
                  <w:noWrap w:val="0"/>
                  <w:vAlign w:val="center"/>
                </w:tcPr>
                <w:p w14:paraId="3FD7C98D">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b w:val="0"/>
                      <w:bCs w:val="0"/>
                      <w:kern w:val="0"/>
                      <w:sz w:val="21"/>
                      <w:szCs w:val="20"/>
                    </w:rPr>
                  </w:pPr>
                  <w:r>
                    <w:rPr>
                      <w:rFonts w:hint="default" w:ascii="Times New Roman" w:hAnsi="Times New Roman" w:cs="Times New Roman"/>
                      <w:b w:val="0"/>
                      <w:bCs w:val="0"/>
                      <w:kern w:val="0"/>
                      <w:sz w:val="21"/>
                      <w:szCs w:val="20"/>
                    </w:rPr>
                    <w:t>名称</w:t>
                  </w:r>
                </w:p>
              </w:tc>
              <w:tc>
                <w:tcPr>
                  <w:tcW w:w="508" w:type="pct"/>
                  <w:noWrap w:val="0"/>
                  <w:vAlign w:val="center"/>
                </w:tcPr>
                <w:p w14:paraId="27AF54F2">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b w:val="0"/>
                      <w:bCs w:val="0"/>
                      <w:kern w:val="0"/>
                      <w:sz w:val="21"/>
                      <w:szCs w:val="20"/>
                    </w:rPr>
                  </w:pPr>
                  <w:r>
                    <w:rPr>
                      <w:rFonts w:hint="default" w:ascii="Times New Roman" w:hAnsi="Times New Roman" w:cs="Times New Roman"/>
                      <w:b w:val="0"/>
                      <w:bCs w:val="0"/>
                      <w:kern w:val="0"/>
                      <w:sz w:val="21"/>
                      <w:szCs w:val="20"/>
                    </w:rPr>
                    <w:t>分类</w:t>
                  </w:r>
                </w:p>
              </w:tc>
              <w:tc>
                <w:tcPr>
                  <w:tcW w:w="2081" w:type="pct"/>
                  <w:gridSpan w:val="2"/>
                  <w:vMerge w:val="continue"/>
                  <w:noWrap w:val="0"/>
                  <w:vAlign w:val="center"/>
                </w:tcPr>
                <w:p w14:paraId="1DD58401">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p>
              </w:tc>
              <w:tc>
                <w:tcPr>
                  <w:tcW w:w="1299" w:type="pct"/>
                  <w:vMerge w:val="continue"/>
                  <w:noWrap w:val="0"/>
                  <w:vAlign w:val="center"/>
                </w:tcPr>
                <w:p w14:paraId="2790F829">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p>
              </w:tc>
            </w:tr>
            <w:tr w14:paraId="2F26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586" w:type="pct"/>
                  <w:vMerge w:val="restart"/>
                  <w:noWrap w:val="0"/>
                  <w:vAlign w:val="center"/>
                </w:tcPr>
                <w:p w14:paraId="6761FD7C">
                  <w:pPr>
                    <w:keepNext w:val="0"/>
                    <w:keepLines w:val="0"/>
                    <w:pageBreakBefore w:val="0"/>
                    <w:widowControl/>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r>
                    <w:rPr>
                      <w:rFonts w:hint="default" w:ascii="Times New Roman" w:hAnsi="Times New Roman" w:cs="Times New Roman"/>
                      <w:kern w:val="0"/>
                      <w:sz w:val="21"/>
                      <w:szCs w:val="20"/>
                    </w:rPr>
                    <w:t>ZH41082320001</w:t>
                  </w:r>
                </w:p>
              </w:tc>
              <w:tc>
                <w:tcPr>
                  <w:tcW w:w="524" w:type="pct"/>
                  <w:vMerge w:val="restart"/>
                  <w:noWrap w:val="0"/>
                  <w:vAlign w:val="center"/>
                </w:tcPr>
                <w:p w14:paraId="50782ABD">
                  <w:pPr>
                    <w:keepNext w:val="0"/>
                    <w:keepLines w:val="0"/>
                    <w:pageBreakBefore w:val="0"/>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r>
                    <w:rPr>
                      <w:rFonts w:hint="default" w:ascii="Times New Roman" w:hAnsi="Times New Roman" w:cs="Times New Roman"/>
                      <w:kern w:val="0"/>
                      <w:sz w:val="21"/>
                      <w:szCs w:val="20"/>
                    </w:rPr>
                    <w:t>武陟经济技术开发区</w:t>
                  </w:r>
                </w:p>
              </w:tc>
              <w:tc>
                <w:tcPr>
                  <w:tcW w:w="508" w:type="pct"/>
                  <w:vMerge w:val="restart"/>
                  <w:noWrap w:val="0"/>
                  <w:vAlign w:val="center"/>
                </w:tcPr>
                <w:p w14:paraId="4E531D95">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r>
                    <w:rPr>
                      <w:rFonts w:hint="default" w:ascii="Times New Roman" w:hAnsi="Times New Roman" w:cs="Times New Roman"/>
                      <w:kern w:val="0"/>
                      <w:sz w:val="21"/>
                      <w:szCs w:val="20"/>
                    </w:rPr>
                    <w:t>重点</w:t>
                  </w:r>
                </w:p>
              </w:tc>
              <w:tc>
                <w:tcPr>
                  <w:tcW w:w="459" w:type="pct"/>
                  <w:noWrap w:val="0"/>
                  <w:vAlign w:val="center"/>
                </w:tcPr>
                <w:p w14:paraId="356D3C80">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r>
                    <w:rPr>
                      <w:rFonts w:hint="default" w:ascii="Times New Roman" w:hAnsi="Times New Roman" w:cs="Times New Roman"/>
                      <w:kern w:val="0"/>
                      <w:sz w:val="21"/>
                      <w:szCs w:val="20"/>
                    </w:rPr>
                    <w:t>空间布局约束</w:t>
                  </w:r>
                </w:p>
              </w:tc>
              <w:tc>
                <w:tcPr>
                  <w:tcW w:w="1622" w:type="pct"/>
                  <w:noWrap w:val="0"/>
                  <w:vAlign w:val="center"/>
                </w:tcPr>
                <w:p w14:paraId="5E782514">
                  <w:pPr>
                    <w:keepNext w:val="0"/>
                    <w:keepLines w:val="0"/>
                    <w:pageBreakBefore w:val="0"/>
                    <w:widowControl/>
                    <w:numPr>
                      <w:ilvl w:val="0"/>
                      <w:numId w:val="0"/>
                    </w:numPr>
                    <w:kinsoku/>
                    <w:overflowPunct/>
                    <w:autoSpaceDE/>
                    <w:autoSpaceDN/>
                    <w:bidi w:val="0"/>
                    <w:adjustRightInd/>
                    <w:snapToGrid/>
                    <w:spacing w:line="360" w:lineRule="exact"/>
                    <w:ind w:firstLine="0" w:firstLineChars="0"/>
                    <w:jc w:val="left"/>
                    <w:rPr>
                      <w:rFonts w:hint="default" w:ascii="Times New Roman" w:hAnsi="Times New Roman" w:cs="Times New Roman"/>
                      <w:kern w:val="0"/>
                      <w:sz w:val="21"/>
                      <w:szCs w:val="20"/>
                    </w:rPr>
                  </w:pPr>
                  <w:r>
                    <w:rPr>
                      <w:rFonts w:hint="default" w:ascii="Times New Roman" w:hAnsi="Times New Roman" w:eastAsia="宋体" w:cs="Times New Roman"/>
                      <w:kern w:val="0"/>
                      <w:sz w:val="21"/>
                      <w:szCs w:val="20"/>
                      <w:lang w:val="en-US" w:eastAsia="zh-CN" w:bidi="ar-SA"/>
                    </w:rPr>
                    <w:t>1、</w:t>
                  </w:r>
                  <w:r>
                    <w:rPr>
                      <w:rFonts w:hint="default" w:ascii="Times New Roman" w:hAnsi="Times New Roman" w:cs="Times New Roman"/>
                      <w:kern w:val="0"/>
                      <w:sz w:val="21"/>
                      <w:szCs w:val="20"/>
                    </w:rPr>
                    <w:t>禁止开发建设的活动要求：禁止不符合产业定位及规划环评要求的项目入驻。</w:t>
                  </w:r>
                </w:p>
                <w:p w14:paraId="67251360">
                  <w:pPr>
                    <w:keepNext w:val="0"/>
                    <w:keepLines w:val="0"/>
                    <w:pageBreakBefore w:val="0"/>
                    <w:widowControl/>
                    <w:numPr>
                      <w:ilvl w:val="0"/>
                      <w:numId w:val="0"/>
                    </w:numPr>
                    <w:kinsoku/>
                    <w:overflowPunct/>
                    <w:autoSpaceDE/>
                    <w:autoSpaceDN/>
                    <w:bidi w:val="0"/>
                    <w:adjustRightInd/>
                    <w:snapToGrid/>
                    <w:spacing w:line="360" w:lineRule="exact"/>
                    <w:jc w:val="left"/>
                    <w:rPr>
                      <w:rFonts w:hint="default" w:ascii="Times New Roman" w:hAnsi="Times New Roman" w:cs="Times New Roman"/>
                      <w:kern w:val="0"/>
                      <w:sz w:val="21"/>
                      <w:szCs w:val="20"/>
                    </w:rPr>
                  </w:pPr>
                  <w:r>
                    <w:rPr>
                      <w:rFonts w:hint="default" w:ascii="Times New Roman" w:hAnsi="Times New Roman" w:cs="Times New Roman"/>
                      <w:kern w:val="0"/>
                      <w:sz w:val="21"/>
                      <w:szCs w:val="20"/>
                    </w:rPr>
                    <w:t>2、允许开发建设活动的要求：鼓励装备制造、现代制品及印刷包装和生物医药产业。</w:t>
                  </w:r>
                </w:p>
                <w:p w14:paraId="2E4BCB0E">
                  <w:pPr>
                    <w:keepNext w:val="0"/>
                    <w:keepLines w:val="0"/>
                    <w:pageBreakBefore w:val="0"/>
                    <w:widowControl/>
                    <w:numPr>
                      <w:ilvl w:val="0"/>
                      <w:numId w:val="0"/>
                    </w:numPr>
                    <w:kinsoku/>
                    <w:overflowPunct/>
                    <w:autoSpaceDE/>
                    <w:autoSpaceDN/>
                    <w:bidi w:val="0"/>
                    <w:adjustRightInd/>
                    <w:snapToGrid/>
                    <w:spacing w:line="360" w:lineRule="exact"/>
                    <w:jc w:val="left"/>
                    <w:rPr>
                      <w:rFonts w:hint="default" w:ascii="Times New Roman" w:hAnsi="Times New Roman" w:cs="Times New Roman"/>
                      <w:kern w:val="0"/>
                      <w:sz w:val="21"/>
                      <w:szCs w:val="20"/>
                    </w:rPr>
                  </w:pPr>
                  <w:r>
                    <w:rPr>
                      <w:rFonts w:hint="default" w:ascii="Times New Roman" w:hAnsi="Times New Roman" w:cs="Times New Roman"/>
                      <w:kern w:val="0"/>
                      <w:sz w:val="21"/>
                      <w:szCs w:val="20"/>
                    </w:rPr>
                    <w:t>3、严格落实规划环评及批复文件要求，规划调整修编时应同步开展规划环评。</w:t>
                  </w:r>
                </w:p>
              </w:tc>
              <w:tc>
                <w:tcPr>
                  <w:tcW w:w="1299" w:type="pct"/>
                  <w:noWrap w:val="0"/>
                  <w:vAlign w:val="center"/>
                </w:tcPr>
                <w:p w14:paraId="363C142D">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sz w:val="21"/>
                    </w:rPr>
                  </w:pPr>
                  <w:r>
                    <w:rPr>
                      <w:rFonts w:hint="default" w:ascii="Times New Roman" w:hAnsi="Times New Roman" w:cs="Times New Roman"/>
                      <w:sz w:val="21"/>
                    </w:rPr>
                    <w:t>1、本项目属于</w:t>
                  </w:r>
                  <w:r>
                    <w:rPr>
                      <w:rFonts w:hint="eastAsia" w:cs="Times New Roman"/>
                      <w:sz w:val="21"/>
                      <w:lang w:eastAsia="zh-CN"/>
                    </w:rPr>
                    <w:t>日用塑料制品制造</w:t>
                  </w:r>
                  <w:r>
                    <w:rPr>
                      <w:rFonts w:hint="default" w:ascii="Times New Roman" w:hAnsi="Times New Roman" w:cs="Times New Roman"/>
                      <w:sz w:val="21"/>
                    </w:rPr>
                    <w:t>，</w:t>
                  </w:r>
                  <w:r>
                    <w:rPr>
                      <w:rFonts w:hint="eastAsia" w:cs="Times New Roman"/>
                      <w:sz w:val="21"/>
                      <w:lang w:eastAsia="zh-CN"/>
                    </w:rPr>
                    <w:t>属于允许建设项目，</w:t>
                  </w:r>
                  <w:r>
                    <w:rPr>
                      <w:rFonts w:hint="default" w:ascii="Times New Roman" w:hAnsi="Times New Roman" w:cs="Times New Roman"/>
                      <w:sz w:val="21"/>
                    </w:rPr>
                    <w:t>符合武陟经济技术开发区</w:t>
                  </w:r>
                  <w:r>
                    <w:rPr>
                      <w:rFonts w:hint="eastAsia" w:cs="Times New Roman"/>
                      <w:sz w:val="21"/>
                      <w:lang w:eastAsia="zh-CN"/>
                    </w:rPr>
                    <w:t>东部</w:t>
                  </w:r>
                  <w:r>
                    <w:rPr>
                      <w:rFonts w:hint="default" w:ascii="Times New Roman" w:hAnsi="Times New Roman" w:cs="Times New Roman"/>
                      <w:sz w:val="21"/>
                    </w:rPr>
                    <w:t>园区规划环评要求</w:t>
                  </w:r>
                  <w:r>
                    <w:rPr>
                      <w:rFonts w:hint="eastAsia" w:cs="Times New Roman"/>
                      <w:sz w:val="21"/>
                      <w:lang w:eastAsia="zh-CN"/>
                    </w:rPr>
                    <w:t>，同时已取得</w:t>
                  </w:r>
                  <w:r>
                    <w:rPr>
                      <w:rFonts w:hint="default" w:ascii="Times New Roman" w:hAnsi="Times New Roman" w:cs="Times New Roman"/>
                      <w:sz w:val="21"/>
                    </w:rPr>
                    <w:t>武陟经济技术开发区管理委员会</w:t>
                  </w:r>
                  <w:r>
                    <w:rPr>
                      <w:rFonts w:hint="default" w:ascii="Times New Roman" w:hAnsi="Times New Roman" w:cs="Times New Roman"/>
                      <w:sz w:val="21"/>
                      <w:highlight w:val="none"/>
                    </w:rPr>
                    <w:t>企业服务局出具同意入驻</w:t>
                  </w:r>
                  <w:r>
                    <w:rPr>
                      <w:rFonts w:hint="eastAsia" w:cs="Times New Roman"/>
                      <w:sz w:val="21"/>
                      <w:highlight w:val="none"/>
                      <w:lang w:eastAsia="zh-CN"/>
                    </w:rPr>
                    <w:t>的</w:t>
                  </w:r>
                  <w:r>
                    <w:rPr>
                      <w:rFonts w:hint="default" w:ascii="Times New Roman" w:hAnsi="Times New Roman" w:cs="Times New Roman"/>
                      <w:sz w:val="21"/>
                      <w:highlight w:val="none"/>
                    </w:rPr>
                    <w:t>证明</w:t>
                  </w:r>
                  <w:r>
                    <w:rPr>
                      <w:rFonts w:hint="default" w:ascii="Times New Roman" w:hAnsi="Times New Roman" w:cs="Times New Roman"/>
                      <w:sz w:val="21"/>
                    </w:rPr>
                    <w:t>。</w:t>
                  </w:r>
                </w:p>
                <w:p w14:paraId="27DF361B">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sz w:val="21"/>
                    </w:rPr>
                  </w:pPr>
                  <w:r>
                    <w:rPr>
                      <w:rFonts w:hint="default" w:ascii="Times New Roman" w:hAnsi="Times New Roman" w:cs="Times New Roman"/>
                      <w:sz w:val="21"/>
                    </w:rPr>
                    <w:t>2、项目已在武陟经济技术开发区管理委员会</w:t>
                  </w:r>
                  <w:r>
                    <w:rPr>
                      <w:rFonts w:hint="eastAsia" w:cs="Times New Roman"/>
                      <w:sz w:val="21"/>
                      <w:lang w:eastAsia="zh-CN"/>
                    </w:rPr>
                    <w:t>经济发展局</w:t>
                  </w:r>
                  <w:r>
                    <w:rPr>
                      <w:rFonts w:hint="default" w:ascii="Times New Roman" w:hAnsi="Times New Roman" w:cs="Times New Roman"/>
                      <w:sz w:val="21"/>
                    </w:rPr>
                    <w:t>进行备案，</w:t>
                  </w:r>
                  <w:r>
                    <w:rPr>
                      <w:rFonts w:hint="default" w:ascii="Times New Roman" w:hAnsi="Times New Roman" w:cs="Times New Roman"/>
                      <w:sz w:val="21"/>
                      <w:highlight w:val="none"/>
                    </w:rPr>
                    <w:t>并取得</w:t>
                  </w:r>
                  <w:r>
                    <w:rPr>
                      <w:rFonts w:hint="default" w:ascii="Times New Roman" w:hAnsi="Times New Roman" w:cs="Times New Roman"/>
                      <w:sz w:val="21"/>
                    </w:rPr>
                    <w:t>武陟经济技术开发区管理委员会</w:t>
                  </w:r>
                  <w:r>
                    <w:rPr>
                      <w:rFonts w:hint="default" w:ascii="Times New Roman" w:hAnsi="Times New Roman" w:cs="Times New Roman"/>
                      <w:sz w:val="21"/>
                      <w:highlight w:val="none"/>
                    </w:rPr>
                    <w:t>企业服务局出具同意入驻</w:t>
                  </w:r>
                  <w:r>
                    <w:rPr>
                      <w:rFonts w:hint="eastAsia" w:cs="Times New Roman"/>
                      <w:sz w:val="21"/>
                      <w:highlight w:val="none"/>
                      <w:lang w:eastAsia="zh-CN"/>
                    </w:rPr>
                    <w:t>的</w:t>
                  </w:r>
                  <w:r>
                    <w:rPr>
                      <w:rFonts w:hint="default" w:ascii="Times New Roman" w:hAnsi="Times New Roman" w:cs="Times New Roman"/>
                      <w:sz w:val="21"/>
                      <w:highlight w:val="none"/>
                    </w:rPr>
                    <w:t>证明。</w:t>
                  </w:r>
                </w:p>
                <w:p w14:paraId="7ACCC3A8">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eastAsia="宋体" w:cs="Times New Roman"/>
                      <w:sz w:val="21"/>
                      <w:lang w:val="en-US" w:eastAsia="zh-CN"/>
                    </w:rPr>
                  </w:pPr>
                  <w:r>
                    <w:rPr>
                      <w:rFonts w:hint="eastAsia" w:cs="Times New Roman"/>
                      <w:sz w:val="21"/>
                      <w:szCs w:val="21"/>
                      <w:lang w:val="en-US" w:eastAsia="zh-CN"/>
                    </w:rPr>
                    <w:t>3、本项目要求</w:t>
                  </w:r>
                  <w:r>
                    <w:rPr>
                      <w:rFonts w:hint="default" w:ascii="Times New Roman" w:hAnsi="Times New Roman" w:cs="Times New Roman"/>
                      <w:kern w:val="0"/>
                      <w:sz w:val="21"/>
                      <w:szCs w:val="18"/>
                      <w:lang w:val="zh-CN"/>
                    </w:rPr>
                    <w:t>严格落实规划环评及批复文件要求</w:t>
                  </w:r>
                  <w:r>
                    <w:rPr>
                      <w:rFonts w:hint="eastAsia" w:ascii="Times New Roman" w:hAnsi="Times New Roman" w:cs="Times New Roman"/>
                      <w:kern w:val="0"/>
                      <w:sz w:val="21"/>
                      <w:szCs w:val="18"/>
                      <w:lang w:val="zh-CN"/>
                    </w:rPr>
                    <w:t>。</w:t>
                  </w:r>
                </w:p>
              </w:tc>
            </w:tr>
            <w:tr w14:paraId="70698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86" w:type="pct"/>
                  <w:vMerge w:val="continue"/>
                  <w:noWrap w:val="0"/>
                  <w:vAlign w:val="center"/>
                </w:tcPr>
                <w:p w14:paraId="1D874ED0">
                  <w:pPr>
                    <w:keepNext w:val="0"/>
                    <w:keepLines w:val="0"/>
                    <w:pageBreakBefore w:val="0"/>
                    <w:widowControl/>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p>
              </w:tc>
              <w:tc>
                <w:tcPr>
                  <w:tcW w:w="524" w:type="pct"/>
                  <w:vMerge w:val="continue"/>
                  <w:noWrap w:val="0"/>
                  <w:vAlign w:val="center"/>
                </w:tcPr>
                <w:p w14:paraId="616F66BB">
                  <w:pPr>
                    <w:keepNext w:val="0"/>
                    <w:keepLines w:val="0"/>
                    <w:pageBreakBefore w:val="0"/>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p>
              </w:tc>
              <w:tc>
                <w:tcPr>
                  <w:tcW w:w="508" w:type="pct"/>
                  <w:vMerge w:val="continue"/>
                  <w:noWrap w:val="0"/>
                  <w:vAlign w:val="center"/>
                </w:tcPr>
                <w:p w14:paraId="1E02A926">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p>
              </w:tc>
              <w:tc>
                <w:tcPr>
                  <w:tcW w:w="459" w:type="pct"/>
                  <w:noWrap w:val="0"/>
                  <w:vAlign w:val="center"/>
                </w:tcPr>
                <w:p w14:paraId="78333E7B">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r>
                    <w:rPr>
                      <w:rFonts w:hint="default" w:ascii="Times New Roman" w:hAnsi="Times New Roman" w:cs="Times New Roman"/>
                      <w:kern w:val="0"/>
                      <w:sz w:val="21"/>
                      <w:szCs w:val="20"/>
                    </w:rPr>
                    <w:t>污染物排放管控</w:t>
                  </w:r>
                </w:p>
              </w:tc>
              <w:tc>
                <w:tcPr>
                  <w:tcW w:w="1622" w:type="pct"/>
                  <w:noWrap w:val="0"/>
                  <w:vAlign w:val="center"/>
                </w:tcPr>
                <w:p w14:paraId="0730966D">
                  <w:pPr>
                    <w:keepNext w:val="0"/>
                    <w:keepLines w:val="0"/>
                    <w:pageBreakBefore w:val="0"/>
                    <w:widowControl/>
                    <w:numPr>
                      <w:ilvl w:val="0"/>
                      <w:numId w:val="4"/>
                    </w:numPr>
                    <w:kinsoku/>
                    <w:overflowPunct/>
                    <w:autoSpaceDE/>
                    <w:autoSpaceDN/>
                    <w:bidi w:val="0"/>
                    <w:adjustRightInd/>
                    <w:snapToGrid/>
                    <w:spacing w:line="360" w:lineRule="exact"/>
                    <w:ind w:firstLine="0" w:firstLineChars="0"/>
                    <w:jc w:val="left"/>
                    <w:rPr>
                      <w:rFonts w:hint="default" w:ascii="Times New Roman" w:hAnsi="Times New Roman" w:cs="Times New Roman"/>
                      <w:kern w:val="0"/>
                      <w:sz w:val="21"/>
                      <w:szCs w:val="20"/>
                    </w:rPr>
                  </w:pPr>
                  <w:r>
                    <w:rPr>
                      <w:rFonts w:hint="default" w:ascii="Times New Roman" w:hAnsi="Times New Roman" w:cs="Times New Roman"/>
                      <w:kern w:val="0"/>
                      <w:sz w:val="21"/>
                      <w:szCs w:val="20"/>
                    </w:rPr>
                    <w:t>大气：严格执行污染物排放总量控制制度，采取调整能源结构、加强污染治理等措施，严格控制烟粉尘、二氧化硫、氮氧化物、VOCs等大气污染物的排放。</w:t>
                  </w:r>
                </w:p>
                <w:p w14:paraId="3CDF0D1F">
                  <w:pPr>
                    <w:keepNext w:val="0"/>
                    <w:keepLines w:val="0"/>
                    <w:pageBreakBefore w:val="0"/>
                    <w:widowControl/>
                    <w:numPr>
                      <w:ilvl w:val="0"/>
                      <w:numId w:val="4"/>
                    </w:numPr>
                    <w:kinsoku/>
                    <w:overflowPunct/>
                    <w:autoSpaceDE/>
                    <w:autoSpaceDN/>
                    <w:bidi w:val="0"/>
                    <w:adjustRightInd/>
                    <w:snapToGrid/>
                    <w:spacing w:line="360" w:lineRule="exact"/>
                    <w:ind w:left="0" w:leftChars="0" w:firstLine="0" w:firstLineChars="0"/>
                    <w:jc w:val="both"/>
                    <w:rPr>
                      <w:rFonts w:hint="default" w:ascii="Times New Roman" w:hAnsi="Times New Roman" w:cs="Times New Roman"/>
                      <w:kern w:val="0"/>
                      <w:sz w:val="21"/>
                      <w:szCs w:val="20"/>
                    </w:rPr>
                  </w:pPr>
                  <w:r>
                    <w:rPr>
                      <w:rFonts w:hint="default" w:ascii="Times New Roman" w:hAnsi="Times New Roman" w:cs="Times New Roman"/>
                      <w:kern w:val="0"/>
                      <w:sz w:val="21"/>
                      <w:szCs w:val="20"/>
                    </w:rPr>
                    <w:t>污水处理厂出水执行《城镇污水处理厂污染物排放标准》(GB18918-2002)级A标准。</w:t>
                  </w:r>
                </w:p>
                <w:p w14:paraId="028D472E">
                  <w:pPr>
                    <w:keepNext w:val="0"/>
                    <w:keepLines w:val="0"/>
                    <w:pageBreakBefore w:val="0"/>
                    <w:widowControl/>
                    <w:numPr>
                      <w:ilvl w:val="0"/>
                      <w:numId w:val="0"/>
                    </w:numPr>
                    <w:kinsoku/>
                    <w:overflowPunct/>
                    <w:autoSpaceDE/>
                    <w:autoSpaceDN/>
                    <w:bidi w:val="0"/>
                    <w:adjustRightInd/>
                    <w:snapToGrid/>
                    <w:spacing w:line="360" w:lineRule="exact"/>
                    <w:ind w:leftChars="0"/>
                    <w:jc w:val="both"/>
                    <w:rPr>
                      <w:rFonts w:hint="default" w:ascii="Times New Roman" w:hAnsi="Times New Roman" w:cs="Times New Roman"/>
                      <w:kern w:val="0"/>
                      <w:sz w:val="21"/>
                      <w:szCs w:val="20"/>
                    </w:rPr>
                  </w:pPr>
                  <w:r>
                    <w:rPr>
                      <w:rFonts w:hint="default" w:ascii="Times New Roman" w:hAnsi="Times New Roman" w:cs="Times New Roman"/>
                      <w:kern w:val="0"/>
                      <w:sz w:val="21"/>
                      <w:szCs w:val="20"/>
                    </w:rPr>
                    <w:t>3、新建“两高”项目应按照《关于加强重点行业建设项日区域削减措施监督管理的通知》要求，依据区域环境质量改善目标，制定配套区域污染物削减方案，采取有效的污染物区域削减措施，腾出足够的环境容量。已出台超低排放要求的“两高”行业建设项目应满足超低排放要求。</w:t>
                  </w:r>
                </w:p>
              </w:tc>
              <w:tc>
                <w:tcPr>
                  <w:tcW w:w="1299" w:type="pct"/>
                  <w:noWrap w:val="0"/>
                  <w:vAlign w:val="center"/>
                </w:tcPr>
                <w:p w14:paraId="73C75DB1">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eastAsia" w:ascii="Times New Roman" w:hAnsi="Times New Roman" w:eastAsia="宋体" w:cs="Times New Roman"/>
                      <w:color w:val="000000"/>
                      <w:kern w:val="0"/>
                      <w:sz w:val="21"/>
                      <w:szCs w:val="21"/>
                      <w:lang w:eastAsia="zh-CN" w:bidi="ar"/>
                    </w:rPr>
                  </w:pPr>
                  <w:r>
                    <w:rPr>
                      <w:rFonts w:hint="default" w:ascii="Times New Roman" w:hAnsi="Times New Roman" w:cs="Times New Roman"/>
                      <w:color w:val="000000"/>
                      <w:kern w:val="0"/>
                      <w:sz w:val="21"/>
                      <w:szCs w:val="21"/>
                      <w:lang w:bidi="ar"/>
                    </w:rPr>
                    <w:t>1、本项目严格执行污染物排放总量控</w:t>
                  </w:r>
                  <w:r>
                    <w:rPr>
                      <w:rFonts w:hint="default" w:ascii="Times New Roman" w:hAnsi="Times New Roman" w:cs="Times New Roman"/>
                      <w:color w:val="000000"/>
                      <w:kern w:val="0"/>
                      <w:sz w:val="21"/>
                      <w:szCs w:val="21"/>
                      <w:highlight w:val="none"/>
                      <w:lang w:bidi="ar"/>
                    </w:rPr>
                    <w:t>制制度；项目产生的</w:t>
                  </w:r>
                  <w:r>
                    <w:rPr>
                      <w:rFonts w:hint="eastAsia" w:cs="Times New Roman"/>
                      <w:color w:val="000000"/>
                      <w:kern w:val="0"/>
                      <w:sz w:val="21"/>
                      <w:szCs w:val="21"/>
                      <w:highlight w:val="none"/>
                      <w:lang w:eastAsia="zh-CN" w:bidi="ar"/>
                    </w:rPr>
                    <w:t>非甲烷总烃、苯乙烯</w:t>
                  </w:r>
                  <w:r>
                    <w:rPr>
                      <w:rFonts w:hint="default" w:ascii="Times New Roman" w:hAnsi="Times New Roman" w:cs="Times New Roman"/>
                      <w:color w:val="000000"/>
                      <w:kern w:val="0"/>
                      <w:sz w:val="21"/>
                      <w:szCs w:val="21"/>
                      <w:lang w:bidi="ar"/>
                    </w:rPr>
                    <w:t>严格执行大气污染物特别排放限值</w:t>
                  </w:r>
                  <w:r>
                    <w:rPr>
                      <w:rFonts w:hint="eastAsia" w:ascii="Times New Roman" w:hAnsi="Times New Roman" w:cs="Times New Roman"/>
                      <w:color w:val="000000"/>
                      <w:kern w:val="0"/>
                      <w:sz w:val="21"/>
                      <w:szCs w:val="21"/>
                      <w:lang w:eastAsia="zh-CN" w:bidi="ar"/>
                    </w:rPr>
                    <w:t>。</w:t>
                  </w:r>
                </w:p>
                <w:p w14:paraId="0F705161">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kern w:val="0"/>
                      <w:sz w:val="21"/>
                      <w:szCs w:val="20"/>
                    </w:rPr>
                  </w:pPr>
                  <w:r>
                    <w:rPr>
                      <w:rFonts w:hint="default" w:ascii="Times New Roman" w:hAnsi="Times New Roman" w:cs="Times New Roman"/>
                      <w:color w:val="000000"/>
                      <w:kern w:val="0"/>
                      <w:sz w:val="21"/>
                      <w:szCs w:val="21"/>
                      <w:lang w:bidi="ar"/>
                    </w:rPr>
                    <w:t>2、项目外排废水</w:t>
                  </w:r>
                  <w:r>
                    <w:rPr>
                      <w:rFonts w:hint="eastAsia" w:cs="Times New Roman"/>
                      <w:color w:val="000000"/>
                      <w:kern w:val="0"/>
                      <w:sz w:val="21"/>
                      <w:szCs w:val="21"/>
                      <w:lang w:eastAsia="zh-CN" w:bidi="ar"/>
                    </w:rPr>
                    <w:t>仅</w:t>
                  </w:r>
                  <w:r>
                    <w:rPr>
                      <w:rFonts w:hint="default" w:ascii="Times New Roman" w:hAnsi="Times New Roman" w:cs="Times New Roman"/>
                      <w:color w:val="000000"/>
                      <w:kern w:val="0"/>
                      <w:sz w:val="21"/>
                      <w:szCs w:val="21"/>
                      <w:lang w:eastAsia="zh-CN" w:bidi="ar"/>
                    </w:rPr>
                    <w:t>涉及生活污水</w:t>
                  </w:r>
                  <w:r>
                    <w:rPr>
                      <w:rFonts w:hint="eastAsia" w:cs="Times New Roman"/>
                      <w:color w:val="000000"/>
                      <w:kern w:val="0"/>
                      <w:sz w:val="21"/>
                      <w:szCs w:val="21"/>
                      <w:lang w:eastAsia="zh-CN" w:bidi="ar"/>
                    </w:rPr>
                    <w:t>，</w:t>
                  </w:r>
                  <w:r>
                    <w:rPr>
                      <w:rFonts w:hint="default" w:ascii="Times New Roman" w:hAnsi="Times New Roman" w:cs="Times New Roman"/>
                      <w:color w:val="000000"/>
                      <w:kern w:val="0"/>
                      <w:sz w:val="21"/>
                      <w:szCs w:val="21"/>
                      <w:lang w:bidi="ar"/>
                    </w:rPr>
                    <w:t>通过</w:t>
                  </w:r>
                  <w:r>
                    <w:rPr>
                      <w:rFonts w:hint="eastAsia" w:cs="Times New Roman"/>
                      <w:color w:val="000000"/>
                      <w:kern w:val="0"/>
                      <w:sz w:val="21"/>
                      <w:szCs w:val="21"/>
                      <w:lang w:eastAsia="zh-CN" w:bidi="ar"/>
                    </w:rPr>
                    <w:t>产业园区污水</w:t>
                  </w:r>
                  <w:r>
                    <w:rPr>
                      <w:rFonts w:hint="default" w:ascii="Times New Roman" w:hAnsi="Times New Roman" w:cs="Times New Roman"/>
                      <w:color w:val="000000"/>
                      <w:kern w:val="0"/>
                      <w:sz w:val="21"/>
                      <w:szCs w:val="21"/>
                      <w:lang w:bidi="ar"/>
                    </w:rPr>
                    <w:t>管网</w:t>
                  </w:r>
                  <w:r>
                    <w:rPr>
                      <w:rFonts w:hint="eastAsia" w:cs="Times New Roman"/>
                      <w:color w:val="000000"/>
                      <w:kern w:val="0"/>
                      <w:sz w:val="21"/>
                      <w:szCs w:val="21"/>
                      <w:lang w:eastAsia="zh-CN" w:bidi="ar"/>
                    </w:rPr>
                    <w:t>排入詹店镇</w:t>
                  </w:r>
                  <w:r>
                    <w:rPr>
                      <w:rFonts w:hint="default" w:ascii="Times New Roman" w:hAnsi="Times New Roman" w:cs="Times New Roman"/>
                      <w:color w:val="000000"/>
                      <w:kern w:val="0"/>
                      <w:sz w:val="21"/>
                      <w:szCs w:val="21"/>
                      <w:lang w:bidi="ar"/>
                    </w:rPr>
                    <w:t>污水处理厂进行处理，</w:t>
                  </w:r>
                  <w:r>
                    <w:rPr>
                      <w:rFonts w:hint="default" w:ascii="Times New Roman" w:hAnsi="Times New Roman" w:cs="Times New Roman"/>
                      <w:kern w:val="0"/>
                      <w:sz w:val="21"/>
                      <w:szCs w:val="20"/>
                    </w:rPr>
                    <w:t>污水处理厂出水执行《城镇污水处理厂污染物排放标准》(GB18918-2002)</w:t>
                  </w:r>
                  <w:r>
                    <w:rPr>
                      <w:rFonts w:hint="eastAsia" w:cs="Times New Roman"/>
                      <w:kern w:val="0"/>
                      <w:sz w:val="21"/>
                      <w:szCs w:val="20"/>
                      <w:lang w:eastAsia="zh-CN"/>
                    </w:rPr>
                    <w:t>一</w:t>
                  </w:r>
                  <w:r>
                    <w:rPr>
                      <w:rFonts w:hint="default" w:ascii="Times New Roman" w:hAnsi="Times New Roman" w:cs="Times New Roman"/>
                      <w:kern w:val="0"/>
                      <w:sz w:val="21"/>
                      <w:szCs w:val="20"/>
                    </w:rPr>
                    <w:t>级A标准。</w:t>
                  </w:r>
                </w:p>
                <w:p w14:paraId="586BA45E">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left"/>
                    <w:textAlignment w:val="auto"/>
                    <w:rPr>
                      <w:rFonts w:hint="default" w:ascii="Times New Roman" w:hAnsi="Times New Roman" w:cs="Times New Roman"/>
                      <w:sz w:val="21"/>
                      <w:highlight w:val="yellow"/>
                    </w:rPr>
                  </w:pPr>
                  <w:r>
                    <w:rPr>
                      <w:rFonts w:hint="eastAsia" w:cs="Times New Roman"/>
                      <w:kern w:val="0"/>
                      <w:sz w:val="21"/>
                      <w:szCs w:val="21"/>
                      <w:lang w:val="en-US" w:eastAsia="zh-CN"/>
                    </w:rPr>
                    <w:t>3、本项目不属于《关于印发河南省“两高”项目管理目录（2023 年修订）的通知》（豫发改环资〔2023〕38号）中的行业类别。</w:t>
                  </w:r>
                </w:p>
              </w:tc>
            </w:tr>
            <w:tr w14:paraId="23A3B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86" w:type="pct"/>
                  <w:vMerge w:val="continue"/>
                  <w:noWrap w:val="0"/>
                  <w:vAlign w:val="center"/>
                </w:tcPr>
                <w:p w14:paraId="3D60BF6E">
                  <w:pPr>
                    <w:keepNext w:val="0"/>
                    <w:keepLines w:val="0"/>
                    <w:pageBreakBefore w:val="0"/>
                    <w:widowControl/>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p>
              </w:tc>
              <w:tc>
                <w:tcPr>
                  <w:tcW w:w="524" w:type="pct"/>
                  <w:vMerge w:val="continue"/>
                  <w:noWrap w:val="0"/>
                  <w:vAlign w:val="center"/>
                </w:tcPr>
                <w:p w14:paraId="1B075EB1">
                  <w:pPr>
                    <w:keepNext w:val="0"/>
                    <w:keepLines w:val="0"/>
                    <w:pageBreakBefore w:val="0"/>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p>
              </w:tc>
              <w:tc>
                <w:tcPr>
                  <w:tcW w:w="508" w:type="pct"/>
                  <w:vMerge w:val="continue"/>
                  <w:noWrap w:val="0"/>
                  <w:vAlign w:val="center"/>
                </w:tcPr>
                <w:p w14:paraId="72EC2497">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p>
              </w:tc>
              <w:tc>
                <w:tcPr>
                  <w:tcW w:w="459" w:type="pct"/>
                  <w:noWrap w:val="0"/>
                  <w:vAlign w:val="center"/>
                </w:tcPr>
                <w:p w14:paraId="763177C0">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r>
                    <w:rPr>
                      <w:rFonts w:hint="default" w:ascii="Times New Roman" w:hAnsi="Times New Roman" w:cs="Times New Roman"/>
                      <w:kern w:val="0"/>
                      <w:sz w:val="21"/>
                      <w:szCs w:val="20"/>
                    </w:rPr>
                    <w:t>环境风险防控</w:t>
                  </w:r>
                </w:p>
              </w:tc>
              <w:tc>
                <w:tcPr>
                  <w:tcW w:w="1622" w:type="pct"/>
                  <w:noWrap w:val="0"/>
                  <w:vAlign w:val="center"/>
                </w:tcPr>
                <w:p w14:paraId="0CDFD786">
                  <w:pPr>
                    <w:keepNext w:val="0"/>
                    <w:keepLines w:val="0"/>
                    <w:pageBreakBefore w:val="0"/>
                    <w:widowControl/>
                    <w:numPr>
                      <w:ilvl w:val="0"/>
                      <w:numId w:val="5"/>
                    </w:numPr>
                    <w:kinsoku/>
                    <w:overflowPunct/>
                    <w:autoSpaceDE/>
                    <w:autoSpaceDN/>
                    <w:bidi w:val="0"/>
                    <w:adjustRightInd/>
                    <w:snapToGrid/>
                    <w:spacing w:line="360" w:lineRule="exact"/>
                    <w:ind w:firstLine="0" w:firstLineChars="0"/>
                    <w:rPr>
                      <w:rFonts w:hint="default" w:ascii="Times New Roman" w:hAnsi="Times New Roman" w:cs="Times New Roman"/>
                      <w:kern w:val="0"/>
                      <w:sz w:val="21"/>
                      <w:szCs w:val="20"/>
                    </w:rPr>
                  </w:pPr>
                  <w:r>
                    <w:rPr>
                      <w:rFonts w:hint="default" w:ascii="Times New Roman" w:hAnsi="Times New Roman" w:cs="Times New Roman"/>
                      <w:kern w:val="0"/>
                      <w:sz w:val="21"/>
                      <w:szCs w:val="20"/>
                    </w:rPr>
                    <w:t>园区层面风险防控</w:t>
                  </w:r>
                  <w:r>
                    <w:rPr>
                      <w:rFonts w:hint="eastAsia" w:cs="Times New Roman"/>
                      <w:kern w:val="0"/>
                      <w:sz w:val="21"/>
                      <w:szCs w:val="20"/>
                      <w:lang w:eastAsia="zh-CN"/>
                    </w:rPr>
                    <w:t>：</w:t>
                  </w:r>
                  <w:r>
                    <w:rPr>
                      <w:rFonts w:hint="default" w:ascii="Times New Roman" w:hAnsi="Times New Roman" w:cs="Times New Roman"/>
                      <w:kern w:val="0"/>
                      <w:sz w:val="21"/>
                      <w:szCs w:val="20"/>
                    </w:rPr>
                    <w:t>加快环境风险预警体系建设，健全环境风险单位信息库，严格危险化学品管理</w:t>
                  </w:r>
                  <w:r>
                    <w:rPr>
                      <w:rFonts w:hint="eastAsia" w:cs="Times New Roman"/>
                      <w:kern w:val="0"/>
                      <w:sz w:val="21"/>
                      <w:szCs w:val="20"/>
                      <w:lang w:eastAsia="zh-CN"/>
                    </w:rPr>
                    <w:t>；</w:t>
                  </w:r>
                  <w:r>
                    <w:rPr>
                      <w:rFonts w:hint="default" w:ascii="Times New Roman" w:hAnsi="Times New Roman" w:cs="Times New Roman"/>
                      <w:kern w:val="0"/>
                      <w:sz w:val="21"/>
                      <w:szCs w:val="20"/>
                    </w:rPr>
                    <w:t>健全环境风险防控工程，建立企业、产业集聚区和周边水系环境风险防控体系。建立完善有效的环境风险防控设施和有效的拦截、降污、导流等措施，防止对地表水环境造成危害。园区管理机构应根据园区自身特点，制定园区级综合环境应急预案，有计划地组织应急培训和演练，全面提升园区风险防控和事故应急处置能力。</w:t>
                  </w:r>
                </w:p>
                <w:p w14:paraId="11621F32">
                  <w:pPr>
                    <w:keepNext w:val="0"/>
                    <w:keepLines w:val="0"/>
                    <w:pageBreakBefore w:val="0"/>
                    <w:widowControl/>
                    <w:numPr>
                      <w:ilvl w:val="0"/>
                      <w:numId w:val="5"/>
                    </w:numPr>
                    <w:kinsoku/>
                    <w:overflowPunct/>
                    <w:autoSpaceDE/>
                    <w:autoSpaceDN/>
                    <w:bidi w:val="0"/>
                    <w:adjustRightInd/>
                    <w:snapToGrid/>
                    <w:spacing w:line="360" w:lineRule="exact"/>
                    <w:ind w:left="0" w:leftChars="0" w:firstLine="0" w:firstLineChars="0"/>
                    <w:rPr>
                      <w:rFonts w:hint="default" w:ascii="Times New Roman" w:hAnsi="Times New Roman" w:cs="Times New Roman"/>
                      <w:kern w:val="0"/>
                      <w:sz w:val="21"/>
                      <w:szCs w:val="20"/>
                    </w:rPr>
                  </w:pPr>
                  <w:r>
                    <w:rPr>
                      <w:rFonts w:hint="default" w:ascii="Times New Roman" w:hAnsi="Times New Roman" w:cs="Times New Roman"/>
                      <w:kern w:val="0"/>
                      <w:sz w:val="21"/>
                      <w:szCs w:val="20"/>
                    </w:rPr>
                    <w:t>主要大企业层面风险防控</w:t>
                  </w:r>
                  <w:r>
                    <w:rPr>
                      <w:rFonts w:hint="eastAsia" w:cs="Times New Roman"/>
                      <w:kern w:val="0"/>
                      <w:sz w:val="21"/>
                      <w:szCs w:val="20"/>
                      <w:lang w:eastAsia="zh-CN"/>
                    </w:rPr>
                    <w:t>：</w:t>
                  </w:r>
                  <w:r>
                    <w:rPr>
                      <w:rFonts w:hint="default" w:ascii="Times New Roman" w:hAnsi="Times New Roman" w:cs="Times New Roman"/>
                      <w:kern w:val="0"/>
                      <w:sz w:val="21"/>
                      <w:szCs w:val="20"/>
                    </w:rPr>
                    <w:t>加强环境应急保障体系建设，园内企业应制定环境应急预案，明确环境风险防范措施。</w:t>
                  </w:r>
                </w:p>
                <w:p w14:paraId="74191A57">
                  <w:pPr>
                    <w:keepNext w:val="0"/>
                    <w:keepLines w:val="0"/>
                    <w:pageBreakBefore w:val="0"/>
                    <w:widowControl/>
                    <w:numPr>
                      <w:ilvl w:val="0"/>
                      <w:numId w:val="5"/>
                    </w:numPr>
                    <w:kinsoku/>
                    <w:overflowPunct/>
                    <w:autoSpaceDE/>
                    <w:autoSpaceDN/>
                    <w:bidi w:val="0"/>
                    <w:adjustRightInd/>
                    <w:snapToGrid/>
                    <w:spacing w:line="360" w:lineRule="exact"/>
                    <w:ind w:left="0" w:leftChars="0" w:firstLine="0" w:firstLineChars="0"/>
                    <w:rPr>
                      <w:rFonts w:hint="default" w:ascii="Times New Roman" w:hAnsi="Times New Roman" w:cs="Times New Roman"/>
                      <w:kern w:val="0"/>
                      <w:sz w:val="21"/>
                      <w:szCs w:val="20"/>
                    </w:rPr>
                  </w:pPr>
                  <w:r>
                    <w:rPr>
                      <w:rFonts w:hint="default" w:ascii="Times New Roman" w:hAnsi="Times New Roman" w:cs="Times New Roman"/>
                      <w:kern w:val="0"/>
                      <w:sz w:val="21"/>
                      <w:szCs w:val="20"/>
                    </w:rPr>
                    <w:t>利用重点行业企业用地土壤污染状况调查成果和注销、撤销排污许可的信息，将可能存在土壤污染风险的企业地块纳入监管，并按要求采取污染管控措施。</w:t>
                  </w:r>
                </w:p>
                <w:p w14:paraId="26262990">
                  <w:pPr>
                    <w:keepNext w:val="0"/>
                    <w:keepLines w:val="0"/>
                    <w:pageBreakBefore w:val="0"/>
                    <w:widowControl/>
                    <w:numPr>
                      <w:ilvl w:val="0"/>
                      <w:numId w:val="0"/>
                    </w:numPr>
                    <w:kinsoku/>
                    <w:overflowPunct/>
                    <w:autoSpaceDE/>
                    <w:autoSpaceDN/>
                    <w:bidi w:val="0"/>
                    <w:adjustRightInd/>
                    <w:snapToGrid/>
                    <w:spacing w:line="360" w:lineRule="exact"/>
                    <w:ind w:leftChars="0"/>
                    <w:rPr>
                      <w:rFonts w:hint="default" w:ascii="Times New Roman" w:hAnsi="Times New Roman" w:cs="Times New Roman"/>
                      <w:kern w:val="0"/>
                      <w:sz w:val="21"/>
                      <w:szCs w:val="20"/>
                    </w:rPr>
                  </w:pPr>
                  <w:r>
                    <w:rPr>
                      <w:rFonts w:hint="default" w:ascii="Times New Roman" w:hAnsi="Times New Roman" w:cs="Times New Roman"/>
                      <w:kern w:val="0"/>
                      <w:sz w:val="21"/>
                      <w:szCs w:val="20"/>
                    </w:rPr>
                    <w:t>4、涉及危险化学品、危险废物及可能发生突发环境事件的污染物排放企业，应按照突发环境事件应急预案备案管理办法的要求，制定完善的环境应急预案，否则应停产整改。</w:t>
                  </w:r>
                </w:p>
              </w:tc>
              <w:tc>
                <w:tcPr>
                  <w:tcW w:w="1299" w:type="pct"/>
                  <w:noWrap w:val="0"/>
                  <w:vAlign w:val="center"/>
                </w:tcPr>
                <w:p w14:paraId="44863A6E">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eastAsia" w:ascii="Times New Roman" w:hAnsi="Times New Roman" w:cs="Times New Roman"/>
                      <w:sz w:val="21"/>
                      <w:lang w:eastAsia="zh-CN"/>
                    </w:rPr>
                  </w:pPr>
                  <w:r>
                    <w:rPr>
                      <w:rFonts w:hint="default" w:ascii="Times New Roman" w:hAnsi="Times New Roman" w:cs="Times New Roman"/>
                      <w:sz w:val="21"/>
                    </w:rPr>
                    <w:t>1</w:t>
                  </w:r>
                  <w:r>
                    <w:rPr>
                      <w:rFonts w:hint="default" w:ascii="Times New Roman" w:hAnsi="Times New Roman" w:cs="Times New Roman"/>
                      <w:sz w:val="21"/>
                      <w:highlight w:val="none"/>
                    </w:rPr>
                    <w:t>、</w:t>
                  </w:r>
                  <w:r>
                    <w:rPr>
                      <w:rFonts w:hint="default" w:ascii="Times New Roman" w:hAnsi="Times New Roman" w:cs="Times New Roman"/>
                      <w:sz w:val="21"/>
                    </w:rPr>
                    <w:t>评价要求厂区建设符合要求的</w:t>
                  </w:r>
                  <w:r>
                    <w:rPr>
                      <w:rFonts w:hint="default" w:ascii="Times New Roman" w:hAnsi="Times New Roman" w:cs="Times New Roman"/>
                      <w:sz w:val="21"/>
                      <w:lang w:eastAsia="zh-CN"/>
                    </w:rPr>
                    <w:t>危废间</w:t>
                  </w:r>
                  <w:r>
                    <w:rPr>
                      <w:rFonts w:hint="default" w:ascii="Times New Roman" w:hAnsi="Times New Roman" w:cs="Times New Roman"/>
                      <w:sz w:val="21"/>
                    </w:rPr>
                    <w:t>，加快环境风险预警体系建设，</w:t>
                  </w:r>
                  <w:r>
                    <w:rPr>
                      <w:rFonts w:hint="default" w:ascii="Times New Roman" w:hAnsi="Times New Roman" w:cs="Times New Roman"/>
                      <w:kern w:val="0"/>
                      <w:sz w:val="21"/>
                      <w:szCs w:val="20"/>
                    </w:rPr>
                    <w:t>建立完善有效的环境风险防控设施和</w:t>
                  </w:r>
                  <w:r>
                    <w:rPr>
                      <w:rFonts w:hint="eastAsia" w:ascii="Times New Roman" w:hAnsi="Times New Roman" w:cs="Times New Roman"/>
                      <w:kern w:val="0"/>
                      <w:sz w:val="21"/>
                      <w:szCs w:val="20"/>
                      <w:lang w:eastAsia="zh-CN"/>
                    </w:rPr>
                    <w:t>应急预案，</w:t>
                  </w:r>
                  <w:r>
                    <w:rPr>
                      <w:rFonts w:hint="default" w:ascii="Times New Roman" w:hAnsi="Times New Roman" w:cs="Times New Roman"/>
                      <w:sz w:val="21"/>
                    </w:rPr>
                    <w:t>按照要求做好厂区内的地面防渗</w:t>
                  </w:r>
                  <w:r>
                    <w:rPr>
                      <w:rFonts w:hint="eastAsia" w:ascii="Times New Roman" w:hAnsi="Times New Roman" w:cs="Times New Roman"/>
                      <w:sz w:val="21"/>
                      <w:lang w:eastAsia="zh-CN"/>
                    </w:rPr>
                    <w:t>措施</w:t>
                  </w:r>
                  <w:r>
                    <w:rPr>
                      <w:rFonts w:hint="default" w:ascii="Times New Roman" w:hAnsi="Times New Roman" w:cs="Times New Roman"/>
                      <w:sz w:val="21"/>
                    </w:rPr>
                    <w:t>，防止对地表水和地下水环境造成危害</w:t>
                  </w:r>
                  <w:r>
                    <w:rPr>
                      <w:rFonts w:hint="eastAsia" w:ascii="Times New Roman" w:hAnsi="Times New Roman" w:cs="Times New Roman"/>
                      <w:sz w:val="21"/>
                      <w:lang w:eastAsia="zh-CN"/>
                    </w:rPr>
                    <w:t>。</w:t>
                  </w:r>
                </w:p>
                <w:p w14:paraId="3D5568D8">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eastAsia" w:ascii="Times New Roman" w:hAnsi="Times New Roman" w:eastAsia="宋体" w:cs="Times New Roman"/>
                      <w:sz w:val="21"/>
                      <w:lang w:eastAsia="zh-CN"/>
                    </w:rPr>
                  </w:pPr>
                  <w:r>
                    <w:rPr>
                      <w:rFonts w:hint="default" w:ascii="Times New Roman" w:hAnsi="Times New Roman" w:cs="Times New Roman"/>
                      <w:sz w:val="21"/>
                    </w:rPr>
                    <w:t>2</w:t>
                  </w:r>
                  <w:r>
                    <w:rPr>
                      <w:rFonts w:hint="default" w:ascii="Times New Roman" w:hAnsi="Times New Roman" w:cs="Times New Roman"/>
                      <w:sz w:val="21"/>
                      <w:lang w:eastAsia="zh-CN"/>
                    </w:rPr>
                    <w:t>、</w:t>
                  </w:r>
                  <w:r>
                    <w:rPr>
                      <w:rFonts w:hint="default" w:ascii="Times New Roman" w:hAnsi="Times New Roman" w:eastAsia="宋体" w:cs="Times New Roman"/>
                      <w:b w:val="0"/>
                      <w:bCs w:val="0"/>
                      <w:color w:val="auto"/>
                      <w:kern w:val="0"/>
                      <w:sz w:val="21"/>
                      <w:szCs w:val="20"/>
                      <w:highlight w:val="none"/>
                      <w:u w:val="none"/>
                      <w:lang w:val="en-US" w:eastAsia="zh-CN" w:bidi="ar-SA"/>
                    </w:rPr>
                    <w:t>项目建成后按照相关要求编制突发环境风险应急预案</w:t>
                  </w:r>
                  <w:r>
                    <w:rPr>
                      <w:rFonts w:hint="eastAsia" w:cs="Times New Roman"/>
                      <w:b w:val="0"/>
                      <w:bCs w:val="0"/>
                      <w:color w:val="auto"/>
                      <w:kern w:val="0"/>
                      <w:sz w:val="21"/>
                      <w:szCs w:val="20"/>
                      <w:highlight w:val="none"/>
                      <w:u w:val="none"/>
                      <w:lang w:val="en-US" w:eastAsia="zh-CN" w:bidi="ar-SA"/>
                    </w:rPr>
                    <w:t>，</w:t>
                  </w:r>
                  <w:r>
                    <w:rPr>
                      <w:rFonts w:hint="default" w:ascii="Times New Roman" w:hAnsi="Times New Roman" w:cs="Times New Roman"/>
                      <w:kern w:val="0"/>
                      <w:sz w:val="21"/>
                      <w:szCs w:val="20"/>
                    </w:rPr>
                    <w:t>有计划地组织应急培训和演练，全面提升风险防控和事故应急处置能力。</w:t>
                  </w:r>
                </w:p>
                <w:p w14:paraId="08D864D8">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sz w:val="21"/>
                    </w:rPr>
                  </w:pPr>
                  <w:r>
                    <w:rPr>
                      <w:rFonts w:hint="eastAsia" w:cs="Times New Roman"/>
                      <w:sz w:val="21"/>
                      <w:lang w:val="en-US" w:eastAsia="zh-CN"/>
                    </w:rPr>
                    <w:t>3</w:t>
                  </w:r>
                  <w:r>
                    <w:rPr>
                      <w:rFonts w:hint="default" w:ascii="Times New Roman" w:hAnsi="Times New Roman" w:cs="Times New Roman"/>
                      <w:sz w:val="21"/>
                    </w:rPr>
                    <w:t>、本项目用地为工业用地，</w:t>
                  </w:r>
                  <w:r>
                    <w:rPr>
                      <w:rFonts w:hint="eastAsia" w:cs="Times New Roman"/>
                      <w:sz w:val="21"/>
                      <w:lang w:eastAsia="zh-CN"/>
                    </w:rPr>
                    <w:t>位于武陟经开区东部园区内，</w:t>
                  </w:r>
                  <w:r>
                    <w:rPr>
                      <w:rFonts w:hint="default" w:ascii="Times New Roman" w:hAnsi="Times New Roman" w:eastAsia="宋体" w:cs="Times New Roman"/>
                      <w:b w:val="0"/>
                      <w:bCs w:val="0"/>
                      <w:color w:val="auto"/>
                      <w:sz w:val="21"/>
                      <w:szCs w:val="21"/>
                      <w:highlight w:val="none"/>
                      <w:u w:val="none"/>
                      <w:lang w:eastAsia="zh-CN"/>
                    </w:rPr>
                    <w:t>不涉及</w:t>
                  </w:r>
                  <w:r>
                    <w:rPr>
                      <w:rFonts w:hint="default" w:ascii="Times New Roman" w:hAnsi="Times New Roman" w:cs="Times New Roman"/>
                      <w:b w:val="0"/>
                      <w:bCs w:val="0"/>
                      <w:color w:val="auto"/>
                      <w:kern w:val="0"/>
                      <w:sz w:val="21"/>
                      <w:szCs w:val="21"/>
                      <w:highlight w:val="none"/>
                      <w:u w:val="none"/>
                      <w:lang w:val="en-US" w:eastAsia="zh-CN"/>
                    </w:rPr>
                    <w:t>土壤污染风险</w:t>
                  </w:r>
                  <w:r>
                    <w:rPr>
                      <w:rFonts w:hint="default" w:ascii="Times New Roman" w:hAnsi="Times New Roman" w:eastAsia="宋体" w:cs="Times New Roman"/>
                      <w:b w:val="0"/>
                      <w:bCs w:val="0"/>
                      <w:color w:val="auto"/>
                      <w:sz w:val="21"/>
                      <w:szCs w:val="21"/>
                      <w:highlight w:val="none"/>
                      <w:u w:val="none"/>
                      <w:lang w:eastAsia="zh-CN"/>
                    </w:rPr>
                    <w:t>。</w:t>
                  </w:r>
                </w:p>
                <w:p w14:paraId="5B080F98">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sz w:val="21"/>
                    </w:rPr>
                  </w:pPr>
                  <w:r>
                    <w:rPr>
                      <w:rFonts w:hint="eastAsia" w:cs="Times New Roman"/>
                      <w:sz w:val="21"/>
                      <w:lang w:val="en-US" w:eastAsia="zh-CN"/>
                    </w:rPr>
                    <w:t>4、</w:t>
                  </w:r>
                  <w:r>
                    <w:rPr>
                      <w:rFonts w:hint="default" w:ascii="Times New Roman" w:hAnsi="Times New Roman" w:eastAsia="宋体" w:cs="Times New Roman"/>
                      <w:b w:val="0"/>
                      <w:bCs w:val="0"/>
                      <w:color w:val="auto"/>
                      <w:sz w:val="21"/>
                      <w:szCs w:val="21"/>
                      <w:highlight w:val="none"/>
                      <w:u w:val="none"/>
                      <w:lang w:eastAsia="zh-CN"/>
                    </w:rPr>
                    <w:t>项目建成后应按照相关要求及时编制突发环境事件应急预案并在当地生态环境部门进行备案</w:t>
                  </w:r>
                  <w:r>
                    <w:rPr>
                      <w:rFonts w:hint="eastAsia" w:ascii="Times New Roman" w:hAnsi="Times New Roman" w:eastAsia="宋体" w:cs="Times New Roman"/>
                      <w:b w:val="0"/>
                      <w:bCs w:val="0"/>
                      <w:color w:val="auto"/>
                      <w:sz w:val="21"/>
                      <w:szCs w:val="21"/>
                      <w:highlight w:val="none"/>
                      <w:u w:val="none"/>
                      <w:lang w:eastAsia="zh-CN"/>
                    </w:rPr>
                    <w:t>。</w:t>
                  </w:r>
                </w:p>
              </w:tc>
            </w:tr>
            <w:tr w14:paraId="021D9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586" w:type="pct"/>
                  <w:vMerge w:val="continue"/>
                  <w:noWrap w:val="0"/>
                  <w:vAlign w:val="center"/>
                </w:tcPr>
                <w:p w14:paraId="4DB5213A">
                  <w:pPr>
                    <w:keepNext w:val="0"/>
                    <w:keepLines w:val="0"/>
                    <w:pageBreakBefore w:val="0"/>
                    <w:widowControl/>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p>
              </w:tc>
              <w:tc>
                <w:tcPr>
                  <w:tcW w:w="524" w:type="pct"/>
                  <w:vMerge w:val="continue"/>
                  <w:noWrap w:val="0"/>
                  <w:vAlign w:val="center"/>
                </w:tcPr>
                <w:p w14:paraId="577FEA50">
                  <w:pPr>
                    <w:keepNext w:val="0"/>
                    <w:keepLines w:val="0"/>
                    <w:pageBreakBefore w:val="0"/>
                    <w:kinsoku/>
                    <w:wordWrap w:val="0"/>
                    <w:overflowPunct/>
                    <w:topLinePunct/>
                    <w:autoSpaceDE/>
                    <w:autoSpaceDN/>
                    <w:bidi w:val="0"/>
                    <w:adjustRightInd/>
                    <w:snapToGrid/>
                    <w:spacing w:line="360" w:lineRule="exact"/>
                    <w:ind w:firstLine="0" w:firstLineChars="0"/>
                    <w:jc w:val="center"/>
                    <w:textAlignment w:val="bottom"/>
                    <w:rPr>
                      <w:rFonts w:hint="default" w:ascii="Times New Roman" w:hAnsi="Times New Roman" w:cs="Times New Roman"/>
                      <w:kern w:val="0"/>
                      <w:sz w:val="21"/>
                      <w:szCs w:val="20"/>
                    </w:rPr>
                  </w:pPr>
                </w:p>
              </w:tc>
              <w:tc>
                <w:tcPr>
                  <w:tcW w:w="508" w:type="pct"/>
                  <w:vMerge w:val="continue"/>
                  <w:noWrap w:val="0"/>
                  <w:vAlign w:val="center"/>
                </w:tcPr>
                <w:p w14:paraId="2AB83907">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p>
              </w:tc>
              <w:tc>
                <w:tcPr>
                  <w:tcW w:w="459" w:type="pct"/>
                  <w:noWrap w:val="0"/>
                  <w:vAlign w:val="center"/>
                </w:tcPr>
                <w:p w14:paraId="22F1CF28">
                  <w:pPr>
                    <w:keepNext w:val="0"/>
                    <w:keepLines w:val="0"/>
                    <w:pageBreakBefore w:val="0"/>
                    <w:widowControl/>
                    <w:kinsoku/>
                    <w:overflowPunct/>
                    <w:autoSpaceDE/>
                    <w:autoSpaceDN/>
                    <w:bidi w:val="0"/>
                    <w:adjustRightInd/>
                    <w:snapToGrid/>
                    <w:spacing w:line="360" w:lineRule="exact"/>
                    <w:ind w:firstLine="0" w:firstLineChars="0"/>
                    <w:jc w:val="center"/>
                    <w:rPr>
                      <w:rFonts w:hint="default" w:ascii="Times New Roman" w:hAnsi="Times New Roman" w:cs="Times New Roman"/>
                      <w:kern w:val="0"/>
                      <w:sz w:val="21"/>
                      <w:szCs w:val="20"/>
                    </w:rPr>
                  </w:pPr>
                  <w:r>
                    <w:rPr>
                      <w:rFonts w:hint="default" w:ascii="Times New Roman" w:hAnsi="Times New Roman" w:cs="Times New Roman"/>
                      <w:kern w:val="0"/>
                      <w:sz w:val="21"/>
                      <w:szCs w:val="20"/>
                    </w:rPr>
                    <w:t>资源利用效率要求</w:t>
                  </w:r>
                </w:p>
              </w:tc>
              <w:tc>
                <w:tcPr>
                  <w:tcW w:w="1622" w:type="pct"/>
                  <w:noWrap w:val="0"/>
                  <w:vAlign w:val="center"/>
                </w:tcPr>
                <w:p w14:paraId="7158E7F5">
                  <w:pPr>
                    <w:keepNext w:val="0"/>
                    <w:keepLines w:val="0"/>
                    <w:pageBreakBefore w:val="0"/>
                    <w:widowControl/>
                    <w:numPr>
                      <w:ilvl w:val="0"/>
                      <w:numId w:val="6"/>
                    </w:numPr>
                    <w:kinsoku/>
                    <w:overflowPunct/>
                    <w:autoSpaceDE/>
                    <w:autoSpaceDN/>
                    <w:bidi w:val="0"/>
                    <w:adjustRightInd/>
                    <w:snapToGrid/>
                    <w:spacing w:line="360" w:lineRule="exact"/>
                    <w:ind w:firstLine="0" w:firstLineChars="0"/>
                    <w:jc w:val="left"/>
                    <w:rPr>
                      <w:rFonts w:hint="default" w:ascii="Times New Roman" w:hAnsi="Times New Roman" w:cs="Times New Roman"/>
                      <w:kern w:val="0"/>
                      <w:sz w:val="21"/>
                      <w:szCs w:val="20"/>
                    </w:rPr>
                  </w:pPr>
                  <w:r>
                    <w:rPr>
                      <w:rFonts w:hint="default" w:ascii="Times New Roman" w:hAnsi="Times New Roman" w:cs="Times New Roman"/>
                      <w:kern w:val="0"/>
                      <w:sz w:val="21"/>
                      <w:szCs w:val="20"/>
                    </w:rPr>
                    <w:t>加强水资源开发利用效率，提高再生水利用率。</w:t>
                  </w:r>
                </w:p>
                <w:p w14:paraId="4C4D1A5E">
                  <w:pPr>
                    <w:keepNext w:val="0"/>
                    <w:keepLines w:val="0"/>
                    <w:pageBreakBefore w:val="0"/>
                    <w:widowControl/>
                    <w:numPr>
                      <w:ilvl w:val="0"/>
                      <w:numId w:val="6"/>
                    </w:numPr>
                    <w:kinsoku/>
                    <w:overflowPunct/>
                    <w:autoSpaceDE/>
                    <w:autoSpaceDN/>
                    <w:bidi w:val="0"/>
                    <w:adjustRightInd/>
                    <w:snapToGrid/>
                    <w:spacing w:line="360" w:lineRule="exact"/>
                    <w:ind w:left="0" w:leftChars="0" w:firstLine="0" w:firstLineChars="0"/>
                    <w:jc w:val="left"/>
                    <w:rPr>
                      <w:rFonts w:hint="default" w:ascii="Times New Roman" w:hAnsi="Times New Roman" w:cs="Times New Roman"/>
                      <w:kern w:val="0"/>
                      <w:sz w:val="21"/>
                      <w:szCs w:val="20"/>
                    </w:rPr>
                  </w:pPr>
                  <w:r>
                    <w:rPr>
                      <w:rFonts w:hint="default" w:ascii="Times New Roman" w:hAnsi="Times New Roman" w:cs="Times New Roman"/>
                      <w:kern w:val="0"/>
                      <w:sz w:val="21"/>
                      <w:szCs w:val="20"/>
                    </w:rPr>
                    <w:t>企业应不断提高资源能源利用效率，新、改、扩建建设项目的清洁生产水平应达到国内先进水平。</w:t>
                  </w:r>
                </w:p>
                <w:p w14:paraId="59B5647E">
                  <w:pPr>
                    <w:keepNext w:val="0"/>
                    <w:keepLines w:val="0"/>
                    <w:pageBreakBefore w:val="0"/>
                    <w:widowControl/>
                    <w:numPr>
                      <w:ilvl w:val="0"/>
                      <w:numId w:val="6"/>
                    </w:numPr>
                    <w:kinsoku/>
                    <w:overflowPunct/>
                    <w:autoSpaceDE/>
                    <w:autoSpaceDN/>
                    <w:bidi w:val="0"/>
                    <w:adjustRightInd/>
                    <w:snapToGrid/>
                    <w:spacing w:line="360" w:lineRule="exact"/>
                    <w:ind w:left="0" w:leftChars="0" w:firstLine="0" w:firstLineChars="0"/>
                    <w:jc w:val="left"/>
                    <w:rPr>
                      <w:rFonts w:hint="default" w:ascii="Times New Roman" w:hAnsi="Times New Roman" w:cs="Times New Roman"/>
                      <w:kern w:val="0"/>
                      <w:sz w:val="21"/>
                      <w:szCs w:val="20"/>
                    </w:rPr>
                  </w:pPr>
                  <w:r>
                    <w:rPr>
                      <w:rFonts w:hint="default" w:ascii="Times New Roman" w:hAnsi="Times New Roman" w:cs="Times New Roman"/>
                      <w:kern w:val="0"/>
                      <w:sz w:val="21"/>
                      <w:szCs w:val="20"/>
                    </w:rPr>
                    <w:t>严格地下水管理，加强取水许可和计划用水管理，严格实行产业准入制度，严格控制新建、扩建、改建高耗水项目。</w:t>
                  </w:r>
                </w:p>
                <w:p w14:paraId="79EF6E3F">
                  <w:pPr>
                    <w:keepNext w:val="0"/>
                    <w:keepLines w:val="0"/>
                    <w:pageBreakBefore w:val="0"/>
                    <w:widowControl/>
                    <w:numPr>
                      <w:ilvl w:val="0"/>
                      <w:numId w:val="0"/>
                    </w:numPr>
                    <w:kinsoku/>
                    <w:overflowPunct/>
                    <w:autoSpaceDE/>
                    <w:autoSpaceDN/>
                    <w:bidi w:val="0"/>
                    <w:adjustRightInd/>
                    <w:snapToGrid/>
                    <w:spacing w:line="360" w:lineRule="exact"/>
                    <w:ind w:leftChars="0"/>
                    <w:jc w:val="left"/>
                    <w:rPr>
                      <w:rFonts w:hint="default" w:ascii="Times New Roman" w:hAnsi="Times New Roman" w:cs="Times New Roman"/>
                      <w:kern w:val="0"/>
                      <w:sz w:val="21"/>
                      <w:szCs w:val="20"/>
                    </w:rPr>
                  </w:pPr>
                  <w:r>
                    <w:rPr>
                      <w:rFonts w:hint="default" w:ascii="Times New Roman" w:hAnsi="Times New Roman" w:cs="Times New Roman"/>
                      <w:kern w:val="0"/>
                      <w:sz w:val="21"/>
                      <w:szCs w:val="20"/>
                    </w:rPr>
                    <w:t>4、在禁燃区内，禁止销售、燃用高污染燃料：禁止新建、扩建燃用高污染燃料的设施，已建成的，应当在焦作市武陟县人民政府规定的期限内改用天然气、页岩气、液化石油气、电或者其他清洁能源。</w:t>
                  </w:r>
                </w:p>
              </w:tc>
              <w:tc>
                <w:tcPr>
                  <w:tcW w:w="1299" w:type="pct"/>
                  <w:noWrap w:val="0"/>
                  <w:vAlign w:val="center"/>
                </w:tcPr>
                <w:p w14:paraId="44CF39E1">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eastAsia" w:cs="Times New Roman"/>
                      <w:color w:val="000000"/>
                      <w:kern w:val="0"/>
                      <w:sz w:val="21"/>
                      <w:szCs w:val="21"/>
                      <w:highlight w:val="none"/>
                      <w:lang w:eastAsia="zh-CN"/>
                    </w:rPr>
                  </w:pPr>
                  <w:r>
                    <w:rPr>
                      <w:rFonts w:hint="default" w:ascii="Times New Roman" w:hAnsi="Times New Roman" w:cs="Times New Roman"/>
                      <w:sz w:val="21"/>
                      <w:highlight w:val="none"/>
                    </w:rPr>
                    <w:t>1、本项目</w:t>
                  </w:r>
                  <w:r>
                    <w:rPr>
                      <w:rFonts w:hint="eastAsia" w:cs="Times New Roman"/>
                      <w:sz w:val="21"/>
                      <w:highlight w:val="none"/>
                      <w:lang w:eastAsia="zh-CN"/>
                    </w:rPr>
                    <w:t>无生产废水产生，仅生活污水外排</w:t>
                  </w:r>
                  <w:r>
                    <w:rPr>
                      <w:rFonts w:hint="eastAsia" w:cs="Times New Roman"/>
                      <w:color w:val="000000"/>
                      <w:kern w:val="0"/>
                      <w:sz w:val="21"/>
                      <w:szCs w:val="21"/>
                      <w:highlight w:val="none"/>
                      <w:lang w:eastAsia="zh-CN"/>
                    </w:rPr>
                    <w:t>。</w:t>
                  </w:r>
                </w:p>
                <w:p w14:paraId="2A543986">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b w:val="0"/>
                      <w:bCs w:val="0"/>
                      <w:color w:val="auto"/>
                      <w:sz w:val="21"/>
                      <w:szCs w:val="21"/>
                      <w:highlight w:val="none"/>
                      <w:u w:val="none"/>
                      <w:lang w:val="en-US" w:eastAsia="zh-CN"/>
                    </w:rPr>
                  </w:pPr>
                  <w:r>
                    <w:rPr>
                      <w:rFonts w:hint="default" w:ascii="Times New Roman" w:hAnsi="Times New Roman" w:cs="Times New Roman"/>
                      <w:b w:val="0"/>
                      <w:bCs w:val="0"/>
                      <w:color w:val="auto"/>
                      <w:sz w:val="21"/>
                      <w:szCs w:val="21"/>
                      <w:highlight w:val="none"/>
                      <w:u w:val="none"/>
                      <w:lang w:val="en-US" w:eastAsia="zh-CN"/>
                    </w:rPr>
                    <w:t>2、</w:t>
                  </w:r>
                  <w:r>
                    <w:rPr>
                      <w:rFonts w:hint="eastAsia" w:cs="Times New Roman"/>
                      <w:b w:val="0"/>
                      <w:bCs w:val="0"/>
                      <w:color w:val="auto"/>
                      <w:sz w:val="21"/>
                      <w:szCs w:val="21"/>
                      <w:highlight w:val="none"/>
                      <w:u w:val="none"/>
                      <w:lang w:val="en-US" w:eastAsia="zh-CN"/>
                    </w:rPr>
                    <w:t>评价要求</w:t>
                  </w:r>
                  <w:r>
                    <w:rPr>
                      <w:rFonts w:hint="default" w:ascii="Times New Roman" w:hAnsi="Times New Roman" w:cs="Times New Roman"/>
                      <w:b w:val="0"/>
                      <w:bCs w:val="0"/>
                      <w:color w:val="auto"/>
                      <w:kern w:val="0"/>
                      <w:sz w:val="21"/>
                      <w:szCs w:val="21"/>
                      <w:highlight w:val="none"/>
                      <w:u w:val="none"/>
                      <w:lang w:val="en-US" w:eastAsia="zh-CN"/>
                    </w:rPr>
                    <w:t>企业提高资源能源利用效率，</w:t>
                  </w:r>
                  <w:r>
                    <w:rPr>
                      <w:rFonts w:hint="default" w:ascii="Times New Roman" w:hAnsi="Times New Roman" w:cs="Times New Roman"/>
                      <w:b w:val="0"/>
                      <w:bCs w:val="0"/>
                      <w:color w:val="auto"/>
                      <w:sz w:val="21"/>
                      <w:szCs w:val="21"/>
                      <w:highlight w:val="none"/>
                      <w:u w:val="none"/>
                      <w:lang w:val="en-US" w:eastAsia="zh-CN"/>
                    </w:rPr>
                    <w:t>项目清洁生产水平达到国内先进水平。</w:t>
                  </w:r>
                </w:p>
                <w:p w14:paraId="089847B8">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sz w:val="21"/>
                    </w:rPr>
                  </w:pPr>
                  <w:r>
                    <w:rPr>
                      <w:rFonts w:hint="default" w:ascii="Times New Roman" w:hAnsi="Times New Roman" w:cs="Times New Roman"/>
                      <w:sz w:val="21"/>
                      <w:highlight w:val="none"/>
                    </w:rPr>
                    <w:t>2、本项目用水由</w:t>
                  </w:r>
                  <w:r>
                    <w:rPr>
                      <w:rFonts w:hint="default" w:ascii="Times New Roman" w:hAnsi="Times New Roman" w:cs="Times New Roman"/>
                      <w:sz w:val="21"/>
                      <w:highlight w:val="none"/>
                      <w:lang w:eastAsia="zh-CN"/>
                    </w:rPr>
                    <w:t>园</w:t>
                  </w:r>
                  <w:r>
                    <w:rPr>
                      <w:rFonts w:hint="default" w:ascii="Times New Roman" w:hAnsi="Times New Roman" w:cs="Times New Roman"/>
                      <w:sz w:val="21"/>
                      <w:highlight w:val="none"/>
                    </w:rPr>
                    <w:t>区管网集中供水，能够满足</w:t>
                  </w:r>
                  <w:r>
                    <w:rPr>
                      <w:rFonts w:hint="default" w:ascii="Times New Roman" w:hAnsi="Times New Roman" w:cs="Times New Roman"/>
                      <w:sz w:val="21"/>
                      <w:highlight w:val="none"/>
                      <w:lang w:eastAsia="zh-CN"/>
                    </w:rPr>
                    <w:t>员工</w:t>
                  </w:r>
                  <w:r>
                    <w:rPr>
                      <w:rFonts w:hint="default" w:ascii="Times New Roman" w:hAnsi="Times New Roman" w:cs="Times New Roman"/>
                      <w:sz w:val="21"/>
                      <w:highlight w:val="none"/>
                    </w:rPr>
                    <w:t>生活需求。不涉及使用地下水</w:t>
                  </w:r>
                  <w:r>
                    <w:rPr>
                      <w:rFonts w:hint="eastAsia" w:ascii="Times New Roman" w:hAnsi="Times New Roman" w:cs="Times New Roman"/>
                      <w:sz w:val="21"/>
                      <w:highlight w:val="none"/>
                      <w:lang w:eastAsia="zh-CN"/>
                    </w:rPr>
                    <w:t>，</w:t>
                  </w:r>
                  <w:r>
                    <w:rPr>
                      <w:rFonts w:hint="default" w:ascii="Times New Roman" w:hAnsi="Times New Roman" w:cs="Times New Roman"/>
                      <w:sz w:val="21"/>
                      <w:highlight w:val="none"/>
                    </w:rPr>
                    <w:t>不属于髙耗水项目</w:t>
                  </w:r>
                  <w:r>
                    <w:rPr>
                      <w:rFonts w:hint="eastAsia" w:ascii="Times New Roman" w:hAnsi="Times New Roman" w:cs="Times New Roman"/>
                      <w:sz w:val="21"/>
                      <w:highlight w:val="none"/>
                      <w:lang w:eastAsia="zh-CN"/>
                    </w:rPr>
                    <w:t>。</w:t>
                  </w:r>
                </w:p>
                <w:p w14:paraId="04DF397E">
                  <w:pPr>
                    <w:keepNext w:val="0"/>
                    <w:keepLines w:val="0"/>
                    <w:pageBreakBefore w:val="0"/>
                    <w:widowControl/>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sz w:val="21"/>
                    </w:rPr>
                  </w:pPr>
                  <w:r>
                    <w:rPr>
                      <w:rFonts w:hint="default" w:ascii="Times New Roman" w:hAnsi="Times New Roman" w:cs="Times New Roman"/>
                      <w:sz w:val="21"/>
                    </w:rPr>
                    <w:t>4、</w:t>
                  </w:r>
                  <w:r>
                    <w:rPr>
                      <w:rFonts w:hint="eastAsia" w:cs="Times New Roman"/>
                      <w:sz w:val="21"/>
                      <w:lang w:eastAsia="zh-CN"/>
                    </w:rPr>
                    <w:t>本</w:t>
                  </w:r>
                  <w:r>
                    <w:rPr>
                      <w:rFonts w:hint="default" w:ascii="Times New Roman" w:hAnsi="Times New Roman" w:cs="Times New Roman"/>
                      <w:sz w:val="21"/>
                    </w:rPr>
                    <w:t>项目不涉及燃料</w:t>
                  </w:r>
                  <w:r>
                    <w:rPr>
                      <w:rFonts w:hint="eastAsia" w:cs="Times New Roman"/>
                      <w:sz w:val="21"/>
                      <w:lang w:eastAsia="zh-CN"/>
                    </w:rPr>
                    <w:t>使用</w:t>
                  </w:r>
                  <w:r>
                    <w:rPr>
                      <w:rFonts w:hint="default" w:ascii="Times New Roman" w:hAnsi="Times New Roman" w:cs="Times New Roman"/>
                      <w:sz w:val="21"/>
                    </w:rPr>
                    <w:t>。</w:t>
                  </w:r>
                </w:p>
              </w:tc>
            </w:tr>
          </w:tbl>
          <w:p w14:paraId="2C3FDDB8">
            <w:pPr>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经对照，本项目建设符合“三线一单”生态环境分区管控要求。</w:t>
            </w:r>
          </w:p>
          <w:p w14:paraId="5ECA8873">
            <w:pPr>
              <w:pStyle w:val="26"/>
              <w:keepNext w:val="0"/>
              <w:keepLines w:val="0"/>
              <w:pageBreakBefore w:val="0"/>
              <w:widowControl w:val="0"/>
              <w:kinsoku/>
              <w:wordWrap/>
              <w:overflowPunct/>
              <w:topLinePunct w:val="0"/>
              <w:autoSpaceDE/>
              <w:autoSpaceDN/>
              <w:bidi w:val="0"/>
              <w:adjustRightInd w:val="0"/>
              <w:snapToGrid w:val="0"/>
              <w:spacing w:line="520" w:lineRule="exact"/>
              <w:ind w:firstLine="0" w:firstLineChars="0"/>
              <w:textAlignment w:val="auto"/>
              <w:rPr>
                <w:rFonts w:hint="default" w:ascii="Times New Roman" w:hAnsi="Times New Roman" w:cs="Times New Roman"/>
                <w:b/>
              </w:rPr>
            </w:pPr>
            <w:r>
              <w:rPr>
                <w:rFonts w:hint="default" w:ascii="Times New Roman" w:hAnsi="Times New Roman" w:cs="Times New Roman"/>
                <w:b/>
              </w:rPr>
              <w:t>2、与产业政策相符性分析</w:t>
            </w:r>
          </w:p>
          <w:p w14:paraId="765AD5A4">
            <w:pPr>
              <w:pStyle w:val="26"/>
              <w:keepNext w:val="0"/>
              <w:keepLines w:val="0"/>
              <w:pageBreakBefore w:val="0"/>
              <w:widowControl w:val="0"/>
              <w:kinsoku/>
              <w:wordWrap w:val="0"/>
              <w:overflowPunct/>
              <w:topLinePunct w:val="0"/>
              <w:autoSpaceDE/>
              <w:autoSpaceDN/>
              <w:bidi w:val="0"/>
              <w:adjustRightInd w:val="0"/>
              <w:snapToGrid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经查阅《产业结构调整指导目录》（2024年本），该项目不属于鼓励类、限制类和淘汰类，属于允许建设项目，项目建设符合国家产业政策要求。本项目已在武陟经济技术开发区管理委员会</w:t>
            </w:r>
            <w:r>
              <w:rPr>
                <w:rFonts w:hint="eastAsia" w:cs="Times New Roman"/>
                <w:lang w:eastAsia="zh-CN"/>
              </w:rPr>
              <w:t>经济发展局进行</w:t>
            </w:r>
            <w:r>
              <w:rPr>
                <w:rFonts w:hint="default" w:ascii="Times New Roman" w:hAnsi="Times New Roman" w:cs="Times New Roman"/>
              </w:rPr>
              <w:t>备案，项目代码为：2509-410823-04-01-472195（备案证明见附件2）。</w:t>
            </w:r>
          </w:p>
          <w:p w14:paraId="39DC8E8E">
            <w:pPr>
              <w:pStyle w:val="26"/>
              <w:keepNext w:val="0"/>
              <w:keepLines w:val="0"/>
              <w:pageBreakBefore w:val="0"/>
              <w:widowControl w:val="0"/>
              <w:kinsoku/>
              <w:wordWrap/>
              <w:overflowPunct/>
              <w:topLinePunct w:val="0"/>
              <w:autoSpaceDE/>
              <w:autoSpaceDN/>
              <w:bidi w:val="0"/>
              <w:adjustRightInd w:val="0"/>
              <w:snapToGrid w:val="0"/>
              <w:spacing w:line="520" w:lineRule="exact"/>
              <w:ind w:firstLine="0" w:firstLineChars="0"/>
              <w:textAlignment w:val="auto"/>
              <w:rPr>
                <w:rFonts w:hint="default" w:ascii="Times New Roman" w:hAnsi="Times New Roman" w:cs="Times New Roman"/>
                <w:b/>
                <w:bCs/>
              </w:rPr>
            </w:pPr>
            <w:r>
              <w:rPr>
                <w:rFonts w:hint="default" w:ascii="Times New Roman" w:hAnsi="Times New Roman" w:cs="Times New Roman"/>
                <w:b/>
                <w:bCs/>
              </w:rPr>
              <w:t>3、选址可行性分析</w:t>
            </w:r>
          </w:p>
          <w:p w14:paraId="54AAA1DD">
            <w:pPr>
              <w:pStyle w:val="26"/>
              <w:keepNext w:val="0"/>
              <w:keepLines w:val="0"/>
              <w:pageBreakBefore w:val="0"/>
              <w:widowControl w:val="0"/>
              <w:kinsoku/>
              <w:wordWrap/>
              <w:overflowPunct/>
              <w:topLinePunct w:val="0"/>
              <w:autoSpaceDE/>
              <w:autoSpaceDN/>
              <w:bidi w:val="0"/>
              <w:adjustRightInd w:val="0"/>
              <w:snapToGrid w:val="0"/>
              <w:spacing w:line="520" w:lineRule="exact"/>
              <w:ind w:firstLine="480"/>
              <w:textAlignment w:val="auto"/>
              <w:rPr>
                <w:rFonts w:hint="default" w:ascii="Times New Roman" w:hAnsi="Times New Roman" w:cs="Times New Roman"/>
                <w:color w:val="000000"/>
                <w:sz w:val="24"/>
              </w:rPr>
            </w:pPr>
            <w:r>
              <w:rPr>
                <w:rFonts w:hint="default" w:ascii="Times New Roman" w:hAnsi="Times New Roman" w:cs="Times New Roman"/>
              </w:rPr>
              <w:t>项目厂址位于</w:t>
            </w:r>
            <w:r>
              <w:rPr>
                <w:rFonts w:hint="default" w:ascii="Times New Roman" w:hAnsi="Times New Roman" w:cs="Times New Roman"/>
                <w:lang w:eastAsia="zh-CN"/>
              </w:rPr>
              <w:t>焦作市武陟县经开区东部园区昌武路与鸿源路交叉口路西200米路南01号</w:t>
            </w:r>
            <w:r>
              <w:rPr>
                <w:rFonts w:hint="default" w:ascii="Times New Roman" w:hAnsi="Times New Roman" w:cs="Times New Roman"/>
                <w:color w:val="000000"/>
                <w:kern w:val="0"/>
                <w:lang w:bidi="ar"/>
              </w:rPr>
              <w:t>，</w:t>
            </w:r>
            <w:r>
              <w:rPr>
                <w:rFonts w:hint="default" w:ascii="Times New Roman" w:hAnsi="Times New Roman" w:cs="Times New Roman"/>
                <w:highlight w:val="none"/>
              </w:rPr>
              <w:t>项目用地属于工业用地。项目所在厂区东侧为建能智慧科技（河南）有限公司，</w:t>
            </w:r>
            <w:r>
              <w:rPr>
                <w:rFonts w:hint="eastAsia" w:cs="Times New Roman"/>
                <w:highlight w:val="none"/>
                <w:lang w:eastAsia="zh-CN"/>
              </w:rPr>
              <w:t>北</w:t>
            </w:r>
            <w:r>
              <w:rPr>
                <w:rFonts w:hint="default" w:ascii="Times New Roman" w:hAnsi="Times New Roman" w:cs="Times New Roman"/>
                <w:highlight w:val="none"/>
              </w:rPr>
              <w:t>侧为</w:t>
            </w:r>
            <w:r>
              <w:rPr>
                <w:rFonts w:hint="eastAsia" w:cs="Times New Roman"/>
                <w:highlight w:val="none"/>
                <w:lang w:eastAsia="zh-CN"/>
              </w:rPr>
              <w:t>空厂房</w:t>
            </w:r>
            <w:r>
              <w:rPr>
                <w:rFonts w:hint="default" w:ascii="Times New Roman" w:hAnsi="Times New Roman" w:cs="Times New Roman"/>
                <w:highlight w:val="none"/>
              </w:rPr>
              <w:t>，</w:t>
            </w:r>
            <w:r>
              <w:rPr>
                <w:rFonts w:hint="eastAsia" w:cs="Times New Roman"/>
                <w:highlight w:val="none"/>
                <w:lang w:eastAsia="zh-CN"/>
              </w:rPr>
              <w:t>南</w:t>
            </w:r>
            <w:r>
              <w:rPr>
                <w:rFonts w:hint="default" w:ascii="Times New Roman" w:hAnsi="Times New Roman" w:cs="Times New Roman"/>
                <w:highlight w:val="none"/>
              </w:rPr>
              <w:t>侧为</w:t>
            </w:r>
            <w:r>
              <w:rPr>
                <w:rFonts w:hint="eastAsia" w:cs="Times New Roman"/>
                <w:highlight w:val="none"/>
                <w:lang w:eastAsia="zh-CN"/>
              </w:rPr>
              <w:t>河南星达医疗设备有限公司</w:t>
            </w:r>
            <w:r>
              <w:rPr>
                <w:rFonts w:hint="default" w:ascii="Times New Roman" w:hAnsi="Times New Roman" w:cs="Times New Roman"/>
                <w:highlight w:val="none"/>
              </w:rPr>
              <w:t>，西侧为</w:t>
            </w:r>
            <w:r>
              <w:rPr>
                <w:rFonts w:hint="eastAsia" w:cs="Times New Roman"/>
                <w:highlight w:val="none"/>
                <w:lang w:eastAsia="zh-CN"/>
              </w:rPr>
              <w:t>腾鸿建材</w:t>
            </w:r>
            <w:r>
              <w:rPr>
                <w:rFonts w:hint="default" w:ascii="Times New Roman" w:hAnsi="Times New Roman" w:cs="Times New Roman"/>
                <w:highlight w:val="none"/>
              </w:rPr>
              <w:t>。</w:t>
            </w:r>
            <w:r>
              <w:rPr>
                <w:rFonts w:hint="default" w:ascii="Times New Roman" w:hAnsi="Times New Roman" w:cs="Times New Roman"/>
              </w:rPr>
              <w:t>根据实地踏勘情况，项目周边最近的环境敏感点为西</w:t>
            </w:r>
            <w:r>
              <w:rPr>
                <w:rFonts w:hint="eastAsia" w:cs="Times New Roman"/>
                <w:lang w:eastAsia="zh-CN"/>
              </w:rPr>
              <w:t>侧直线距离为</w:t>
            </w:r>
            <w:r>
              <w:rPr>
                <w:rFonts w:hint="eastAsia" w:cs="Times New Roman"/>
                <w:lang w:val="en-US" w:eastAsia="zh-CN"/>
              </w:rPr>
              <w:t>295</w:t>
            </w:r>
            <w:r>
              <w:rPr>
                <w:rFonts w:hint="default" w:ascii="Times New Roman" w:hAnsi="Times New Roman" w:cs="Times New Roman"/>
              </w:rPr>
              <w:t>m处的</w:t>
            </w:r>
            <w:r>
              <w:rPr>
                <w:rFonts w:hint="eastAsia" w:cs="Times New Roman"/>
                <w:lang w:eastAsia="zh-CN"/>
              </w:rPr>
              <w:t>东马</w:t>
            </w:r>
            <w:r>
              <w:rPr>
                <w:rFonts w:hint="default" w:ascii="Times New Roman" w:hAnsi="Times New Roman" w:cs="Times New Roman"/>
              </w:rPr>
              <w:t>村。</w:t>
            </w:r>
          </w:p>
          <w:p w14:paraId="36BF9B2D">
            <w:pPr>
              <w:pStyle w:val="26"/>
              <w:keepNext w:val="0"/>
              <w:keepLines w:val="0"/>
              <w:pageBreakBefore w:val="0"/>
              <w:widowControl w:val="0"/>
              <w:kinsoku/>
              <w:wordWrap/>
              <w:overflowPunct/>
              <w:topLinePunct w:val="0"/>
              <w:autoSpaceDE/>
              <w:autoSpaceDN/>
              <w:bidi w:val="0"/>
              <w:adjustRightInd w:val="0"/>
              <w:snapToGrid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项目厂址周边具有以下特点：</w:t>
            </w:r>
          </w:p>
          <w:p w14:paraId="34253F95">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lang w:eastAsia="zh-CN"/>
              </w:rPr>
            </w:pPr>
            <w:r>
              <w:rPr>
                <w:rFonts w:hint="default" w:ascii="Times New Roman" w:hAnsi="Times New Roman" w:cs="Times New Roman"/>
                <w:lang w:eastAsia="zh-CN"/>
              </w:rPr>
              <w:t>（1）项目建设区域属于京津冀大气污染传输通道“2+36”城市范围内，项目生产过程中应严格控制大气污染物排放总量。</w:t>
            </w:r>
          </w:p>
          <w:p w14:paraId="2B31E96B">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lang w:eastAsia="zh-CN"/>
              </w:rPr>
            </w:pPr>
            <w:r>
              <w:rPr>
                <w:rFonts w:hint="default" w:ascii="Times New Roman" w:hAnsi="Times New Roman" w:cs="Times New Roman"/>
                <w:lang w:eastAsia="zh-CN"/>
              </w:rPr>
              <w:t>（2）项目属于</w:t>
            </w:r>
            <w:r>
              <w:rPr>
                <w:rFonts w:hint="eastAsia" w:cs="Times New Roman"/>
                <w:lang w:eastAsia="zh-CN"/>
              </w:rPr>
              <w:t>日用塑料制作制造</w:t>
            </w:r>
            <w:r>
              <w:rPr>
                <w:rFonts w:hint="default" w:ascii="Times New Roman" w:hAnsi="Times New Roman" w:cs="Times New Roman"/>
                <w:lang w:eastAsia="zh-CN"/>
              </w:rPr>
              <w:t>，位于武陟经济技术开发区占地范围内，用地性质为工业用地，符合武陟经济技术开发区产业布局和土地利用规划。根据武陟经济技术开发区管理委员会</w:t>
            </w:r>
            <w:r>
              <w:rPr>
                <w:rFonts w:hint="eastAsia" w:cs="Times New Roman"/>
                <w:lang w:eastAsia="zh-CN"/>
              </w:rPr>
              <w:t>企业服务局</w:t>
            </w:r>
            <w:r>
              <w:rPr>
                <w:rFonts w:hint="default" w:ascii="Times New Roman" w:hAnsi="Times New Roman" w:cs="Times New Roman"/>
                <w:lang w:eastAsia="zh-CN"/>
              </w:rPr>
              <w:t>出具</w:t>
            </w:r>
            <w:r>
              <w:rPr>
                <w:rFonts w:hint="eastAsia" w:cs="Times New Roman"/>
                <w:lang w:eastAsia="zh-CN"/>
              </w:rPr>
              <w:t>同意入驻</w:t>
            </w:r>
            <w:r>
              <w:rPr>
                <w:rFonts w:hint="default" w:ascii="Times New Roman" w:hAnsi="Times New Roman" w:cs="Times New Roman"/>
                <w:lang w:eastAsia="zh-CN"/>
              </w:rPr>
              <w:t>的证明（</w:t>
            </w:r>
            <w:r>
              <w:rPr>
                <w:rFonts w:hint="eastAsia" w:cs="Times New Roman"/>
                <w:lang w:eastAsia="zh-CN"/>
              </w:rPr>
              <w:t>见</w:t>
            </w:r>
            <w:r>
              <w:rPr>
                <w:rFonts w:hint="default" w:ascii="Times New Roman" w:hAnsi="Times New Roman" w:cs="Times New Roman"/>
                <w:lang w:eastAsia="zh-CN"/>
              </w:rPr>
              <w:t>附件3）。</w:t>
            </w:r>
          </w:p>
          <w:p w14:paraId="441A9A76">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lang w:eastAsia="zh-CN"/>
              </w:rPr>
            </w:pPr>
            <w:r>
              <w:rPr>
                <w:rFonts w:hint="default" w:ascii="Times New Roman" w:hAnsi="Times New Roman" w:cs="Times New Roman"/>
                <w:lang w:eastAsia="zh-CN"/>
              </w:rPr>
              <w:t>（3）项目与武陟县集中式饮用水源地南贾地下水井群二级保护区边界最近距离为</w:t>
            </w:r>
            <w:r>
              <w:rPr>
                <w:rFonts w:hint="eastAsia" w:cs="Times New Roman"/>
                <w:lang w:val="en-US" w:eastAsia="zh-CN"/>
              </w:rPr>
              <w:t>12.14</w:t>
            </w:r>
            <w:r>
              <w:rPr>
                <w:rFonts w:hint="default" w:ascii="Times New Roman" w:hAnsi="Times New Roman" w:cs="Times New Roman"/>
                <w:lang w:eastAsia="zh-CN"/>
              </w:rPr>
              <w:t>km，不在其保护区范围内。</w:t>
            </w:r>
          </w:p>
          <w:p w14:paraId="1F384EBC">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lang w:eastAsia="zh-CN"/>
              </w:rPr>
            </w:pPr>
            <w:r>
              <w:rPr>
                <w:rFonts w:hint="default" w:ascii="Times New Roman" w:hAnsi="Times New Roman" w:cs="Times New Roman"/>
                <w:lang w:eastAsia="zh-CN"/>
              </w:rPr>
              <w:t>（4）项目位于产业</w:t>
            </w:r>
            <w:r>
              <w:rPr>
                <w:rFonts w:hint="eastAsia" w:cs="Times New Roman"/>
                <w:lang w:eastAsia="zh-CN"/>
              </w:rPr>
              <w:t>园</w:t>
            </w:r>
            <w:r>
              <w:rPr>
                <w:rFonts w:hint="default" w:ascii="Times New Roman" w:hAnsi="Times New Roman" w:cs="Times New Roman"/>
                <w:lang w:eastAsia="zh-CN"/>
              </w:rPr>
              <w:t>区内，所在区域交通便利，水、电条件良好，能够满足项目生产需要。</w:t>
            </w:r>
          </w:p>
          <w:p w14:paraId="710921FA">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lang w:eastAsia="zh-CN"/>
              </w:rPr>
            </w:pPr>
            <w:r>
              <w:rPr>
                <w:rFonts w:hint="default" w:ascii="Times New Roman" w:hAnsi="Times New Roman" w:cs="Times New Roman"/>
                <w:lang w:eastAsia="zh-CN"/>
              </w:rPr>
              <w:t>此外，目前项目厂址周围无特殊保护的文物、风景名胜区等其他需特殊保护的敏感目标。项目地理位置见附图一，周边环境状况见附图二。</w:t>
            </w:r>
          </w:p>
          <w:p w14:paraId="0B2BAA0D">
            <w:pPr>
              <w:keepNext w:val="0"/>
              <w:keepLines w:val="0"/>
              <w:pageBreakBefore w:val="0"/>
              <w:widowControl w:val="0"/>
              <w:kinsoku/>
              <w:wordWrap/>
              <w:overflowPunct/>
              <w:topLinePunct w:val="0"/>
              <w:autoSpaceDE/>
              <w:autoSpaceDN/>
              <w:bidi w:val="0"/>
              <w:adjustRightInd/>
              <w:snapToGrid w:val="0"/>
              <w:spacing w:line="520" w:lineRule="exact"/>
              <w:ind w:firstLine="0" w:firstLineChars="0"/>
              <w:textAlignment w:val="auto"/>
              <w:rPr>
                <w:rFonts w:hint="default" w:ascii="Times New Roman" w:hAnsi="Times New Roman" w:cs="Times New Roman"/>
                <w:b/>
                <w:bCs/>
              </w:rPr>
            </w:pPr>
            <w:r>
              <w:rPr>
                <w:rFonts w:hint="eastAsia" w:cs="Times New Roman"/>
                <w:b/>
                <w:bCs/>
                <w:highlight w:val="none"/>
                <w:lang w:val="en-US" w:eastAsia="zh-CN"/>
              </w:rPr>
              <w:t>4</w:t>
            </w:r>
            <w:r>
              <w:rPr>
                <w:rFonts w:hint="default" w:ascii="Times New Roman" w:hAnsi="Times New Roman" w:cs="Times New Roman"/>
                <w:b/>
                <w:bCs/>
                <w:highlight w:val="none"/>
              </w:rPr>
              <w:t>、武陟县集中式饮用水水</w:t>
            </w:r>
            <w:r>
              <w:rPr>
                <w:rFonts w:hint="default" w:ascii="Times New Roman" w:hAnsi="Times New Roman" w:cs="Times New Roman"/>
                <w:b/>
                <w:bCs/>
              </w:rPr>
              <w:t>源地保护区划</w:t>
            </w:r>
          </w:p>
          <w:p w14:paraId="1EB5A9A7">
            <w:pPr>
              <w:keepNext w:val="0"/>
              <w:keepLines w:val="0"/>
              <w:pageBreakBefore w:val="0"/>
              <w:widowControl w:val="0"/>
              <w:kinsoku/>
              <w:wordWrap/>
              <w:overflowPunct/>
              <w:topLinePunct w:val="0"/>
              <w:autoSpaceDE/>
              <w:autoSpaceDN/>
              <w:bidi w:val="0"/>
              <w:adjustRightInd/>
              <w:snapToGrid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河南省县级集中式饮用水水源保护区划</w:t>
            </w:r>
            <w:r>
              <w:rPr>
                <w:rFonts w:hint="eastAsia" w:cs="Times New Roman"/>
                <w:lang w:eastAsia="zh-CN"/>
              </w:rPr>
              <w:t>，</w:t>
            </w:r>
            <w:r>
              <w:rPr>
                <w:rFonts w:hint="default" w:ascii="Times New Roman" w:hAnsi="Times New Roman" w:cs="Times New Roman"/>
              </w:rPr>
              <w:t>根据河南省人民政府办公厅关于印发《河南省县级集中式饮用水水源保护区划的通知》（豫政办〔2013〕107号），武陟县县级集中式饮用水源保护区划分如下：</w:t>
            </w:r>
          </w:p>
          <w:p w14:paraId="06954307">
            <w:pPr>
              <w:keepNext w:val="0"/>
              <w:keepLines w:val="0"/>
              <w:pageBreakBefore w:val="0"/>
              <w:widowControl w:val="0"/>
              <w:kinsoku/>
              <w:wordWrap/>
              <w:overflowPunct/>
              <w:topLinePunct w:val="0"/>
              <w:autoSpaceDE/>
              <w:autoSpaceDN/>
              <w:bidi w:val="0"/>
              <w:adjustRightInd/>
              <w:snapToGrid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武陟县南贾地下水井群（沁河以东、新孟路以北，共10眼井）。</w:t>
            </w:r>
          </w:p>
          <w:p w14:paraId="56B729B5">
            <w:pPr>
              <w:keepNext w:val="0"/>
              <w:keepLines w:val="0"/>
              <w:pageBreakBefore w:val="0"/>
              <w:widowControl w:val="0"/>
              <w:kinsoku/>
              <w:wordWrap/>
              <w:overflowPunct/>
              <w:topLinePunct w:val="0"/>
              <w:autoSpaceDE/>
              <w:autoSpaceDN/>
              <w:bidi w:val="0"/>
              <w:adjustRightInd/>
              <w:snapToGrid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一级保护区范围：井群外包线内及外围50米的区域。</w:t>
            </w:r>
          </w:p>
          <w:p w14:paraId="26B67B4D">
            <w:pPr>
              <w:keepNext w:val="0"/>
              <w:keepLines w:val="0"/>
              <w:pageBreakBefore w:val="0"/>
              <w:widowControl w:val="0"/>
              <w:kinsoku/>
              <w:wordWrap/>
              <w:overflowPunct/>
              <w:topLinePunct w:val="0"/>
              <w:autoSpaceDE/>
              <w:autoSpaceDN/>
              <w:bidi w:val="0"/>
              <w:adjustRightInd/>
              <w:snapToGrid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二级保护区范围：一级保护区外围500米至沁河左岸大堤的区域。</w:t>
            </w:r>
          </w:p>
          <w:p w14:paraId="299693BC">
            <w:pPr>
              <w:keepNext w:val="0"/>
              <w:keepLines w:val="0"/>
              <w:pageBreakBefore w:val="0"/>
              <w:widowControl w:val="0"/>
              <w:kinsoku/>
              <w:wordWrap/>
              <w:overflowPunct/>
              <w:topLinePunct w:val="0"/>
              <w:autoSpaceDE/>
              <w:autoSpaceDN/>
              <w:bidi w:val="0"/>
              <w:adjustRightInd/>
              <w:snapToGrid w:val="0"/>
              <w:spacing w:line="520" w:lineRule="exact"/>
              <w:ind w:firstLine="480"/>
              <w:textAlignment w:val="auto"/>
              <w:rPr>
                <w:rFonts w:hint="default" w:ascii="Times New Roman" w:hAnsi="Times New Roman" w:cs="Times New Roman"/>
                <w:highlight w:val="none"/>
              </w:rPr>
            </w:pPr>
            <w:r>
              <w:rPr>
                <w:rFonts w:hint="default" w:ascii="Times New Roman" w:hAnsi="Times New Roman" w:cs="Times New Roman"/>
              </w:rPr>
              <w:t>武陟</w:t>
            </w:r>
            <w:r>
              <w:rPr>
                <w:rFonts w:hint="default" w:ascii="Times New Roman" w:hAnsi="Times New Roman" w:cs="Times New Roman"/>
                <w:highlight w:val="none"/>
              </w:rPr>
              <w:t>县南贾地下水井群位于武陟县城南2.5公里，嘉应观乡的南贾村北，北贾村西、南，中心地理位置坐标为东经113°24′58.6″，北纬35°3′30.1″。建设时间为2004年，服务范围为武陟县城区，服务人口10万人，共建有10眼取水井，各井间距为250~520米，取水井井深为150米，设计取水量5万吨/日。</w:t>
            </w:r>
          </w:p>
          <w:p w14:paraId="366BF532">
            <w:pPr>
              <w:keepNext w:val="0"/>
              <w:keepLines w:val="0"/>
              <w:pageBreakBefore w:val="0"/>
              <w:widowControl w:val="0"/>
              <w:kinsoku/>
              <w:wordWrap/>
              <w:overflowPunct/>
              <w:topLinePunct w:val="0"/>
              <w:autoSpaceDE/>
              <w:autoSpaceDN/>
              <w:bidi w:val="0"/>
              <w:adjustRightInd/>
              <w:snapToGrid w:val="0"/>
              <w:spacing w:line="520" w:lineRule="exact"/>
              <w:ind w:firstLine="480"/>
              <w:textAlignment w:val="auto"/>
              <w:rPr>
                <w:rFonts w:hint="default" w:ascii="Times New Roman" w:hAnsi="Times New Roman" w:cs="Times New Roman"/>
                <w:highlight w:val="none"/>
              </w:rPr>
            </w:pPr>
            <w:r>
              <w:rPr>
                <w:rFonts w:hint="default" w:ascii="Times New Roman" w:hAnsi="Times New Roman" w:cs="Times New Roman"/>
                <w:highlight w:val="none"/>
              </w:rPr>
              <w:t>本项目厂址距离县级饮用水源地南贾地下水井群边界距离为</w:t>
            </w:r>
            <w:r>
              <w:rPr>
                <w:rFonts w:hint="eastAsia" w:cs="Times New Roman"/>
                <w:highlight w:val="none"/>
                <w:lang w:val="en-US" w:eastAsia="zh-CN"/>
              </w:rPr>
              <w:t>12.14</w:t>
            </w:r>
            <w:r>
              <w:rPr>
                <w:rFonts w:hint="default" w:ascii="Times New Roman" w:hAnsi="Times New Roman" w:cs="Times New Roman"/>
                <w:highlight w:val="none"/>
              </w:rPr>
              <w:t>km，不在其</w:t>
            </w:r>
            <w:r>
              <w:rPr>
                <w:rFonts w:hint="eastAsia" w:cs="Times New Roman"/>
                <w:highlight w:val="none"/>
                <w:lang w:eastAsia="zh-CN"/>
              </w:rPr>
              <w:t>二级</w:t>
            </w:r>
            <w:r>
              <w:rPr>
                <w:rFonts w:hint="default" w:ascii="Times New Roman" w:hAnsi="Times New Roman" w:cs="Times New Roman"/>
                <w:highlight w:val="none"/>
              </w:rPr>
              <w:t>保护区范围内。</w:t>
            </w:r>
          </w:p>
          <w:p w14:paraId="2E8785CF">
            <w:pPr>
              <w:keepNext w:val="0"/>
              <w:keepLines w:val="0"/>
              <w:pageBreakBefore w:val="0"/>
              <w:widowControl w:val="0"/>
              <w:kinsoku/>
              <w:wordWrap/>
              <w:overflowPunct/>
              <w:topLinePunct w:val="0"/>
              <w:autoSpaceDE/>
              <w:autoSpaceDN/>
              <w:bidi w:val="0"/>
              <w:adjustRightInd/>
              <w:snapToGrid w:val="0"/>
              <w:spacing w:line="520" w:lineRule="exact"/>
              <w:ind w:firstLine="0" w:firstLineChars="0"/>
              <w:textAlignment w:val="auto"/>
              <w:rPr>
                <w:rFonts w:hint="default" w:ascii="Times New Roman" w:hAnsi="Times New Roman" w:cs="Times New Roman"/>
                <w:b/>
                <w:bCs/>
              </w:rPr>
            </w:pPr>
            <w:r>
              <w:rPr>
                <w:rFonts w:hint="eastAsia" w:cs="Times New Roman"/>
                <w:b/>
                <w:bCs/>
                <w:highlight w:val="none"/>
                <w:lang w:val="en-US" w:eastAsia="zh-CN"/>
              </w:rPr>
              <w:t>5</w:t>
            </w:r>
            <w:r>
              <w:rPr>
                <w:rFonts w:hint="default" w:ascii="Times New Roman" w:hAnsi="Times New Roman" w:cs="Times New Roman"/>
                <w:b/>
                <w:bCs/>
                <w:highlight w:val="none"/>
              </w:rPr>
              <w:t>、武陟县</w:t>
            </w:r>
            <w:r>
              <w:rPr>
                <w:rFonts w:hint="eastAsia" w:cs="Times New Roman"/>
                <w:b/>
                <w:bCs/>
                <w:highlight w:val="none"/>
                <w:lang w:eastAsia="zh-CN"/>
              </w:rPr>
              <w:t>乡镇</w:t>
            </w:r>
            <w:r>
              <w:rPr>
                <w:rFonts w:hint="default" w:ascii="Times New Roman" w:hAnsi="Times New Roman" w:cs="Times New Roman"/>
                <w:b/>
                <w:bCs/>
                <w:highlight w:val="none"/>
              </w:rPr>
              <w:t>集中式饮用水水源地保护区划</w:t>
            </w:r>
          </w:p>
          <w:p w14:paraId="437B4C28">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根据《河南省人民政府办公厅关于印发河南省乡镇集中式饮用水水源保护区划的通知》豫政办〔2016〕23号文中，武陟县乡镇集中式饮用水水源保护有：</w:t>
            </w:r>
          </w:p>
          <w:p w14:paraId="6ED22980">
            <w:pPr>
              <w:keepNext w:val="0"/>
              <w:keepLines w:val="0"/>
              <w:widowControl/>
              <w:numPr>
                <w:ilvl w:val="0"/>
                <w:numId w:val="7"/>
              </w:numPr>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武陟县三阳乡地下水井群（共2眼井）</w:t>
            </w:r>
          </w:p>
          <w:p w14:paraId="6108FA66">
            <w:pPr>
              <w:keepNext w:val="0"/>
              <w:keepLines w:val="0"/>
              <w:widowControl/>
              <w:numPr>
                <w:ilvl w:val="0"/>
                <w:numId w:val="0"/>
              </w:numPr>
              <w:suppressLineNumbers w:val="0"/>
              <w:ind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一级保护区范围：供水站厂区及外围东30米、西30米、南48米、北30米的区域（1号取水井），2号取水井外围50米的区域。</w:t>
            </w:r>
          </w:p>
          <w:p w14:paraId="357EC2CF">
            <w:pPr>
              <w:keepNext w:val="0"/>
              <w:keepLines w:val="0"/>
              <w:widowControl/>
              <w:numPr>
                <w:ilvl w:val="0"/>
                <w:numId w:val="7"/>
              </w:numPr>
              <w:suppressLineNumbers w:val="0"/>
              <w:ind w:left="0" w:leftChars="0"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武陟县小董乡地下水井（共1眼井）</w:t>
            </w:r>
          </w:p>
          <w:p w14:paraId="5500D8E5">
            <w:pPr>
              <w:keepNext w:val="0"/>
              <w:keepLines w:val="0"/>
              <w:widowControl/>
              <w:numPr>
                <w:ilvl w:val="0"/>
                <w:numId w:val="0"/>
              </w:numPr>
              <w:suppressLineNumbers w:val="0"/>
              <w:ind w:left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一级保护区范围：取水井外围50米的区域。</w:t>
            </w:r>
          </w:p>
          <w:p w14:paraId="7817945E">
            <w:pPr>
              <w:keepNext w:val="0"/>
              <w:keepLines w:val="0"/>
              <w:widowControl/>
              <w:numPr>
                <w:ilvl w:val="0"/>
                <w:numId w:val="7"/>
              </w:numPr>
              <w:suppressLineNumbers w:val="0"/>
              <w:ind w:left="0" w:leftChars="0"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武陟县詹店镇地下水井（共1眼井）</w:t>
            </w:r>
          </w:p>
          <w:p w14:paraId="33FDF4B9">
            <w:pPr>
              <w:keepNext w:val="0"/>
              <w:keepLines w:val="0"/>
              <w:widowControl/>
              <w:numPr>
                <w:ilvl w:val="0"/>
                <w:numId w:val="0"/>
              </w:numPr>
              <w:suppressLineNumbers w:val="0"/>
              <w:ind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一级保护区范围：供水站厂区及外围西、南至黄河大堤的区域。</w:t>
            </w:r>
          </w:p>
          <w:p w14:paraId="3E4F2C58">
            <w:pPr>
              <w:keepNext w:val="0"/>
              <w:keepLines w:val="0"/>
              <w:widowControl/>
              <w:numPr>
                <w:ilvl w:val="0"/>
                <w:numId w:val="7"/>
              </w:numPr>
              <w:suppressLineNumbers w:val="0"/>
              <w:ind w:left="0" w:leftChars="0"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武陟县圪垱店乡地下水井群（共2眼井）</w:t>
            </w:r>
          </w:p>
          <w:p w14:paraId="0EA00D58">
            <w:pPr>
              <w:keepNext w:val="0"/>
              <w:keepLines w:val="0"/>
              <w:widowControl/>
              <w:numPr>
                <w:ilvl w:val="0"/>
                <w:numId w:val="0"/>
              </w:numPr>
              <w:suppressLineNumbers w:val="0"/>
              <w:ind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一级保护区范围：供水站厂区及外围东至002县道、北至原焦高速的区域（1号取水井），2号取水井外围50米北至原焦高速的区域。</w:t>
            </w:r>
          </w:p>
          <w:p w14:paraId="77CBADA3">
            <w:pPr>
              <w:keepNext w:val="0"/>
              <w:keepLines w:val="0"/>
              <w:widowControl/>
              <w:numPr>
                <w:ilvl w:val="0"/>
                <w:numId w:val="7"/>
              </w:numPr>
              <w:suppressLineNumbers w:val="0"/>
              <w:ind w:left="0" w:leftChars="0"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武陟县北郭乡地下水井（共1眼井）</w:t>
            </w:r>
          </w:p>
          <w:p w14:paraId="1B93EA83">
            <w:pPr>
              <w:keepNext w:val="0"/>
              <w:keepLines w:val="0"/>
              <w:widowControl/>
              <w:numPr>
                <w:ilvl w:val="0"/>
                <w:numId w:val="0"/>
              </w:numPr>
              <w:suppressLineNumbers w:val="0"/>
              <w:ind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一级保护区范围：北郭乡小司马村村委会院内区域。</w:t>
            </w:r>
          </w:p>
          <w:p w14:paraId="7A63872F">
            <w:pPr>
              <w:keepNext w:val="0"/>
              <w:keepLines w:val="0"/>
              <w:widowControl/>
              <w:numPr>
                <w:ilvl w:val="0"/>
                <w:numId w:val="7"/>
              </w:numPr>
              <w:suppressLineNumbers w:val="0"/>
              <w:ind w:left="0" w:leftChars="0"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武陟县大封镇地下水井群（共3眼井）</w:t>
            </w:r>
          </w:p>
          <w:p w14:paraId="54002E32">
            <w:pPr>
              <w:keepNext w:val="0"/>
              <w:keepLines w:val="0"/>
              <w:widowControl/>
              <w:numPr>
                <w:ilvl w:val="0"/>
                <w:numId w:val="0"/>
              </w:numPr>
              <w:suppressLineNumbers w:val="0"/>
              <w:ind w:left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一级保护区范围：1、2号取水井外围50米的区域，供水站厂区（3号取水井）。</w:t>
            </w:r>
          </w:p>
          <w:p w14:paraId="514356E0">
            <w:pPr>
              <w:keepNext w:val="0"/>
              <w:keepLines w:val="0"/>
              <w:widowControl/>
              <w:numPr>
                <w:ilvl w:val="0"/>
                <w:numId w:val="7"/>
              </w:numPr>
              <w:suppressLineNumbers w:val="0"/>
              <w:ind w:left="0" w:leftChars="0"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武陟县西陶镇地下水井群（共2眼井）</w:t>
            </w:r>
          </w:p>
          <w:p w14:paraId="084E4368">
            <w:pPr>
              <w:keepNext w:val="0"/>
              <w:keepLines w:val="0"/>
              <w:widowControl/>
              <w:numPr>
                <w:ilvl w:val="0"/>
                <w:numId w:val="0"/>
              </w:numPr>
              <w:suppressLineNumbers w:val="0"/>
              <w:ind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一级保护区范围：井群外包线内及外围50米的区域。</w:t>
            </w:r>
          </w:p>
          <w:p w14:paraId="23D24D2D">
            <w:pPr>
              <w:keepNext w:val="0"/>
              <w:keepLines w:val="0"/>
              <w:widowControl/>
              <w:numPr>
                <w:ilvl w:val="0"/>
                <w:numId w:val="7"/>
              </w:numPr>
              <w:suppressLineNumbers w:val="0"/>
              <w:ind w:left="0" w:leftChars="0"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武陟县大虹桥乡地下水井（共1眼井）</w:t>
            </w:r>
          </w:p>
          <w:p w14:paraId="1835FD54">
            <w:pPr>
              <w:keepNext w:val="0"/>
              <w:keepLines w:val="0"/>
              <w:widowControl/>
              <w:numPr>
                <w:ilvl w:val="0"/>
                <w:numId w:val="0"/>
              </w:numPr>
              <w:suppressLineNumbers w:val="0"/>
              <w:ind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一级保护区范围：取水井外围50米的区域。</w:t>
            </w:r>
          </w:p>
          <w:p w14:paraId="055EE04C">
            <w:pPr>
              <w:keepNext w:val="0"/>
              <w:keepLines w:val="0"/>
              <w:widowControl/>
              <w:numPr>
                <w:ilvl w:val="0"/>
                <w:numId w:val="0"/>
              </w:numPr>
              <w:suppressLineNumbers w:val="0"/>
              <w:ind w:firstLine="480" w:firstLineChars="20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距离本项目最近的</w:t>
            </w:r>
            <w:r>
              <w:rPr>
                <w:rFonts w:hint="eastAsia" w:cs="Times New Roman"/>
                <w:color w:val="000000"/>
                <w:kern w:val="0"/>
                <w:sz w:val="24"/>
                <w:szCs w:val="24"/>
                <w:highlight w:val="none"/>
                <w:lang w:val="en-US" w:eastAsia="zh-CN" w:bidi="ar"/>
              </w:rPr>
              <w:t>乡镇</w:t>
            </w:r>
            <w:r>
              <w:rPr>
                <w:rFonts w:hint="default" w:ascii="Times New Roman" w:hAnsi="Times New Roman" w:eastAsia="宋体" w:cs="Times New Roman"/>
                <w:color w:val="000000"/>
                <w:kern w:val="0"/>
                <w:sz w:val="24"/>
                <w:szCs w:val="24"/>
                <w:highlight w:val="none"/>
                <w:lang w:val="en-US" w:eastAsia="zh-CN" w:bidi="ar"/>
              </w:rPr>
              <w:t>集中式饮用水水源</w:t>
            </w:r>
            <w:r>
              <w:rPr>
                <w:rFonts w:hint="eastAsia" w:ascii="Times New Roman" w:hAnsi="Times New Roman" w:eastAsia="宋体" w:cs="Times New Roman"/>
                <w:color w:val="000000"/>
                <w:kern w:val="0"/>
                <w:sz w:val="24"/>
                <w:szCs w:val="24"/>
                <w:highlight w:val="none"/>
                <w:lang w:val="en-US" w:eastAsia="zh-CN" w:bidi="ar"/>
              </w:rPr>
              <w:t>地</w:t>
            </w:r>
            <w:r>
              <w:rPr>
                <w:rFonts w:hint="default" w:ascii="Times New Roman" w:hAnsi="Times New Roman" w:eastAsia="宋体" w:cs="Times New Roman"/>
                <w:color w:val="000000"/>
                <w:kern w:val="0"/>
                <w:sz w:val="24"/>
                <w:szCs w:val="24"/>
                <w:highlight w:val="none"/>
                <w:lang w:val="en-US" w:eastAsia="zh-CN" w:bidi="ar"/>
              </w:rPr>
              <w:t>为詹店镇集中式饮用水水源地，詹店镇集中式饮用水水源地1处位于武陟县詹店镇张菜园村西南，距武陟县城约18km。地理位置坐标为东经113°12′47.18"，北纬35°0′51.85"。根据《河南省武陟县乡镇集中式饮用水水源保护区划分技术报告》，该水源地仅设置一级保护区，保护区范围为：以水源地水井为中心，向四周外延30-50米所围成的正方形区域，一级保护区面积0.0021km</w:t>
            </w:r>
            <w:r>
              <w:rPr>
                <w:rFonts w:hint="default" w:ascii="Times New Roman" w:hAnsi="Times New Roman" w:eastAsia="宋体" w:cs="Times New Roman"/>
                <w:color w:val="000000"/>
                <w:kern w:val="0"/>
                <w:sz w:val="24"/>
                <w:szCs w:val="24"/>
                <w:highlight w:val="none"/>
                <w:vertAlign w:val="superscript"/>
                <w:lang w:val="en-US" w:eastAsia="zh-CN" w:bidi="ar"/>
              </w:rPr>
              <w:t>2</w:t>
            </w:r>
            <w:r>
              <w:rPr>
                <w:rFonts w:hint="default" w:ascii="Times New Roman" w:hAnsi="Times New Roman" w:eastAsia="宋体" w:cs="Times New Roman"/>
                <w:color w:val="000000"/>
                <w:kern w:val="0"/>
                <w:sz w:val="24"/>
                <w:szCs w:val="24"/>
                <w:highlight w:val="none"/>
                <w:lang w:val="en-US" w:eastAsia="zh-CN" w:bidi="ar"/>
              </w:rPr>
              <w:t>。</w:t>
            </w:r>
            <w:r>
              <w:rPr>
                <w:rFonts w:hint="eastAsia" w:ascii="Times New Roman" w:hAnsi="Times New Roman" w:eastAsia="宋体" w:cs="Times New Roman"/>
                <w:color w:val="000000"/>
                <w:kern w:val="0"/>
                <w:sz w:val="24"/>
                <w:szCs w:val="24"/>
                <w:highlight w:val="none"/>
                <w:lang w:val="en-US" w:eastAsia="zh-CN" w:bidi="ar"/>
              </w:rPr>
              <w:t>本</w:t>
            </w:r>
            <w:r>
              <w:rPr>
                <w:rFonts w:hint="default" w:ascii="Times New Roman" w:hAnsi="Times New Roman" w:eastAsia="宋体" w:cs="Times New Roman"/>
                <w:color w:val="000000"/>
                <w:kern w:val="0"/>
                <w:sz w:val="24"/>
                <w:szCs w:val="24"/>
                <w:highlight w:val="none"/>
                <w:lang w:val="en-US" w:eastAsia="zh-CN" w:bidi="ar"/>
              </w:rPr>
              <w:t>项目厂址距离武陟县詹店镇集中饮用水源地约</w:t>
            </w:r>
            <w:r>
              <w:rPr>
                <w:rFonts w:hint="eastAsia" w:ascii="Times New Roman" w:hAnsi="Times New Roman" w:eastAsia="宋体" w:cs="Times New Roman"/>
                <w:color w:val="000000"/>
                <w:kern w:val="0"/>
                <w:sz w:val="24"/>
                <w:szCs w:val="24"/>
                <w:highlight w:val="none"/>
                <w:lang w:val="en-US" w:eastAsia="zh-CN" w:bidi="ar"/>
              </w:rPr>
              <w:t>4.3</w:t>
            </w:r>
            <w:r>
              <w:rPr>
                <w:rFonts w:hint="default" w:ascii="Times New Roman" w:hAnsi="Times New Roman" w:eastAsia="宋体" w:cs="Times New Roman"/>
                <w:color w:val="000000"/>
                <w:kern w:val="0"/>
                <w:sz w:val="24"/>
                <w:szCs w:val="24"/>
                <w:highlight w:val="none"/>
                <w:lang w:val="en-US" w:eastAsia="zh-CN" w:bidi="ar"/>
              </w:rPr>
              <w:t>km，不在水源地保护区范围内。</w:t>
            </w:r>
          </w:p>
          <w:p w14:paraId="3B412508">
            <w:pPr>
              <w:keepNext w:val="0"/>
              <w:keepLines w:val="0"/>
              <w:pageBreakBefore w:val="0"/>
              <w:widowControl/>
              <w:suppressLineNumbers w:val="0"/>
              <w:kinsoku/>
              <w:wordWrap w:val="0"/>
              <w:overflowPunct/>
              <w:topLinePunct w:val="0"/>
              <w:autoSpaceDE/>
              <w:autoSpaceDN/>
              <w:bidi w:val="0"/>
              <w:adjustRightInd/>
              <w:snapToGrid/>
              <w:spacing w:line="520" w:lineRule="exact"/>
              <w:ind w:left="0" w:leftChars="0" w:right="0" w:firstLine="0" w:firstLineChars="0"/>
              <w:jc w:val="left"/>
              <w:textAlignment w:val="auto"/>
              <w:rPr>
                <w:rFonts w:hint="default" w:ascii="Times New Roman" w:hAnsi="Times New Roman" w:eastAsia="宋体" w:cs="Times New Roman"/>
                <w:b/>
                <w:bCs/>
              </w:rPr>
            </w:pPr>
            <w:r>
              <w:rPr>
                <w:rFonts w:hint="eastAsia" w:cs="Times New Roman"/>
                <w:b/>
                <w:bCs/>
                <w:color w:val="auto"/>
                <w:kern w:val="2"/>
                <w:sz w:val="24"/>
                <w:szCs w:val="24"/>
                <w:highlight w:val="none"/>
                <w:lang w:val="en-US" w:eastAsia="zh-CN" w:bidi="ar"/>
              </w:rPr>
              <w:t>6</w:t>
            </w:r>
            <w:r>
              <w:rPr>
                <w:rFonts w:hint="default" w:ascii="Times New Roman" w:hAnsi="Times New Roman" w:eastAsia="宋体" w:cs="Times New Roman"/>
                <w:b/>
                <w:bCs/>
                <w:color w:val="auto"/>
                <w:kern w:val="2"/>
                <w:sz w:val="24"/>
                <w:szCs w:val="24"/>
                <w:highlight w:val="none"/>
                <w:lang w:val="en-US" w:eastAsia="zh-CN" w:bidi="ar"/>
              </w:rPr>
              <w:t>、与河南武陟嘉应观黄河省级湿地公园区划相符性</w:t>
            </w:r>
          </w:p>
          <w:p w14:paraId="707AD22A">
            <w:pPr>
              <w:keepNext w:val="0"/>
              <w:keepLines w:val="0"/>
              <w:pageBreakBefore w:val="0"/>
              <w:widowControl/>
              <w:shd w:val="clear" w:color="auto" w:fill="auto"/>
              <w:kinsoku/>
              <w:wordWrap w:val="0"/>
              <w:overflowPunct/>
              <w:topLinePunct/>
              <w:autoSpaceDE/>
              <w:autoSpaceDN/>
              <w:bidi w:val="0"/>
              <w:adjustRightInd/>
              <w:snapToGrid/>
              <w:spacing w:line="520" w:lineRule="exact"/>
              <w:ind w:right="0" w:firstLine="480" w:firstLineChars="200"/>
              <w:textAlignment w:val="auto"/>
              <w:rPr>
                <w:rFonts w:hint="default" w:ascii="Times New Roman" w:hAnsi="Times New Roman" w:eastAsia="宋体" w:cs="Times New Roman"/>
                <w:color w:val="auto"/>
                <w:sz w:val="24"/>
                <w:highlight w:val="none"/>
                <w:lang w:bidi="ar"/>
              </w:rPr>
            </w:pPr>
            <w:r>
              <w:rPr>
                <w:rFonts w:hint="default" w:ascii="Times New Roman" w:hAnsi="Times New Roman" w:eastAsia="宋体" w:cs="Times New Roman"/>
                <w:color w:val="auto"/>
                <w:sz w:val="24"/>
                <w:highlight w:val="none"/>
                <w:lang w:val="en-US" w:eastAsia="zh-CN" w:bidi="ar"/>
              </w:rPr>
              <w:t>河南武陟嘉应观黄河省级湿地公园为省级黄河湿地公园，建设单位为河南省武陟县林业局，地处黄河中下游过渡区。湿地公园规划范围北至S311，南至武陟县与荥阳市县界，东至武陟县与原阳县县界，西至沁河口。地理坐标介于东经113°24′30″~113°35′39″，北纬35°03′17″~34°56′14″之间。南北跨度12.38km，东西跨度17.69km，总面积2144.52 公顷，其中湿地面积1913.13公顷，湿地率89.21%。主要由黄河、沁河、人民胜利渠、共产主义渠、武嘉干渠、排涝沟、鱼塘等湿地组成。建设目标为保护和恢复湿地生态系统，有效发挥湿地地表水份传输、调蓄洪水、净化水质、调节区域气候和保护生物多样性等生态效益。</w:t>
            </w:r>
          </w:p>
          <w:p w14:paraId="20900CFA">
            <w:pPr>
              <w:keepNext w:val="0"/>
              <w:keepLines w:val="0"/>
              <w:pageBreakBefore w:val="0"/>
              <w:kinsoku/>
              <w:wordWrap w:val="0"/>
              <w:overflowPunct/>
              <w:topLinePunct/>
              <w:autoSpaceDE/>
              <w:autoSpaceDN/>
              <w:bidi w:val="0"/>
              <w:adjustRightInd/>
              <w:snapToGrid/>
              <w:spacing w:line="520" w:lineRule="exact"/>
              <w:ind w:right="0" w:firstLine="480" w:firstLineChars="200"/>
              <w:jc w:val="left"/>
              <w:textAlignment w:val="auto"/>
              <w:rPr>
                <w:rFonts w:hint="default" w:ascii="Times New Roman" w:hAnsi="Times New Roman" w:eastAsia="宋体" w:cs="Times New Roman"/>
                <w:b w:val="0"/>
                <w:bCs w:val="0"/>
                <w:lang w:eastAsia="zh-CN"/>
              </w:rPr>
            </w:pPr>
            <w:r>
              <w:rPr>
                <w:rFonts w:hint="eastAsia" w:cs="Times New Roman"/>
                <w:b w:val="0"/>
                <w:bCs w:val="0"/>
                <w:color w:val="auto"/>
                <w:sz w:val="24"/>
                <w:highlight w:val="none"/>
                <w:lang w:eastAsia="zh-CN" w:bidi="ar"/>
              </w:rPr>
              <w:t>本</w:t>
            </w:r>
            <w:r>
              <w:rPr>
                <w:rFonts w:hint="default" w:ascii="Times New Roman" w:hAnsi="Times New Roman" w:eastAsia="宋体" w:cs="Times New Roman"/>
                <w:b w:val="0"/>
                <w:bCs w:val="0"/>
                <w:color w:val="auto"/>
                <w:sz w:val="24"/>
                <w:highlight w:val="none"/>
                <w:lang w:bidi="ar"/>
              </w:rPr>
              <w:t>项目厂址距</w:t>
            </w:r>
            <w:r>
              <w:rPr>
                <w:rFonts w:hint="default" w:ascii="Times New Roman" w:hAnsi="Times New Roman" w:eastAsia="宋体" w:cs="Times New Roman"/>
                <w:b w:val="0"/>
                <w:bCs w:val="0"/>
                <w:color w:val="auto"/>
                <w:sz w:val="24"/>
                <w:highlight w:val="none"/>
                <w:lang w:val="en-US" w:eastAsia="zh-CN" w:bidi="ar"/>
              </w:rPr>
              <w:t>河南武陟嘉应观黄河省级湿地公园</w:t>
            </w:r>
            <w:r>
              <w:rPr>
                <w:rFonts w:hint="default" w:ascii="Times New Roman" w:hAnsi="Times New Roman" w:eastAsia="宋体" w:cs="Times New Roman"/>
                <w:b w:val="0"/>
                <w:bCs w:val="0"/>
                <w:color w:val="auto"/>
                <w:sz w:val="24"/>
                <w:highlight w:val="none"/>
                <w:lang w:bidi="ar"/>
              </w:rPr>
              <w:t>最近距离约</w:t>
            </w:r>
            <w:r>
              <w:rPr>
                <w:rFonts w:hint="eastAsia" w:cs="Times New Roman"/>
                <w:b w:val="0"/>
                <w:bCs w:val="0"/>
                <w:color w:val="auto"/>
                <w:sz w:val="24"/>
                <w:highlight w:val="none"/>
                <w:lang w:val="en-US" w:eastAsia="zh-CN" w:bidi="ar"/>
              </w:rPr>
              <w:t>5.51</w:t>
            </w:r>
            <w:r>
              <w:rPr>
                <w:rFonts w:hint="default" w:ascii="Times New Roman" w:hAnsi="Times New Roman" w:eastAsia="宋体" w:cs="Times New Roman"/>
                <w:b w:val="0"/>
                <w:bCs w:val="0"/>
                <w:color w:val="auto"/>
                <w:sz w:val="24"/>
                <w:highlight w:val="none"/>
                <w:lang w:bidi="ar"/>
              </w:rPr>
              <w:t>km，不在其保护区范围内。</w:t>
            </w:r>
          </w:p>
          <w:p w14:paraId="268457FB">
            <w:pPr>
              <w:spacing w:line="520" w:lineRule="exact"/>
              <w:ind w:left="0" w:leftChars="0" w:firstLine="0" w:firstLineChars="0"/>
              <w:jc w:val="left"/>
              <w:rPr>
                <w:rFonts w:hint="default" w:ascii="Times New Roman" w:hAnsi="Times New Roman" w:cs="Times New Roman"/>
                <w:b/>
                <w:color w:val="000000"/>
                <w:sz w:val="24"/>
                <w:szCs w:val="20"/>
                <w:highlight w:val="none"/>
              </w:rPr>
            </w:pPr>
            <w:r>
              <w:rPr>
                <w:rFonts w:hint="eastAsia" w:cs="Times New Roman"/>
                <w:b/>
                <w:bCs/>
                <w:color w:val="000000"/>
                <w:sz w:val="24"/>
                <w:highlight w:val="none"/>
                <w:lang w:val="en-US" w:eastAsia="zh-CN"/>
              </w:rPr>
              <w:t>7</w:t>
            </w:r>
            <w:r>
              <w:rPr>
                <w:rFonts w:hint="default" w:ascii="Times New Roman" w:hAnsi="Times New Roman" w:cs="Times New Roman"/>
                <w:b/>
                <w:bCs/>
                <w:color w:val="000000"/>
                <w:sz w:val="24"/>
                <w:highlight w:val="none"/>
              </w:rPr>
              <w:t>、</w:t>
            </w:r>
            <w:r>
              <w:rPr>
                <w:rFonts w:hint="default" w:ascii="Times New Roman" w:hAnsi="Times New Roman" w:cs="Times New Roman"/>
                <w:b/>
                <w:color w:val="000000"/>
                <w:sz w:val="24"/>
                <w:szCs w:val="20"/>
                <w:highlight w:val="none"/>
              </w:rPr>
              <w:t>与</w:t>
            </w:r>
            <w:r>
              <w:rPr>
                <w:rFonts w:hint="default" w:ascii="Times New Roman" w:hAnsi="Times New Roman" w:cs="Times New Roman"/>
                <w:b/>
                <w:color w:val="000000"/>
                <w:sz w:val="24"/>
                <w:szCs w:val="20"/>
                <w:highlight w:val="none"/>
                <w:lang w:eastAsia="zh-CN"/>
              </w:rPr>
              <w:t>《焦作市生态环境保护委员会办公室关于印发焦作市202</w:t>
            </w:r>
            <w:r>
              <w:rPr>
                <w:rFonts w:hint="default" w:ascii="Times New Roman" w:hAnsi="Times New Roman" w:cs="Times New Roman"/>
                <w:b/>
                <w:color w:val="000000"/>
                <w:sz w:val="24"/>
                <w:szCs w:val="20"/>
                <w:highlight w:val="none"/>
                <w:lang w:val="en-US" w:eastAsia="zh-CN"/>
              </w:rPr>
              <w:t>5</w:t>
            </w:r>
            <w:r>
              <w:rPr>
                <w:rFonts w:hint="default" w:ascii="Times New Roman" w:hAnsi="Times New Roman" w:cs="Times New Roman"/>
                <w:b/>
                <w:color w:val="000000"/>
                <w:sz w:val="24"/>
                <w:szCs w:val="20"/>
                <w:highlight w:val="none"/>
                <w:lang w:eastAsia="zh-CN"/>
              </w:rPr>
              <w:t>年蓝天保卫战实施方案的通知》（焦环委办〔202</w:t>
            </w:r>
            <w:r>
              <w:rPr>
                <w:rFonts w:hint="default" w:ascii="Times New Roman" w:hAnsi="Times New Roman" w:cs="Times New Roman"/>
                <w:b/>
                <w:color w:val="000000"/>
                <w:sz w:val="24"/>
                <w:szCs w:val="20"/>
                <w:highlight w:val="none"/>
                <w:lang w:val="en-US" w:eastAsia="zh-CN"/>
              </w:rPr>
              <w:t>5</w:t>
            </w:r>
            <w:r>
              <w:rPr>
                <w:rFonts w:hint="default" w:ascii="Times New Roman" w:hAnsi="Times New Roman" w:cs="Times New Roman"/>
                <w:b/>
                <w:color w:val="000000"/>
                <w:sz w:val="24"/>
                <w:szCs w:val="20"/>
                <w:highlight w:val="none"/>
                <w:lang w:eastAsia="zh-CN"/>
              </w:rPr>
              <w:t>〕</w:t>
            </w:r>
            <w:r>
              <w:rPr>
                <w:rFonts w:hint="default" w:ascii="Times New Roman" w:hAnsi="Times New Roman" w:cs="Times New Roman"/>
                <w:b/>
                <w:color w:val="000000"/>
                <w:sz w:val="24"/>
                <w:szCs w:val="20"/>
                <w:highlight w:val="none"/>
                <w:lang w:val="en-US" w:eastAsia="zh-CN"/>
              </w:rPr>
              <w:t>11</w:t>
            </w:r>
            <w:r>
              <w:rPr>
                <w:rFonts w:hint="default" w:ascii="Times New Roman" w:hAnsi="Times New Roman" w:cs="Times New Roman"/>
                <w:b/>
                <w:color w:val="000000"/>
                <w:sz w:val="24"/>
                <w:szCs w:val="20"/>
                <w:highlight w:val="none"/>
                <w:lang w:eastAsia="zh-CN"/>
              </w:rPr>
              <w:t>号）</w:t>
            </w:r>
            <w:r>
              <w:rPr>
                <w:rFonts w:hint="default" w:ascii="Times New Roman" w:hAnsi="Times New Roman" w:cs="Times New Roman"/>
                <w:b/>
                <w:color w:val="000000"/>
                <w:sz w:val="24"/>
                <w:szCs w:val="20"/>
                <w:highlight w:val="none"/>
              </w:rPr>
              <w:t>相符性分析</w:t>
            </w:r>
          </w:p>
          <w:p w14:paraId="56C5EBCA">
            <w:pPr>
              <w:tabs>
                <w:tab w:val="left" w:pos="540"/>
              </w:tabs>
              <w:spacing w:line="520" w:lineRule="exact"/>
              <w:ind w:left="0" w:leftChars="0" w:firstLine="0" w:firstLineChars="0"/>
              <w:jc w:val="center"/>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表</w:t>
            </w:r>
            <w:r>
              <w:rPr>
                <w:rFonts w:hint="default" w:ascii="Times New Roman" w:hAnsi="Times New Roman" w:cs="Times New Roman"/>
                <w:b/>
                <w:color w:val="000000"/>
                <w:sz w:val="24"/>
                <w:highlight w:val="none"/>
                <w:lang w:val="en-US" w:eastAsia="zh-CN"/>
              </w:rPr>
              <w:t>1-</w:t>
            </w:r>
            <w:r>
              <w:rPr>
                <w:rFonts w:hint="eastAsia" w:ascii="Times New Roman" w:hAnsi="Times New Roman" w:cs="Times New Roman"/>
                <w:b/>
                <w:color w:val="000000"/>
                <w:sz w:val="24"/>
                <w:highlight w:val="none"/>
                <w:lang w:val="en-US" w:eastAsia="zh-CN"/>
              </w:rPr>
              <w:t>8</w:t>
            </w:r>
            <w:r>
              <w:rPr>
                <w:rFonts w:hint="default" w:ascii="Times New Roman" w:hAnsi="Times New Roman" w:cs="Times New Roman"/>
                <w:b/>
                <w:color w:val="000000"/>
                <w:sz w:val="24"/>
                <w:highlight w:val="none"/>
              </w:rPr>
              <w:t xml:space="preserve">   项目与</w:t>
            </w:r>
            <w:r>
              <w:rPr>
                <w:rFonts w:hint="default" w:ascii="Times New Roman" w:hAnsi="Times New Roman" w:cs="Times New Roman"/>
                <w:b/>
                <w:color w:val="000000"/>
                <w:sz w:val="24"/>
                <w:highlight w:val="none"/>
                <w:lang w:eastAsia="zh-CN"/>
              </w:rPr>
              <w:t>焦环委办〔202</w:t>
            </w:r>
            <w:r>
              <w:rPr>
                <w:rFonts w:hint="default" w:ascii="Times New Roman" w:hAnsi="Times New Roman" w:cs="Times New Roman"/>
                <w:b/>
                <w:color w:val="000000"/>
                <w:sz w:val="24"/>
                <w:highlight w:val="none"/>
                <w:lang w:val="en-US" w:eastAsia="zh-CN"/>
              </w:rPr>
              <w:t>5</w:t>
            </w:r>
            <w:r>
              <w:rPr>
                <w:rFonts w:hint="default" w:ascii="Times New Roman" w:hAnsi="Times New Roman" w:cs="Times New Roman"/>
                <w:b/>
                <w:color w:val="000000"/>
                <w:sz w:val="24"/>
                <w:highlight w:val="none"/>
                <w:lang w:eastAsia="zh-CN"/>
              </w:rPr>
              <w:t>〕</w:t>
            </w:r>
            <w:r>
              <w:rPr>
                <w:rFonts w:hint="default" w:ascii="Times New Roman" w:hAnsi="Times New Roman" w:cs="Times New Roman"/>
                <w:b/>
                <w:color w:val="000000"/>
                <w:sz w:val="24"/>
                <w:highlight w:val="none"/>
                <w:lang w:val="en-US" w:eastAsia="zh-CN"/>
              </w:rPr>
              <w:t>11</w:t>
            </w:r>
            <w:r>
              <w:rPr>
                <w:rFonts w:hint="default" w:ascii="Times New Roman" w:hAnsi="Times New Roman" w:cs="Times New Roman"/>
                <w:b/>
                <w:color w:val="000000"/>
                <w:sz w:val="24"/>
                <w:highlight w:val="none"/>
                <w:lang w:eastAsia="zh-CN"/>
              </w:rPr>
              <w:t>号</w:t>
            </w:r>
            <w:r>
              <w:rPr>
                <w:rFonts w:hint="default" w:ascii="Times New Roman" w:hAnsi="Times New Roman" w:cs="Times New Roman"/>
                <w:b/>
                <w:color w:val="000000"/>
                <w:sz w:val="24"/>
                <w:highlight w:val="none"/>
              </w:rPr>
              <w:t>相符性分析</w:t>
            </w:r>
          </w:p>
          <w:tbl>
            <w:tblPr>
              <w:tblStyle w:val="15"/>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4150"/>
              <w:gridCol w:w="2875"/>
              <w:gridCol w:w="746"/>
            </w:tblGrid>
            <w:tr w14:paraId="51004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3" w:type="pct"/>
                  <w:noWrap w:val="0"/>
                  <w:vAlign w:val="center"/>
                </w:tcPr>
                <w:p w14:paraId="7B24C464">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项目</w:t>
                  </w:r>
                </w:p>
              </w:tc>
              <w:tc>
                <w:tcPr>
                  <w:tcW w:w="2385" w:type="pct"/>
                  <w:noWrap w:val="0"/>
                  <w:vAlign w:val="center"/>
                </w:tcPr>
                <w:p w14:paraId="710A4A21">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工作方案相关内容</w:t>
                  </w:r>
                </w:p>
              </w:tc>
              <w:tc>
                <w:tcPr>
                  <w:tcW w:w="1652" w:type="pct"/>
                  <w:noWrap w:val="0"/>
                  <w:vAlign w:val="center"/>
                </w:tcPr>
                <w:p w14:paraId="3A889647">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本工程情况</w:t>
                  </w:r>
                </w:p>
              </w:tc>
              <w:tc>
                <w:tcPr>
                  <w:tcW w:w="428" w:type="pct"/>
                  <w:noWrap w:val="0"/>
                  <w:vAlign w:val="center"/>
                </w:tcPr>
                <w:p w14:paraId="06A85A68">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eastAsia="zh-CN"/>
                    </w:rPr>
                    <w:t>相符</w:t>
                  </w:r>
                  <w:r>
                    <w:rPr>
                      <w:rFonts w:hint="default" w:ascii="Times New Roman" w:hAnsi="Times New Roman" w:eastAsia="宋体" w:cs="Times New Roman"/>
                      <w:color w:val="000000"/>
                      <w:sz w:val="21"/>
                      <w:szCs w:val="21"/>
                      <w:highlight w:val="none"/>
                    </w:rPr>
                    <w:t>性</w:t>
                  </w:r>
                </w:p>
              </w:tc>
            </w:tr>
            <w:tr w14:paraId="01E8D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533" w:type="pct"/>
                  <w:vMerge w:val="restart"/>
                  <w:noWrap w:val="0"/>
                  <w:vAlign w:val="center"/>
                </w:tcPr>
                <w:p w14:paraId="6BE669DC">
                  <w:pPr>
                    <w:keepNext w:val="0"/>
                    <w:keepLines w:val="0"/>
                    <w:pageBreakBefore w:val="0"/>
                    <w:widowControl w:val="0"/>
                    <w:kinsoku/>
                    <w:wordWrap/>
                    <w:overflowPunct/>
                    <w:autoSpaceDE/>
                    <w:autoSpaceDN/>
                    <w:bidi w:val="0"/>
                    <w:adjustRightInd/>
                    <w:snapToGrid/>
                    <w:spacing w:line="360" w:lineRule="exact"/>
                    <w:ind w:firstLine="0" w:firstLineChars="0"/>
                    <w:jc w:val="lef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1、坚决遏制高能耗、高排放项目盲目发展</w:t>
                  </w:r>
                </w:p>
              </w:tc>
              <w:tc>
                <w:tcPr>
                  <w:tcW w:w="2385" w:type="pct"/>
                  <w:noWrap w:val="0"/>
                  <w:vAlign w:val="center"/>
                </w:tcPr>
                <w:p w14:paraId="1EDB187F">
                  <w:pPr>
                    <w:keepNext w:val="0"/>
                    <w:keepLines w:val="0"/>
                    <w:pageBreakBefore w:val="0"/>
                    <w:widowControl w:val="0"/>
                    <w:kinsoku/>
                    <w:wordWrap/>
                    <w:overflowPunct/>
                    <w:topLinePunct/>
                    <w:autoSpaceDE/>
                    <w:autoSpaceDN/>
                    <w:bidi w:val="0"/>
                    <w:adjustRightInd/>
                    <w:snapToGrid/>
                    <w:spacing w:line="360" w:lineRule="exact"/>
                    <w:ind w:firstLine="0" w:firstLineChars="0"/>
                    <w:jc w:val="lef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建设项目要按照区域污染物削减要求，实施倍量替代。技术改造、改建项目原则上不新增现有污染因子排放量，扩建项目不得增加污染物排放强度（单位产品污染物排放量）。</w:t>
                  </w:r>
                </w:p>
              </w:tc>
              <w:tc>
                <w:tcPr>
                  <w:tcW w:w="1652" w:type="pct"/>
                  <w:noWrap w:val="0"/>
                  <w:vAlign w:val="center"/>
                </w:tcPr>
                <w:p w14:paraId="76E6908B">
                  <w:pPr>
                    <w:keepNext w:val="0"/>
                    <w:keepLines w:val="0"/>
                    <w:pageBreakBefore w:val="0"/>
                    <w:widowControl w:val="0"/>
                    <w:kinsoku/>
                    <w:wordWrap/>
                    <w:overflowPunct/>
                    <w:autoSpaceDE/>
                    <w:autoSpaceDN/>
                    <w:bidi w:val="0"/>
                    <w:adjustRightInd/>
                    <w:snapToGrid/>
                    <w:spacing w:line="360" w:lineRule="exact"/>
                    <w:ind w:firstLine="0" w:firstLineChars="0"/>
                    <w:jc w:val="lef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本项目不属于高能耗、高排放项目，项目为</w:t>
                  </w:r>
                  <w:r>
                    <w:rPr>
                      <w:rFonts w:hint="eastAsia" w:eastAsia="宋体" w:cs="Times New Roman"/>
                      <w:color w:val="000000"/>
                      <w:sz w:val="21"/>
                      <w:szCs w:val="21"/>
                      <w:highlight w:val="none"/>
                      <w:lang w:val="en-US" w:eastAsia="zh-CN"/>
                    </w:rPr>
                    <w:t>新</w:t>
                  </w:r>
                  <w:r>
                    <w:rPr>
                      <w:rFonts w:hint="default" w:ascii="Times New Roman" w:hAnsi="Times New Roman" w:eastAsia="宋体" w:cs="Times New Roman"/>
                      <w:color w:val="000000"/>
                      <w:sz w:val="21"/>
                      <w:szCs w:val="21"/>
                      <w:highlight w:val="none"/>
                      <w:lang w:val="en-US" w:eastAsia="zh-CN"/>
                    </w:rPr>
                    <w:t>建项目，项目</w:t>
                  </w:r>
                  <w:r>
                    <w:rPr>
                      <w:rFonts w:hint="eastAsia" w:eastAsia="宋体" w:cs="Times New Roman"/>
                      <w:color w:val="000000"/>
                      <w:sz w:val="21"/>
                      <w:szCs w:val="21"/>
                      <w:highlight w:val="none"/>
                      <w:lang w:val="en-US" w:eastAsia="zh-CN"/>
                    </w:rPr>
                    <w:t>废气</w:t>
                  </w:r>
                  <w:r>
                    <w:rPr>
                      <w:rFonts w:hint="default" w:ascii="Times New Roman" w:hAnsi="Times New Roman" w:eastAsia="宋体" w:cs="Times New Roman"/>
                      <w:color w:val="000000"/>
                      <w:sz w:val="21"/>
                      <w:szCs w:val="21"/>
                      <w:highlight w:val="none"/>
                      <w:lang w:val="en-US" w:eastAsia="zh-CN"/>
                    </w:rPr>
                    <w:t>排放实施倍量替代。</w:t>
                  </w:r>
                </w:p>
              </w:tc>
              <w:tc>
                <w:tcPr>
                  <w:tcW w:w="428" w:type="pct"/>
                  <w:noWrap w:val="0"/>
                  <w:vAlign w:val="center"/>
                </w:tcPr>
                <w:p w14:paraId="208ADEDB">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符合</w:t>
                  </w:r>
                </w:p>
              </w:tc>
            </w:tr>
            <w:tr w14:paraId="50EF3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533" w:type="pct"/>
                  <w:vMerge w:val="continue"/>
                  <w:noWrap w:val="0"/>
                  <w:vAlign w:val="center"/>
                </w:tcPr>
                <w:p w14:paraId="73C4D738">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rPr>
                  </w:pPr>
                </w:p>
              </w:tc>
              <w:tc>
                <w:tcPr>
                  <w:tcW w:w="2385" w:type="pct"/>
                  <w:noWrap w:val="0"/>
                  <w:vAlign w:val="center"/>
                </w:tcPr>
                <w:p w14:paraId="044007CC">
                  <w:pPr>
                    <w:keepNext w:val="0"/>
                    <w:keepLines w:val="0"/>
                    <w:pageBreakBefore w:val="0"/>
                    <w:widowControl w:val="0"/>
                    <w:kinsoku/>
                    <w:wordWrap/>
                    <w:overflowPunct/>
                    <w:topLinePunct/>
                    <w:autoSpaceDE/>
                    <w:autoSpaceDN/>
                    <w:bidi w:val="0"/>
                    <w:adjustRightInd/>
                    <w:snapToGrid/>
                    <w:spacing w:line="360" w:lineRule="exact"/>
                    <w:ind w:firstLine="0" w:firstLineChars="0"/>
                    <w:jc w:val="lef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全市严禁新增钢铁、电解铝、水泥熟料、玻璃、煤化工、氧化铝、焦化、</w:t>
                  </w:r>
                  <w:r>
                    <w:rPr>
                      <w:rFonts w:hint="default" w:ascii="Times New Roman" w:hAnsi="Times New Roman" w:eastAsia="宋体" w:cs="Times New Roman"/>
                      <w:b w:val="0"/>
                      <w:bCs w:val="0"/>
                      <w:color w:val="000000"/>
                      <w:sz w:val="21"/>
                      <w:szCs w:val="21"/>
                    </w:rPr>
                    <w:t>铝用碳素、铁合金、铅锌冶炼（含再生铅）、含烧结工序的耐火材料等行业产能。严格执行有关行业产能置换政策</w:t>
                  </w:r>
                  <w:r>
                    <w:rPr>
                      <w:rFonts w:hint="default" w:ascii="Times New Roman" w:hAnsi="Times New Roman" w:eastAsia="宋体" w:cs="Times New Roman"/>
                      <w:b w:val="0"/>
                      <w:bCs w:val="0"/>
                      <w:color w:val="000000"/>
                      <w:sz w:val="21"/>
                      <w:szCs w:val="21"/>
                      <w:lang w:eastAsia="zh-CN"/>
                    </w:rPr>
                    <w:t>，</w:t>
                  </w:r>
                  <w:r>
                    <w:rPr>
                      <w:rFonts w:hint="default" w:ascii="Times New Roman" w:hAnsi="Times New Roman" w:eastAsia="宋体" w:cs="Times New Roman"/>
                      <w:b w:val="0"/>
                      <w:bCs w:val="0"/>
                      <w:color w:val="000000"/>
                      <w:sz w:val="21"/>
                      <w:szCs w:val="21"/>
                    </w:rPr>
                    <w:t>被置换产能及其配套设施关停后，新建项目方可投产。</w:t>
                  </w:r>
                </w:p>
              </w:tc>
              <w:tc>
                <w:tcPr>
                  <w:tcW w:w="1652" w:type="pct"/>
                  <w:noWrap w:val="0"/>
                  <w:vAlign w:val="center"/>
                </w:tcPr>
                <w:p w14:paraId="65044049">
                  <w:pPr>
                    <w:keepNext w:val="0"/>
                    <w:keepLines w:val="0"/>
                    <w:pageBreakBefore w:val="0"/>
                    <w:widowControl w:val="0"/>
                    <w:kinsoku/>
                    <w:wordWrap/>
                    <w:overflowPunct/>
                    <w:topLinePunct/>
                    <w:autoSpaceDE/>
                    <w:autoSpaceDN/>
                    <w:bidi w:val="0"/>
                    <w:adjustRightInd/>
                    <w:snapToGrid/>
                    <w:spacing w:line="360" w:lineRule="exact"/>
                    <w:ind w:firstLine="0" w:firstLineChars="0"/>
                    <w:jc w:val="lef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本项目</w:t>
                  </w:r>
                  <w:r>
                    <w:rPr>
                      <w:rFonts w:hint="eastAsia" w:eastAsia="宋体" w:cs="Times New Roman"/>
                      <w:color w:val="000000"/>
                      <w:sz w:val="21"/>
                      <w:szCs w:val="21"/>
                      <w:highlight w:val="none"/>
                      <w:lang w:val="en-US" w:eastAsia="zh-CN"/>
                    </w:rPr>
                    <w:t>属于</w:t>
                  </w:r>
                  <w:r>
                    <w:rPr>
                      <w:rFonts w:hint="default" w:ascii="Times New Roman" w:hAnsi="Times New Roman" w:cs="Times New Roman"/>
                      <w:sz w:val="21"/>
                      <w:szCs w:val="21"/>
                      <w:highlight w:val="none"/>
                    </w:rPr>
                    <w:t>C</w:t>
                  </w:r>
                  <w:r>
                    <w:rPr>
                      <w:rFonts w:hint="eastAsia" w:ascii="Times New Roman" w:hAnsi="Times New Roman" w:cs="Times New Roman"/>
                      <w:sz w:val="21"/>
                      <w:szCs w:val="21"/>
                      <w:highlight w:val="none"/>
                      <w:lang w:val="en-US" w:eastAsia="zh-CN"/>
                    </w:rPr>
                    <w:t>2927日用塑料制品制造，</w:t>
                  </w:r>
                  <w:r>
                    <w:rPr>
                      <w:rFonts w:hint="default" w:ascii="Times New Roman" w:hAnsi="Times New Roman" w:eastAsia="宋体" w:cs="Times New Roman"/>
                      <w:color w:val="000000"/>
                      <w:sz w:val="21"/>
                      <w:szCs w:val="21"/>
                      <w:highlight w:val="none"/>
                      <w:lang w:val="en-US" w:eastAsia="zh-CN"/>
                    </w:rPr>
                    <w:t>不属于全市严禁新增行业。</w:t>
                  </w:r>
                </w:p>
              </w:tc>
              <w:tc>
                <w:tcPr>
                  <w:tcW w:w="428" w:type="pct"/>
                  <w:noWrap w:val="0"/>
                  <w:vAlign w:val="center"/>
                </w:tcPr>
                <w:p w14:paraId="3382DB26">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符合</w:t>
                  </w:r>
                </w:p>
              </w:tc>
            </w:tr>
            <w:tr w14:paraId="5954F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33" w:type="pct"/>
                  <w:vMerge w:val="continue"/>
                  <w:noWrap w:val="0"/>
                  <w:vAlign w:val="center"/>
                </w:tcPr>
                <w:p w14:paraId="4541EC54">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lang w:val="en-US" w:eastAsia="zh-CN"/>
                    </w:rPr>
                  </w:pPr>
                </w:p>
              </w:tc>
              <w:tc>
                <w:tcPr>
                  <w:tcW w:w="2385" w:type="pct"/>
                  <w:noWrap w:val="0"/>
                  <w:vAlign w:val="center"/>
                </w:tcPr>
                <w:p w14:paraId="174919BD">
                  <w:pPr>
                    <w:keepNext w:val="0"/>
                    <w:keepLines w:val="0"/>
                    <w:pageBreakBefore w:val="0"/>
                    <w:widowControl w:val="0"/>
                    <w:kinsoku/>
                    <w:wordWrap/>
                    <w:overflowPunct/>
                    <w:topLinePunct/>
                    <w:autoSpaceDE/>
                    <w:autoSpaceDN/>
                    <w:bidi w:val="0"/>
                    <w:adjustRightInd/>
                    <w:snapToGrid/>
                    <w:spacing w:line="360" w:lineRule="exact"/>
                    <w:ind w:firstLine="0" w:firstLineChars="0"/>
                    <w:jc w:val="lef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国家、省绩效分级重点行业以及涉锅炉炉窑的其他行业，新（改、扩）建项目原则上在生产工艺、污染治理技术、排放限值、无组织排放、环境管理、运输方式等方面要达到环境绩效A级或国内清洁生产先进水平。</w:t>
                  </w:r>
                </w:p>
              </w:tc>
              <w:tc>
                <w:tcPr>
                  <w:tcW w:w="1652" w:type="pct"/>
                  <w:noWrap w:val="0"/>
                  <w:vAlign w:val="center"/>
                </w:tcPr>
                <w:p w14:paraId="2C756EC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项目建设可达到</w:t>
                  </w:r>
                  <w:r>
                    <w:rPr>
                      <w:rFonts w:hint="eastAsia" w:ascii="Times New Roman" w:hAnsi="Times New Roman" w:eastAsia="宋体" w:cs="Times New Roman"/>
                      <w:color w:val="000000"/>
                      <w:sz w:val="21"/>
                      <w:szCs w:val="21"/>
                      <w:highlight w:val="none"/>
                      <w:lang w:val="en-US" w:eastAsia="zh-CN"/>
                    </w:rPr>
                    <w:t>《河南省重污染天气重点行业应急减排措施制定技术指南》（2024年修订版）“塑料制品企业绩效分级指标”</w:t>
                  </w:r>
                  <w:r>
                    <w:rPr>
                      <w:rFonts w:hint="default" w:ascii="Times New Roman" w:hAnsi="Times New Roman" w:eastAsia="宋体" w:cs="Times New Roman"/>
                      <w:color w:val="auto"/>
                      <w:kern w:val="0"/>
                      <w:sz w:val="21"/>
                      <w:szCs w:val="21"/>
                      <w:highlight w:val="none"/>
                    </w:rPr>
                    <w:t>中</w:t>
                  </w:r>
                  <w:r>
                    <w:rPr>
                      <w:rFonts w:hint="eastAsia" w:ascii="Times New Roman" w:hAnsi="Times New Roman" w:eastAsia="宋体" w:cs="Times New Roman"/>
                      <w:b/>
                      <w:bCs/>
                      <w:color w:val="auto"/>
                      <w:kern w:val="0"/>
                      <w:sz w:val="21"/>
                      <w:szCs w:val="21"/>
                      <w:highlight w:val="none"/>
                      <w:lang w:eastAsia="zh-CN"/>
                    </w:rPr>
                    <w:t>塑料制品</w:t>
                  </w:r>
                  <w:r>
                    <w:rPr>
                      <w:rFonts w:hint="default" w:ascii="Times New Roman" w:hAnsi="Times New Roman" w:eastAsia="宋体" w:cs="Times New Roman"/>
                      <w:b/>
                      <w:bCs/>
                      <w:color w:val="auto"/>
                      <w:kern w:val="0"/>
                      <w:sz w:val="21"/>
                      <w:szCs w:val="21"/>
                      <w:highlight w:val="none"/>
                      <w:lang w:val="en-US" w:eastAsia="zh-CN"/>
                    </w:rPr>
                    <w:t>-绩效</w:t>
                  </w:r>
                  <w:r>
                    <w:rPr>
                      <w:rFonts w:hint="eastAsia" w:eastAsia="宋体" w:cs="Times New Roman"/>
                      <w:b/>
                      <w:bCs/>
                      <w:color w:val="auto"/>
                      <w:kern w:val="0"/>
                      <w:sz w:val="21"/>
                      <w:szCs w:val="21"/>
                      <w:highlight w:val="none"/>
                      <w:lang w:val="en-US" w:eastAsia="zh-CN"/>
                    </w:rPr>
                    <w:t>分级A级</w:t>
                  </w:r>
                  <w:r>
                    <w:rPr>
                      <w:rFonts w:hint="default" w:ascii="Times New Roman" w:hAnsi="Times New Roman" w:eastAsia="宋体" w:cs="Times New Roman"/>
                      <w:b/>
                      <w:bCs/>
                      <w:color w:val="auto"/>
                      <w:kern w:val="0"/>
                      <w:sz w:val="21"/>
                      <w:szCs w:val="21"/>
                      <w:highlight w:val="none"/>
                      <w:lang w:val="en-US" w:eastAsia="zh-CN"/>
                    </w:rPr>
                    <w:t>指标</w:t>
                  </w:r>
                  <w:r>
                    <w:rPr>
                      <w:rFonts w:hint="default" w:ascii="Times New Roman" w:hAnsi="Times New Roman" w:eastAsia="宋体" w:cs="Times New Roman"/>
                      <w:color w:val="auto"/>
                      <w:kern w:val="0"/>
                      <w:sz w:val="21"/>
                      <w:szCs w:val="21"/>
                      <w:highlight w:val="none"/>
                    </w:rPr>
                    <w:t>的要求</w:t>
                  </w:r>
                  <w:r>
                    <w:rPr>
                      <w:rFonts w:hint="default" w:ascii="Times New Roman" w:hAnsi="Times New Roman" w:eastAsia="宋体" w:cs="Times New Roman"/>
                      <w:color w:val="auto"/>
                      <w:kern w:val="0"/>
                      <w:sz w:val="21"/>
                      <w:szCs w:val="21"/>
                      <w:highlight w:val="none"/>
                      <w:lang w:eastAsia="zh-CN"/>
                    </w:rPr>
                    <w:t>。</w:t>
                  </w:r>
                </w:p>
              </w:tc>
              <w:tc>
                <w:tcPr>
                  <w:tcW w:w="428" w:type="pct"/>
                  <w:noWrap w:val="0"/>
                  <w:vAlign w:val="center"/>
                </w:tcPr>
                <w:p w14:paraId="455A86EF">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符合</w:t>
                  </w:r>
                </w:p>
              </w:tc>
            </w:tr>
            <w:tr w14:paraId="46080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533" w:type="pct"/>
                  <w:noWrap w:val="0"/>
                  <w:vAlign w:val="center"/>
                </w:tcPr>
                <w:p w14:paraId="3068859A">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lang w:val="en-US" w:eastAsia="zh-CN"/>
                    </w:rPr>
                    <w:t>6、</w:t>
                  </w:r>
                  <w:r>
                    <w:rPr>
                      <w:rFonts w:hint="default" w:ascii="Times New Roman" w:hAnsi="Times New Roman" w:eastAsia="宋体" w:cs="Times New Roman"/>
                      <w:b w:val="0"/>
                      <w:bCs w:val="0"/>
                      <w:color w:val="000000"/>
                      <w:sz w:val="21"/>
                      <w:szCs w:val="21"/>
                    </w:rPr>
                    <w:t>实施挥发性有机物综合治理。</w:t>
                  </w:r>
                </w:p>
              </w:tc>
              <w:tc>
                <w:tcPr>
                  <w:tcW w:w="2385" w:type="pct"/>
                  <w:noWrap w:val="0"/>
                  <w:vAlign w:val="center"/>
                </w:tcPr>
                <w:p w14:paraId="6CA87498">
                  <w:pPr>
                    <w:keepNext w:val="0"/>
                    <w:keepLines w:val="0"/>
                    <w:pageBreakBefore w:val="0"/>
                    <w:widowControl w:val="0"/>
                    <w:kinsoku/>
                    <w:wordWrap/>
                    <w:overflowPunct/>
                    <w:topLinePunct/>
                    <w:autoSpaceDE/>
                    <w:autoSpaceDN/>
                    <w:bidi w:val="0"/>
                    <w:adjustRightInd/>
                    <w:snapToGrid/>
                    <w:spacing w:line="360" w:lineRule="exact"/>
                    <w:ind w:firstLine="0" w:firstLineChars="0"/>
                    <w:jc w:val="left"/>
                    <w:textAlignment w:val="auto"/>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rPr>
                    <w:t>组织涉VOCs企业针对挥发性有机液体储罐、装卸、敞开液面、泄漏检测与修复（LDAR）、废气收集、废气旁路、治理设施、加油站、非正常工况、产品VOCs含量等10个关键环节开展VOCs治理突出问题排查整治，确保8月底前完成整改。5月底前，完成一轮次活性炭更换和泄漏检测与修复。</w:t>
                  </w:r>
                </w:p>
              </w:tc>
              <w:tc>
                <w:tcPr>
                  <w:tcW w:w="1652" w:type="pct"/>
                  <w:noWrap w:val="0"/>
                  <w:vAlign w:val="center"/>
                </w:tcPr>
                <w:p w14:paraId="43705F81">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本项目建成后在加热成型工序会产生有机废气，</w:t>
                  </w:r>
                  <w:r>
                    <w:rPr>
                      <w:rFonts w:hint="eastAsia" w:cs="Times New Roman"/>
                      <w:color w:val="000000"/>
                      <w:sz w:val="21"/>
                      <w:szCs w:val="21"/>
                      <w:highlight w:val="none"/>
                      <w:lang w:val="en-US" w:eastAsia="zh-CN"/>
                    </w:rPr>
                    <w:t>危废间会产生有机废气，</w:t>
                  </w:r>
                  <w:r>
                    <w:rPr>
                      <w:rFonts w:hint="eastAsia" w:eastAsia="宋体" w:cs="Times New Roman"/>
                      <w:color w:val="000000"/>
                      <w:sz w:val="21"/>
                      <w:szCs w:val="21"/>
                      <w:highlight w:val="none"/>
                      <w:lang w:val="en-US" w:eastAsia="zh-CN"/>
                    </w:rPr>
                    <w:t>有机废气经收集后</w:t>
                  </w:r>
                  <w:r>
                    <w:rPr>
                      <w:rFonts w:hint="eastAsia" w:cs="Times New Roman"/>
                      <w:color w:val="000000"/>
                      <w:sz w:val="21"/>
                      <w:szCs w:val="21"/>
                      <w:highlight w:val="none"/>
                      <w:lang w:val="en-US" w:eastAsia="zh-CN"/>
                    </w:rPr>
                    <w:t>经1套</w:t>
                  </w:r>
                  <w:r>
                    <w:rPr>
                      <w:rFonts w:hint="eastAsia" w:eastAsia="宋体" w:cs="Times New Roman"/>
                      <w:color w:val="000000"/>
                      <w:sz w:val="21"/>
                      <w:szCs w:val="21"/>
                      <w:highlight w:val="none"/>
                      <w:lang w:val="en-US" w:eastAsia="zh-CN"/>
                    </w:rPr>
                    <w:t>两级活性炭</w:t>
                  </w:r>
                  <w:r>
                    <w:rPr>
                      <w:rFonts w:hint="eastAsia" w:cs="Times New Roman"/>
                      <w:color w:val="000000"/>
                      <w:sz w:val="21"/>
                      <w:szCs w:val="21"/>
                      <w:highlight w:val="none"/>
                      <w:lang w:val="en-US" w:eastAsia="zh-CN"/>
                    </w:rPr>
                    <w:t>吸附装置</w:t>
                  </w:r>
                  <w:r>
                    <w:rPr>
                      <w:rFonts w:hint="eastAsia" w:cs="Times New Roman"/>
                      <w:i w:val="0"/>
                      <w:iCs w:val="0"/>
                      <w:color w:val="000000"/>
                      <w:kern w:val="0"/>
                      <w:sz w:val="21"/>
                      <w:szCs w:val="21"/>
                      <w:u w:val="none"/>
                      <w:lang w:val="en-US" w:eastAsia="zh-CN" w:bidi="ar"/>
                    </w:rPr>
                    <w:t>进行处理。</w:t>
                  </w:r>
                </w:p>
              </w:tc>
              <w:tc>
                <w:tcPr>
                  <w:tcW w:w="428" w:type="pct"/>
                  <w:noWrap w:val="0"/>
                  <w:vAlign w:val="center"/>
                </w:tcPr>
                <w:p w14:paraId="3ED5266B">
                  <w:pPr>
                    <w:keepNext w:val="0"/>
                    <w:keepLines w:val="0"/>
                    <w:pageBreakBefore w:val="0"/>
                    <w:widowControl w:val="0"/>
                    <w:kinsoku/>
                    <w:wordWrap/>
                    <w:overflowPunct/>
                    <w:topLinePunct/>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color w:val="000000"/>
                      <w:sz w:val="21"/>
                      <w:szCs w:val="21"/>
                      <w:highlight w:val="none"/>
                      <w:lang w:eastAsia="zh-CN"/>
                    </w:rPr>
                  </w:pPr>
                  <w:r>
                    <w:rPr>
                      <w:rFonts w:hint="eastAsia" w:eastAsia="宋体" w:cs="Times New Roman"/>
                      <w:color w:val="000000"/>
                      <w:sz w:val="21"/>
                      <w:szCs w:val="21"/>
                      <w:highlight w:val="none"/>
                      <w:lang w:eastAsia="zh-CN"/>
                    </w:rPr>
                    <w:t>符合</w:t>
                  </w:r>
                </w:p>
              </w:tc>
            </w:tr>
          </w:tbl>
          <w:p w14:paraId="24D0B06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bCs/>
                <w:lang w:val="en-US" w:eastAsia="zh-CN"/>
              </w:rPr>
            </w:pPr>
            <w:r>
              <w:rPr>
                <w:rFonts w:hint="default" w:ascii="Times New Roman" w:hAnsi="Times New Roman" w:cs="Times New Roman"/>
              </w:rPr>
              <w:t>由上表</w:t>
            </w:r>
            <w:r>
              <w:rPr>
                <w:rFonts w:hint="default" w:ascii="Times New Roman" w:hAnsi="Times New Roman" w:cs="Times New Roman"/>
                <w:lang w:eastAsia="zh-CN"/>
              </w:rPr>
              <w:t>分析</w:t>
            </w:r>
            <w:r>
              <w:rPr>
                <w:rFonts w:hint="default" w:ascii="Times New Roman" w:hAnsi="Times New Roman" w:cs="Times New Roman"/>
              </w:rPr>
              <w:t>可知，本项目符合</w:t>
            </w:r>
            <w:r>
              <w:rPr>
                <w:rFonts w:hint="eastAsia" w:cs="Times New Roman"/>
                <w:lang w:eastAsia="zh-CN"/>
              </w:rPr>
              <w:t>《</w:t>
            </w:r>
            <w:r>
              <w:rPr>
                <w:rFonts w:hint="default" w:ascii="Times New Roman" w:hAnsi="Times New Roman" w:cs="Times New Roman"/>
                <w:b w:val="0"/>
                <w:bCs/>
                <w:color w:val="000000"/>
                <w:sz w:val="24"/>
                <w:szCs w:val="20"/>
                <w:highlight w:val="none"/>
                <w:lang w:eastAsia="zh-CN"/>
              </w:rPr>
              <w:t>焦作市生态环境保护委员会办公室关于印发焦作市202</w:t>
            </w:r>
            <w:r>
              <w:rPr>
                <w:rFonts w:hint="default" w:ascii="Times New Roman" w:hAnsi="Times New Roman" w:cs="Times New Roman"/>
                <w:b w:val="0"/>
                <w:bCs/>
                <w:color w:val="000000"/>
                <w:sz w:val="24"/>
                <w:szCs w:val="20"/>
                <w:highlight w:val="none"/>
                <w:lang w:val="en-US" w:eastAsia="zh-CN"/>
              </w:rPr>
              <w:t>5</w:t>
            </w:r>
            <w:r>
              <w:rPr>
                <w:rFonts w:hint="default" w:ascii="Times New Roman" w:hAnsi="Times New Roman" w:cs="Times New Roman"/>
                <w:b w:val="0"/>
                <w:bCs/>
                <w:color w:val="000000"/>
                <w:sz w:val="24"/>
                <w:szCs w:val="20"/>
                <w:highlight w:val="none"/>
                <w:lang w:eastAsia="zh-CN"/>
              </w:rPr>
              <w:t>年蓝天保卫战实施方案的通知》（焦环委办〔202</w:t>
            </w:r>
            <w:r>
              <w:rPr>
                <w:rFonts w:hint="default" w:ascii="Times New Roman" w:hAnsi="Times New Roman" w:cs="Times New Roman"/>
                <w:b w:val="0"/>
                <w:bCs/>
                <w:color w:val="000000"/>
                <w:sz w:val="24"/>
                <w:szCs w:val="20"/>
                <w:highlight w:val="none"/>
                <w:lang w:val="en-US" w:eastAsia="zh-CN"/>
              </w:rPr>
              <w:t>5</w:t>
            </w:r>
            <w:r>
              <w:rPr>
                <w:rFonts w:hint="default" w:ascii="Times New Roman" w:hAnsi="Times New Roman" w:cs="Times New Roman"/>
                <w:b w:val="0"/>
                <w:bCs/>
                <w:color w:val="000000"/>
                <w:sz w:val="24"/>
                <w:szCs w:val="20"/>
                <w:highlight w:val="none"/>
                <w:lang w:eastAsia="zh-CN"/>
              </w:rPr>
              <w:t>〕</w:t>
            </w:r>
            <w:r>
              <w:rPr>
                <w:rFonts w:hint="default" w:ascii="Times New Roman" w:hAnsi="Times New Roman" w:cs="Times New Roman"/>
                <w:b w:val="0"/>
                <w:bCs/>
                <w:color w:val="000000"/>
                <w:sz w:val="24"/>
                <w:szCs w:val="20"/>
                <w:highlight w:val="none"/>
                <w:lang w:val="en-US" w:eastAsia="zh-CN"/>
              </w:rPr>
              <w:t>11</w:t>
            </w:r>
            <w:r>
              <w:rPr>
                <w:rFonts w:hint="default" w:ascii="Times New Roman" w:hAnsi="Times New Roman" w:cs="Times New Roman"/>
                <w:b w:val="0"/>
                <w:bCs/>
                <w:color w:val="000000"/>
                <w:sz w:val="24"/>
                <w:szCs w:val="20"/>
                <w:highlight w:val="none"/>
                <w:lang w:eastAsia="zh-CN"/>
              </w:rPr>
              <w:t>号）</w:t>
            </w:r>
            <w:r>
              <w:rPr>
                <w:rFonts w:hint="default" w:ascii="Times New Roman" w:hAnsi="Times New Roman" w:cs="Times New Roman"/>
              </w:rPr>
              <w:t>相关要求。</w:t>
            </w:r>
          </w:p>
          <w:p w14:paraId="1439D19C">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eastAsia="宋体" w:cs="Times New Roman"/>
                <w:b/>
                <w:color w:val="auto"/>
                <w:kern w:val="0"/>
                <w:sz w:val="24"/>
                <w:szCs w:val="21"/>
                <w:highlight w:val="green"/>
              </w:rPr>
            </w:pPr>
            <w:r>
              <w:rPr>
                <w:rFonts w:hint="eastAsia" w:cs="Times New Roman"/>
                <w:b/>
                <w:color w:val="auto"/>
                <w:kern w:val="0"/>
                <w:sz w:val="24"/>
                <w:szCs w:val="21"/>
                <w:highlight w:val="none"/>
                <w:lang w:val="en-US" w:eastAsia="zh-CN"/>
              </w:rPr>
              <w:t>8</w:t>
            </w:r>
            <w:r>
              <w:rPr>
                <w:rFonts w:hint="default" w:ascii="Times New Roman" w:hAnsi="Times New Roman" w:eastAsia="宋体" w:cs="Times New Roman"/>
                <w:b/>
                <w:color w:val="auto"/>
                <w:kern w:val="0"/>
                <w:sz w:val="24"/>
                <w:szCs w:val="21"/>
                <w:highlight w:val="none"/>
              </w:rPr>
              <w:t>、与</w:t>
            </w:r>
            <w:r>
              <w:rPr>
                <w:rFonts w:hint="eastAsia" w:cs="Times New Roman"/>
                <w:b/>
                <w:color w:val="auto"/>
                <w:kern w:val="0"/>
                <w:sz w:val="24"/>
                <w:szCs w:val="21"/>
                <w:highlight w:val="none"/>
                <w:lang w:eastAsia="zh-CN"/>
              </w:rPr>
              <w:t>《河南省重污染天气重点行业应急减排措施制定技术指南》（2024年修订版）</w:t>
            </w:r>
            <w:r>
              <w:rPr>
                <w:rFonts w:hint="default" w:ascii="Times New Roman" w:hAnsi="Times New Roman" w:eastAsia="宋体" w:cs="Times New Roman"/>
                <w:b/>
                <w:color w:val="auto"/>
                <w:kern w:val="0"/>
                <w:sz w:val="24"/>
                <w:szCs w:val="21"/>
                <w:highlight w:val="none"/>
              </w:rPr>
              <w:t>相符性分析</w:t>
            </w:r>
          </w:p>
          <w:p w14:paraId="19B7611E">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highlight w:val="none"/>
              </w:rPr>
            </w:pPr>
            <w:r>
              <w:rPr>
                <w:rFonts w:hint="default" w:ascii="Times New Roman" w:hAnsi="Times New Roman" w:eastAsia="宋体" w:cs="Times New Roman"/>
                <w:color w:val="auto"/>
                <w:sz w:val="24"/>
                <w:highlight w:val="none"/>
              </w:rPr>
              <w:t>本项目</w:t>
            </w:r>
            <w:r>
              <w:rPr>
                <w:rFonts w:hint="eastAsia" w:cs="Times New Roman"/>
                <w:color w:val="auto"/>
                <w:sz w:val="24"/>
                <w:highlight w:val="none"/>
                <w:lang w:eastAsia="zh-CN"/>
              </w:rPr>
              <w:t>属于日用塑料制品制造</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对应于</w:t>
            </w:r>
            <w:r>
              <w:rPr>
                <w:rFonts w:hint="eastAsia" w:cs="Times New Roman"/>
                <w:color w:val="auto"/>
                <w:kern w:val="0"/>
                <w:sz w:val="24"/>
                <w:szCs w:val="21"/>
                <w:highlight w:val="none"/>
                <w:lang w:eastAsia="zh-CN"/>
              </w:rPr>
              <w:t>《河南省重污染天气重点行业应急减排措施制定技术指南》（2024年修订版）“塑料制品企业绩效分级指标”中</w:t>
            </w:r>
            <w:r>
              <w:rPr>
                <w:rFonts w:hint="default" w:ascii="Times New Roman" w:hAnsi="Times New Roman" w:eastAsia="宋体" w:cs="Times New Roman"/>
                <w:color w:val="auto"/>
                <w:kern w:val="0"/>
                <w:sz w:val="24"/>
                <w:szCs w:val="21"/>
                <w:highlight w:val="none"/>
              </w:rPr>
              <w:t>的要求，结合本项目</w:t>
            </w:r>
            <w:r>
              <w:rPr>
                <w:rFonts w:hint="default" w:ascii="Times New Roman" w:hAnsi="Times New Roman" w:cs="Times New Roman"/>
                <w:color w:val="auto"/>
                <w:kern w:val="0"/>
                <w:sz w:val="24"/>
                <w:szCs w:val="21"/>
                <w:highlight w:val="none"/>
                <w:lang w:eastAsia="zh-CN"/>
              </w:rPr>
              <w:t>的</w:t>
            </w:r>
            <w:r>
              <w:rPr>
                <w:rFonts w:hint="default" w:ascii="Times New Roman" w:hAnsi="Times New Roman" w:eastAsia="宋体" w:cs="Times New Roman"/>
                <w:color w:val="auto"/>
                <w:kern w:val="0"/>
                <w:sz w:val="24"/>
                <w:szCs w:val="21"/>
                <w:highlight w:val="none"/>
              </w:rPr>
              <w:t>情况</w:t>
            </w:r>
            <w:r>
              <w:rPr>
                <w:rFonts w:hint="default" w:ascii="Times New Roman" w:hAnsi="Times New Roman" w:cs="Times New Roman"/>
                <w:highlight w:val="none"/>
              </w:rPr>
              <w:t>绩效</w:t>
            </w:r>
            <w:r>
              <w:rPr>
                <w:rFonts w:hint="eastAsia" w:ascii="Times New Roman" w:hAnsi="Times New Roman" w:cs="Times New Roman"/>
                <w:highlight w:val="none"/>
                <w:lang w:eastAsia="zh-CN"/>
              </w:rPr>
              <w:t>分级</w:t>
            </w:r>
            <w:r>
              <w:rPr>
                <w:rFonts w:hint="default" w:ascii="Times New Roman" w:hAnsi="Times New Roman" w:cs="Times New Roman"/>
                <w:highlight w:val="none"/>
              </w:rPr>
              <w:t>指标相符性分析见下表。</w:t>
            </w:r>
          </w:p>
          <w:p w14:paraId="38D268DE">
            <w:pPr>
              <w:pStyle w:val="28"/>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rPr>
            </w:pPr>
            <w:r>
              <w:rPr>
                <w:rFonts w:hint="default" w:ascii="Times New Roman" w:hAnsi="Times New Roman" w:cs="Times New Roman"/>
              </w:rPr>
              <w:t>表1-</w:t>
            </w:r>
            <w:r>
              <w:rPr>
                <w:rFonts w:hint="eastAsia" w:cs="Times New Roman"/>
                <w:lang w:val="en-US" w:eastAsia="zh-CN"/>
              </w:rPr>
              <w:t>9</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 xml:space="preserve"> 本项目与</w:t>
            </w:r>
            <w:r>
              <w:rPr>
                <w:rFonts w:hint="eastAsia" w:ascii="Times New Roman" w:hAnsi="Times New Roman" w:cs="Times New Roman"/>
                <w:lang w:eastAsia="zh-CN"/>
              </w:rPr>
              <w:t>塑料制品</w:t>
            </w:r>
            <w:r>
              <w:rPr>
                <w:rFonts w:hint="default" w:ascii="Times New Roman" w:hAnsi="Times New Roman" w:cs="Times New Roman"/>
                <w:lang w:eastAsia="zh-CN"/>
              </w:rPr>
              <w:t>绩效</w:t>
            </w:r>
            <w:r>
              <w:rPr>
                <w:rFonts w:hint="eastAsia" w:ascii="Times New Roman" w:hAnsi="Times New Roman" w:cs="Times New Roman"/>
                <w:lang w:eastAsia="zh-CN"/>
              </w:rPr>
              <w:t>分级</w:t>
            </w:r>
            <w:r>
              <w:rPr>
                <w:rFonts w:hint="default" w:ascii="Times New Roman" w:hAnsi="Times New Roman" w:cs="Times New Roman"/>
                <w:lang w:eastAsia="zh-CN"/>
              </w:rPr>
              <w:t>指标</w:t>
            </w:r>
            <w:r>
              <w:rPr>
                <w:rFonts w:hint="default" w:ascii="Times New Roman" w:hAnsi="Times New Roman" w:cs="Times New Roman"/>
              </w:rPr>
              <w:t>要求相符性分析一览表</w:t>
            </w:r>
          </w:p>
          <w:tbl>
            <w:tblPr>
              <w:tblStyle w:val="15"/>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4254"/>
              <w:gridCol w:w="2862"/>
              <w:gridCol w:w="709"/>
            </w:tblGrid>
            <w:tr w14:paraId="7B1FF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512" w:type="pct"/>
                  <w:noWrap w:val="0"/>
                  <w:vAlign w:val="center"/>
                </w:tcPr>
                <w:p w14:paraId="6F122D0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eastAsia" w:cs="Times New Roman"/>
                      <w:b w:val="0"/>
                      <w:bCs w:val="0"/>
                      <w:kern w:val="0"/>
                      <w:sz w:val="21"/>
                      <w:szCs w:val="21"/>
                      <w:lang w:eastAsia="zh-CN"/>
                    </w:rPr>
                    <w:t>差异化</w:t>
                  </w:r>
                  <w:r>
                    <w:rPr>
                      <w:rFonts w:hint="default" w:ascii="Times New Roman" w:hAnsi="Times New Roman" w:cs="Times New Roman"/>
                      <w:b w:val="0"/>
                      <w:bCs w:val="0"/>
                      <w:kern w:val="0"/>
                      <w:sz w:val="21"/>
                      <w:szCs w:val="21"/>
                    </w:rPr>
                    <w:t>指标</w:t>
                  </w:r>
                </w:p>
              </w:tc>
              <w:tc>
                <w:tcPr>
                  <w:tcW w:w="2439" w:type="pct"/>
                  <w:noWrap w:val="0"/>
                  <w:vAlign w:val="center"/>
                </w:tcPr>
                <w:p w14:paraId="06150B98">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eastAsia="宋体" w:cs="Times New Roman"/>
                      <w:b w:val="0"/>
                      <w:bCs w:val="0"/>
                      <w:kern w:val="0"/>
                      <w:sz w:val="21"/>
                      <w:szCs w:val="21"/>
                      <w:lang w:val="en-US" w:eastAsia="zh-CN"/>
                    </w:rPr>
                  </w:pPr>
                  <w:r>
                    <w:rPr>
                      <w:rFonts w:hint="eastAsia" w:cs="Times New Roman"/>
                      <w:b w:val="0"/>
                      <w:bCs w:val="0"/>
                      <w:kern w:val="0"/>
                      <w:sz w:val="21"/>
                      <w:szCs w:val="21"/>
                      <w:lang w:val="en-US" w:eastAsia="zh-CN"/>
                    </w:rPr>
                    <w:t>A级企业</w:t>
                  </w:r>
                </w:p>
              </w:tc>
              <w:tc>
                <w:tcPr>
                  <w:tcW w:w="1641" w:type="pct"/>
                  <w:noWrap w:val="0"/>
                  <w:vAlign w:val="center"/>
                </w:tcPr>
                <w:p w14:paraId="0E0057C6">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本项目情况</w:t>
                  </w:r>
                </w:p>
              </w:tc>
              <w:tc>
                <w:tcPr>
                  <w:tcW w:w="406" w:type="pct"/>
                  <w:noWrap w:val="0"/>
                  <w:vAlign w:val="center"/>
                </w:tcPr>
                <w:p w14:paraId="293C37FE">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相符性</w:t>
                  </w:r>
                </w:p>
              </w:tc>
            </w:tr>
            <w:tr w14:paraId="18B23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512" w:type="pct"/>
                  <w:noWrap w:val="0"/>
                  <w:vAlign w:val="center"/>
                </w:tcPr>
                <w:p w14:paraId="06D72A8A">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能源</w:t>
                  </w:r>
                </w:p>
                <w:p w14:paraId="6CBBCE4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eastAsia="宋体"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类型</w:t>
                  </w:r>
                </w:p>
              </w:tc>
              <w:tc>
                <w:tcPr>
                  <w:tcW w:w="2439" w:type="pct"/>
                  <w:noWrap w:val="0"/>
                  <w:vAlign w:val="center"/>
                </w:tcPr>
                <w:p w14:paraId="08AF7E3B">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b w:val="0"/>
                      <w:bCs w:val="0"/>
                      <w:kern w:val="0"/>
                      <w:sz w:val="21"/>
                      <w:szCs w:val="21"/>
                      <w:lang w:eastAsia="zh-CN"/>
                    </w:rPr>
                  </w:pPr>
                  <w:r>
                    <w:rPr>
                      <w:rFonts w:hint="default" w:ascii="Times New Roman" w:hAnsi="Times New Roman" w:eastAsia="宋体" w:cs="Times New Roman"/>
                      <w:b w:val="0"/>
                      <w:bCs w:val="0"/>
                      <w:kern w:val="0"/>
                      <w:sz w:val="21"/>
                      <w:szCs w:val="21"/>
                      <w:lang w:eastAsia="zh-CN"/>
                    </w:rPr>
                    <w:t>能源使用电、天然气、液化石油气等能源。</w:t>
                  </w:r>
                </w:p>
              </w:tc>
              <w:tc>
                <w:tcPr>
                  <w:tcW w:w="1641" w:type="pct"/>
                  <w:noWrap w:val="0"/>
                  <w:vAlign w:val="center"/>
                </w:tcPr>
                <w:p w14:paraId="4DA68EC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b/>
                      <w:bCs/>
                      <w:kern w:val="0"/>
                      <w:sz w:val="21"/>
                      <w:szCs w:val="21"/>
                      <w:lang w:eastAsia="zh-CN"/>
                    </w:rPr>
                  </w:pPr>
                  <w:r>
                    <w:rPr>
                      <w:rFonts w:hint="default" w:ascii="Times New Roman" w:hAnsi="Times New Roman" w:cs="Times New Roman"/>
                      <w:b w:val="0"/>
                      <w:bCs w:val="0"/>
                      <w:kern w:val="0"/>
                      <w:sz w:val="21"/>
                      <w:szCs w:val="21"/>
                      <w:lang w:eastAsia="zh-CN"/>
                    </w:rPr>
                    <w:t>本项目以电、水为能源，不使用</w:t>
                  </w:r>
                  <w:r>
                    <w:rPr>
                      <w:rFonts w:hint="eastAsia" w:cs="Times New Roman"/>
                      <w:b w:val="0"/>
                      <w:bCs w:val="0"/>
                      <w:kern w:val="0"/>
                      <w:sz w:val="21"/>
                      <w:szCs w:val="21"/>
                      <w:lang w:eastAsia="zh-CN"/>
                    </w:rPr>
                    <w:t>天然气、</w:t>
                  </w:r>
                  <w:r>
                    <w:rPr>
                      <w:rFonts w:hint="default" w:ascii="Times New Roman" w:hAnsi="Times New Roman" w:cs="Times New Roman"/>
                      <w:b w:val="0"/>
                      <w:bCs w:val="0"/>
                      <w:kern w:val="0"/>
                      <w:sz w:val="21"/>
                      <w:szCs w:val="21"/>
                      <w:lang w:eastAsia="zh-CN"/>
                    </w:rPr>
                    <w:t>煤制气等能源物质。</w:t>
                  </w:r>
                </w:p>
              </w:tc>
              <w:tc>
                <w:tcPr>
                  <w:tcW w:w="406" w:type="pct"/>
                  <w:noWrap w:val="0"/>
                  <w:vAlign w:val="center"/>
                </w:tcPr>
                <w:p w14:paraId="22A4DA3D">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bCs/>
                      <w:kern w:val="0"/>
                      <w:sz w:val="21"/>
                      <w:szCs w:val="21"/>
                    </w:rPr>
                  </w:pPr>
                  <w:r>
                    <w:rPr>
                      <w:rFonts w:hint="default" w:ascii="Times New Roman" w:hAnsi="Times New Roman" w:cs="Times New Roman"/>
                      <w:b w:val="0"/>
                      <w:bCs w:val="0"/>
                      <w:kern w:val="0"/>
                      <w:sz w:val="21"/>
                      <w:szCs w:val="21"/>
                      <w:lang w:eastAsia="zh-CN"/>
                    </w:rPr>
                    <w:t>相符</w:t>
                  </w:r>
                </w:p>
              </w:tc>
            </w:tr>
            <w:tr w14:paraId="6A800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512" w:type="pct"/>
                  <w:noWrap w:val="0"/>
                  <w:vAlign w:val="center"/>
                </w:tcPr>
                <w:p w14:paraId="3AE0D37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eastAsia" w:cs="Times New Roman"/>
                      <w:b w:val="0"/>
                      <w:bCs w:val="0"/>
                      <w:kern w:val="0"/>
                      <w:sz w:val="21"/>
                      <w:szCs w:val="21"/>
                      <w:lang w:eastAsia="zh-CN"/>
                    </w:rPr>
                    <w:t>生产工艺及装备水平</w:t>
                  </w:r>
                </w:p>
              </w:tc>
              <w:tc>
                <w:tcPr>
                  <w:tcW w:w="2439" w:type="pct"/>
                  <w:noWrap w:val="0"/>
                  <w:vAlign w:val="center"/>
                </w:tcPr>
                <w:p w14:paraId="32F94B76">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1.属于《产业结构调整指导目录（2024年版）》鼓励类和允许类；2.符合相关行业产业政策；3.符合河南省相关政策要求；4.符合市级规划。</w:t>
                  </w:r>
                </w:p>
              </w:tc>
              <w:tc>
                <w:tcPr>
                  <w:tcW w:w="1641" w:type="pct"/>
                  <w:noWrap w:val="0"/>
                  <w:vAlign w:val="center"/>
                </w:tcPr>
                <w:p w14:paraId="1C50F126">
                  <w:pPr>
                    <w:keepNext w:val="0"/>
                    <w:keepLines w:val="0"/>
                    <w:pageBreakBefore w:val="0"/>
                    <w:widowControl w:val="0"/>
                    <w:kinsoku w:val="0"/>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经查《产业结构调整指导目录（2024年本）》</w:t>
                  </w:r>
                  <w:r>
                    <w:rPr>
                      <w:rFonts w:hint="default" w:ascii="Times New Roman" w:hAnsi="Times New Roman" w:cs="Times New Roman"/>
                      <w:sz w:val="21"/>
                      <w:szCs w:val="21"/>
                    </w:rPr>
                    <w:t>，项目设</w:t>
                  </w:r>
                </w:p>
                <w:p w14:paraId="2CBB267B">
                  <w:pPr>
                    <w:keepNext w:val="0"/>
                    <w:keepLines w:val="0"/>
                    <w:pageBreakBefore w:val="0"/>
                    <w:widowControl w:val="0"/>
                    <w:kinsoku w:val="0"/>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sz w:val="21"/>
                      <w:szCs w:val="21"/>
                      <w:lang w:val="en-US" w:eastAsia="zh-CN" w:bidi="ar"/>
                    </w:rPr>
                  </w:pPr>
                  <w:r>
                    <w:rPr>
                      <w:rFonts w:hint="default" w:ascii="Times New Roman" w:hAnsi="Times New Roman" w:cs="Times New Roman"/>
                      <w:sz w:val="21"/>
                      <w:szCs w:val="21"/>
                    </w:rPr>
                    <w:t>备、产品及规模等为允许</w:t>
                  </w:r>
                  <w:r>
                    <w:rPr>
                      <w:rFonts w:hint="default" w:ascii="Times New Roman" w:hAnsi="Times New Roman" w:cs="Times New Roman"/>
                      <w:sz w:val="21"/>
                      <w:szCs w:val="21"/>
                      <w:lang w:eastAsia="zh-CN"/>
                    </w:rPr>
                    <w:t>建设项目</w:t>
                  </w:r>
                  <w:r>
                    <w:rPr>
                      <w:rFonts w:hint="eastAsia" w:ascii="Times New Roman" w:hAnsi="Times New Roman" w:cs="Times New Roman"/>
                      <w:sz w:val="21"/>
                      <w:szCs w:val="21"/>
                      <w:lang w:eastAsia="zh-CN"/>
                    </w:rPr>
                    <w:t>，符合国家及地方产业政策。</w:t>
                  </w:r>
                </w:p>
              </w:tc>
              <w:tc>
                <w:tcPr>
                  <w:tcW w:w="406" w:type="pct"/>
                  <w:noWrap w:val="0"/>
                  <w:vAlign w:val="center"/>
                </w:tcPr>
                <w:p w14:paraId="1FA39BB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eastAsia" w:cs="Times New Roman"/>
                      <w:b w:val="0"/>
                      <w:bCs w:val="0"/>
                      <w:kern w:val="0"/>
                      <w:sz w:val="21"/>
                      <w:szCs w:val="21"/>
                      <w:lang w:eastAsia="zh-CN"/>
                    </w:rPr>
                    <w:t>相符</w:t>
                  </w:r>
                </w:p>
              </w:tc>
            </w:tr>
            <w:tr w14:paraId="0ABE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512" w:type="pct"/>
                  <w:vMerge w:val="restart"/>
                  <w:noWrap w:val="0"/>
                  <w:vAlign w:val="center"/>
                </w:tcPr>
                <w:p w14:paraId="7ACBEAD6">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cs="Times New Roman"/>
                      <w:b w:val="0"/>
                      <w:bCs w:val="0"/>
                      <w:kern w:val="0"/>
                      <w:sz w:val="21"/>
                      <w:szCs w:val="21"/>
                      <w:lang w:eastAsia="zh-CN"/>
                    </w:rPr>
                  </w:pPr>
                  <w:r>
                    <w:rPr>
                      <w:rFonts w:hint="eastAsia" w:cs="Times New Roman"/>
                      <w:b w:val="0"/>
                      <w:bCs w:val="0"/>
                      <w:kern w:val="0"/>
                      <w:sz w:val="21"/>
                      <w:szCs w:val="21"/>
                      <w:lang w:eastAsia="zh-CN"/>
                    </w:rPr>
                    <w:t>废气收集及处理工艺</w:t>
                  </w:r>
                </w:p>
              </w:tc>
              <w:tc>
                <w:tcPr>
                  <w:tcW w:w="2439" w:type="pct"/>
                  <w:noWrap w:val="0"/>
                  <w:vAlign w:val="center"/>
                </w:tcPr>
                <w:p w14:paraId="160BD60F">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eastAsia" w:ascii="Times New Roman" w:hAnsi="Times New Roman" w:eastAsia="宋体" w:cs="Times New Roman"/>
                      <w:b w:val="0"/>
                      <w:bCs w:val="0"/>
                      <w:kern w:val="0"/>
                      <w:sz w:val="21"/>
                      <w:szCs w:val="21"/>
                      <w:lang w:eastAsia="zh-CN"/>
                    </w:rPr>
                  </w:pPr>
                  <w:r>
                    <w:rPr>
                      <w:rFonts w:hint="default" w:ascii="Times New Roman" w:hAnsi="Times New Roman" w:cs="Times New Roman"/>
                      <w:b w:val="0"/>
                      <w:bCs w:val="0"/>
                      <w:kern w:val="0"/>
                      <w:sz w:val="21"/>
                      <w:szCs w:val="21"/>
                    </w:rPr>
                    <w:t>1.投料、挤塑、注塑、滚塑、吹塑、挤出、造粒、热定型、冷却、发泡、熟化、干燥、塑炼、压延、涂覆等涉VOCs工序采用密闭设备或在密闭空间内操作，废气有效收集至VOCs废气处理系统，车间外无异味；采用局部集气罩的，距集气罩开口面最远处的VOCs无组织排放位置，控制风速不低于0.3米/秒</w:t>
                  </w:r>
                  <w:r>
                    <w:rPr>
                      <w:rFonts w:hint="eastAsia" w:ascii="Times New Roman" w:hAnsi="Times New Roman" w:cs="Times New Roman"/>
                      <w:b w:val="0"/>
                      <w:bCs w:val="0"/>
                      <w:kern w:val="0"/>
                      <w:sz w:val="21"/>
                      <w:szCs w:val="21"/>
                      <w:lang w:eastAsia="zh-CN"/>
                    </w:rPr>
                    <w:t>；</w:t>
                  </w:r>
                </w:p>
              </w:tc>
              <w:tc>
                <w:tcPr>
                  <w:tcW w:w="1641" w:type="pct"/>
                  <w:noWrap w:val="0"/>
                  <w:vAlign w:val="center"/>
                </w:tcPr>
                <w:p w14:paraId="426DA31F">
                  <w:pPr>
                    <w:keepNext w:val="0"/>
                    <w:keepLines w:val="0"/>
                    <w:pageBreakBefore w:val="0"/>
                    <w:widowControl w:val="0"/>
                    <w:kinsoku w:val="0"/>
                    <w:wordWrap w:val="0"/>
                    <w:overflowPunct/>
                    <w:topLinePunct w:val="0"/>
                    <w:autoSpaceDE/>
                    <w:autoSpaceDN/>
                    <w:bidi w:val="0"/>
                    <w:adjustRightInd w:val="0"/>
                    <w:snapToGrid w:val="0"/>
                    <w:spacing w:line="360" w:lineRule="exact"/>
                    <w:ind w:left="0" w:leftChars="0" w:firstLine="0" w:firstLineChars="0"/>
                    <w:jc w:val="left"/>
                    <w:textAlignment w:val="auto"/>
                    <w:rPr>
                      <w:rFonts w:hint="eastAsia" w:ascii="Times New Roman" w:hAnsi="Times New Roman" w:eastAsia="宋体" w:cs="Times New Roman"/>
                      <w:sz w:val="21"/>
                      <w:szCs w:val="21"/>
                      <w:lang w:val="en-US" w:eastAsia="zh-CN" w:bidi="ar"/>
                    </w:rPr>
                  </w:pPr>
                  <w:r>
                    <w:rPr>
                      <w:rFonts w:hint="eastAsia" w:cs="Times New Roman"/>
                      <w:sz w:val="21"/>
                      <w:szCs w:val="21"/>
                      <w:lang w:val="en-US" w:eastAsia="zh-CN" w:bidi="ar"/>
                    </w:rPr>
                    <w:t>本项目涉VOCs主要为加热成型工序和危废间废气，加热成型工序在密闭车间内进</w:t>
                  </w:r>
                  <w:r>
                    <w:rPr>
                      <w:rFonts w:hint="eastAsia" w:cs="Times New Roman"/>
                      <w:sz w:val="21"/>
                      <w:szCs w:val="21"/>
                      <w:highlight w:val="none"/>
                      <w:lang w:val="en-US" w:eastAsia="zh-CN" w:bidi="ar"/>
                    </w:rPr>
                    <w:t>行且对成型机进行二次封闭，危险废物暂存在密闭危废间内，产生的有机废气经过</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集气</w:t>
                  </w:r>
                  <w:r>
                    <w:rPr>
                      <w:rFonts w:hint="eastAsia" w:cs="Times New Roman"/>
                      <w:color w:val="000000" w:themeColor="text1"/>
                      <w:kern w:val="0"/>
                      <w:sz w:val="21"/>
                      <w:szCs w:val="21"/>
                      <w:highlight w:val="none"/>
                      <w:lang w:eastAsia="zh-CN"/>
                      <w14:textFill>
                        <w14:solidFill>
                          <w14:schemeClr w14:val="tx1"/>
                        </w14:solidFill>
                      </w14:textFill>
                    </w:rPr>
                    <w:t>系统</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收集</w:t>
                  </w:r>
                  <w:r>
                    <w:rPr>
                      <w:rFonts w:hint="eastAsia" w:cs="Times New Roman"/>
                      <w:color w:val="000000" w:themeColor="text1"/>
                      <w:kern w:val="0"/>
                      <w:sz w:val="21"/>
                      <w:szCs w:val="21"/>
                      <w:highlight w:val="none"/>
                      <w:lang w:eastAsia="zh-CN"/>
                      <w14:textFill>
                        <w14:solidFill>
                          <w14:schemeClr w14:val="tx1"/>
                        </w14:solidFill>
                      </w14:textFill>
                    </w:rPr>
                    <w:t>后，采用两级活性炭吸附装置</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对VOCs废气进行收集</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集气</w:t>
                  </w:r>
                  <w:r>
                    <w:rPr>
                      <w:rFonts w:hint="default" w:ascii="Times New Roman" w:hAnsi="Times New Roman" w:eastAsia="宋体" w:cs="Times New Roman"/>
                      <w:color w:val="000000" w:themeColor="text1"/>
                      <w:kern w:val="0"/>
                      <w:sz w:val="21"/>
                      <w:szCs w:val="21"/>
                      <w14:textFill>
                        <w14:solidFill>
                          <w14:schemeClr w14:val="tx1"/>
                        </w14:solidFill>
                      </w14:textFill>
                    </w:rPr>
                    <w:t>罩开口面最远处的控制风速不低于0.3米/秒。</w:t>
                  </w:r>
                </w:p>
              </w:tc>
              <w:tc>
                <w:tcPr>
                  <w:tcW w:w="406" w:type="pct"/>
                  <w:noWrap w:val="0"/>
                  <w:vAlign w:val="center"/>
                </w:tcPr>
                <w:p w14:paraId="025F0EED">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eastAsia" w:cs="Times New Roman"/>
                      <w:b w:val="0"/>
                      <w:bCs w:val="0"/>
                      <w:kern w:val="0"/>
                      <w:sz w:val="21"/>
                      <w:szCs w:val="21"/>
                      <w:lang w:eastAsia="zh-CN"/>
                    </w:rPr>
                    <w:t>相符</w:t>
                  </w:r>
                </w:p>
              </w:tc>
            </w:tr>
            <w:tr w14:paraId="7AE7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2" w:type="pct"/>
                  <w:vMerge w:val="continue"/>
                  <w:noWrap w:val="0"/>
                  <w:vAlign w:val="center"/>
                </w:tcPr>
                <w:p w14:paraId="51F96BD2">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pPr>
                </w:p>
              </w:tc>
              <w:tc>
                <w:tcPr>
                  <w:tcW w:w="2439" w:type="pct"/>
                  <w:noWrap w:val="0"/>
                  <w:vAlign w:val="center"/>
                </w:tcPr>
                <w:p w14:paraId="0F8C960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2.使用再生料的企业VOCs治理采用燃烧工艺（包括直接燃烧、催化燃烧和蓄热燃烧）；使用原生料的企业VOCs治理采用燃烧工艺或吸附、冷凝、膜分离等工艺处理（其中采用颗粒状活性炭的，柱状活性炭直径≤5mm、碘值≥800mg/g，且填充量与每小时处理废气量体积之比满足1:7000的要求；使用蜂窝状活性炭的，碘值≥650mg/g、比表面积应不低于750m²/g，且填充量与每小时处理废气量体积之比满足1:5000的要求；活性炭吸附设施废气进口处安装有仪器仪表等装置，可实时监测显示并记录湿度、温度等数据，废气温度、颗粒物、相对湿度分别不超过40℃、1mg/m</w:t>
                  </w:r>
                  <w:r>
                    <w:rPr>
                      <w:rFonts w:hint="default" w:ascii="Times New Roman" w:hAnsi="Times New Roman" w:cs="Times New Roman"/>
                      <w:b w:val="0"/>
                      <w:bCs w:val="0"/>
                      <w:kern w:val="0"/>
                      <w:sz w:val="21"/>
                      <w:szCs w:val="21"/>
                      <w:vertAlign w:val="superscript"/>
                    </w:rPr>
                    <w:t>3</w:t>
                  </w:r>
                  <w:r>
                    <w:rPr>
                      <w:rFonts w:hint="default" w:ascii="Times New Roman" w:hAnsi="Times New Roman" w:cs="Times New Roman"/>
                      <w:b w:val="0"/>
                      <w:bCs w:val="0"/>
                      <w:kern w:val="0"/>
                      <w:sz w:val="21"/>
                      <w:szCs w:val="21"/>
                    </w:rPr>
                    <w:t>、50%）。废气中含有油烟或颗粒物的，应在VOCs治理设施前端加装除尘设施或油烟净化装置；</w:t>
                  </w:r>
                </w:p>
              </w:tc>
              <w:tc>
                <w:tcPr>
                  <w:tcW w:w="1641" w:type="pct"/>
                  <w:noWrap w:val="0"/>
                  <w:vAlign w:val="center"/>
                </w:tcPr>
                <w:p w14:paraId="3BEB22B8">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本项目使用原料</w:t>
                  </w:r>
                  <w:r>
                    <w:rPr>
                      <w:rFonts w:hint="eastAsia" w:cs="Times New Roman"/>
                      <w:color w:val="000000" w:themeColor="text1"/>
                      <w:kern w:val="0"/>
                      <w:sz w:val="21"/>
                      <w:szCs w:val="21"/>
                      <w:lang w:eastAsia="zh-CN"/>
                      <w14:textFill>
                        <w14:solidFill>
                          <w14:schemeClr w14:val="tx1"/>
                        </w14:solidFill>
                      </w14:textFill>
                    </w:rPr>
                    <w:t>为</w:t>
                  </w:r>
                  <w:r>
                    <w:rPr>
                      <w:rFonts w:hint="eastAsia" w:cs="Times New Roman"/>
                      <w:color w:val="000000" w:themeColor="text1"/>
                      <w:kern w:val="0"/>
                      <w:sz w:val="21"/>
                      <w:szCs w:val="21"/>
                      <w:lang w:val="en-US" w:eastAsia="zh-CN"/>
                      <w14:textFill>
                        <w14:solidFill>
                          <w14:schemeClr w14:val="tx1"/>
                        </w14:solidFill>
                      </w14:textFill>
                    </w:rPr>
                    <w:t>BOPS片材，BOPS</w:t>
                  </w:r>
                  <w:r>
                    <w:rPr>
                      <w:rFonts w:hint="default" w:ascii="Times New Roman" w:hAnsi="Times New Roman" w:eastAsia="宋体" w:cs="Times New Roman"/>
                      <w:color w:val="000000" w:themeColor="text1"/>
                      <w:kern w:val="0"/>
                      <w:sz w:val="21"/>
                      <w:szCs w:val="21"/>
                      <w14:textFill>
                        <w14:solidFill>
                          <w14:schemeClr w14:val="tx1"/>
                        </w14:solidFill>
                      </w14:textFill>
                    </w:rPr>
                    <w:t>为</w:t>
                  </w:r>
                  <w:r>
                    <w:rPr>
                      <w:rFonts w:hint="default" w:ascii="Times New Roman" w:hAnsi="Times New Roman" w:cs="Times New Roman"/>
                      <w:color w:val="000000" w:themeColor="text1"/>
                      <w:kern w:val="0"/>
                      <w:sz w:val="21"/>
                      <w:szCs w:val="21"/>
                      <w:lang w:eastAsia="zh-CN"/>
                      <w14:textFill>
                        <w14:solidFill>
                          <w14:schemeClr w14:val="tx1"/>
                        </w14:solidFill>
                      </w14:textFill>
                    </w:rPr>
                    <w:t>新</w:t>
                  </w:r>
                  <w:r>
                    <w:rPr>
                      <w:rFonts w:hint="default" w:ascii="Times New Roman" w:hAnsi="Times New Roman" w:eastAsia="宋体" w:cs="Times New Roman"/>
                      <w:color w:val="000000" w:themeColor="text1"/>
                      <w:kern w:val="0"/>
                      <w:sz w:val="21"/>
                      <w:szCs w:val="21"/>
                      <w14:textFill>
                        <w14:solidFill>
                          <w14:schemeClr w14:val="tx1"/>
                        </w14:solidFill>
                      </w14:textFill>
                    </w:rPr>
                    <w:t>料，</w:t>
                  </w:r>
                  <w:r>
                    <w:rPr>
                      <w:rFonts w:hint="eastAsia" w:cs="Times New Roman"/>
                      <w:color w:val="000000" w:themeColor="text1"/>
                      <w:kern w:val="0"/>
                      <w:sz w:val="21"/>
                      <w:szCs w:val="21"/>
                      <w:lang w:eastAsia="zh-CN"/>
                      <w14:textFill>
                        <w14:solidFill>
                          <w14:schemeClr w14:val="tx1"/>
                        </w14:solidFill>
                      </w14:textFill>
                    </w:rPr>
                    <w:t>加热成型工序产生的</w:t>
                  </w:r>
                  <w:r>
                    <w:rPr>
                      <w:rFonts w:hint="default" w:ascii="Times New Roman" w:hAnsi="Times New Roman" w:eastAsia="宋体" w:cs="Times New Roman"/>
                      <w:color w:val="000000" w:themeColor="text1"/>
                      <w:kern w:val="0"/>
                      <w:sz w:val="21"/>
                      <w:szCs w:val="21"/>
                      <w14:textFill>
                        <w14:solidFill>
                          <w14:schemeClr w14:val="tx1"/>
                        </w14:solidFill>
                      </w14:textFill>
                    </w:rPr>
                    <w:t>VOCs废气采用</w:t>
                  </w:r>
                  <w:r>
                    <w:rPr>
                      <w:rFonts w:hint="default" w:ascii="Times New Roman" w:hAnsi="Times New Roman" w:cs="Times New Roman"/>
                      <w:color w:val="000000" w:themeColor="text1"/>
                      <w:kern w:val="0"/>
                      <w:sz w:val="21"/>
                      <w:szCs w:val="21"/>
                      <w:lang w:eastAsia="zh-CN"/>
                      <w14:textFill>
                        <w14:solidFill>
                          <w14:schemeClr w14:val="tx1"/>
                        </w14:solidFill>
                      </w14:textFill>
                    </w:rPr>
                    <w:t>两级</w:t>
                  </w:r>
                  <w:r>
                    <w:rPr>
                      <w:rFonts w:hint="default" w:ascii="Times New Roman" w:hAnsi="Times New Roman" w:eastAsia="宋体" w:cs="Times New Roman"/>
                      <w:color w:val="000000" w:themeColor="text1"/>
                      <w:kern w:val="0"/>
                      <w:sz w:val="21"/>
                      <w:szCs w:val="21"/>
                      <w14:textFill>
                        <w14:solidFill>
                          <w14:schemeClr w14:val="tx1"/>
                        </w14:solidFill>
                      </w14:textFill>
                    </w:rPr>
                    <w:t>活性炭吸附装置</w:t>
                  </w:r>
                  <w:r>
                    <w:rPr>
                      <w:rFonts w:hint="eastAsia" w:cs="Times New Roman"/>
                      <w:color w:val="000000" w:themeColor="text1"/>
                      <w:kern w:val="0"/>
                      <w:sz w:val="21"/>
                      <w:szCs w:val="21"/>
                      <w:lang w:eastAsia="zh-CN"/>
                      <w14:textFill>
                        <w14:solidFill>
                          <w14:schemeClr w14:val="tx1"/>
                        </w14:solidFill>
                      </w14:textFill>
                    </w:rPr>
                    <w:t>处理；</w:t>
                  </w:r>
                  <w:r>
                    <w:rPr>
                      <w:rFonts w:hint="default" w:ascii="Times New Roman" w:hAnsi="Times New Roman" w:eastAsia="宋体" w:cs="Times New Roman"/>
                      <w:color w:val="000000" w:themeColor="text1"/>
                      <w:kern w:val="0"/>
                      <w:sz w:val="21"/>
                      <w:szCs w:val="21"/>
                      <w14:textFill>
                        <w14:solidFill>
                          <w14:schemeClr w14:val="tx1"/>
                        </w14:solidFill>
                      </w14:textFill>
                    </w:rPr>
                    <w:t>项目采用</w:t>
                  </w:r>
                  <w:r>
                    <w:rPr>
                      <w:rFonts w:hint="eastAsia" w:cs="Times New Roman"/>
                      <w:color w:val="000000" w:themeColor="text1"/>
                      <w:kern w:val="0"/>
                      <w:sz w:val="21"/>
                      <w:szCs w:val="21"/>
                      <w:lang w:eastAsia="zh-CN"/>
                      <w14:textFill>
                        <w14:solidFill>
                          <w14:schemeClr w14:val="tx1"/>
                        </w14:solidFill>
                      </w14:textFill>
                    </w:rPr>
                    <w:t>蜂窝状活性炭，蜂窝状活性炭碘值要≥650mg/g、比表面积应不低于750m</w:t>
                  </w:r>
                  <w:r>
                    <w:rPr>
                      <w:rFonts w:hint="eastAsia" w:cs="Times New Roman"/>
                      <w:color w:val="000000" w:themeColor="text1"/>
                      <w:kern w:val="0"/>
                      <w:sz w:val="21"/>
                      <w:szCs w:val="21"/>
                      <w:vertAlign w:val="superscript"/>
                      <w:lang w:eastAsia="zh-CN"/>
                      <w14:textFill>
                        <w14:solidFill>
                          <w14:schemeClr w14:val="tx1"/>
                        </w14:solidFill>
                      </w14:textFill>
                    </w:rPr>
                    <w:t>2</w:t>
                  </w:r>
                  <w:r>
                    <w:rPr>
                      <w:rFonts w:hint="eastAsia" w:cs="Times New Roman"/>
                      <w:color w:val="000000" w:themeColor="text1"/>
                      <w:kern w:val="0"/>
                      <w:sz w:val="21"/>
                      <w:szCs w:val="21"/>
                      <w:lang w:eastAsia="zh-CN"/>
                      <w14:textFill>
                        <w14:solidFill>
                          <w14:schemeClr w14:val="tx1"/>
                        </w14:solidFill>
                      </w14:textFill>
                    </w:rPr>
                    <w:t>/g，</w:t>
                  </w:r>
                  <w:r>
                    <w:rPr>
                      <w:rFonts w:hint="default" w:ascii="Times New Roman" w:hAnsi="Times New Roman" w:eastAsia="宋体" w:cs="Times New Roman"/>
                      <w:color w:val="000000" w:themeColor="text1"/>
                      <w:sz w:val="21"/>
                      <w:szCs w:val="21"/>
                      <w14:textFill>
                        <w14:solidFill>
                          <w14:schemeClr w14:val="tx1"/>
                        </w14:solidFill>
                      </w14:textFill>
                    </w:rPr>
                    <w:t>填充量与每小时处理废气量体积之比</w:t>
                  </w:r>
                  <w:r>
                    <w:rPr>
                      <w:rFonts w:hint="eastAsia" w:cs="Times New Roman"/>
                      <w:color w:val="000000" w:themeColor="text1"/>
                      <w:sz w:val="21"/>
                      <w:szCs w:val="21"/>
                      <w:lang w:eastAsia="zh-CN"/>
                      <w14:textFill>
                        <w14:solidFill>
                          <w14:schemeClr w14:val="tx1"/>
                        </w14:solidFill>
                      </w14:textFill>
                    </w:rPr>
                    <w:t>不小于</w:t>
                  </w:r>
                  <w:r>
                    <w:rPr>
                      <w:rFonts w:hint="default" w:ascii="Times New Roman" w:hAnsi="Times New Roman" w:eastAsia="宋体" w:cs="Times New Roman"/>
                      <w:color w:val="000000" w:themeColor="text1"/>
                      <w:sz w:val="21"/>
                      <w:szCs w:val="21"/>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000的要求</w:t>
                  </w:r>
                  <w:r>
                    <w:rPr>
                      <w:rFonts w:hint="eastAsia" w:cs="Times New Roman"/>
                      <w:color w:val="000000" w:themeColor="text1"/>
                      <w:sz w:val="21"/>
                      <w:szCs w:val="21"/>
                      <w:lang w:eastAsia="zh-CN"/>
                      <w14:textFill>
                        <w14:solidFill>
                          <w14:schemeClr w14:val="tx1"/>
                        </w14:solidFill>
                      </w14:textFill>
                    </w:rPr>
                    <w:t>；企业按照具体要求安装</w:t>
                  </w:r>
                  <w:r>
                    <w:rPr>
                      <w:rFonts w:hint="default" w:ascii="Times New Roman" w:hAnsi="Times New Roman" w:eastAsia="宋体" w:cs="Times New Roman"/>
                      <w:color w:val="000000" w:themeColor="text1"/>
                      <w:sz w:val="21"/>
                      <w:szCs w:val="21"/>
                      <w14:textFill>
                        <w14:solidFill>
                          <w14:schemeClr w14:val="tx1"/>
                        </w14:solidFill>
                      </w14:textFill>
                    </w:rPr>
                    <w:t>仪器仪表等装置</w:t>
                  </w:r>
                  <w:r>
                    <w:rPr>
                      <w:rFonts w:hint="eastAsia" w:cs="Times New Roman"/>
                      <w:color w:val="000000" w:themeColor="text1"/>
                      <w:sz w:val="21"/>
                      <w:szCs w:val="21"/>
                      <w:lang w:eastAsia="zh-CN"/>
                      <w14:textFill>
                        <w14:solidFill>
                          <w14:schemeClr w14:val="tx1"/>
                        </w14:solidFill>
                      </w14:textFill>
                    </w:rPr>
                    <w:t>；本项目废气无颗粒物污染因子，废气温度、相对湿度分别不超过40℃、</w:t>
                  </w:r>
                </w:p>
                <w:p w14:paraId="5B609A1E">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eastAsia" w:cs="Times New Roman"/>
                      <w:color w:val="000000" w:themeColor="text1"/>
                      <w:sz w:val="21"/>
                      <w:szCs w:val="21"/>
                      <w:lang w:eastAsia="zh-CN"/>
                      <w14:textFill>
                        <w14:solidFill>
                          <w14:schemeClr w14:val="tx1"/>
                        </w14:solidFill>
                      </w14:textFill>
                    </w:rPr>
                    <w:t>50%。</w:t>
                  </w:r>
                </w:p>
              </w:tc>
              <w:tc>
                <w:tcPr>
                  <w:tcW w:w="406" w:type="pct"/>
                  <w:noWrap w:val="0"/>
                  <w:vAlign w:val="center"/>
                </w:tcPr>
                <w:p w14:paraId="6717B17D">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ascii="Times New Roman" w:hAnsi="Times New Roman" w:eastAsia="宋体" w:cs="Times New Roman"/>
                      <w:b w:val="0"/>
                      <w:bCs w:val="0"/>
                      <w:kern w:val="0"/>
                      <w:sz w:val="21"/>
                      <w:szCs w:val="21"/>
                      <w:lang w:eastAsia="zh-CN"/>
                    </w:rPr>
                  </w:pPr>
                  <w:r>
                    <w:rPr>
                      <w:rFonts w:hint="eastAsia" w:ascii="Times New Roman" w:hAnsi="Times New Roman" w:cs="Times New Roman"/>
                      <w:b w:val="0"/>
                      <w:bCs w:val="0"/>
                      <w:kern w:val="0"/>
                      <w:sz w:val="21"/>
                      <w:szCs w:val="21"/>
                      <w:lang w:eastAsia="zh-CN"/>
                    </w:rPr>
                    <w:t>相符</w:t>
                  </w:r>
                </w:p>
              </w:tc>
            </w:tr>
            <w:tr w14:paraId="23DD4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512" w:type="pct"/>
                  <w:vMerge w:val="continue"/>
                  <w:noWrap w:val="0"/>
                  <w:vAlign w:val="center"/>
                </w:tcPr>
                <w:p w14:paraId="6ABE07BE">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p>
              </w:tc>
              <w:tc>
                <w:tcPr>
                  <w:tcW w:w="2439" w:type="pct"/>
                  <w:noWrap w:val="0"/>
                  <w:vAlign w:val="center"/>
                </w:tcPr>
                <w:p w14:paraId="1C31E56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3.粉状、粒状物料采用自动投料器投加和配混，投加和混配工序在封闭车间内进行，PM有效收集，采用覆膜滤袋、滤筒等除尘技术；</w:t>
                  </w:r>
                </w:p>
              </w:tc>
              <w:tc>
                <w:tcPr>
                  <w:tcW w:w="1641" w:type="pct"/>
                  <w:noWrap w:val="0"/>
                  <w:vAlign w:val="center"/>
                </w:tcPr>
                <w:p w14:paraId="2324F24C">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本项目</w:t>
                  </w:r>
                  <w:r>
                    <w:rPr>
                      <w:rFonts w:hint="eastAsia" w:cs="Times New Roman"/>
                      <w:b w:val="0"/>
                      <w:bCs w:val="0"/>
                      <w:kern w:val="0"/>
                      <w:sz w:val="21"/>
                      <w:szCs w:val="21"/>
                      <w:lang w:eastAsia="zh-CN"/>
                    </w:rPr>
                    <w:t>不涉及</w:t>
                  </w:r>
                  <w:r>
                    <w:rPr>
                      <w:rFonts w:hint="default" w:ascii="Times New Roman" w:hAnsi="Times New Roman" w:cs="Times New Roman"/>
                      <w:b w:val="0"/>
                      <w:bCs w:val="0"/>
                      <w:kern w:val="0"/>
                      <w:sz w:val="21"/>
                      <w:szCs w:val="21"/>
                    </w:rPr>
                    <w:t>。</w:t>
                  </w:r>
                </w:p>
              </w:tc>
              <w:tc>
                <w:tcPr>
                  <w:tcW w:w="406" w:type="pct"/>
                  <w:noWrap w:val="0"/>
                  <w:vAlign w:val="center"/>
                </w:tcPr>
                <w:p w14:paraId="67966847">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ascii="Times New Roman" w:hAnsi="Times New Roman" w:eastAsia="宋体" w:cs="Times New Roman"/>
                      <w:b w:val="0"/>
                      <w:bCs w:val="0"/>
                      <w:kern w:val="0"/>
                      <w:sz w:val="21"/>
                      <w:szCs w:val="21"/>
                      <w:lang w:eastAsia="zh-CN"/>
                    </w:rPr>
                  </w:pPr>
                  <w:r>
                    <w:rPr>
                      <w:rFonts w:hint="eastAsia" w:ascii="Times New Roman" w:hAnsi="Times New Roman" w:cs="Times New Roman"/>
                      <w:b w:val="0"/>
                      <w:bCs w:val="0"/>
                      <w:kern w:val="0"/>
                      <w:sz w:val="21"/>
                      <w:szCs w:val="21"/>
                      <w:lang w:eastAsia="zh-CN"/>
                    </w:rPr>
                    <w:t>相符</w:t>
                  </w:r>
                </w:p>
              </w:tc>
            </w:tr>
            <w:tr w14:paraId="2DEE3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512" w:type="pct"/>
                  <w:vMerge w:val="continue"/>
                  <w:noWrap w:val="0"/>
                  <w:vAlign w:val="center"/>
                </w:tcPr>
                <w:p w14:paraId="4D4B344B">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p>
              </w:tc>
              <w:tc>
                <w:tcPr>
                  <w:tcW w:w="2439" w:type="pct"/>
                  <w:noWrap w:val="0"/>
                  <w:vAlign w:val="center"/>
                </w:tcPr>
                <w:p w14:paraId="7DAA379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4.废吸附剂应密闭的包装袋或容器储存、转运，并建立储存、处置台账；</w:t>
                  </w:r>
                </w:p>
              </w:tc>
              <w:tc>
                <w:tcPr>
                  <w:tcW w:w="1641" w:type="pct"/>
                  <w:noWrap w:val="0"/>
                  <w:vAlign w:val="center"/>
                </w:tcPr>
                <w:p w14:paraId="188FD73E">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本项目废气处理</w:t>
                  </w:r>
                  <w:r>
                    <w:rPr>
                      <w:rFonts w:hint="eastAsia" w:ascii="Times New Roman" w:hAnsi="Times New Roman" w:cs="Times New Roman"/>
                      <w:b w:val="0"/>
                      <w:bCs w:val="0"/>
                      <w:kern w:val="0"/>
                      <w:sz w:val="21"/>
                      <w:szCs w:val="21"/>
                      <w:lang w:eastAsia="zh-CN"/>
                    </w:rPr>
                    <w:t>产生</w:t>
                  </w:r>
                  <w:r>
                    <w:rPr>
                      <w:rFonts w:hint="eastAsia" w:cs="Times New Roman"/>
                      <w:b w:val="0"/>
                      <w:bCs w:val="0"/>
                      <w:kern w:val="0"/>
                      <w:sz w:val="21"/>
                      <w:szCs w:val="21"/>
                      <w:lang w:eastAsia="zh-CN"/>
                    </w:rPr>
                    <w:t>的</w:t>
                  </w:r>
                  <w:r>
                    <w:rPr>
                      <w:rFonts w:hint="default" w:ascii="Times New Roman" w:hAnsi="Times New Roman" w:cs="Times New Roman"/>
                      <w:b w:val="0"/>
                      <w:bCs w:val="0"/>
                      <w:kern w:val="0"/>
                      <w:sz w:val="21"/>
                      <w:szCs w:val="21"/>
                    </w:rPr>
                    <w:t>废活性炭采用密闭包装袋储存、转运，并建立储存、处置台账。</w:t>
                  </w:r>
                </w:p>
              </w:tc>
              <w:tc>
                <w:tcPr>
                  <w:tcW w:w="406" w:type="pct"/>
                  <w:noWrap w:val="0"/>
                  <w:vAlign w:val="center"/>
                </w:tcPr>
                <w:p w14:paraId="0F4D825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ascii="Times New Roman" w:hAnsi="Times New Roman" w:eastAsia="宋体" w:cs="Times New Roman"/>
                      <w:b w:val="0"/>
                      <w:bCs w:val="0"/>
                      <w:kern w:val="0"/>
                      <w:sz w:val="21"/>
                      <w:szCs w:val="21"/>
                      <w:lang w:eastAsia="zh-CN"/>
                    </w:rPr>
                  </w:pPr>
                  <w:r>
                    <w:rPr>
                      <w:rFonts w:hint="eastAsia" w:ascii="Times New Roman" w:hAnsi="Times New Roman" w:cs="Times New Roman"/>
                      <w:b w:val="0"/>
                      <w:bCs w:val="0"/>
                      <w:kern w:val="0"/>
                      <w:sz w:val="21"/>
                      <w:szCs w:val="21"/>
                      <w:lang w:eastAsia="zh-CN"/>
                    </w:rPr>
                    <w:t>相符</w:t>
                  </w:r>
                </w:p>
              </w:tc>
            </w:tr>
            <w:tr w14:paraId="5DA29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2" w:type="pct"/>
                  <w:vMerge w:val="continue"/>
                  <w:noWrap w:val="0"/>
                  <w:vAlign w:val="center"/>
                </w:tcPr>
                <w:p w14:paraId="24E4145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p>
              </w:tc>
              <w:tc>
                <w:tcPr>
                  <w:tcW w:w="2439" w:type="pct"/>
                  <w:noWrap w:val="0"/>
                  <w:vAlign w:val="center"/>
                </w:tcPr>
                <w:p w14:paraId="3FF64A0F">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5.NOx治理采用低氮燃烧、SNCR/SCR等适宜技术。使用氨法脱硝的企业，氨的装卸、储存、输送、制备等过程全程密闭，并采取氨气泄漏检测和收集措施；采用尿素作为还原剂的配备有尿素加热水解制氨系统。</w:t>
                  </w:r>
                </w:p>
              </w:tc>
              <w:tc>
                <w:tcPr>
                  <w:tcW w:w="1641" w:type="pct"/>
                  <w:noWrap w:val="0"/>
                  <w:vAlign w:val="center"/>
                </w:tcPr>
                <w:p w14:paraId="6096EB03">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ascii="Times New Roman" w:hAnsi="Times New Roman" w:eastAsia="宋体" w:cs="Times New Roman"/>
                      <w:b w:val="0"/>
                      <w:bCs w:val="0"/>
                      <w:kern w:val="0"/>
                      <w:sz w:val="21"/>
                      <w:szCs w:val="21"/>
                      <w:lang w:eastAsia="zh-CN"/>
                    </w:rPr>
                  </w:pPr>
                  <w:r>
                    <w:rPr>
                      <w:rFonts w:hint="eastAsia" w:ascii="Times New Roman" w:hAnsi="Times New Roman" w:cs="Times New Roman"/>
                      <w:b w:val="0"/>
                      <w:bCs w:val="0"/>
                      <w:kern w:val="0"/>
                      <w:sz w:val="21"/>
                      <w:szCs w:val="21"/>
                      <w:lang w:eastAsia="zh-CN"/>
                    </w:rPr>
                    <w:t>本项目</w:t>
                  </w:r>
                  <w:r>
                    <w:rPr>
                      <w:rFonts w:hint="eastAsia" w:cs="Times New Roman"/>
                      <w:b w:val="0"/>
                      <w:bCs w:val="0"/>
                      <w:kern w:val="0"/>
                      <w:sz w:val="21"/>
                      <w:szCs w:val="21"/>
                      <w:lang w:eastAsia="zh-CN"/>
                    </w:rPr>
                    <w:t>不涉及</w:t>
                  </w:r>
                  <w:r>
                    <w:rPr>
                      <w:rFonts w:hint="eastAsia" w:ascii="Times New Roman" w:hAnsi="Times New Roman" w:cs="Times New Roman"/>
                      <w:bCs/>
                      <w:color w:val="000000"/>
                      <w:sz w:val="21"/>
                      <w:szCs w:val="21"/>
                      <w:lang w:val="en-US" w:eastAsia="zh-CN"/>
                    </w:rPr>
                    <w:t>。</w:t>
                  </w:r>
                </w:p>
              </w:tc>
              <w:tc>
                <w:tcPr>
                  <w:tcW w:w="406" w:type="pct"/>
                  <w:noWrap w:val="0"/>
                  <w:vAlign w:val="center"/>
                </w:tcPr>
                <w:p w14:paraId="7012C018">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ascii="Times New Roman" w:hAnsi="Times New Roman" w:eastAsia="宋体" w:cs="Times New Roman"/>
                      <w:b w:val="0"/>
                      <w:bCs w:val="0"/>
                      <w:kern w:val="0"/>
                      <w:sz w:val="21"/>
                      <w:szCs w:val="21"/>
                      <w:lang w:eastAsia="zh-CN"/>
                    </w:rPr>
                  </w:pPr>
                  <w:r>
                    <w:rPr>
                      <w:rFonts w:hint="eastAsia" w:ascii="Times New Roman" w:hAnsi="Times New Roman" w:cs="Times New Roman"/>
                      <w:b w:val="0"/>
                      <w:bCs w:val="0"/>
                      <w:kern w:val="0"/>
                      <w:sz w:val="21"/>
                      <w:szCs w:val="21"/>
                      <w:lang w:eastAsia="zh-CN"/>
                    </w:rPr>
                    <w:t>相符</w:t>
                  </w:r>
                </w:p>
              </w:tc>
            </w:tr>
            <w:tr w14:paraId="71387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2" w:type="pct"/>
                  <w:noWrap w:val="0"/>
                  <w:vAlign w:val="center"/>
                </w:tcPr>
                <w:p w14:paraId="2AD10A9E">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eastAsia" w:cs="Times New Roman"/>
                      <w:b w:val="0"/>
                      <w:bCs w:val="0"/>
                      <w:kern w:val="0"/>
                      <w:sz w:val="21"/>
                      <w:szCs w:val="21"/>
                      <w:lang w:eastAsia="zh-CN"/>
                    </w:rPr>
                  </w:pPr>
                  <w:r>
                    <w:rPr>
                      <w:rFonts w:hint="eastAsia" w:cs="Times New Roman"/>
                      <w:b w:val="0"/>
                      <w:bCs w:val="0"/>
                      <w:kern w:val="0"/>
                      <w:sz w:val="21"/>
                      <w:szCs w:val="21"/>
                      <w:lang w:eastAsia="zh-CN"/>
                    </w:rPr>
                    <w:t>无组织管控</w:t>
                  </w:r>
                </w:p>
              </w:tc>
              <w:tc>
                <w:tcPr>
                  <w:tcW w:w="2439" w:type="pct"/>
                  <w:noWrap w:val="0"/>
                  <w:vAlign w:val="center"/>
                </w:tcPr>
                <w:p w14:paraId="62CFBD69">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1.VOCs物料存储于密闭的容器、包装袋、储罐、储库、料仓中；盛装VOCs物料的容器或包装袋存放于室内；盛装VOCs物料的容器或包装袋在非取用状态时应加盖、封口，保持密闭；</w:t>
                  </w:r>
                </w:p>
                <w:p w14:paraId="6C216287">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2.粉状物料采用气力输送、管状带式输送机、螺旋输送机等自动化、密闭输送方式；粒状物料采用封闭皮带等自动化、封闭输送方式；液态VOCs物料采用密闭管道输送；</w:t>
                  </w:r>
                </w:p>
                <w:p w14:paraId="72B2B31D">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3.产生VOCs的生产工序和装置应设置有效集气装置并引至VOCs末端处理设施；</w:t>
                  </w:r>
                </w:p>
                <w:p w14:paraId="74DC8BC8">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highlight w:val="none"/>
                    </w:rPr>
                  </w:pPr>
                  <w:r>
                    <w:rPr>
                      <w:rFonts w:hint="default" w:ascii="Times New Roman" w:hAnsi="Times New Roman" w:cs="Times New Roman"/>
                      <w:b w:val="0"/>
                      <w:bCs w:val="0"/>
                      <w:kern w:val="0"/>
                      <w:sz w:val="21"/>
                      <w:szCs w:val="21"/>
                    </w:rPr>
                    <w:t>4.厂区道路及车间地面硬化，车间地面、墙壁、设备顶部整洁无积尘；厂内地面全部硬</w:t>
                  </w:r>
                  <w:r>
                    <w:rPr>
                      <w:rFonts w:hint="default" w:ascii="Times New Roman" w:hAnsi="Times New Roman" w:cs="Times New Roman"/>
                      <w:b w:val="0"/>
                      <w:bCs w:val="0"/>
                      <w:kern w:val="0"/>
                      <w:sz w:val="21"/>
                      <w:szCs w:val="21"/>
                      <w:highlight w:val="none"/>
                    </w:rPr>
                    <w:t>化或绿化，无成片裸露土地；</w:t>
                  </w:r>
                </w:p>
                <w:p w14:paraId="45833990">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highlight w:val="none"/>
                    </w:rPr>
                    <w:t>5.贮存易产生粉尘、VOCs和异味的危险废物贮存库，设有废气收集装置和废气处理设施。废气处理设施的排气筒高度不低于15m。</w:t>
                  </w:r>
                </w:p>
              </w:tc>
              <w:tc>
                <w:tcPr>
                  <w:tcW w:w="1641" w:type="pct"/>
                  <w:noWrap w:val="0"/>
                  <w:vAlign w:val="center"/>
                </w:tcPr>
                <w:p w14:paraId="0E13E708">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eastAsia" w:ascii="Times New Roman" w:hAnsi="Times New Roman" w:cs="Times New Roman"/>
                      <w:b w:val="0"/>
                      <w:bCs w:val="0"/>
                      <w:kern w:val="0"/>
                      <w:sz w:val="21"/>
                      <w:szCs w:val="21"/>
                      <w:highlight w:val="none"/>
                      <w:lang w:val="en-US" w:eastAsia="zh-CN"/>
                    </w:rPr>
                  </w:pPr>
                  <w:r>
                    <w:rPr>
                      <w:rFonts w:hint="eastAsia" w:ascii="Times New Roman" w:hAnsi="Times New Roman" w:cs="Times New Roman"/>
                      <w:b w:val="0"/>
                      <w:bCs w:val="0"/>
                      <w:kern w:val="0"/>
                      <w:sz w:val="21"/>
                      <w:szCs w:val="21"/>
                      <w:highlight w:val="none"/>
                      <w:lang w:val="en-US" w:eastAsia="zh-CN"/>
                    </w:rPr>
                    <w:t>1.</w:t>
                  </w:r>
                  <w:r>
                    <w:rPr>
                      <w:rFonts w:hint="eastAsia" w:cs="Times New Roman"/>
                      <w:b w:val="0"/>
                      <w:bCs w:val="0"/>
                      <w:kern w:val="0"/>
                      <w:sz w:val="21"/>
                      <w:szCs w:val="21"/>
                      <w:highlight w:val="none"/>
                      <w:lang w:val="en-US" w:eastAsia="zh-CN"/>
                    </w:rPr>
                    <w:t>本项目原辅材料储存在密闭车间内</w:t>
                  </w:r>
                  <w:r>
                    <w:rPr>
                      <w:rFonts w:hint="eastAsia" w:ascii="Times New Roman" w:hAnsi="Times New Roman" w:cs="Times New Roman"/>
                      <w:b w:val="0"/>
                      <w:bCs w:val="0"/>
                      <w:kern w:val="0"/>
                      <w:sz w:val="21"/>
                      <w:szCs w:val="21"/>
                      <w:highlight w:val="none"/>
                      <w:lang w:val="en-US" w:eastAsia="zh-CN"/>
                    </w:rPr>
                    <w:t>；</w:t>
                  </w:r>
                </w:p>
                <w:p w14:paraId="773E4D1D">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b w:val="0"/>
                      <w:bCs w:val="0"/>
                      <w:kern w:val="0"/>
                      <w:sz w:val="21"/>
                      <w:szCs w:val="21"/>
                      <w:highlight w:val="none"/>
                      <w:lang w:val="en-US" w:eastAsia="zh-CN"/>
                    </w:rPr>
                    <w:t>2.</w:t>
                  </w:r>
                  <w:r>
                    <w:rPr>
                      <w:rFonts w:hint="eastAsia" w:cs="Times New Roman"/>
                      <w:b w:val="0"/>
                      <w:bCs w:val="0"/>
                      <w:kern w:val="0"/>
                      <w:sz w:val="21"/>
                      <w:szCs w:val="21"/>
                      <w:highlight w:val="none"/>
                      <w:lang w:val="en-US" w:eastAsia="zh-CN"/>
                    </w:rPr>
                    <w:t>本</w:t>
                  </w:r>
                  <w:r>
                    <w:rPr>
                      <w:rFonts w:hint="default" w:ascii="Times New Roman" w:hAnsi="Times New Roman" w:eastAsia="宋体" w:cs="Times New Roman"/>
                      <w:color w:val="000000" w:themeColor="text1"/>
                      <w:sz w:val="21"/>
                      <w:szCs w:val="21"/>
                      <w14:textFill>
                        <w14:solidFill>
                          <w14:schemeClr w14:val="tx1"/>
                        </w14:solidFill>
                      </w14:textFill>
                    </w:rPr>
                    <w:t>项目不涉及粉状物料</w:t>
                  </w:r>
                  <w:r>
                    <w:rPr>
                      <w:rFonts w:hint="eastAsia"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不涉及液态VOCs物料；</w:t>
                  </w:r>
                </w:p>
                <w:p w14:paraId="6B817C8F">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产生VOCs的生产工序和装置设置</w:t>
                  </w:r>
                  <w:r>
                    <w:rPr>
                      <w:rFonts w:hint="eastAsia" w:cs="Times New Roman"/>
                      <w:color w:val="000000" w:themeColor="text1"/>
                      <w:sz w:val="21"/>
                      <w:szCs w:val="21"/>
                      <w:lang w:eastAsia="zh-CN"/>
                      <w14:textFill>
                        <w14:solidFill>
                          <w14:schemeClr w14:val="tx1"/>
                        </w14:solidFill>
                      </w14:textFill>
                    </w:rPr>
                    <w:t>集气系统收集废气，</w:t>
                  </w:r>
                  <w:r>
                    <w:rPr>
                      <w:rFonts w:hint="default" w:ascii="Times New Roman" w:hAnsi="Times New Roman" w:eastAsia="宋体" w:cs="Times New Roman"/>
                      <w:color w:val="000000" w:themeColor="text1"/>
                      <w:sz w:val="21"/>
                      <w:szCs w:val="21"/>
                      <w14:textFill>
                        <w14:solidFill>
                          <w14:schemeClr w14:val="tx1"/>
                        </w14:solidFill>
                      </w14:textFill>
                    </w:rPr>
                    <w:t>并引至</w:t>
                  </w:r>
                  <w:r>
                    <w:rPr>
                      <w:rFonts w:hint="eastAsia" w:cs="Times New Roman"/>
                      <w:color w:val="000000" w:themeColor="text1"/>
                      <w:sz w:val="21"/>
                      <w:szCs w:val="21"/>
                      <w:lang w:eastAsia="zh-CN"/>
                      <w14:textFill>
                        <w14:solidFill>
                          <w14:schemeClr w14:val="tx1"/>
                        </w14:solidFill>
                      </w14:textFill>
                    </w:rPr>
                    <w:t>两级活性炭吸附装置处理废气</w:t>
                  </w:r>
                  <w:r>
                    <w:rPr>
                      <w:rFonts w:hint="default" w:ascii="Times New Roman" w:hAnsi="Times New Roman" w:eastAsia="宋体" w:cs="Times New Roman"/>
                      <w:color w:val="000000" w:themeColor="text1"/>
                      <w:sz w:val="21"/>
                      <w:szCs w:val="21"/>
                      <w14:textFill>
                        <w14:solidFill>
                          <w14:schemeClr w14:val="tx1"/>
                        </w14:solidFill>
                      </w14:textFill>
                    </w:rPr>
                    <w:t>；</w:t>
                  </w:r>
                </w:p>
                <w:p w14:paraId="256DC627">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r>
                    <w:rPr>
                      <w:rFonts w:hint="default" w:ascii="Times New Roman" w:hAnsi="Times New Roman" w:cs="Times New Roman"/>
                      <w:b w:val="0"/>
                      <w:bCs w:val="0"/>
                      <w:kern w:val="0"/>
                      <w:sz w:val="21"/>
                      <w:szCs w:val="21"/>
                    </w:rPr>
                    <w:t>厂区道路及车间地面硬化，车间地面、墙壁、设备顶部整洁无积尘；厂内地面全部硬化或绿化，无成片裸露土地；</w:t>
                  </w:r>
                </w:p>
                <w:p w14:paraId="2D3C129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sz w:val="21"/>
                      <w:szCs w:val="21"/>
                      <w:lang w:val="en-US" w:eastAsia="zh-CN" w:bidi="ar"/>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eastAsia" w:cs="Times New Roman"/>
                      <w:color w:val="000000" w:themeColor="text1"/>
                      <w:sz w:val="21"/>
                      <w:szCs w:val="21"/>
                      <w:lang w:val="en-US" w:eastAsia="zh-CN"/>
                      <w14:textFill>
                        <w14:solidFill>
                          <w14:schemeClr w14:val="tx1"/>
                        </w14:solidFill>
                      </w14:textFill>
                    </w:rPr>
                    <w:t>本项目产生的危险废物密闭储存在危废间内，其中危险废物有</w:t>
                  </w:r>
                  <w:r>
                    <w:rPr>
                      <w:rFonts w:hint="default" w:ascii="Times New Roman" w:hAnsi="Times New Roman" w:eastAsia="宋体" w:cs="Times New Roman"/>
                      <w:color w:val="000000" w:themeColor="text1"/>
                      <w:sz w:val="21"/>
                      <w:szCs w:val="21"/>
                      <w14:textFill>
                        <w14:solidFill>
                          <w14:schemeClr w14:val="tx1"/>
                        </w14:solidFill>
                      </w14:textFill>
                    </w:rPr>
                    <w:t>废</w:t>
                  </w:r>
                  <w:r>
                    <w:rPr>
                      <w:rFonts w:hint="eastAsia" w:ascii="Times New Roman" w:hAnsi="Times New Roman" w:eastAsia="宋体" w:cs="Times New Roman"/>
                      <w:color w:val="000000" w:themeColor="text1"/>
                      <w:sz w:val="21"/>
                      <w:szCs w:val="21"/>
                      <w:lang w:eastAsia="zh-CN"/>
                      <w14:textFill>
                        <w14:solidFill>
                          <w14:schemeClr w14:val="tx1"/>
                        </w14:solidFill>
                      </w14:textFill>
                    </w:rPr>
                    <w:t>润滑</w:t>
                  </w:r>
                  <w:r>
                    <w:rPr>
                      <w:rFonts w:hint="default" w:ascii="Times New Roman" w:hAnsi="Times New Roman" w:cs="Times New Roman"/>
                      <w:color w:val="000000" w:themeColor="text1"/>
                      <w:sz w:val="21"/>
                      <w:szCs w:val="21"/>
                      <w:lang w:eastAsia="zh-CN"/>
                      <w14:textFill>
                        <w14:solidFill>
                          <w14:schemeClr w14:val="tx1"/>
                        </w14:solidFill>
                      </w14:textFill>
                    </w:rPr>
                    <w:t>油</w:t>
                  </w:r>
                  <w:r>
                    <w:rPr>
                      <w:rFonts w:hint="default" w:ascii="Times New Roman" w:hAnsi="Times New Roman" w:eastAsia="宋体" w:cs="Times New Roman"/>
                      <w:color w:val="000000" w:themeColor="text1"/>
                      <w:sz w:val="21"/>
                      <w:szCs w:val="21"/>
                      <w14:textFill>
                        <w14:solidFill>
                          <w14:schemeClr w14:val="tx1"/>
                        </w14:solidFill>
                      </w14:textFill>
                    </w:rPr>
                    <w:t>、废油桶、废活性炭，</w:t>
                  </w:r>
                  <w:r>
                    <w:rPr>
                      <w:rFonts w:hint="eastAsia" w:cs="Times New Roman"/>
                      <w:color w:val="000000" w:themeColor="text1"/>
                      <w:sz w:val="21"/>
                      <w:szCs w:val="21"/>
                      <w:lang w:eastAsia="zh-CN"/>
                      <w14:textFill>
                        <w14:solidFill>
                          <w14:schemeClr w14:val="tx1"/>
                        </w14:solidFill>
                      </w14:textFill>
                    </w:rPr>
                    <w:t>其中废活性炭产生的有机废气经集气风管收集后引入两级活性炭吸附装置处理，最终通过一根</w:t>
                  </w:r>
                  <w:r>
                    <w:rPr>
                      <w:rFonts w:hint="eastAsia" w:cs="Times New Roman"/>
                      <w:color w:val="000000" w:themeColor="text1"/>
                      <w:sz w:val="21"/>
                      <w:szCs w:val="21"/>
                      <w:lang w:val="en-US" w:eastAsia="zh-CN"/>
                      <w14:textFill>
                        <w14:solidFill>
                          <w14:schemeClr w14:val="tx1"/>
                        </w14:solidFill>
                      </w14:textFill>
                    </w:rPr>
                    <w:t>15m高的排气筒达标排放。</w:t>
                  </w:r>
                </w:p>
              </w:tc>
              <w:tc>
                <w:tcPr>
                  <w:tcW w:w="406" w:type="pct"/>
                  <w:noWrap w:val="0"/>
                  <w:vAlign w:val="center"/>
                </w:tcPr>
                <w:p w14:paraId="67522096">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eastAsia" w:cs="Times New Roman"/>
                      <w:b w:val="0"/>
                      <w:bCs w:val="0"/>
                      <w:kern w:val="0"/>
                      <w:sz w:val="21"/>
                      <w:szCs w:val="21"/>
                      <w:lang w:eastAsia="zh-CN"/>
                    </w:rPr>
                    <w:t>相符</w:t>
                  </w:r>
                </w:p>
              </w:tc>
            </w:tr>
            <w:tr w14:paraId="61405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512" w:type="pct"/>
                  <w:noWrap w:val="0"/>
                  <w:vAlign w:val="center"/>
                </w:tcPr>
                <w:p w14:paraId="724766D6">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排放</w:t>
                  </w:r>
                </w:p>
                <w:p w14:paraId="115C48C3">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eastAsia="宋体"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限值</w:t>
                  </w:r>
                </w:p>
              </w:tc>
              <w:tc>
                <w:tcPr>
                  <w:tcW w:w="2439" w:type="pct"/>
                  <w:noWrap w:val="0"/>
                  <w:vAlign w:val="center"/>
                </w:tcPr>
                <w:p w14:paraId="4762C22F">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1.全厂有组织PM、NMHC有组织排放浓度分别不高于10、20mg/m</w:t>
                  </w:r>
                  <w:r>
                    <w:rPr>
                      <w:rFonts w:hint="default" w:ascii="Times New Roman" w:hAnsi="Times New Roman" w:cs="Times New Roman"/>
                      <w:b w:val="0"/>
                      <w:bCs w:val="0"/>
                      <w:kern w:val="0"/>
                      <w:sz w:val="21"/>
                      <w:szCs w:val="21"/>
                      <w:vertAlign w:val="superscript"/>
                    </w:rPr>
                    <w:t>3</w:t>
                  </w:r>
                  <w:r>
                    <w:rPr>
                      <w:rFonts w:hint="default" w:ascii="Times New Roman" w:hAnsi="Times New Roman" w:cs="Times New Roman"/>
                      <w:b w:val="0"/>
                      <w:bCs w:val="0"/>
                      <w:kern w:val="0"/>
                      <w:sz w:val="21"/>
                      <w:szCs w:val="21"/>
                    </w:rPr>
                    <w:t>；</w:t>
                  </w:r>
                </w:p>
                <w:p w14:paraId="4B7F1BD4">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2.VOCs治理设施去除率达到80%及以上；去除率确实达不到的，生产车间或生产设备的无组织排放监控点NMHC浓度低于4mg/m³，企业边界1hNMHC平均浓度低于2mg/m³；</w:t>
                  </w:r>
                </w:p>
                <w:p w14:paraId="38CF7BA7">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3.锅炉烟气排放限值要求：燃气锅炉PM、SO</w:t>
                  </w:r>
                  <w:r>
                    <w:rPr>
                      <w:rFonts w:hint="default" w:ascii="Times New Roman" w:hAnsi="Times New Roman" w:cs="Times New Roman"/>
                      <w:b w:val="0"/>
                      <w:bCs w:val="0"/>
                      <w:kern w:val="0"/>
                      <w:sz w:val="21"/>
                      <w:szCs w:val="21"/>
                      <w:vertAlign w:val="subscript"/>
                    </w:rPr>
                    <w:t>2</w:t>
                  </w:r>
                  <w:r>
                    <w:rPr>
                      <w:rFonts w:hint="default" w:ascii="Times New Roman" w:hAnsi="Times New Roman" w:cs="Times New Roman"/>
                      <w:b w:val="0"/>
                      <w:bCs w:val="0"/>
                      <w:kern w:val="0"/>
                      <w:sz w:val="21"/>
                      <w:szCs w:val="21"/>
                    </w:rPr>
                    <w:t>、NOx排放浓度分别不高于：5、10、30mg/m</w:t>
                  </w:r>
                  <w:r>
                    <w:rPr>
                      <w:rFonts w:hint="default" w:ascii="Times New Roman" w:hAnsi="Times New Roman" w:cs="Times New Roman"/>
                      <w:b w:val="0"/>
                      <w:bCs w:val="0"/>
                      <w:kern w:val="0"/>
                      <w:sz w:val="21"/>
                      <w:szCs w:val="21"/>
                      <w:vertAlign w:val="superscript"/>
                    </w:rPr>
                    <w:t>3</w:t>
                  </w:r>
                  <w:r>
                    <w:rPr>
                      <w:rFonts w:hint="default" w:ascii="Times New Roman" w:hAnsi="Times New Roman" w:cs="Times New Roman"/>
                      <w:b w:val="0"/>
                      <w:bCs w:val="0"/>
                      <w:kern w:val="0"/>
                      <w:sz w:val="21"/>
                      <w:szCs w:val="21"/>
                    </w:rPr>
                    <w:t>。</w:t>
                  </w:r>
                </w:p>
              </w:tc>
              <w:tc>
                <w:tcPr>
                  <w:tcW w:w="1641" w:type="pct"/>
                  <w:noWrap w:val="0"/>
                  <w:vAlign w:val="center"/>
                </w:tcPr>
                <w:p w14:paraId="0E1DD4CA">
                  <w:pPr>
                    <w:keepNext w:val="0"/>
                    <w:keepLines w:val="0"/>
                    <w:pageBreakBefore w:val="0"/>
                    <w:widowControl w:val="0"/>
                    <w:kinsoku w:val="0"/>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val="en-US" w:eastAsia="zh-CN" w:bidi="ar"/>
                    </w:rPr>
                    <w:t>1.全厂有组织NMHC有组织排放浓度低于20mg/m</w:t>
                  </w:r>
                  <w:r>
                    <w:rPr>
                      <w:rFonts w:hint="default" w:ascii="Times New Roman" w:hAnsi="Times New Roman" w:eastAsia="宋体" w:cs="Times New Roman"/>
                      <w:sz w:val="21"/>
                      <w:szCs w:val="21"/>
                      <w:vertAlign w:val="superscript"/>
                      <w:lang w:val="en-US" w:eastAsia="zh-CN" w:bidi="ar"/>
                    </w:rPr>
                    <w:t>3</w:t>
                  </w:r>
                  <w:r>
                    <w:rPr>
                      <w:rFonts w:hint="default" w:ascii="Times New Roman" w:hAnsi="Times New Roman" w:eastAsia="宋体" w:cs="Times New Roman"/>
                      <w:sz w:val="21"/>
                      <w:szCs w:val="21"/>
                      <w:lang w:val="en-US" w:eastAsia="zh-CN" w:bidi="ar"/>
                    </w:rPr>
                    <w:t>；</w:t>
                  </w:r>
                </w:p>
                <w:p w14:paraId="2BA4B006">
                  <w:pPr>
                    <w:keepNext w:val="0"/>
                    <w:keepLines w:val="0"/>
                    <w:pageBreakBefore w:val="0"/>
                    <w:widowControl w:val="0"/>
                    <w:kinsoku w:val="0"/>
                    <w:wordWrap w:val="0"/>
                    <w:overflowPunct/>
                    <w:topLinePunct w:val="0"/>
                    <w:autoSpaceDE/>
                    <w:autoSpaceDN/>
                    <w:bidi w:val="0"/>
                    <w:adjustRightInd w:val="0"/>
                    <w:snapToGrid w:val="0"/>
                    <w:spacing w:line="360" w:lineRule="exact"/>
                    <w:ind w:left="0" w:leftChars="0" w:firstLine="0" w:firstLineChars="0"/>
                    <w:jc w:val="left"/>
                    <w:textAlignment w:val="auto"/>
                    <w:rPr>
                      <w:rFonts w:hint="eastAsia" w:ascii="Times New Roman" w:hAnsi="Times New Roman" w:eastAsia="宋体" w:cs="Times New Roman"/>
                      <w:sz w:val="21"/>
                      <w:szCs w:val="21"/>
                      <w:highlight w:val="none"/>
                      <w:lang w:val="en-US" w:eastAsia="zh-CN" w:bidi="ar"/>
                    </w:rPr>
                  </w:pPr>
                  <w:r>
                    <w:rPr>
                      <w:rFonts w:hint="default" w:ascii="Times New Roman" w:hAnsi="Times New Roman" w:eastAsia="宋体" w:cs="Times New Roman"/>
                      <w:sz w:val="21"/>
                      <w:szCs w:val="21"/>
                      <w:lang w:val="en-US" w:eastAsia="zh-CN" w:bidi="ar"/>
                    </w:rPr>
                    <w:t>2.VOCs治理设施同步运行率和去除率分</w:t>
                  </w:r>
                  <w:r>
                    <w:rPr>
                      <w:rFonts w:hint="default" w:ascii="Times New Roman" w:hAnsi="Times New Roman" w:eastAsia="宋体" w:cs="Times New Roman"/>
                      <w:sz w:val="21"/>
                      <w:szCs w:val="21"/>
                      <w:highlight w:val="none"/>
                      <w:lang w:val="en-US" w:eastAsia="zh-CN" w:bidi="ar"/>
                    </w:rPr>
                    <w:t>别达到100%和80%；</w:t>
                  </w:r>
                  <w:r>
                    <w:rPr>
                      <w:rFonts w:hint="default" w:ascii="Times New Roman" w:hAnsi="Times New Roman" w:cs="Times New Roman"/>
                      <w:b w:val="0"/>
                      <w:bCs w:val="0"/>
                      <w:kern w:val="0"/>
                      <w:sz w:val="21"/>
                      <w:szCs w:val="21"/>
                    </w:rPr>
                    <w:t>生产车间或生产设备的无组织排放监控点NMHC浓度低于4mg/m³，企业边界1hNMHC平均浓度低于2mg/m³</w:t>
                  </w:r>
                  <w:r>
                    <w:rPr>
                      <w:rFonts w:hint="eastAsia" w:ascii="Times New Roman" w:hAnsi="Times New Roman" w:cs="Times New Roman"/>
                      <w:b w:val="0"/>
                      <w:bCs w:val="0"/>
                      <w:kern w:val="0"/>
                      <w:sz w:val="21"/>
                      <w:szCs w:val="21"/>
                      <w:lang w:eastAsia="zh-CN"/>
                    </w:rPr>
                    <w:t>；</w:t>
                  </w:r>
                </w:p>
                <w:p w14:paraId="4F97A9C8">
                  <w:pPr>
                    <w:keepNext w:val="0"/>
                    <w:keepLines w:val="0"/>
                    <w:pageBreakBefore w:val="0"/>
                    <w:widowControl w:val="0"/>
                    <w:kinsoku w:val="0"/>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b/>
                      <w:bCs/>
                      <w:kern w:val="0"/>
                      <w:sz w:val="21"/>
                      <w:szCs w:val="21"/>
                      <w:lang w:eastAsia="zh-CN"/>
                    </w:rPr>
                  </w:pPr>
                  <w:r>
                    <w:rPr>
                      <w:rFonts w:hint="default" w:ascii="Times New Roman" w:hAnsi="Times New Roman" w:eastAsia="宋体" w:cs="Times New Roman"/>
                      <w:sz w:val="21"/>
                      <w:szCs w:val="21"/>
                      <w:highlight w:val="none"/>
                      <w:lang w:val="en-US" w:eastAsia="zh-CN" w:bidi="ar"/>
                    </w:rPr>
                    <w:t>3.</w:t>
                  </w:r>
                  <w:r>
                    <w:rPr>
                      <w:rFonts w:hint="eastAsia" w:cs="Times New Roman"/>
                      <w:sz w:val="21"/>
                      <w:szCs w:val="21"/>
                      <w:highlight w:val="none"/>
                      <w:lang w:val="en-US" w:eastAsia="zh-CN" w:bidi="ar"/>
                    </w:rPr>
                    <w:t>本</w:t>
                  </w:r>
                  <w:r>
                    <w:rPr>
                      <w:rFonts w:hint="default" w:ascii="Times New Roman" w:hAnsi="Times New Roman" w:eastAsia="宋体" w:cs="Times New Roman"/>
                      <w:sz w:val="21"/>
                      <w:szCs w:val="21"/>
                      <w:highlight w:val="none"/>
                      <w:lang w:val="en-US" w:eastAsia="zh-CN" w:bidi="ar"/>
                    </w:rPr>
                    <w:t>项目</w:t>
                  </w:r>
                  <w:r>
                    <w:rPr>
                      <w:rFonts w:hint="eastAsia" w:cs="Times New Roman"/>
                      <w:sz w:val="21"/>
                      <w:szCs w:val="21"/>
                      <w:highlight w:val="none"/>
                      <w:lang w:val="en-US" w:eastAsia="zh-CN" w:bidi="ar"/>
                    </w:rPr>
                    <w:t>不涉及</w:t>
                  </w:r>
                  <w:r>
                    <w:rPr>
                      <w:rFonts w:hint="default" w:ascii="Times New Roman" w:hAnsi="Times New Roman" w:cs="Times New Roman"/>
                      <w:b w:val="0"/>
                      <w:bCs w:val="0"/>
                      <w:kern w:val="0"/>
                      <w:sz w:val="21"/>
                      <w:szCs w:val="21"/>
                    </w:rPr>
                    <w:t>。</w:t>
                  </w:r>
                </w:p>
              </w:tc>
              <w:tc>
                <w:tcPr>
                  <w:tcW w:w="406" w:type="pct"/>
                  <w:noWrap w:val="0"/>
                  <w:vAlign w:val="center"/>
                </w:tcPr>
                <w:p w14:paraId="427A465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bCs/>
                      <w:kern w:val="0"/>
                      <w:sz w:val="21"/>
                      <w:szCs w:val="21"/>
                    </w:rPr>
                  </w:pPr>
                  <w:r>
                    <w:rPr>
                      <w:rFonts w:hint="default" w:ascii="Times New Roman" w:hAnsi="Times New Roman" w:cs="Times New Roman"/>
                      <w:b w:val="0"/>
                      <w:bCs w:val="0"/>
                      <w:kern w:val="0"/>
                      <w:sz w:val="21"/>
                      <w:szCs w:val="21"/>
                      <w:lang w:eastAsia="zh-CN"/>
                    </w:rPr>
                    <w:t>相符</w:t>
                  </w:r>
                </w:p>
              </w:tc>
            </w:tr>
            <w:tr w14:paraId="77FB7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2" w:type="pct"/>
                  <w:noWrap w:val="0"/>
                  <w:vAlign w:val="center"/>
                </w:tcPr>
                <w:p w14:paraId="4EDB4EAC">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监测监控水平</w:t>
                  </w:r>
                </w:p>
              </w:tc>
              <w:tc>
                <w:tcPr>
                  <w:tcW w:w="2439" w:type="pct"/>
                  <w:noWrap w:val="0"/>
                  <w:vAlign w:val="center"/>
                </w:tcPr>
                <w:p w14:paraId="2C5AEBE2">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1.有组织排放口按排污许可、环境影响评价或环境现状评估等要求安装烟气排放自动监控设施（CEMS），并按要求与省厅联网；重点排污单位风量大于10000m</w:t>
                  </w:r>
                  <w:r>
                    <w:rPr>
                      <w:rFonts w:hint="default" w:ascii="Times New Roman" w:hAnsi="Times New Roman" w:cs="Times New Roman"/>
                      <w:b w:val="0"/>
                      <w:bCs w:val="0"/>
                      <w:kern w:val="0"/>
                      <w:sz w:val="21"/>
                      <w:szCs w:val="21"/>
                      <w:vertAlign w:val="superscript"/>
                    </w:rPr>
                    <w:t>3</w:t>
                  </w:r>
                  <w:r>
                    <w:rPr>
                      <w:rFonts w:hint="default" w:ascii="Times New Roman" w:hAnsi="Times New Roman" w:cs="Times New Roman"/>
                      <w:b w:val="0"/>
                      <w:bCs w:val="0"/>
                      <w:kern w:val="0"/>
                      <w:sz w:val="21"/>
                      <w:szCs w:val="21"/>
                    </w:rPr>
                    <w:t>/h的主要排放口安装NMHC在线监测设施（FID检测器）并按要求与省厅联网；其他企业NMHC初始排放速率大于2kg/h且排放口风量大于20000m</w:t>
                  </w:r>
                  <w:r>
                    <w:rPr>
                      <w:rFonts w:hint="default" w:ascii="Times New Roman" w:hAnsi="Times New Roman" w:cs="Times New Roman"/>
                      <w:b w:val="0"/>
                      <w:bCs w:val="0"/>
                      <w:kern w:val="0"/>
                      <w:sz w:val="21"/>
                      <w:szCs w:val="21"/>
                      <w:vertAlign w:val="superscript"/>
                    </w:rPr>
                    <w:t>3</w:t>
                  </w:r>
                  <w:r>
                    <w:rPr>
                      <w:rFonts w:hint="default" w:ascii="Times New Roman" w:hAnsi="Times New Roman" w:cs="Times New Roman"/>
                      <w:b w:val="0"/>
                      <w:bCs w:val="0"/>
                      <w:kern w:val="0"/>
                      <w:sz w:val="21"/>
                      <w:szCs w:val="21"/>
                    </w:rPr>
                    <w:t>/h的废气排放口安装NMHC在线监测设施（FID检测器），并按要求与省厅联网；在线监测数据至少保存最近12个月的1分钟均值、36个月的1小时均值及60个月的日均值和月均值。（投产或安装时间不满一年以上的企业，以现有数据为准）；</w:t>
                  </w:r>
                </w:p>
                <w:p w14:paraId="470325D4">
                  <w:pPr>
                    <w:keepNext w:val="0"/>
                    <w:keepLines w:val="0"/>
                    <w:pageBreakBefore w:val="0"/>
                    <w:widowControl w:val="0"/>
                    <w:kinsoku/>
                    <w:wordWrap w:val="0"/>
                    <w:overflowPunct/>
                    <w:topLinePunct w:val="0"/>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2.按生态环境部门要求规范设置废气排放口标志牌、二维码标识和采样平台、采样孔；各废气排放口按照排污许可要求开展自行监测。</w:t>
                  </w:r>
                </w:p>
              </w:tc>
              <w:tc>
                <w:tcPr>
                  <w:tcW w:w="1641" w:type="pct"/>
                  <w:noWrap w:val="0"/>
                  <w:vAlign w:val="center"/>
                </w:tcPr>
                <w:p w14:paraId="76DE85AA">
                  <w:pPr>
                    <w:pStyle w:val="29"/>
                    <w:keepNext w:val="0"/>
                    <w:keepLines w:val="0"/>
                    <w:pageBreakBefore w:val="0"/>
                    <w:kinsoku/>
                    <w:wordWrap/>
                    <w:overflowPunct/>
                    <w:topLinePunct w:val="0"/>
                    <w:bidi w:val="0"/>
                    <w:spacing w:line="360" w:lineRule="exact"/>
                    <w:ind w:left="0" w:leftChars="0" w:firstLine="0" w:firstLineChars="0"/>
                    <w:jc w:val="left"/>
                    <w:textAlignment w:val="auto"/>
                    <w:rPr>
                      <w:sz w:val="21"/>
                      <w:szCs w:val="21"/>
                    </w:rPr>
                  </w:pPr>
                  <w:r>
                    <w:rPr>
                      <w:rFonts w:ascii="Times New Roman" w:hAnsi="Times New Roman" w:cs="Times New Roman"/>
                      <w:sz w:val="21"/>
                      <w:szCs w:val="21"/>
                    </w:rPr>
                    <w:t>1</w:t>
                  </w:r>
                  <w:r>
                    <w:rPr>
                      <w:sz w:val="21"/>
                      <w:szCs w:val="21"/>
                    </w:rPr>
                    <w:t>.</w:t>
                  </w:r>
                  <w:r>
                    <w:rPr>
                      <w:rFonts w:hint="eastAsia"/>
                      <w:sz w:val="21"/>
                      <w:szCs w:val="21"/>
                    </w:rPr>
                    <w:t>按照当地环保部门要求进行建设</w:t>
                  </w:r>
                  <w:r>
                    <w:rPr>
                      <w:sz w:val="21"/>
                      <w:szCs w:val="21"/>
                    </w:rPr>
                    <w:t>；</w:t>
                  </w:r>
                </w:p>
                <w:p w14:paraId="3EE368FD">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both"/>
                    <w:textAlignment w:val="auto"/>
                    <w:rPr>
                      <w:rFonts w:hint="default" w:ascii="Times New Roman" w:hAnsi="Times New Roman" w:eastAsia="宋体" w:cs="Times New Roman"/>
                      <w:b w:val="0"/>
                      <w:bCs w:val="0"/>
                      <w:kern w:val="0"/>
                      <w:sz w:val="21"/>
                      <w:szCs w:val="21"/>
                      <w:lang w:eastAsia="zh-CN"/>
                    </w:rPr>
                  </w:pPr>
                  <w:r>
                    <w:rPr>
                      <w:rFonts w:hint="default" w:ascii="Times New Roman" w:hAnsi="Times New Roman" w:eastAsia="宋体" w:cs="Times New Roman"/>
                      <w:b w:val="0"/>
                      <w:bCs w:val="0"/>
                      <w:kern w:val="0"/>
                      <w:sz w:val="21"/>
                      <w:szCs w:val="21"/>
                      <w:highlight w:val="none"/>
                      <w:lang w:eastAsia="zh-CN"/>
                    </w:rPr>
                    <w:t>2.项目按照规范设置废气排放口标志牌、二维码标识和采样平台、采样孔；各废气排放口按照排污许可要求开展自行监测。</w:t>
                  </w:r>
                </w:p>
              </w:tc>
              <w:tc>
                <w:tcPr>
                  <w:tcW w:w="406" w:type="pct"/>
                  <w:noWrap w:val="0"/>
                  <w:vAlign w:val="center"/>
                </w:tcPr>
                <w:p w14:paraId="1BCBC44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highlight w:val="none"/>
                      <w:lang w:eastAsia="zh-CN"/>
                    </w:rPr>
                    <w:t>相符</w:t>
                  </w:r>
                </w:p>
              </w:tc>
            </w:tr>
            <w:tr w14:paraId="5EF60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12" w:type="pct"/>
                  <w:vMerge w:val="restart"/>
                  <w:noWrap w:val="0"/>
                  <w:vAlign w:val="center"/>
                </w:tcPr>
                <w:p w14:paraId="508AF428">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环境管理水平</w:t>
                  </w:r>
                </w:p>
              </w:tc>
              <w:tc>
                <w:tcPr>
                  <w:tcW w:w="2439" w:type="pct"/>
                  <w:noWrap w:val="0"/>
                  <w:vAlign w:val="center"/>
                </w:tcPr>
                <w:p w14:paraId="62F04D4C">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b w:val="0"/>
                      <w:bCs w:val="0"/>
                      <w:kern w:val="0"/>
                      <w:sz w:val="21"/>
                      <w:szCs w:val="21"/>
                      <w:lang w:val="en-US" w:eastAsia="zh-CN"/>
                    </w:rPr>
                  </w:pPr>
                  <w:r>
                    <w:rPr>
                      <w:rFonts w:hint="default" w:ascii="Times New Roman" w:hAnsi="Times New Roman" w:cs="Times New Roman"/>
                      <w:b w:val="0"/>
                      <w:bCs w:val="0"/>
                      <w:kern w:val="0"/>
                      <w:sz w:val="21"/>
                      <w:szCs w:val="21"/>
                    </w:rPr>
                    <w:t>环保档案齐全</w:t>
                  </w:r>
                  <w:r>
                    <w:rPr>
                      <w:rFonts w:hint="default" w:ascii="Times New Roman" w:hAnsi="Times New Roman" w:cs="Times New Roman"/>
                      <w:b w:val="0"/>
                      <w:bCs w:val="0"/>
                      <w:kern w:val="0"/>
                      <w:sz w:val="21"/>
                      <w:szCs w:val="21"/>
                      <w:lang w:eastAsia="zh-CN"/>
                    </w:rPr>
                    <w:t>：1.环评批复文件和竣工环保验收文件或环境现状评估备案证明；2.国家版排污许可证；3.环境管理制度（有组织、无组织排放长效管理机制，主要包括日常操作规程、岗位责任制度、污染物排放公示制度和定期巡查维护制度等）；4.废气污染治理设施稳定运行管理规程；5.一年内废气监测报告（符合排污许可证监测项目及频次要求）。</w:t>
                  </w:r>
                </w:p>
              </w:tc>
              <w:tc>
                <w:tcPr>
                  <w:tcW w:w="1641" w:type="pct"/>
                  <w:noWrap w:val="0"/>
                  <w:vAlign w:val="center"/>
                </w:tcPr>
                <w:p w14:paraId="3871A146">
                  <w:pPr>
                    <w:keepNext w:val="0"/>
                    <w:keepLines w:val="0"/>
                    <w:pageBreakBefore w:val="0"/>
                    <w:widowControl w:val="0"/>
                    <w:kinsoku/>
                    <w:wordWrap w:val="0"/>
                    <w:overflowPunct/>
                    <w:topLinePunct/>
                    <w:autoSpaceDE/>
                    <w:autoSpaceDN/>
                    <w:bidi w:val="0"/>
                    <w:adjustRightInd/>
                    <w:snapToGrid/>
                    <w:spacing w:line="360" w:lineRule="exact"/>
                    <w:ind w:left="0" w:leftChars="0" w:firstLine="0" w:firstLineChars="0"/>
                    <w:jc w:val="both"/>
                    <w:textAlignment w:val="auto"/>
                    <w:rPr>
                      <w:rFonts w:hint="default" w:ascii="Times New Roman" w:hAnsi="Times New Roman" w:eastAsia="宋体" w:cs="Times New Roman"/>
                      <w:b w:val="0"/>
                      <w:bCs w:val="0"/>
                      <w:kern w:val="2"/>
                      <w:sz w:val="21"/>
                      <w:szCs w:val="21"/>
                      <w:u w:val="none"/>
                      <w:lang w:val="en-US" w:eastAsia="zh-CN" w:bidi="ar"/>
                    </w:rPr>
                  </w:pPr>
                  <w:r>
                    <w:rPr>
                      <w:rFonts w:hint="default" w:ascii="Times New Roman" w:hAnsi="Times New Roman" w:eastAsia="宋体" w:cs="Times New Roman"/>
                      <w:b w:val="0"/>
                      <w:bCs w:val="0"/>
                      <w:kern w:val="2"/>
                      <w:sz w:val="21"/>
                      <w:szCs w:val="21"/>
                      <w:u w:val="none"/>
                      <w:lang w:val="en-US" w:eastAsia="zh-CN" w:bidi="ar"/>
                    </w:rPr>
                    <w:t>严格遵循环保档案相关要求：及时进行环保手续的办理（包括环评、验收、排污许可等）；建立环境管理制度、废气治理设施运行管理规程；严格按照《排污单位自行监测技术指南 橡胶和塑料制品》（</w:t>
                  </w:r>
                  <w:r>
                    <w:rPr>
                      <w:rFonts w:hint="default" w:ascii="Times New Roman" w:hAnsi="Times New Roman" w:eastAsia="宋体" w:cs="Times New Roman"/>
                      <w:b w:val="0"/>
                      <w:bCs w:val="0"/>
                      <w:kern w:val="2"/>
                      <w:sz w:val="21"/>
                      <w:szCs w:val="21"/>
                      <w:highlight w:val="none"/>
                      <w:u w:val="none"/>
                      <w:lang w:val="en-US" w:eastAsia="zh-CN" w:bidi="ar"/>
                    </w:rPr>
                    <w:t>HJ1207-2021）</w:t>
                  </w:r>
                  <w:r>
                    <w:rPr>
                      <w:rFonts w:hint="default" w:ascii="Times New Roman" w:hAnsi="Times New Roman" w:eastAsia="宋体" w:cs="Times New Roman"/>
                      <w:b w:val="0"/>
                      <w:bCs w:val="0"/>
                      <w:kern w:val="2"/>
                      <w:sz w:val="21"/>
                      <w:szCs w:val="21"/>
                      <w:u w:val="none"/>
                      <w:lang w:val="en-US" w:eastAsia="zh-CN" w:bidi="ar"/>
                    </w:rPr>
                    <w:t>监测频次及内容检测。</w:t>
                  </w:r>
                </w:p>
              </w:tc>
              <w:tc>
                <w:tcPr>
                  <w:tcW w:w="406" w:type="pct"/>
                  <w:noWrap w:val="0"/>
                  <w:vAlign w:val="center"/>
                </w:tcPr>
                <w:p w14:paraId="2BA7C67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lang w:eastAsia="zh-CN"/>
                    </w:rPr>
                    <w:t>相符</w:t>
                  </w:r>
                </w:p>
              </w:tc>
            </w:tr>
            <w:tr w14:paraId="79D15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12" w:type="pct"/>
                  <w:vMerge w:val="continue"/>
                  <w:noWrap w:val="0"/>
                  <w:vAlign w:val="center"/>
                </w:tcPr>
                <w:p w14:paraId="76E6BC0F">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p>
              </w:tc>
              <w:tc>
                <w:tcPr>
                  <w:tcW w:w="2439" w:type="pct"/>
                  <w:noWrap w:val="0"/>
                  <w:vAlign w:val="center"/>
                </w:tcPr>
                <w:p w14:paraId="01843A0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台账记录</w:t>
                  </w:r>
                  <w:r>
                    <w:rPr>
                      <w:rFonts w:hint="default" w:ascii="Times New Roman" w:hAnsi="Times New Roman" w:cs="Times New Roman"/>
                      <w:b w:val="0"/>
                      <w:bCs w:val="0"/>
                      <w:kern w:val="0"/>
                      <w:sz w:val="21"/>
                      <w:szCs w:val="21"/>
                      <w:lang w:eastAsia="zh-CN"/>
                    </w:rPr>
                    <w:t>：1.生产设施运行管理信息（生产时间、运行负荷、产品产量等）；2.废气污染治理设施运行、维护、管理信息（包括但不限于废气收集系统和污染治理设施的名称规格、设计参数、运行参数、巡检记录、污染治理易耗品与药剂用量（吸附剂、催化剂、脱硫剂、脱硝剂、过滤耗材等）、操作记录以及维护记录、运行要求等）；3.监测记录信息（主要污染排放口废气排放记录等）；4.主要原辅材料消耗记录；5.燃料消耗记录；6.固废、危废暂存、处理记录。</w:t>
                  </w:r>
                </w:p>
              </w:tc>
              <w:tc>
                <w:tcPr>
                  <w:tcW w:w="1641" w:type="pct"/>
                  <w:noWrap w:val="0"/>
                  <w:vAlign w:val="center"/>
                </w:tcPr>
                <w:p w14:paraId="0FE60F24">
                  <w:pPr>
                    <w:keepNext w:val="0"/>
                    <w:keepLines w:val="0"/>
                    <w:pageBreakBefore w:val="0"/>
                    <w:widowControl w:val="0"/>
                    <w:kinsoku/>
                    <w:wordWrap w:val="0"/>
                    <w:overflowPunct/>
                    <w:topLinePunct/>
                    <w:autoSpaceDE/>
                    <w:autoSpaceDN/>
                    <w:bidi w:val="0"/>
                    <w:adjustRightInd/>
                    <w:snapToGrid/>
                    <w:spacing w:line="360" w:lineRule="exact"/>
                    <w:ind w:left="0" w:leftChars="0" w:firstLine="0" w:firstLineChars="0"/>
                    <w:jc w:val="both"/>
                    <w:textAlignment w:val="auto"/>
                    <w:rPr>
                      <w:rFonts w:hint="default" w:ascii="Times New Roman" w:hAnsi="Times New Roman" w:eastAsia="宋体" w:cs="Times New Roman"/>
                      <w:b w:val="0"/>
                      <w:bCs w:val="0"/>
                      <w:kern w:val="2"/>
                      <w:sz w:val="21"/>
                      <w:szCs w:val="21"/>
                      <w:u w:val="none"/>
                      <w:lang w:val="en-US" w:eastAsia="zh-CN" w:bidi="ar"/>
                    </w:rPr>
                  </w:pPr>
                  <w:r>
                    <w:rPr>
                      <w:rFonts w:ascii="Times New Roman" w:hAnsi="Times New Roman"/>
                      <w:snapToGrid w:val="0"/>
                      <w:sz w:val="21"/>
                      <w:szCs w:val="21"/>
                    </w:rPr>
                    <w:t>严格遵循台账记录相关要求</w:t>
                  </w:r>
                  <w:r>
                    <w:rPr>
                      <w:rFonts w:hint="eastAsia" w:ascii="Times New Roman" w:hAnsi="Times New Roman"/>
                      <w:snapToGrid w:val="0"/>
                      <w:sz w:val="21"/>
                      <w:szCs w:val="21"/>
                    </w:rPr>
                    <w:t>：</w:t>
                  </w:r>
                  <w:r>
                    <w:rPr>
                      <w:rFonts w:ascii="Times New Roman" w:hAnsi="Times New Roman"/>
                      <w:snapToGrid w:val="0"/>
                      <w:sz w:val="21"/>
                      <w:szCs w:val="21"/>
                    </w:rPr>
                    <w:t>建立生产设施运行管理信息台账、废气污染治理设施运行管理信息台账、监测记录信息、主要原辅材料消耗记录、固废、危废处理记录</w:t>
                  </w:r>
                  <w:r>
                    <w:rPr>
                      <w:rFonts w:hint="eastAsia" w:ascii="Times New Roman" w:hAnsi="Times New Roman"/>
                      <w:snapToGrid w:val="0"/>
                      <w:sz w:val="21"/>
                      <w:szCs w:val="21"/>
                    </w:rPr>
                    <w:t>、</w:t>
                  </w:r>
                  <w:r>
                    <w:rPr>
                      <w:rStyle w:val="27"/>
                      <w:rFonts w:ascii="Times New Roman" w:hAnsi="Times New Roman" w:cs="Times New Roman"/>
                      <w:color w:val="auto"/>
                      <w:sz w:val="21"/>
                      <w:szCs w:val="21"/>
                    </w:rPr>
                    <w:t>运输车辆、厂内车辆电子台账</w:t>
                  </w:r>
                  <w:r>
                    <w:rPr>
                      <w:rFonts w:ascii="Times New Roman" w:hAnsi="Times New Roman"/>
                      <w:snapToGrid w:val="0"/>
                      <w:sz w:val="21"/>
                      <w:szCs w:val="21"/>
                    </w:rPr>
                    <w:t>等</w:t>
                  </w:r>
                  <w:r>
                    <w:rPr>
                      <w:rFonts w:hint="eastAsia" w:ascii="Times New Roman" w:hAnsi="Times New Roman"/>
                      <w:snapToGrid w:val="0"/>
                      <w:sz w:val="21"/>
                      <w:szCs w:val="21"/>
                    </w:rPr>
                    <w:t>。</w:t>
                  </w:r>
                </w:p>
              </w:tc>
              <w:tc>
                <w:tcPr>
                  <w:tcW w:w="406" w:type="pct"/>
                  <w:noWrap w:val="0"/>
                  <w:vAlign w:val="center"/>
                </w:tcPr>
                <w:p w14:paraId="1B968139">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lang w:eastAsia="zh-CN"/>
                    </w:rPr>
                    <w:t>相符</w:t>
                  </w:r>
                </w:p>
              </w:tc>
            </w:tr>
            <w:tr w14:paraId="13B36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512" w:type="pct"/>
                  <w:vMerge w:val="continue"/>
                  <w:noWrap w:val="0"/>
                  <w:vAlign w:val="center"/>
                </w:tcPr>
                <w:p w14:paraId="53F6DD17">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p>
              </w:tc>
              <w:tc>
                <w:tcPr>
                  <w:tcW w:w="2439" w:type="pct"/>
                  <w:noWrap w:val="0"/>
                  <w:vAlign w:val="center"/>
                </w:tcPr>
                <w:p w14:paraId="3C514A84">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eastAsia" w:cs="Times New Roman"/>
                      <w:b w:val="0"/>
                      <w:bCs w:val="0"/>
                      <w:kern w:val="0"/>
                      <w:sz w:val="21"/>
                      <w:szCs w:val="21"/>
                      <w:lang w:eastAsia="zh-CN"/>
                    </w:rPr>
                    <w:t>人员配置</w:t>
                  </w:r>
                  <w:r>
                    <w:rPr>
                      <w:rFonts w:hint="default" w:ascii="Times New Roman" w:hAnsi="Times New Roman" w:cs="Times New Roman"/>
                      <w:b w:val="0"/>
                      <w:bCs w:val="0"/>
                      <w:kern w:val="0"/>
                      <w:sz w:val="21"/>
                      <w:szCs w:val="21"/>
                      <w:lang w:eastAsia="zh-CN"/>
                    </w:rPr>
                    <w:t>：配备专职环保人员，并具备相应的环境管理能力（包括但不限于学历、培训、从业经验等）。</w:t>
                  </w:r>
                </w:p>
              </w:tc>
              <w:tc>
                <w:tcPr>
                  <w:tcW w:w="1641" w:type="pct"/>
                  <w:noWrap w:val="0"/>
                  <w:vAlign w:val="center"/>
                </w:tcPr>
                <w:p w14:paraId="5E57C21F">
                  <w:pPr>
                    <w:keepNext w:val="0"/>
                    <w:keepLines w:val="0"/>
                    <w:pageBreakBefore w:val="0"/>
                    <w:widowControl w:val="0"/>
                    <w:kinsoku/>
                    <w:wordWrap w:val="0"/>
                    <w:overflowPunct/>
                    <w:topLinePunct/>
                    <w:autoSpaceDE/>
                    <w:autoSpaceDN/>
                    <w:bidi w:val="0"/>
                    <w:adjustRightInd/>
                    <w:snapToGrid/>
                    <w:spacing w:line="360" w:lineRule="exact"/>
                    <w:ind w:left="0" w:leftChars="0" w:firstLine="0" w:firstLineChars="0"/>
                    <w:jc w:val="both"/>
                    <w:textAlignment w:val="auto"/>
                    <w:rPr>
                      <w:rFonts w:hint="default" w:ascii="Times New Roman" w:hAnsi="Times New Roman" w:eastAsia="宋体" w:cs="Times New Roman"/>
                      <w:b w:val="0"/>
                      <w:bCs w:val="0"/>
                      <w:kern w:val="2"/>
                      <w:sz w:val="21"/>
                      <w:szCs w:val="21"/>
                      <w:u w:val="none"/>
                      <w:lang w:val="en-US" w:eastAsia="zh-CN" w:bidi="ar"/>
                    </w:rPr>
                  </w:pPr>
                  <w:r>
                    <w:rPr>
                      <w:rFonts w:hint="default" w:ascii="Times New Roman" w:hAnsi="Times New Roman" w:cs="Times New Roman"/>
                      <w:b w:val="0"/>
                      <w:bCs w:val="0"/>
                      <w:color w:val="000000"/>
                      <w:sz w:val="21"/>
                      <w:szCs w:val="21"/>
                      <w:highlight w:val="none"/>
                      <w:u w:val="none"/>
                      <w:lang w:eastAsia="zh-CN"/>
                    </w:rPr>
                    <w:t>企业</w:t>
                  </w:r>
                  <w:r>
                    <w:rPr>
                      <w:rFonts w:hint="default" w:ascii="Times New Roman" w:hAnsi="Times New Roman" w:eastAsia="宋体" w:cs="Times New Roman"/>
                      <w:b w:val="0"/>
                      <w:bCs w:val="0"/>
                      <w:color w:val="000000"/>
                      <w:sz w:val="21"/>
                      <w:szCs w:val="21"/>
                      <w:highlight w:val="none"/>
                      <w:u w:val="none"/>
                      <w:lang w:eastAsia="zh-CN"/>
                    </w:rPr>
                    <w:t>设有</w:t>
                  </w:r>
                  <w:r>
                    <w:rPr>
                      <w:rFonts w:hint="default" w:ascii="Times New Roman" w:hAnsi="Times New Roman" w:eastAsia="宋体" w:cs="Times New Roman"/>
                      <w:b w:val="0"/>
                      <w:bCs w:val="0"/>
                      <w:color w:val="000000"/>
                      <w:sz w:val="21"/>
                      <w:szCs w:val="21"/>
                      <w:highlight w:val="none"/>
                      <w:u w:val="none"/>
                    </w:rPr>
                    <w:t>环保部门，配备专职环保人员，具备相应的环境管理能力</w:t>
                  </w:r>
                  <w:r>
                    <w:rPr>
                      <w:rFonts w:hint="default" w:ascii="Times New Roman" w:hAnsi="Times New Roman" w:cs="Times New Roman"/>
                      <w:b w:val="0"/>
                      <w:bCs w:val="0"/>
                      <w:color w:val="000000"/>
                      <w:sz w:val="21"/>
                      <w:szCs w:val="21"/>
                      <w:highlight w:val="none"/>
                      <w:u w:val="none"/>
                      <w:lang w:eastAsia="zh-CN"/>
                    </w:rPr>
                    <w:t>。</w:t>
                  </w:r>
                </w:p>
              </w:tc>
              <w:tc>
                <w:tcPr>
                  <w:tcW w:w="406" w:type="pct"/>
                  <w:noWrap w:val="0"/>
                  <w:vAlign w:val="center"/>
                </w:tcPr>
                <w:p w14:paraId="42E6FEDF">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lang w:eastAsia="zh-CN"/>
                    </w:rPr>
                    <w:t>相符</w:t>
                  </w:r>
                </w:p>
              </w:tc>
            </w:tr>
            <w:tr w14:paraId="2C34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2" w:type="pct"/>
                  <w:noWrap w:val="0"/>
                  <w:vAlign w:val="center"/>
                </w:tcPr>
                <w:p w14:paraId="6BC22ED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运输</w:t>
                  </w:r>
                </w:p>
                <w:p w14:paraId="56AE902E">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方式</w:t>
                  </w:r>
                </w:p>
              </w:tc>
              <w:tc>
                <w:tcPr>
                  <w:tcW w:w="2439" w:type="pct"/>
                  <w:noWrap w:val="0"/>
                  <w:vAlign w:val="center"/>
                </w:tcPr>
                <w:p w14:paraId="22AE459F">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1.物料、产品运输全部使用国五及以上排放标准的重型载货车辆（重型燃气车辆达到国六排放标准）或新能源车辆；</w:t>
                  </w:r>
                </w:p>
                <w:p w14:paraId="6BEBA5BC">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2.厂内车辆全部达到国五及以上排放标准（重型燃气车辆达到国六排放标准）或使用新能源车辆；</w:t>
                  </w:r>
                </w:p>
                <w:p w14:paraId="3FFA0FA1">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3.厂内非道路移动机械达到国三及以上排放标准或使用新能源机械。</w:t>
                  </w:r>
                </w:p>
              </w:tc>
              <w:tc>
                <w:tcPr>
                  <w:tcW w:w="1641" w:type="pct"/>
                  <w:noWrap w:val="0"/>
                  <w:vAlign w:val="center"/>
                </w:tcPr>
                <w:p w14:paraId="331AFCE3">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b/>
                      <w:bCs/>
                      <w:kern w:val="0"/>
                      <w:sz w:val="21"/>
                      <w:szCs w:val="21"/>
                      <w:lang w:eastAsia="zh-CN"/>
                    </w:rPr>
                  </w:pPr>
                  <w:r>
                    <w:rPr>
                      <w:rStyle w:val="27"/>
                      <w:rFonts w:ascii="Times New Roman" w:hAnsi="Times New Roman" w:cs="Times New Roman"/>
                      <w:color w:val="auto"/>
                      <w:sz w:val="21"/>
                      <w:szCs w:val="21"/>
                    </w:rPr>
                    <w:t>本项目不设置运输车辆，要求运输全部使用国五及以上排放标准的重型载货车辆（含燃气）或新能源车辆；</w:t>
                  </w:r>
                  <w:r>
                    <w:rPr>
                      <w:rStyle w:val="27"/>
                      <w:rFonts w:hint="eastAsia" w:ascii="Times New Roman" w:hAnsi="Times New Roman" w:cs="Times New Roman"/>
                      <w:color w:val="auto"/>
                      <w:sz w:val="21"/>
                      <w:szCs w:val="21"/>
                    </w:rPr>
                    <w:t>要求</w:t>
                  </w:r>
                  <w:r>
                    <w:rPr>
                      <w:rStyle w:val="27"/>
                      <w:rFonts w:ascii="Times New Roman" w:hAnsi="Times New Roman" w:cs="Times New Roman"/>
                      <w:color w:val="auto"/>
                      <w:sz w:val="21"/>
                      <w:szCs w:val="21"/>
                    </w:rPr>
                    <w:t>厂区车辆全部达国五及以上排放标准（含燃气）或使用新能源车辆</w:t>
                  </w:r>
                  <w:r>
                    <w:rPr>
                      <w:rStyle w:val="27"/>
                      <w:rFonts w:hint="eastAsia" w:ascii="Times New Roman" w:hAnsi="Times New Roman" w:cs="Times New Roman"/>
                      <w:color w:val="auto"/>
                      <w:sz w:val="21"/>
                      <w:szCs w:val="21"/>
                    </w:rPr>
                    <w:t>；</w:t>
                  </w:r>
                  <w:r>
                    <w:rPr>
                      <w:rStyle w:val="27"/>
                      <w:rFonts w:hint="eastAsia" w:ascii="Times New Roman" w:hAnsi="Times New Roman" w:eastAsia="宋体" w:cs="Times New Roman"/>
                      <w:color w:val="auto"/>
                      <w:sz w:val="21"/>
                      <w:szCs w:val="21"/>
                      <w:lang w:eastAsia="zh-CN"/>
                    </w:rPr>
                    <w:t>要求</w:t>
                  </w:r>
                  <w:r>
                    <w:rPr>
                      <w:rFonts w:hint="default" w:ascii="Times New Roman" w:hAnsi="Times New Roman" w:cs="Times New Roman"/>
                      <w:b w:val="0"/>
                      <w:bCs w:val="0"/>
                      <w:kern w:val="0"/>
                      <w:sz w:val="21"/>
                      <w:szCs w:val="21"/>
                    </w:rPr>
                    <w:t>厂内非道路移动机械达到国三及以上排放标准或使用新能源机械</w:t>
                  </w:r>
                  <w:r>
                    <w:rPr>
                      <w:rStyle w:val="27"/>
                      <w:rFonts w:hint="eastAsia" w:ascii="Times New Roman" w:hAnsi="Times New Roman" w:cs="Times New Roman"/>
                      <w:color w:val="auto"/>
                      <w:sz w:val="21"/>
                      <w:szCs w:val="21"/>
                    </w:rPr>
                    <w:t>。</w:t>
                  </w:r>
                </w:p>
              </w:tc>
              <w:tc>
                <w:tcPr>
                  <w:tcW w:w="406" w:type="pct"/>
                  <w:noWrap w:val="0"/>
                  <w:vAlign w:val="center"/>
                </w:tcPr>
                <w:p w14:paraId="267A830B">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lang w:eastAsia="zh-CN"/>
                    </w:rPr>
                    <w:t>相符</w:t>
                  </w:r>
                </w:p>
              </w:tc>
            </w:tr>
            <w:tr w14:paraId="0F2B4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512" w:type="pct"/>
                  <w:noWrap w:val="0"/>
                  <w:vAlign w:val="center"/>
                </w:tcPr>
                <w:p w14:paraId="46E4C018">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运输</w:t>
                  </w:r>
                </w:p>
                <w:p w14:paraId="3001BAAC">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lang w:eastAsia="zh-CN"/>
                    </w:rPr>
                  </w:pPr>
                  <w:r>
                    <w:rPr>
                      <w:rFonts w:hint="default" w:ascii="Times New Roman" w:hAnsi="Times New Roman" w:cs="Times New Roman"/>
                      <w:b w:val="0"/>
                      <w:bCs w:val="0"/>
                      <w:kern w:val="0"/>
                      <w:sz w:val="21"/>
                      <w:szCs w:val="21"/>
                      <w:lang w:eastAsia="zh-CN"/>
                    </w:rPr>
                    <w:t>监管</w:t>
                  </w:r>
                </w:p>
              </w:tc>
              <w:tc>
                <w:tcPr>
                  <w:tcW w:w="2439" w:type="pct"/>
                  <w:noWrap w:val="0"/>
                  <w:vAlign w:val="center"/>
                </w:tcPr>
                <w:p w14:paraId="2315E9BE">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rPr>
                    <w:t>日均进出货物150吨（或载货车辆日进出10辆次）及以上（货物包括原料、辅料、燃料、产品和其他与生产相关物料）的企业，参照《重污染天气重点行业移动源应急管理技术指南》建立门禁视频监控系统和电子台账；其他企业安装车辆运输视频监控（数据能保存6个月），并建立车辆运输手工台账。</w:t>
                  </w:r>
                </w:p>
              </w:tc>
              <w:tc>
                <w:tcPr>
                  <w:tcW w:w="1641" w:type="pct"/>
                  <w:noWrap w:val="0"/>
                  <w:vAlign w:val="center"/>
                </w:tcPr>
                <w:p w14:paraId="347FACC6">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b/>
                      <w:bCs/>
                      <w:kern w:val="0"/>
                      <w:sz w:val="21"/>
                      <w:szCs w:val="21"/>
                      <w:lang w:eastAsia="zh-CN"/>
                    </w:rPr>
                  </w:pPr>
                  <w:r>
                    <w:rPr>
                      <w:rFonts w:hint="default" w:ascii="Times New Roman" w:hAnsi="Times New Roman" w:eastAsia="宋体" w:cs="Times New Roman"/>
                      <w:b w:val="0"/>
                      <w:bCs w:val="0"/>
                      <w:kern w:val="0"/>
                      <w:sz w:val="21"/>
                      <w:szCs w:val="21"/>
                      <w:lang w:eastAsia="zh-CN"/>
                    </w:rPr>
                    <w:t>项目日均进出货物量小于150吨（载货车辆日进出10辆以下），企业应安装车辆运输视频监控（存数据能保存6个月），并建立车辆运输手工台账。</w:t>
                  </w:r>
                </w:p>
              </w:tc>
              <w:tc>
                <w:tcPr>
                  <w:tcW w:w="406" w:type="pct"/>
                  <w:noWrap w:val="0"/>
                  <w:vAlign w:val="center"/>
                </w:tcPr>
                <w:p w14:paraId="43B09FC5">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center"/>
                    <w:textAlignment w:val="auto"/>
                    <w:rPr>
                      <w:rFonts w:hint="default" w:ascii="Times New Roman" w:hAnsi="Times New Roman" w:cs="Times New Roman"/>
                      <w:b w:val="0"/>
                      <w:bCs w:val="0"/>
                      <w:kern w:val="0"/>
                      <w:sz w:val="21"/>
                      <w:szCs w:val="21"/>
                    </w:rPr>
                  </w:pPr>
                  <w:r>
                    <w:rPr>
                      <w:rFonts w:hint="default" w:ascii="Times New Roman" w:hAnsi="Times New Roman" w:cs="Times New Roman"/>
                      <w:b w:val="0"/>
                      <w:bCs w:val="0"/>
                      <w:kern w:val="0"/>
                      <w:sz w:val="21"/>
                      <w:szCs w:val="21"/>
                      <w:lang w:eastAsia="zh-CN"/>
                    </w:rPr>
                    <w:t>相符</w:t>
                  </w:r>
                </w:p>
              </w:tc>
            </w:tr>
          </w:tbl>
          <w:p w14:paraId="0B70C137">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hint="default" w:ascii="Times New Roman" w:hAnsi="Times New Roman" w:cs="Times New Roman"/>
                <w:highlight w:val="none"/>
              </w:rPr>
            </w:pPr>
            <w:r>
              <w:rPr>
                <w:rFonts w:hint="default" w:ascii="Times New Roman" w:hAnsi="Times New Roman" w:cs="Times New Roman"/>
              </w:rPr>
              <w:t>由上表可知，采取评价要求的措施后，本项目可以达到</w:t>
            </w:r>
            <w:r>
              <w:rPr>
                <w:rFonts w:hint="eastAsia" w:cs="Times New Roman"/>
                <w:lang w:eastAsia="zh-CN"/>
              </w:rPr>
              <w:t>《河南省重污染天气重点行业应急减排措施制定技术指南》（2024年修订版）“塑料制品企业绩效分级指标”的</w:t>
            </w:r>
            <w:r>
              <w:rPr>
                <w:rFonts w:hint="default" w:ascii="Times New Roman" w:hAnsi="Times New Roman" w:cs="Times New Roman"/>
                <w:highlight w:val="none"/>
              </w:rPr>
              <w:t>要求。</w:t>
            </w:r>
          </w:p>
          <w:p w14:paraId="38E22C1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both"/>
              <w:textAlignment w:val="auto"/>
              <w:rPr>
                <w:rFonts w:hint="default" w:ascii="Times New Roman" w:hAnsi="Times New Roman" w:eastAsia="宋体" w:cs="Times New Roman"/>
                <w:b/>
                <w:sz w:val="24"/>
                <w:highlight w:val="none"/>
              </w:rPr>
            </w:pPr>
            <w:r>
              <w:rPr>
                <w:rFonts w:hint="eastAsia" w:cs="Times New Roman"/>
                <w:b/>
                <w:sz w:val="24"/>
                <w:highlight w:val="none"/>
                <w:lang w:val="en-US" w:eastAsia="zh-CN"/>
              </w:rPr>
              <w:t>9</w:t>
            </w:r>
            <w:r>
              <w:rPr>
                <w:rFonts w:hint="default" w:ascii="Times New Roman" w:hAnsi="Times New Roman" w:eastAsia="宋体" w:cs="Times New Roman"/>
                <w:b/>
                <w:sz w:val="24"/>
                <w:highlight w:val="none"/>
                <w:lang w:eastAsia="zh-CN"/>
              </w:rPr>
              <w:t>、</w:t>
            </w:r>
            <w:r>
              <w:rPr>
                <w:rFonts w:hint="eastAsia" w:cs="Times New Roman"/>
                <w:b/>
                <w:sz w:val="24"/>
                <w:highlight w:val="none"/>
                <w:lang w:eastAsia="zh-CN"/>
              </w:rPr>
              <w:t>与</w:t>
            </w:r>
            <w:r>
              <w:rPr>
                <w:rFonts w:hint="default" w:ascii="Times New Roman" w:hAnsi="Times New Roman" w:eastAsia="宋体" w:cs="Times New Roman"/>
                <w:b/>
                <w:sz w:val="24"/>
                <w:highlight w:val="none"/>
              </w:rPr>
              <w:t>《挥发性有机物无组织排放控制标准》</w:t>
            </w:r>
            <w:r>
              <w:rPr>
                <w:rFonts w:hint="eastAsia" w:ascii="Times New Roman" w:hAnsi="Times New Roman" w:eastAsia="宋体" w:cs="Times New Roman"/>
                <w:b/>
                <w:sz w:val="24"/>
                <w:highlight w:val="none"/>
                <w:lang w:eastAsia="zh-CN"/>
              </w:rPr>
              <w:t>（GB 37822-2019）</w:t>
            </w:r>
            <w:r>
              <w:rPr>
                <w:rFonts w:hint="default" w:ascii="Times New Roman" w:hAnsi="Times New Roman" w:eastAsia="宋体" w:cs="Times New Roman"/>
                <w:b/>
                <w:sz w:val="24"/>
                <w:highlight w:val="none"/>
              </w:rPr>
              <w:t>相符性分析</w:t>
            </w:r>
          </w:p>
          <w:p w14:paraId="4AC1D269">
            <w:pPr>
              <w:keepNext w:val="0"/>
              <w:keepLines w:val="0"/>
              <w:pageBreakBefore w:val="0"/>
              <w:widowControl w:val="0"/>
              <w:tabs>
                <w:tab w:val="left" w:pos="600"/>
              </w:tabs>
              <w:kinsoku/>
              <w:wordWrap/>
              <w:overflowPunct/>
              <w:topLinePunct w:val="0"/>
              <w:autoSpaceDE/>
              <w:autoSpaceDN/>
              <w:bidi w:val="0"/>
              <w:adjustRightInd w:val="0"/>
              <w:snapToGrid w:val="0"/>
              <w:spacing w:line="520" w:lineRule="exact"/>
              <w:ind w:left="0" w:leftChars="0" w:firstLine="480" w:firstLineChars="200"/>
              <w:jc w:val="both"/>
              <w:textAlignment w:val="auto"/>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本项目与《挥发性有机物无组织排放控制标准》（GB 37822-2019）相符性分析见下表。</w:t>
            </w:r>
          </w:p>
          <w:p w14:paraId="76A069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leftChars="0" w:right="0" w:firstLine="0" w:firstLineChars="0"/>
              <w:jc w:val="center"/>
              <w:textAlignment w:val="auto"/>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表1-1</w:t>
            </w:r>
            <w:r>
              <w:rPr>
                <w:rFonts w:hint="eastAsia" w:ascii="Times New Roman" w:hAnsi="Times New Roman" w:eastAsia="宋体" w:cs="Times New Roman"/>
                <w:b/>
                <w:kern w:val="2"/>
                <w:sz w:val="24"/>
                <w:szCs w:val="24"/>
                <w:highlight w:val="none"/>
                <w:lang w:val="en-US" w:eastAsia="zh-CN" w:bidi="ar-SA"/>
              </w:rPr>
              <w:t>0</w:t>
            </w:r>
            <w:r>
              <w:rPr>
                <w:rFonts w:hint="default" w:ascii="Times New Roman" w:hAnsi="Times New Roman" w:eastAsia="宋体" w:cs="Times New Roman"/>
                <w:b/>
                <w:kern w:val="2"/>
                <w:sz w:val="24"/>
                <w:szCs w:val="24"/>
                <w:highlight w:val="none"/>
                <w:lang w:val="en-US" w:eastAsia="zh-CN" w:bidi="ar-SA"/>
              </w:rPr>
              <w:t xml:space="preserve">   本项目</w:t>
            </w:r>
            <w:r>
              <w:rPr>
                <w:rFonts w:hint="default" w:ascii="Times New Roman" w:hAnsi="Times New Roman" w:eastAsia="宋体" w:cs="Times New Roman"/>
                <w:b/>
                <w:bCs/>
                <w:kern w:val="2"/>
                <w:sz w:val="24"/>
                <w:szCs w:val="24"/>
                <w:highlight w:val="none"/>
                <w:lang w:val="en-US" w:eastAsia="zh-CN" w:bidi="ar-SA"/>
              </w:rPr>
              <w:t>与</w:t>
            </w:r>
            <w:r>
              <w:rPr>
                <w:rFonts w:hint="default" w:ascii="Times New Roman" w:hAnsi="Times New Roman" w:eastAsia="宋体" w:cs="Times New Roman"/>
                <w:b/>
                <w:bCs w:val="0"/>
                <w:sz w:val="24"/>
                <w:highlight w:val="none"/>
              </w:rPr>
              <w:t>（GB 37822-2019）</w:t>
            </w:r>
            <w:r>
              <w:rPr>
                <w:rFonts w:hint="default" w:ascii="Times New Roman" w:hAnsi="Times New Roman" w:eastAsia="宋体" w:cs="Times New Roman"/>
                <w:b/>
                <w:kern w:val="2"/>
                <w:sz w:val="24"/>
                <w:szCs w:val="24"/>
                <w:highlight w:val="none"/>
                <w:lang w:val="en-US" w:eastAsia="zh-CN" w:bidi="ar-SA"/>
              </w:rPr>
              <w:t>相符性分析</w:t>
            </w:r>
            <w:r>
              <w:rPr>
                <w:rFonts w:hint="default" w:ascii="Times New Roman" w:hAnsi="Times New Roman" w:cs="Times New Roman"/>
                <w:b/>
                <w:kern w:val="2"/>
                <w:sz w:val="24"/>
                <w:szCs w:val="24"/>
                <w:highlight w:val="none"/>
                <w:lang w:val="en-US" w:eastAsia="zh-CN" w:bidi="ar-SA"/>
              </w:rPr>
              <w:t>一览表</w:t>
            </w:r>
          </w:p>
          <w:tbl>
            <w:tblPr>
              <w:tblStyle w:val="15"/>
              <w:tblW w:w="87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422"/>
              <w:gridCol w:w="2810"/>
              <w:gridCol w:w="817"/>
            </w:tblGrid>
            <w:tr w14:paraId="32B2E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14:paraId="603ACBAF">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b w:val="0"/>
                      <w:bCs/>
                      <w:color w:val="auto"/>
                      <w:sz w:val="21"/>
                      <w:szCs w:val="21"/>
                      <w:highlight w:val="none"/>
                      <w:lang w:eastAsia="zh-CN"/>
                    </w:rPr>
                  </w:pPr>
                  <w:r>
                    <w:rPr>
                      <w:rFonts w:hint="eastAsia" w:ascii="Times New Roman" w:hAnsi="Times New Roman" w:eastAsia="宋体" w:cs="Times New Roman"/>
                      <w:b w:val="0"/>
                      <w:bCs/>
                      <w:color w:val="auto"/>
                      <w:sz w:val="21"/>
                      <w:szCs w:val="21"/>
                      <w:highlight w:val="none"/>
                      <w:lang w:eastAsia="zh-CN"/>
                    </w:rPr>
                    <w:t>类别</w:t>
                  </w:r>
                </w:p>
              </w:tc>
              <w:tc>
                <w:tcPr>
                  <w:tcW w:w="4422" w:type="dxa"/>
                  <w:tcBorders>
                    <w:top w:val="single" w:color="auto" w:sz="4" w:space="0"/>
                    <w:left w:val="single" w:color="auto" w:sz="4" w:space="0"/>
                    <w:bottom w:val="single" w:color="auto" w:sz="4" w:space="0"/>
                    <w:right w:val="single" w:color="auto" w:sz="4" w:space="0"/>
                  </w:tcBorders>
                  <w:noWrap w:val="0"/>
                  <w:vAlign w:val="center"/>
                </w:tcPr>
                <w:p w14:paraId="1CC54D59">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bCs/>
                      <w:sz w:val="21"/>
                      <w:szCs w:val="21"/>
                      <w:highlight w:val="none"/>
                      <w:lang w:eastAsia="zh-CN"/>
                    </w:rPr>
                  </w:pPr>
                  <w:r>
                    <w:rPr>
                      <w:rFonts w:hint="eastAsia" w:ascii="Times New Roman" w:hAnsi="Times New Roman" w:eastAsia="宋体" w:cs="Times New Roman"/>
                      <w:bCs/>
                      <w:sz w:val="21"/>
                      <w:szCs w:val="21"/>
                      <w:highlight w:val="none"/>
                      <w:lang w:eastAsia="zh-CN"/>
                    </w:rPr>
                    <w:t>文件相关要求</w:t>
                  </w:r>
                </w:p>
              </w:tc>
              <w:tc>
                <w:tcPr>
                  <w:tcW w:w="2810" w:type="dxa"/>
                  <w:tcBorders>
                    <w:top w:val="single" w:color="auto" w:sz="4" w:space="0"/>
                    <w:left w:val="single" w:color="auto" w:sz="4" w:space="0"/>
                    <w:bottom w:val="single" w:color="auto" w:sz="4" w:space="0"/>
                    <w:right w:val="single" w:color="auto" w:sz="4" w:space="0"/>
                  </w:tcBorders>
                  <w:noWrap w:val="0"/>
                  <w:vAlign w:val="center"/>
                </w:tcPr>
                <w:p w14:paraId="7468AF58">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color w:val="auto"/>
                      <w:sz w:val="21"/>
                      <w:szCs w:val="21"/>
                      <w:highlight w:val="none"/>
                      <w:u w:val="single"/>
                    </w:rPr>
                  </w:pPr>
                  <w:r>
                    <w:rPr>
                      <w:rFonts w:hint="default" w:ascii="Times New Roman" w:hAnsi="Times New Roman" w:eastAsia="宋体" w:cs="Times New Roman"/>
                      <w:b w:val="0"/>
                      <w:bCs/>
                      <w:color w:val="auto"/>
                      <w:sz w:val="21"/>
                      <w:szCs w:val="21"/>
                      <w:highlight w:val="none"/>
                    </w:rPr>
                    <w:t>本项目情况</w:t>
                  </w:r>
                </w:p>
              </w:tc>
              <w:tc>
                <w:tcPr>
                  <w:tcW w:w="817" w:type="dxa"/>
                  <w:tcBorders>
                    <w:top w:val="single" w:color="auto" w:sz="4" w:space="0"/>
                    <w:left w:val="single" w:color="auto" w:sz="4" w:space="0"/>
                    <w:bottom w:val="single" w:color="auto" w:sz="4" w:space="0"/>
                    <w:right w:val="single" w:color="auto" w:sz="4" w:space="0"/>
                  </w:tcBorders>
                  <w:noWrap w:val="0"/>
                  <w:vAlign w:val="center"/>
                </w:tcPr>
                <w:p w14:paraId="54DD138F">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color w:val="auto"/>
                      <w:sz w:val="21"/>
                      <w:szCs w:val="21"/>
                      <w:highlight w:val="none"/>
                      <w:u w:val="single"/>
                    </w:rPr>
                  </w:pPr>
                  <w:r>
                    <w:rPr>
                      <w:rFonts w:hint="default" w:ascii="Times New Roman" w:hAnsi="Times New Roman" w:eastAsia="宋体" w:cs="Times New Roman"/>
                      <w:b w:val="0"/>
                      <w:bCs/>
                      <w:color w:val="auto"/>
                      <w:sz w:val="21"/>
                      <w:szCs w:val="21"/>
                      <w:highlight w:val="none"/>
                    </w:rPr>
                    <w:t>是否相符</w:t>
                  </w:r>
                </w:p>
              </w:tc>
            </w:tr>
            <w:tr w14:paraId="54085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680" w:type="dxa"/>
                  <w:tcBorders>
                    <w:top w:val="single" w:color="auto" w:sz="4" w:space="0"/>
                    <w:left w:val="single" w:color="auto" w:sz="4" w:space="0"/>
                    <w:right w:val="single" w:color="auto" w:sz="4" w:space="0"/>
                  </w:tcBorders>
                  <w:noWrap w:val="0"/>
                  <w:vAlign w:val="center"/>
                </w:tcPr>
                <w:p w14:paraId="364B7B32">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基本要求</w:t>
                  </w:r>
                </w:p>
              </w:tc>
              <w:tc>
                <w:tcPr>
                  <w:tcW w:w="4422" w:type="dxa"/>
                  <w:tcBorders>
                    <w:top w:val="single" w:color="auto" w:sz="4" w:space="0"/>
                    <w:left w:val="single" w:color="auto" w:sz="4" w:space="0"/>
                    <w:right w:val="single" w:color="auto" w:sz="4" w:space="0"/>
                  </w:tcBorders>
                  <w:noWrap w:val="0"/>
                  <w:vAlign w:val="center"/>
                </w:tcPr>
                <w:p w14:paraId="65D66978">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VOCs物料应储存于密闭的容器、包装袋、储罐、储库、料仓中。盛装VOCs物料的容器或包装袋应存放于室内，或存放于设置有雨棚、遮阳和防渗设施的专用场地。盛装VOCs物料的容器或包装袋在非取用状态时应加盖、封口，保持密闭。</w:t>
                  </w:r>
                </w:p>
              </w:tc>
              <w:tc>
                <w:tcPr>
                  <w:tcW w:w="2810" w:type="dxa"/>
                  <w:tcBorders>
                    <w:top w:val="single" w:color="auto" w:sz="4" w:space="0"/>
                    <w:left w:val="single" w:color="auto" w:sz="4" w:space="0"/>
                    <w:right w:val="single" w:color="auto" w:sz="4" w:space="0"/>
                  </w:tcBorders>
                  <w:noWrap w:val="0"/>
                  <w:vAlign w:val="center"/>
                </w:tcPr>
                <w:p w14:paraId="3DF434F7">
                  <w:pPr>
                    <w:keepNext w:val="0"/>
                    <w:keepLines w:val="0"/>
                    <w:pageBreakBefore w:val="0"/>
                    <w:widowControl w:val="0"/>
                    <w:kinsoku/>
                    <w:wordWrap w:val="0"/>
                    <w:overflowPunct/>
                    <w:autoSpaceDE/>
                    <w:autoSpaceDN/>
                    <w:bidi w:val="0"/>
                    <w:adjustRightInd w:val="0"/>
                    <w:snapToGrid w:val="0"/>
                    <w:spacing w:line="360" w:lineRule="exact"/>
                    <w:ind w:left="0" w:leftChars="0" w:firstLine="0" w:firstLineChars="0"/>
                    <w:jc w:val="left"/>
                    <w:textAlignment w:val="auto"/>
                    <w:rPr>
                      <w:rFonts w:hint="default" w:ascii="Times New Roman" w:hAnsi="Times New Roman" w:eastAsia="宋体" w:cs="Times New Roman"/>
                      <w:bCs/>
                      <w:color w:val="auto"/>
                      <w:sz w:val="21"/>
                      <w:szCs w:val="21"/>
                      <w:highlight w:val="none"/>
                      <w:lang w:eastAsia="zh-CN"/>
                    </w:rPr>
                  </w:pPr>
                  <w:r>
                    <w:rPr>
                      <w:rFonts w:hint="eastAsia" w:cs="Times New Roman"/>
                      <w:b w:val="0"/>
                      <w:bCs w:val="0"/>
                      <w:kern w:val="0"/>
                      <w:sz w:val="21"/>
                      <w:szCs w:val="21"/>
                      <w:highlight w:val="none"/>
                      <w:lang w:val="en-US" w:eastAsia="zh-CN"/>
                    </w:rPr>
                    <w:t>本项目原辅材料储存在密闭车间内，不涉及液态含</w:t>
                  </w:r>
                  <w:r>
                    <w:rPr>
                      <w:rFonts w:hint="eastAsia" w:ascii="Times New Roman" w:hAnsi="Times New Roman" w:cs="Times New Roman"/>
                      <w:b w:val="0"/>
                      <w:bCs w:val="0"/>
                      <w:kern w:val="0"/>
                      <w:sz w:val="21"/>
                      <w:szCs w:val="21"/>
                      <w:highlight w:val="none"/>
                      <w:lang w:val="en-US" w:eastAsia="zh-CN"/>
                    </w:rPr>
                    <w:t>VOCs物料</w:t>
                  </w:r>
                  <w:r>
                    <w:rPr>
                      <w:rFonts w:hint="eastAsia" w:cs="Times New Roman"/>
                      <w:b w:val="0"/>
                      <w:bCs w:val="0"/>
                      <w:kern w:val="0"/>
                      <w:sz w:val="21"/>
                      <w:szCs w:val="21"/>
                      <w:highlight w:val="none"/>
                      <w:lang w:val="en-US" w:eastAsia="zh-CN"/>
                    </w:rPr>
                    <w:t>，废气处理产生的废活性炭密闭暂存在危废间内。</w:t>
                  </w:r>
                </w:p>
              </w:tc>
              <w:tc>
                <w:tcPr>
                  <w:tcW w:w="817" w:type="dxa"/>
                  <w:tcBorders>
                    <w:top w:val="single" w:color="auto" w:sz="4" w:space="0"/>
                    <w:left w:val="single" w:color="auto" w:sz="4" w:space="0"/>
                    <w:right w:val="single" w:color="auto" w:sz="4" w:space="0"/>
                  </w:tcBorders>
                  <w:noWrap w:val="0"/>
                  <w:vAlign w:val="center"/>
                </w:tcPr>
                <w:p w14:paraId="2B738503">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lang w:eastAsia="zh-CN"/>
                    </w:rPr>
                    <w:t>相符</w:t>
                  </w:r>
                </w:p>
              </w:tc>
            </w:tr>
            <w:tr w14:paraId="4E17A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14:paraId="6710FE9D">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使用过程</w:t>
                  </w:r>
                </w:p>
              </w:tc>
              <w:tc>
                <w:tcPr>
                  <w:tcW w:w="4422" w:type="dxa"/>
                  <w:tcBorders>
                    <w:top w:val="single" w:color="auto" w:sz="4" w:space="0"/>
                    <w:left w:val="single" w:color="auto" w:sz="4" w:space="0"/>
                    <w:bottom w:val="single" w:color="auto" w:sz="4" w:space="0"/>
                    <w:right w:val="single" w:color="auto" w:sz="4" w:space="0"/>
                  </w:tcBorders>
                  <w:noWrap w:val="0"/>
                  <w:vAlign w:val="center"/>
                </w:tcPr>
                <w:p w14:paraId="7C033F0B">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VOCs质量占比大于等于10%的含VOCs产品，其使用过程应采用密闭设备或在密闭空间内操作，废气应排至VOCs废气收集处理系统；无法密闭的，应采取局部气体收集措施，废气应排至VOCs废气收集处理系统。</w:t>
                  </w:r>
                </w:p>
              </w:tc>
              <w:tc>
                <w:tcPr>
                  <w:tcW w:w="2810" w:type="dxa"/>
                  <w:tcBorders>
                    <w:top w:val="single" w:color="auto" w:sz="4" w:space="0"/>
                    <w:left w:val="single" w:color="auto" w:sz="4" w:space="0"/>
                    <w:bottom w:val="single" w:color="auto" w:sz="4" w:space="0"/>
                    <w:right w:val="single" w:color="auto" w:sz="4" w:space="0"/>
                  </w:tcBorders>
                  <w:noWrap w:val="0"/>
                  <w:vAlign w:val="center"/>
                </w:tcPr>
                <w:p w14:paraId="766829AD">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eastAsia" w:ascii="Times New Roman" w:hAnsi="Times New Roman" w:eastAsia="宋体" w:cs="Times New Roman"/>
                      <w:bCs/>
                      <w:color w:val="auto"/>
                      <w:sz w:val="21"/>
                      <w:szCs w:val="21"/>
                      <w:highlight w:val="none"/>
                      <w:lang w:eastAsia="zh-CN"/>
                    </w:rPr>
                  </w:pPr>
                  <w:r>
                    <w:rPr>
                      <w:rFonts w:hint="eastAsia" w:ascii="Times New Roman" w:hAnsi="Times New Roman" w:eastAsia="宋体" w:cs="Times New Roman"/>
                      <w:bCs/>
                      <w:color w:val="auto"/>
                      <w:sz w:val="21"/>
                      <w:szCs w:val="21"/>
                      <w:highlight w:val="none"/>
                      <w:lang w:eastAsia="zh-CN"/>
                    </w:rPr>
                    <w:t>本项目</w:t>
                  </w:r>
                  <w:r>
                    <w:rPr>
                      <w:rFonts w:hint="eastAsia" w:cs="Times New Roman"/>
                      <w:bCs/>
                      <w:color w:val="auto"/>
                      <w:sz w:val="21"/>
                      <w:szCs w:val="21"/>
                      <w:highlight w:val="none"/>
                      <w:lang w:eastAsia="zh-CN"/>
                    </w:rPr>
                    <w:t>加热成型工序</w:t>
                  </w:r>
                  <w:r>
                    <w:rPr>
                      <w:rFonts w:hint="eastAsia" w:ascii="Times New Roman" w:hAnsi="Times New Roman" w:cs="Times New Roman"/>
                      <w:b w:val="0"/>
                      <w:bCs w:val="0"/>
                      <w:kern w:val="0"/>
                      <w:sz w:val="21"/>
                      <w:szCs w:val="21"/>
                      <w:highlight w:val="none"/>
                      <w:lang w:val="en-US" w:eastAsia="zh-CN"/>
                    </w:rPr>
                    <w:t>在密闭车间内</w:t>
                  </w:r>
                  <w:r>
                    <w:rPr>
                      <w:rFonts w:hint="eastAsia" w:cs="Times New Roman"/>
                      <w:b w:val="0"/>
                      <w:bCs w:val="0"/>
                      <w:kern w:val="0"/>
                      <w:sz w:val="21"/>
                      <w:szCs w:val="21"/>
                      <w:highlight w:val="none"/>
                      <w:lang w:val="en-US" w:eastAsia="zh-CN"/>
                    </w:rPr>
                    <w:t>进行</w:t>
                  </w:r>
                  <w:r>
                    <w:rPr>
                      <w:rFonts w:hint="eastAsia" w:ascii="Times New Roman" w:hAnsi="Times New Roman" w:cs="Times New Roman"/>
                      <w:b w:val="0"/>
                      <w:bCs w:val="0"/>
                      <w:kern w:val="0"/>
                      <w:sz w:val="21"/>
                      <w:szCs w:val="21"/>
                      <w:highlight w:val="none"/>
                      <w:lang w:val="en-US" w:eastAsia="zh-CN"/>
                    </w:rPr>
                    <w:t>，</w:t>
                  </w:r>
                  <w:r>
                    <w:rPr>
                      <w:rFonts w:hint="eastAsia" w:cs="Times New Roman"/>
                      <w:b w:val="0"/>
                      <w:bCs w:val="0"/>
                      <w:kern w:val="0"/>
                      <w:sz w:val="21"/>
                      <w:szCs w:val="21"/>
                      <w:highlight w:val="none"/>
                      <w:lang w:val="en-US" w:eastAsia="zh-CN"/>
                    </w:rPr>
                    <w:t>评价要求对成型机进行二次封闭再加装集气罩收集废气，危险废物暂存在危废间内，危废间废气通过集气风管收集，有机</w:t>
                  </w:r>
                  <w:r>
                    <w:rPr>
                      <w:rFonts w:hint="default" w:ascii="Times New Roman" w:hAnsi="Times New Roman" w:eastAsia="宋体" w:cs="Times New Roman"/>
                      <w:bCs/>
                      <w:color w:val="auto"/>
                      <w:sz w:val="21"/>
                      <w:szCs w:val="21"/>
                      <w:highlight w:val="none"/>
                    </w:rPr>
                    <w:t>废气</w:t>
                  </w:r>
                  <w:r>
                    <w:rPr>
                      <w:rFonts w:hint="eastAsia" w:cs="Times New Roman"/>
                      <w:bCs/>
                      <w:color w:val="auto"/>
                      <w:sz w:val="21"/>
                      <w:szCs w:val="21"/>
                      <w:highlight w:val="none"/>
                      <w:lang w:eastAsia="zh-CN"/>
                    </w:rPr>
                    <w:t>进行收集</w:t>
                  </w:r>
                  <w:r>
                    <w:rPr>
                      <w:rFonts w:hint="eastAsia" w:ascii="Times New Roman" w:hAnsi="Times New Roman" w:eastAsia="宋体" w:cs="Times New Roman"/>
                      <w:bCs/>
                      <w:color w:val="auto"/>
                      <w:sz w:val="21"/>
                      <w:szCs w:val="21"/>
                      <w:highlight w:val="none"/>
                      <w:lang w:eastAsia="zh-CN"/>
                    </w:rPr>
                    <w:t>后</w:t>
                  </w:r>
                  <w:r>
                    <w:rPr>
                      <w:rFonts w:hint="eastAsia" w:cs="Times New Roman"/>
                      <w:bCs/>
                      <w:color w:val="auto"/>
                      <w:sz w:val="21"/>
                      <w:szCs w:val="21"/>
                      <w:highlight w:val="none"/>
                      <w:lang w:eastAsia="zh-CN"/>
                    </w:rPr>
                    <w:t>，废气引入</w:t>
                  </w:r>
                  <w:r>
                    <w:rPr>
                      <w:rFonts w:hint="eastAsia" w:ascii="Times New Roman" w:hAnsi="Times New Roman" w:eastAsia="宋体" w:cs="Times New Roman"/>
                      <w:bCs/>
                      <w:color w:val="auto"/>
                      <w:sz w:val="21"/>
                      <w:szCs w:val="21"/>
                      <w:highlight w:val="none"/>
                      <w:lang w:eastAsia="zh-CN"/>
                    </w:rPr>
                    <w:t>两级活性炭</w:t>
                  </w:r>
                  <w:r>
                    <w:rPr>
                      <w:rFonts w:hint="eastAsia" w:cs="Times New Roman"/>
                      <w:bCs/>
                      <w:color w:val="auto"/>
                      <w:sz w:val="21"/>
                      <w:szCs w:val="21"/>
                      <w:highlight w:val="none"/>
                      <w:lang w:eastAsia="zh-CN"/>
                    </w:rPr>
                    <w:t>吸附</w:t>
                  </w:r>
                  <w:r>
                    <w:rPr>
                      <w:rFonts w:hint="eastAsia" w:ascii="Times New Roman" w:hAnsi="Times New Roman" w:eastAsia="宋体" w:cs="Times New Roman"/>
                      <w:bCs/>
                      <w:color w:val="auto"/>
                      <w:sz w:val="21"/>
                      <w:szCs w:val="21"/>
                      <w:highlight w:val="none"/>
                      <w:lang w:eastAsia="zh-CN"/>
                    </w:rPr>
                    <w:t>装置处理。</w:t>
                  </w:r>
                </w:p>
              </w:tc>
              <w:tc>
                <w:tcPr>
                  <w:tcW w:w="817" w:type="dxa"/>
                  <w:tcBorders>
                    <w:top w:val="single" w:color="auto" w:sz="4" w:space="0"/>
                    <w:left w:val="single" w:color="auto" w:sz="4" w:space="0"/>
                    <w:bottom w:val="single" w:color="auto" w:sz="4" w:space="0"/>
                    <w:right w:val="single" w:color="auto" w:sz="4" w:space="0"/>
                  </w:tcBorders>
                  <w:noWrap w:val="0"/>
                  <w:vAlign w:val="center"/>
                </w:tcPr>
                <w:p w14:paraId="2CCD33B4">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相符</w:t>
                  </w:r>
                </w:p>
              </w:tc>
            </w:tr>
            <w:tr w14:paraId="58C10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680" w:type="dxa"/>
                  <w:tcBorders>
                    <w:left w:val="single" w:color="auto" w:sz="4" w:space="0"/>
                    <w:right w:val="single" w:color="auto" w:sz="4" w:space="0"/>
                  </w:tcBorders>
                  <w:noWrap w:val="0"/>
                  <w:vAlign w:val="center"/>
                </w:tcPr>
                <w:p w14:paraId="286866A4">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其他</w:t>
                  </w:r>
                </w:p>
              </w:tc>
              <w:tc>
                <w:tcPr>
                  <w:tcW w:w="4422" w:type="dxa"/>
                  <w:tcBorders>
                    <w:top w:val="single" w:color="auto" w:sz="4" w:space="0"/>
                    <w:left w:val="single" w:color="auto" w:sz="4" w:space="0"/>
                    <w:right w:val="single" w:color="auto" w:sz="4" w:space="0"/>
                  </w:tcBorders>
                  <w:noWrap w:val="0"/>
                  <w:vAlign w:val="center"/>
                </w:tcPr>
                <w:p w14:paraId="42862569">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企业应建立台账，记录废气收集系统、VOCs理设施的主要运行和维护信息，如运行时间、废气处理量、操作温度、停留时间、吸附剂再生/更换周期和更换量、催化剂更换周期和更换量、吸收液pH值等关键运行参数。台账保存期限不少于3年。</w:t>
                  </w:r>
                </w:p>
              </w:tc>
              <w:tc>
                <w:tcPr>
                  <w:tcW w:w="2810" w:type="dxa"/>
                  <w:tcBorders>
                    <w:top w:val="single" w:color="auto" w:sz="4" w:space="0"/>
                    <w:left w:val="single" w:color="auto" w:sz="4" w:space="0"/>
                    <w:right w:val="single" w:color="auto" w:sz="4" w:space="0"/>
                  </w:tcBorders>
                  <w:noWrap w:val="0"/>
                  <w:vAlign w:val="center"/>
                </w:tcPr>
                <w:p w14:paraId="0D8D7405">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eastAsia"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企业按要求建立台账，</w:t>
                  </w:r>
                  <w:r>
                    <w:rPr>
                      <w:rFonts w:hint="default" w:ascii="Times New Roman" w:hAnsi="Times New Roman" w:eastAsia="宋体" w:cs="Times New Roman"/>
                      <w:bCs/>
                      <w:color w:val="auto"/>
                      <w:sz w:val="21"/>
                      <w:szCs w:val="21"/>
                      <w:highlight w:val="none"/>
                    </w:rPr>
                    <w:t>记录废气收集系统、VOCs理设施的主要运行和维护信息，台账保存期限不少于3年</w:t>
                  </w:r>
                  <w:r>
                    <w:rPr>
                      <w:rFonts w:hint="eastAsia" w:ascii="Times New Roman" w:hAnsi="Times New Roman" w:eastAsia="宋体" w:cs="Times New Roman"/>
                      <w:bCs/>
                      <w:color w:val="auto"/>
                      <w:sz w:val="21"/>
                      <w:szCs w:val="21"/>
                      <w:highlight w:val="none"/>
                      <w:lang w:eastAsia="zh-CN"/>
                    </w:rPr>
                    <w:t>。</w:t>
                  </w:r>
                </w:p>
              </w:tc>
              <w:tc>
                <w:tcPr>
                  <w:tcW w:w="817" w:type="dxa"/>
                  <w:tcBorders>
                    <w:top w:val="single" w:color="auto" w:sz="4" w:space="0"/>
                    <w:left w:val="single" w:color="auto" w:sz="4" w:space="0"/>
                    <w:right w:val="single" w:color="auto" w:sz="4" w:space="0"/>
                  </w:tcBorders>
                  <w:noWrap w:val="0"/>
                  <w:vAlign w:val="center"/>
                </w:tcPr>
                <w:p w14:paraId="072657A0">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相符</w:t>
                  </w:r>
                </w:p>
              </w:tc>
            </w:tr>
          </w:tbl>
          <w:p w14:paraId="2F9F8BD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bCs/>
                <w:lang w:val="en-US" w:eastAsia="zh-CN"/>
              </w:rPr>
            </w:pPr>
            <w:r>
              <w:rPr>
                <w:rFonts w:hint="default" w:ascii="Times New Roman" w:hAnsi="Times New Roman" w:cs="Times New Roman"/>
              </w:rPr>
              <w:t>由上表</w:t>
            </w:r>
            <w:r>
              <w:rPr>
                <w:rFonts w:hint="default" w:ascii="Times New Roman" w:hAnsi="Times New Roman" w:cs="Times New Roman"/>
                <w:lang w:eastAsia="zh-CN"/>
              </w:rPr>
              <w:t>分析</w:t>
            </w:r>
            <w:r>
              <w:rPr>
                <w:rFonts w:hint="default" w:ascii="Times New Roman" w:hAnsi="Times New Roman" w:cs="Times New Roman"/>
              </w:rPr>
              <w:t>可知，本项目符合</w:t>
            </w:r>
            <w:r>
              <w:rPr>
                <w:rFonts w:hint="default" w:ascii="Times New Roman" w:hAnsi="Times New Roman" w:eastAsia="宋体" w:cs="Times New Roman"/>
                <w:bCs/>
                <w:sz w:val="24"/>
                <w:highlight w:val="none"/>
              </w:rPr>
              <w:t>《挥发性有机物无组织排放控制标准》（GB 37822-2019）</w:t>
            </w:r>
            <w:r>
              <w:rPr>
                <w:rFonts w:hint="eastAsia" w:cs="Times New Roman"/>
                <w:lang w:eastAsia="zh-CN"/>
              </w:rPr>
              <w:t>的</w:t>
            </w:r>
            <w:r>
              <w:rPr>
                <w:rFonts w:hint="default" w:ascii="Times New Roman" w:hAnsi="Times New Roman" w:cs="Times New Roman"/>
              </w:rPr>
              <w:t>相关要求。</w:t>
            </w:r>
          </w:p>
          <w:p w14:paraId="490D4DC8">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ascii="Times New Roman" w:hAnsi="Times New Roman" w:eastAsia="宋体" w:cs="Times New Roman"/>
                <w:b/>
                <w:bCs/>
                <w:color w:val="auto"/>
                <w:sz w:val="24"/>
                <w:szCs w:val="32"/>
                <w:highlight w:val="none"/>
              </w:rPr>
            </w:pPr>
            <w:r>
              <w:rPr>
                <w:rFonts w:hint="eastAsia" w:cs="Times New Roman"/>
                <w:b/>
                <w:bCs/>
                <w:color w:val="auto"/>
                <w:sz w:val="24"/>
                <w:szCs w:val="32"/>
                <w:highlight w:val="none"/>
                <w:lang w:val="en-US" w:eastAsia="zh-CN"/>
              </w:rPr>
              <w:t>10</w:t>
            </w:r>
            <w:r>
              <w:rPr>
                <w:rFonts w:hint="eastAsia" w:ascii="Times New Roman" w:hAnsi="Times New Roman" w:eastAsia="宋体" w:cs="Times New Roman"/>
                <w:b/>
                <w:bCs/>
                <w:color w:val="auto"/>
                <w:sz w:val="24"/>
                <w:szCs w:val="32"/>
                <w:highlight w:val="none"/>
                <w:lang w:eastAsia="zh-CN"/>
              </w:rPr>
              <w:t>、</w:t>
            </w:r>
            <w:r>
              <w:rPr>
                <w:rFonts w:ascii="Times New Roman" w:hAnsi="Times New Roman" w:eastAsia="宋体" w:cs="Times New Roman"/>
                <w:b/>
                <w:bCs/>
                <w:color w:val="auto"/>
                <w:sz w:val="24"/>
                <w:szCs w:val="32"/>
                <w:highlight w:val="none"/>
              </w:rPr>
              <w:t>与关于印发《2020年挥发性有机物治理攻坚方案》的通知（环大气</w:t>
            </w:r>
            <w:r>
              <w:rPr>
                <w:rFonts w:hint="default" w:ascii="Times New Roman" w:hAnsi="Times New Roman" w:cs="Times New Roman"/>
                <w:b/>
                <w:bCs w:val="0"/>
                <w:color w:val="000000"/>
                <w:sz w:val="24"/>
                <w:szCs w:val="20"/>
                <w:highlight w:val="none"/>
                <w:lang w:eastAsia="zh-CN"/>
              </w:rPr>
              <w:t>〔202</w:t>
            </w:r>
            <w:r>
              <w:rPr>
                <w:rFonts w:hint="eastAsia" w:ascii="Times New Roman" w:hAnsi="Times New Roman" w:cs="Times New Roman"/>
                <w:b/>
                <w:bCs w:val="0"/>
                <w:color w:val="000000"/>
                <w:sz w:val="24"/>
                <w:szCs w:val="20"/>
                <w:highlight w:val="none"/>
                <w:lang w:val="en-US" w:eastAsia="zh-CN"/>
              </w:rPr>
              <w:t>0</w:t>
            </w:r>
            <w:r>
              <w:rPr>
                <w:rFonts w:hint="default" w:ascii="Times New Roman" w:hAnsi="Times New Roman" w:cs="Times New Roman"/>
                <w:b/>
                <w:bCs w:val="0"/>
                <w:color w:val="000000"/>
                <w:sz w:val="24"/>
                <w:szCs w:val="20"/>
                <w:highlight w:val="none"/>
                <w:lang w:eastAsia="zh-CN"/>
              </w:rPr>
              <w:t>〕</w:t>
            </w:r>
            <w:r>
              <w:rPr>
                <w:rFonts w:ascii="Times New Roman" w:hAnsi="Times New Roman" w:eastAsia="宋体" w:cs="Times New Roman"/>
                <w:b/>
                <w:bCs/>
                <w:color w:val="auto"/>
                <w:sz w:val="24"/>
                <w:szCs w:val="32"/>
                <w:highlight w:val="none"/>
              </w:rPr>
              <w:t>33号）相符性分析</w:t>
            </w:r>
          </w:p>
          <w:p w14:paraId="6B478CF6">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ascii="Times New Roman" w:hAnsi="Times New Roman" w:eastAsia="宋体" w:cs="Times New Roman"/>
                <w:b/>
                <w:bCs/>
                <w:color w:val="auto"/>
                <w:sz w:val="24"/>
                <w:szCs w:val="32"/>
                <w:highlight w:val="none"/>
                <w:u w:val="none"/>
              </w:rPr>
            </w:pPr>
            <w:r>
              <w:rPr>
                <w:rFonts w:ascii="Times New Roman" w:hAnsi="Times New Roman" w:eastAsia="宋体" w:cs="Times New Roman"/>
                <w:b/>
                <w:bCs/>
                <w:color w:val="auto"/>
                <w:sz w:val="24"/>
                <w:szCs w:val="32"/>
                <w:highlight w:val="none"/>
                <w:u w:val="none"/>
              </w:rPr>
              <w:t>（1）大力推进源头替代，有效减少VOC</w:t>
            </w:r>
            <w:r>
              <w:rPr>
                <w:rFonts w:hint="eastAsia" w:ascii="Times New Roman" w:hAnsi="Times New Roman" w:eastAsia="宋体" w:cs="Times New Roman"/>
                <w:b/>
                <w:bCs/>
                <w:color w:val="auto"/>
                <w:sz w:val="24"/>
                <w:szCs w:val="32"/>
                <w:highlight w:val="none"/>
                <w:u w:val="none"/>
                <w:lang w:val="en-US" w:eastAsia="zh-CN"/>
              </w:rPr>
              <w:t>s</w:t>
            </w:r>
            <w:r>
              <w:rPr>
                <w:rFonts w:ascii="Times New Roman" w:hAnsi="Times New Roman" w:eastAsia="宋体" w:cs="Times New Roman"/>
                <w:b/>
                <w:bCs/>
                <w:color w:val="auto"/>
                <w:sz w:val="24"/>
                <w:szCs w:val="32"/>
                <w:highlight w:val="none"/>
                <w:u w:val="none"/>
              </w:rPr>
              <w:t>含量限值标准</w:t>
            </w:r>
          </w:p>
          <w:p w14:paraId="46F68E4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宋体" w:cs="Times New Roman"/>
                <w:color w:val="auto"/>
                <w:sz w:val="24"/>
                <w:szCs w:val="32"/>
                <w:highlight w:val="none"/>
                <w:u w:val="none"/>
              </w:rPr>
            </w:pPr>
            <w:r>
              <w:rPr>
                <w:rFonts w:ascii="Times New Roman" w:hAnsi="Times New Roman" w:eastAsia="宋体" w:cs="Times New Roman"/>
                <w:color w:val="auto"/>
                <w:sz w:val="24"/>
                <w:szCs w:val="32"/>
                <w:highlight w:val="none"/>
                <w:u w:val="none"/>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p w14:paraId="451B5AE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ascii="Times New Roman" w:hAnsi="Times New Roman" w:eastAsia="宋体" w:cs="Times New Roman"/>
                <w:b/>
                <w:bCs/>
                <w:color w:val="auto"/>
                <w:sz w:val="24"/>
                <w:szCs w:val="32"/>
                <w:highlight w:val="none"/>
                <w:u w:val="none"/>
              </w:rPr>
            </w:pPr>
            <w:r>
              <w:rPr>
                <w:rFonts w:ascii="Times New Roman" w:hAnsi="Times New Roman" w:eastAsia="宋体" w:cs="Times New Roman"/>
                <w:b/>
                <w:bCs/>
                <w:color w:val="auto"/>
                <w:sz w:val="24"/>
                <w:szCs w:val="32"/>
                <w:highlight w:val="none"/>
                <w:u w:val="none"/>
              </w:rPr>
              <w:t>（2）全面落实标准要求，强化无组织排放控制</w:t>
            </w:r>
          </w:p>
          <w:p w14:paraId="526D970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宋体" w:cs="Times New Roman"/>
                <w:color w:val="auto"/>
                <w:sz w:val="24"/>
                <w:szCs w:val="32"/>
                <w:highlight w:val="none"/>
                <w:u w:val="none"/>
              </w:rPr>
            </w:pPr>
            <w:r>
              <w:rPr>
                <w:rFonts w:ascii="Times New Roman" w:hAnsi="Times New Roman" w:eastAsia="宋体" w:cs="Times New Roman"/>
                <w:color w:val="auto"/>
                <w:sz w:val="24"/>
                <w:szCs w:val="32"/>
                <w:highlight w:val="none"/>
                <w:u w:val="none"/>
              </w:rPr>
              <w:t>2020年7月1日起，全面执行《挥发性有机物无组织排放控制标准》，重点区域应落实无组织排放特别控制要求。各地要加大标准生效时间、涉及行业及控制要求等宣贯力度，通过现场指导、组织培训、新媒体信息推送、发放明白纸等多种方式，督促指导企业对照标准要求开展含VOCs物料（包括含VOCs原辅材料、含VOCs产品、含VOCs废料以及有机聚合物材料等）储存、转移和输送、设备与管线组件泄漏、敞开液面逸散以及工艺过程等无组织排放环节排查整治，对达不到要求的加快整改。指导企业制定VOCs无组织排放控制规程，细化到具体工序和生产环节，以及启停机、检维修作业等，落实到具体责任人；健全内部考核制度，严格按照操作规程生产。</w:t>
            </w:r>
          </w:p>
          <w:p w14:paraId="63F752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宋体" w:cs="Times New Roman"/>
                <w:color w:val="auto"/>
                <w:sz w:val="24"/>
                <w:szCs w:val="32"/>
                <w:highlight w:val="none"/>
                <w:u w:val="none"/>
              </w:rPr>
            </w:pPr>
            <w:r>
              <w:rPr>
                <w:rFonts w:ascii="Times New Roman" w:hAnsi="Times New Roman" w:eastAsia="宋体" w:cs="Times New Roman"/>
                <w:color w:val="auto"/>
                <w:sz w:val="24"/>
                <w:szCs w:val="32"/>
                <w:highlight w:val="none"/>
                <w:u w:val="none"/>
              </w:rPr>
              <w:t>企业在无组织排放排查整治过程中，在保证安全的前提下，加强含VOCs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交有资质的单位处置。</w:t>
            </w:r>
          </w:p>
          <w:p w14:paraId="530F66F3">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ascii="Times New Roman" w:hAnsi="Times New Roman" w:eastAsia="宋体" w:cs="Times New Roman"/>
                <w:b/>
                <w:bCs/>
                <w:color w:val="auto"/>
                <w:sz w:val="24"/>
                <w:szCs w:val="32"/>
                <w:highlight w:val="none"/>
                <w:u w:val="none"/>
              </w:rPr>
            </w:pPr>
            <w:r>
              <w:rPr>
                <w:rFonts w:ascii="Times New Roman" w:hAnsi="Times New Roman" w:eastAsia="宋体" w:cs="Times New Roman"/>
                <w:b/>
                <w:bCs/>
                <w:color w:val="auto"/>
                <w:sz w:val="24"/>
                <w:szCs w:val="32"/>
                <w:highlight w:val="none"/>
                <w:u w:val="none"/>
              </w:rPr>
              <w:t>（3）聚焦治污设施“三率”，提升综合治理效率</w:t>
            </w:r>
          </w:p>
          <w:p w14:paraId="63C91AC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宋体" w:cs="Times New Roman"/>
                <w:color w:val="auto"/>
                <w:sz w:val="24"/>
                <w:szCs w:val="32"/>
                <w:highlight w:val="none"/>
                <w:u w:val="none"/>
              </w:rPr>
            </w:pPr>
            <w:r>
              <w:rPr>
                <w:rFonts w:ascii="Times New Roman" w:hAnsi="Times New Roman" w:eastAsia="宋体" w:cs="Times New Roman"/>
                <w:color w:val="auto"/>
                <w:sz w:val="24"/>
                <w:szCs w:val="32"/>
                <w:highlight w:val="none"/>
                <w:u w:val="none"/>
              </w:rPr>
              <w:t>按照</w:t>
            </w:r>
            <w:r>
              <w:rPr>
                <w:rFonts w:hint="eastAsia" w:ascii="Times New Roman" w:hAnsi="Times New Roman" w:eastAsia="宋体" w:cs="Times New Roman"/>
                <w:color w:val="auto"/>
                <w:sz w:val="24"/>
                <w:szCs w:val="32"/>
                <w:highlight w:val="none"/>
                <w:u w:val="none"/>
                <w:lang w:eastAsia="zh-CN"/>
              </w:rPr>
              <w:t>“</w:t>
            </w:r>
            <w:r>
              <w:rPr>
                <w:rFonts w:ascii="Times New Roman" w:hAnsi="Times New Roman" w:eastAsia="宋体" w:cs="Times New Roman"/>
                <w:color w:val="auto"/>
                <w:sz w:val="24"/>
                <w:szCs w:val="32"/>
                <w:highlight w:val="none"/>
                <w:u w:val="none"/>
              </w:rPr>
              <w:t>应收尽收</w:t>
            </w:r>
            <w:r>
              <w:rPr>
                <w:rFonts w:hint="eastAsia" w:ascii="Times New Roman" w:hAnsi="Times New Roman" w:eastAsia="宋体" w:cs="Times New Roman"/>
                <w:color w:val="auto"/>
                <w:sz w:val="24"/>
                <w:szCs w:val="32"/>
                <w:highlight w:val="none"/>
                <w:u w:val="none"/>
                <w:lang w:eastAsia="zh-CN"/>
              </w:rPr>
              <w:t>”</w:t>
            </w:r>
            <w:r>
              <w:rPr>
                <w:rFonts w:ascii="Times New Roman" w:hAnsi="Times New Roman" w:eastAsia="宋体" w:cs="Times New Roman"/>
                <w:color w:val="auto"/>
                <w:sz w:val="24"/>
                <w:szCs w:val="32"/>
                <w:highlight w:val="none"/>
                <w:u w:val="none"/>
              </w:rPr>
              <w:t>的原则提升废气收集率。推动取消废气排放系统旁路，因安全生产等原因必须保留的，应将保留旁路清单报当地生态环境部门，旁路在非紧急情况下保持关闭，并通过铅封、安装自动监控设施、流量计等方式加强监管，开启后应及时向当地生态环境部门报告，做好台账记录。将无组织排放转变为有组织排放进行控制，优先采用密闭设备、在密闭空间中操作或采用全密闭集气罩收集方式；对于采用局部集气罩的，应根据废气排放特点合理选择收集点位，距集气罩开口面最远处的VOCs无组织排放位置，控制风速不低于0.3米/秒，达不到要求的通过更换大功率风机、增设烟道风机、增加垂帘等方式及时改造；加强生产车间密闭管理，在符合安全生产、职业卫生相关规定前提下，采用自动卷帘门、密闭性好的塑钢门窗等，在非必要时保持关闭。按照与生产设备“同启同停”的原则提升治理设施运行率。根据处理工艺要求，在处理设施达到正常运行条件后方可启动生产设备，在生产设备停止、残留VOCs废气收集处理完毕后，方可停运处理设施。VOCs废气处理系统发生故障或检修时，对应生产工艺设备应停止运行，待检修完毕后同步投入使用；因安全等因素生产工艺设备不能停止或不能及时停止运行的，应设置废气应急处理设施或采取其他替代措施。按照“适宜高效”的原则提高治理设施去除率，不得稀释排放。企业新建治污设施或对现有治污设施实施改造，应依据排放废气特征、VOCs组分及浓度、生产工况等，合理选择治理技术，对治理难度大、单一治理工艺难以稳定达标的，要采用多种技术的组合工艺。采用活性炭吸附技术的，应选择碘值不低于800毫克/克的活性炭，并按设计要求足量添加、及时更换。</w:t>
            </w:r>
          </w:p>
          <w:p w14:paraId="04B14620">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Times New Roman" w:hAnsi="Times New Roman" w:eastAsia="宋体" w:cs="宋体"/>
                <w:b/>
                <w:bCs/>
                <w:color w:val="auto"/>
                <w:kern w:val="0"/>
                <w:sz w:val="24"/>
                <w:szCs w:val="21"/>
                <w:highlight w:val="none"/>
                <w:u w:val="none"/>
                <w:lang w:eastAsia="zh-CN"/>
              </w:rPr>
            </w:pPr>
            <w:r>
              <w:rPr>
                <w:rFonts w:hint="eastAsia" w:ascii="Times New Roman" w:hAnsi="Times New Roman" w:eastAsia="宋体" w:cs="Times New Roman"/>
                <w:b/>
                <w:bCs/>
                <w:color w:val="auto"/>
                <w:sz w:val="24"/>
                <w:szCs w:val="32"/>
                <w:highlight w:val="none"/>
                <w:u w:val="none"/>
                <w:lang w:eastAsia="zh-CN"/>
              </w:rPr>
              <w:t>本项目在</w:t>
            </w:r>
            <w:r>
              <w:rPr>
                <w:rFonts w:hint="eastAsia" w:cs="Times New Roman"/>
                <w:b/>
                <w:bCs/>
                <w:color w:val="auto"/>
                <w:sz w:val="24"/>
                <w:szCs w:val="32"/>
                <w:highlight w:val="none"/>
                <w:u w:val="none"/>
                <w:lang w:val="en-US" w:eastAsia="zh-CN"/>
              </w:rPr>
              <w:t>BOPS片材加热定型工序和危废间</w:t>
            </w:r>
            <w:r>
              <w:rPr>
                <w:rFonts w:hint="eastAsia" w:ascii="Times New Roman" w:hAnsi="Times New Roman" w:eastAsia="宋体" w:cs="Times New Roman"/>
                <w:b/>
                <w:bCs/>
                <w:color w:val="auto"/>
                <w:sz w:val="24"/>
                <w:szCs w:val="32"/>
                <w:highlight w:val="none"/>
                <w:u w:val="none"/>
                <w:lang w:eastAsia="zh-CN"/>
              </w:rPr>
              <w:t>会产生挥发性有机物，在产污环节设置集气措施，</w:t>
            </w:r>
            <w:r>
              <w:rPr>
                <w:rFonts w:ascii="Times New Roman" w:hAnsi="Times New Roman" w:eastAsia="宋体" w:cs="Times New Roman"/>
                <w:b/>
                <w:bCs/>
                <w:color w:val="auto"/>
                <w:sz w:val="24"/>
                <w:szCs w:val="32"/>
                <w:highlight w:val="none"/>
                <w:u w:val="none"/>
              </w:rPr>
              <w:t>产生的</w:t>
            </w:r>
            <w:r>
              <w:rPr>
                <w:rFonts w:hint="eastAsia" w:cs="Times New Roman"/>
                <w:b/>
                <w:bCs/>
                <w:color w:val="auto"/>
                <w:sz w:val="24"/>
                <w:szCs w:val="32"/>
                <w:highlight w:val="none"/>
                <w:u w:val="none"/>
                <w:lang w:eastAsia="zh-CN"/>
              </w:rPr>
              <w:t>有机</w:t>
            </w:r>
            <w:r>
              <w:rPr>
                <w:rFonts w:ascii="Times New Roman" w:hAnsi="Times New Roman" w:eastAsia="宋体" w:cs="Times New Roman"/>
                <w:b/>
                <w:bCs/>
                <w:color w:val="auto"/>
                <w:sz w:val="24"/>
                <w:szCs w:val="32"/>
                <w:highlight w:val="none"/>
                <w:u w:val="none"/>
              </w:rPr>
              <w:t>废气经收集后，采用</w:t>
            </w:r>
            <w:r>
              <w:rPr>
                <w:rFonts w:hint="eastAsia" w:ascii="Times New Roman" w:hAnsi="Times New Roman" w:eastAsia="宋体" w:cs="Times New Roman"/>
                <w:b/>
                <w:bCs/>
                <w:color w:val="auto"/>
                <w:sz w:val="24"/>
                <w:szCs w:val="32"/>
                <w:highlight w:val="none"/>
                <w:u w:val="none"/>
                <w:lang w:eastAsia="zh-CN"/>
              </w:rPr>
              <w:t>“</w:t>
            </w:r>
            <w:r>
              <w:rPr>
                <w:rFonts w:hint="eastAsia" w:cs="Times New Roman"/>
                <w:b/>
                <w:bCs/>
                <w:color w:val="auto"/>
                <w:sz w:val="24"/>
                <w:szCs w:val="32"/>
                <w:highlight w:val="none"/>
                <w:u w:val="none"/>
                <w:lang w:eastAsia="zh-CN"/>
              </w:rPr>
              <w:t>两级活性炭吸附</w:t>
            </w:r>
            <w:r>
              <w:rPr>
                <w:rFonts w:hint="eastAsia" w:ascii="Times New Roman" w:hAnsi="Times New Roman" w:eastAsia="宋体" w:cs="Times New Roman"/>
                <w:b/>
                <w:bCs/>
                <w:color w:val="auto"/>
                <w:sz w:val="24"/>
                <w:szCs w:val="32"/>
                <w:highlight w:val="none"/>
                <w:u w:val="none"/>
                <w:lang w:val="en-US" w:eastAsia="zh-CN"/>
              </w:rPr>
              <w:t>”</w:t>
            </w:r>
            <w:r>
              <w:rPr>
                <w:rFonts w:ascii="Times New Roman" w:hAnsi="Times New Roman" w:eastAsia="宋体" w:cs="Times New Roman"/>
                <w:b/>
                <w:bCs/>
                <w:color w:val="auto"/>
                <w:sz w:val="24"/>
                <w:szCs w:val="32"/>
                <w:highlight w:val="none"/>
                <w:u w:val="none"/>
              </w:rPr>
              <w:t>治理措施对有机废气进行治理，</w:t>
            </w:r>
            <w:r>
              <w:rPr>
                <w:rFonts w:hint="eastAsia" w:ascii="Times New Roman" w:hAnsi="Times New Roman" w:eastAsia="宋体" w:cs="Times New Roman"/>
                <w:b/>
                <w:bCs/>
                <w:color w:val="auto"/>
                <w:sz w:val="24"/>
                <w:szCs w:val="32"/>
                <w:highlight w:val="none"/>
                <w:u w:val="none"/>
                <w:lang w:eastAsia="zh-CN"/>
              </w:rPr>
              <w:t>要求</w:t>
            </w:r>
            <w:r>
              <w:rPr>
                <w:rFonts w:ascii="Times New Roman" w:hAnsi="Times New Roman" w:eastAsia="宋体" w:cs="Times New Roman"/>
                <w:b/>
                <w:bCs/>
                <w:color w:val="auto"/>
                <w:sz w:val="24"/>
                <w:szCs w:val="32"/>
                <w:highlight w:val="none"/>
                <w:u w:val="none"/>
              </w:rPr>
              <w:t>项目使用</w:t>
            </w:r>
            <w:r>
              <w:rPr>
                <w:rFonts w:hint="eastAsia" w:cs="Times New Roman"/>
                <w:b/>
                <w:bCs/>
                <w:color w:val="auto"/>
                <w:sz w:val="24"/>
                <w:szCs w:val="32"/>
                <w:highlight w:val="none"/>
                <w:u w:val="none"/>
                <w:lang w:eastAsia="zh-CN"/>
              </w:rPr>
              <w:t>蜂窝状活性炭</w:t>
            </w:r>
            <w:r>
              <w:rPr>
                <w:rFonts w:ascii="Times New Roman" w:hAnsi="Times New Roman" w:eastAsia="宋体" w:cs="Times New Roman"/>
                <w:b/>
                <w:bCs/>
                <w:color w:val="auto"/>
                <w:sz w:val="24"/>
                <w:szCs w:val="32"/>
                <w:highlight w:val="none"/>
                <w:u w:val="none"/>
              </w:rPr>
              <w:t>碘值不低于</w:t>
            </w:r>
            <w:r>
              <w:rPr>
                <w:rFonts w:hint="eastAsia" w:cs="Times New Roman"/>
                <w:b/>
                <w:bCs/>
                <w:color w:val="auto"/>
                <w:sz w:val="24"/>
                <w:szCs w:val="32"/>
                <w:highlight w:val="none"/>
                <w:u w:val="none"/>
                <w:lang w:val="en-US" w:eastAsia="zh-CN"/>
              </w:rPr>
              <w:t>650</w:t>
            </w:r>
            <w:r>
              <w:rPr>
                <w:rFonts w:ascii="Times New Roman" w:hAnsi="Times New Roman" w:eastAsia="宋体" w:cs="Times New Roman"/>
                <w:b/>
                <w:bCs/>
                <w:color w:val="auto"/>
                <w:sz w:val="24"/>
                <w:szCs w:val="32"/>
                <w:highlight w:val="none"/>
                <w:u w:val="none"/>
              </w:rPr>
              <w:t>毫克/克</w:t>
            </w:r>
            <w:r>
              <w:rPr>
                <w:rFonts w:hint="eastAsia" w:ascii="Times New Roman" w:hAnsi="Times New Roman" w:eastAsia="宋体" w:cs="Times New Roman"/>
                <w:b/>
                <w:bCs/>
                <w:color w:val="auto"/>
                <w:sz w:val="24"/>
                <w:szCs w:val="32"/>
                <w:highlight w:val="none"/>
                <w:u w:val="none"/>
                <w:lang w:eastAsia="zh-CN"/>
              </w:rPr>
              <w:t>，蜂窝活性炭比表面积不低于750m</w:t>
            </w:r>
            <w:r>
              <w:rPr>
                <w:rFonts w:hint="eastAsia" w:ascii="Times New Roman" w:hAnsi="Times New Roman" w:eastAsia="宋体" w:cs="Times New Roman"/>
                <w:b/>
                <w:bCs/>
                <w:color w:val="auto"/>
                <w:sz w:val="24"/>
                <w:szCs w:val="32"/>
                <w:highlight w:val="none"/>
                <w:u w:val="none"/>
                <w:vertAlign w:val="superscript"/>
                <w:lang w:eastAsia="zh-CN"/>
              </w:rPr>
              <w:t>2</w:t>
            </w:r>
            <w:r>
              <w:rPr>
                <w:rFonts w:hint="eastAsia" w:ascii="Times New Roman" w:hAnsi="Times New Roman" w:eastAsia="宋体" w:cs="Times New Roman"/>
                <w:b/>
                <w:bCs/>
                <w:color w:val="auto"/>
                <w:sz w:val="24"/>
                <w:szCs w:val="32"/>
                <w:highlight w:val="none"/>
                <w:u w:val="none"/>
                <w:lang w:eastAsia="zh-CN"/>
              </w:rPr>
              <w:t>/g</w:t>
            </w:r>
            <w:r>
              <w:rPr>
                <w:rFonts w:hint="eastAsia" w:cs="Times New Roman"/>
                <w:b/>
                <w:bCs/>
                <w:color w:val="auto"/>
                <w:sz w:val="24"/>
                <w:szCs w:val="32"/>
                <w:highlight w:val="none"/>
                <w:u w:val="none"/>
                <w:lang w:eastAsia="zh-CN"/>
              </w:rPr>
              <w:t>，</w:t>
            </w:r>
            <w:r>
              <w:rPr>
                <w:rFonts w:hint="eastAsia" w:ascii="Times New Roman" w:hAnsi="Times New Roman" w:eastAsia="宋体" w:cs="Times New Roman"/>
                <w:b/>
                <w:bCs/>
                <w:color w:val="auto"/>
                <w:sz w:val="24"/>
                <w:szCs w:val="32"/>
                <w:highlight w:val="none"/>
                <w:u w:val="none"/>
                <w:lang w:eastAsia="zh-CN"/>
              </w:rPr>
              <w:t>并将废旧活性炭交有资质的单位处理处置，记录更换时间和使用量</w:t>
            </w:r>
            <w:r>
              <w:rPr>
                <w:rFonts w:ascii="Times New Roman" w:hAnsi="Times New Roman" w:eastAsia="宋体" w:cs="Times New Roman"/>
                <w:b/>
                <w:bCs/>
                <w:color w:val="auto"/>
                <w:sz w:val="24"/>
                <w:szCs w:val="32"/>
                <w:highlight w:val="none"/>
                <w:u w:val="none"/>
              </w:rPr>
              <w:t>。采取环评要求的措施后，项目能够满足关于印发《2020年挥发性有机物治理攻坚方案》的通知（环大气</w:t>
            </w:r>
            <w:r>
              <w:rPr>
                <w:rFonts w:hint="default" w:ascii="Times New Roman" w:hAnsi="Times New Roman" w:cs="Times New Roman"/>
                <w:b/>
                <w:bCs/>
                <w:color w:val="000000"/>
                <w:sz w:val="24"/>
                <w:szCs w:val="20"/>
                <w:highlight w:val="none"/>
                <w:lang w:eastAsia="zh-CN"/>
              </w:rPr>
              <w:t>〔202</w:t>
            </w:r>
            <w:r>
              <w:rPr>
                <w:rFonts w:hint="eastAsia" w:ascii="Times New Roman" w:hAnsi="Times New Roman" w:cs="Times New Roman"/>
                <w:b/>
                <w:bCs/>
                <w:color w:val="000000"/>
                <w:sz w:val="24"/>
                <w:szCs w:val="20"/>
                <w:highlight w:val="none"/>
                <w:lang w:val="en-US" w:eastAsia="zh-CN"/>
              </w:rPr>
              <w:t>0</w:t>
            </w:r>
            <w:r>
              <w:rPr>
                <w:rFonts w:hint="default" w:ascii="Times New Roman" w:hAnsi="Times New Roman" w:cs="Times New Roman"/>
                <w:b/>
                <w:bCs/>
                <w:color w:val="000000"/>
                <w:sz w:val="24"/>
                <w:szCs w:val="20"/>
                <w:highlight w:val="none"/>
                <w:lang w:eastAsia="zh-CN"/>
              </w:rPr>
              <w:t>〕</w:t>
            </w:r>
            <w:r>
              <w:rPr>
                <w:rFonts w:ascii="Times New Roman" w:hAnsi="Times New Roman" w:eastAsia="宋体" w:cs="Times New Roman"/>
                <w:b/>
                <w:bCs/>
                <w:color w:val="auto"/>
                <w:sz w:val="24"/>
                <w:szCs w:val="32"/>
                <w:highlight w:val="none"/>
                <w:u w:val="none"/>
              </w:rPr>
              <w:t>33号）的控制要求。</w:t>
            </w:r>
          </w:p>
          <w:p w14:paraId="195D7F1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both"/>
              <w:textAlignment w:val="auto"/>
              <w:rPr>
                <w:rFonts w:hint="default" w:ascii="Times New Roman" w:hAnsi="Times New Roman" w:eastAsia="宋体" w:cs="Times New Roman"/>
                <w:b/>
                <w:sz w:val="24"/>
                <w:highlight w:val="none"/>
              </w:rPr>
            </w:pPr>
            <w:r>
              <w:rPr>
                <w:rFonts w:hint="default" w:ascii="Times New Roman" w:hAnsi="Times New Roman" w:cs="Times New Roman"/>
                <w:b/>
                <w:sz w:val="24"/>
                <w:highlight w:val="none"/>
                <w:lang w:val="en-US" w:eastAsia="zh-CN"/>
              </w:rPr>
              <w:t>1</w:t>
            </w:r>
            <w:r>
              <w:rPr>
                <w:rFonts w:hint="eastAsia" w:cs="Times New Roman"/>
                <w:b/>
                <w:sz w:val="24"/>
                <w:highlight w:val="none"/>
                <w:lang w:val="en-US" w:eastAsia="zh-CN"/>
              </w:rPr>
              <w:t>1</w:t>
            </w:r>
            <w:r>
              <w:rPr>
                <w:rFonts w:hint="default" w:ascii="Times New Roman" w:hAnsi="Times New Roman" w:eastAsia="宋体" w:cs="Times New Roman"/>
                <w:b/>
                <w:sz w:val="24"/>
                <w:highlight w:val="none"/>
                <w:lang w:eastAsia="zh-CN"/>
              </w:rPr>
              <w:t>、</w:t>
            </w:r>
            <w:r>
              <w:rPr>
                <w:rFonts w:hint="eastAsia" w:cs="Times New Roman"/>
                <w:b/>
                <w:sz w:val="24"/>
                <w:highlight w:val="none"/>
                <w:lang w:eastAsia="zh-CN"/>
              </w:rPr>
              <w:t>与</w:t>
            </w:r>
            <w:r>
              <w:rPr>
                <w:rFonts w:hint="default" w:ascii="Times New Roman" w:hAnsi="Times New Roman" w:eastAsia="宋体" w:cs="Times New Roman"/>
                <w:b/>
                <w:sz w:val="24"/>
                <w:highlight w:val="none"/>
              </w:rPr>
              <w:t>《</w:t>
            </w:r>
            <w:r>
              <w:rPr>
                <w:rFonts w:hint="eastAsia" w:ascii="Times New Roman" w:hAnsi="Times New Roman" w:eastAsia="宋体" w:cs="Times New Roman"/>
                <w:b/>
                <w:sz w:val="24"/>
                <w:highlight w:val="none"/>
                <w:lang w:eastAsia="zh-CN"/>
              </w:rPr>
              <w:t>关于规范挥发性有机物治理过程中活性炭使用管理的通知</w:t>
            </w:r>
            <w:r>
              <w:rPr>
                <w:rFonts w:hint="default" w:ascii="Times New Roman" w:hAnsi="Times New Roman" w:eastAsia="宋体" w:cs="Times New Roman"/>
                <w:b/>
                <w:sz w:val="24"/>
                <w:highlight w:val="none"/>
              </w:rPr>
              <w:t>》相符性分析</w:t>
            </w:r>
          </w:p>
          <w:p w14:paraId="29A0BA86">
            <w:pPr>
              <w:keepNext w:val="0"/>
              <w:keepLines w:val="0"/>
              <w:pageBreakBefore w:val="0"/>
              <w:widowControl w:val="0"/>
              <w:tabs>
                <w:tab w:val="left" w:pos="600"/>
              </w:tabs>
              <w:kinsoku/>
              <w:wordWrap/>
              <w:overflowPunct/>
              <w:topLinePunct w:val="0"/>
              <w:autoSpaceDE/>
              <w:autoSpaceDN/>
              <w:bidi w:val="0"/>
              <w:adjustRightInd w:val="0"/>
              <w:snapToGrid w:val="0"/>
              <w:spacing w:line="520" w:lineRule="exact"/>
              <w:ind w:left="0" w:leftChars="0" w:firstLine="480" w:firstLineChars="200"/>
              <w:jc w:val="both"/>
              <w:textAlignment w:val="auto"/>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对照</w:t>
            </w:r>
            <w:r>
              <w:rPr>
                <w:rFonts w:hint="eastAsia" w:ascii="Times New Roman" w:hAnsi="Times New Roman" w:eastAsia="宋体" w:cs="Times New Roman"/>
                <w:bCs/>
                <w:sz w:val="24"/>
                <w:highlight w:val="none"/>
                <w:lang w:eastAsia="zh-CN"/>
              </w:rPr>
              <w:t>焦作市生态环境局</w:t>
            </w:r>
            <w:r>
              <w:rPr>
                <w:rFonts w:hint="default" w:ascii="Times New Roman" w:hAnsi="Times New Roman" w:eastAsia="宋体" w:cs="Times New Roman"/>
                <w:bCs/>
                <w:sz w:val="24"/>
                <w:highlight w:val="none"/>
              </w:rPr>
              <w:t>《</w:t>
            </w:r>
            <w:r>
              <w:rPr>
                <w:rFonts w:hint="eastAsia" w:ascii="Times New Roman" w:hAnsi="Times New Roman" w:eastAsia="宋体" w:cs="Times New Roman"/>
                <w:b w:val="0"/>
                <w:bCs/>
                <w:sz w:val="24"/>
                <w:highlight w:val="none"/>
                <w:lang w:eastAsia="zh-CN"/>
              </w:rPr>
              <w:t>关于规范挥发性有机物治理过程中活性炭使用管理的通知</w:t>
            </w:r>
            <w:r>
              <w:rPr>
                <w:rFonts w:hint="default" w:ascii="Times New Roman" w:hAnsi="Times New Roman" w:eastAsia="宋体" w:cs="Times New Roman"/>
                <w:bCs/>
                <w:sz w:val="24"/>
                <w:highlight w:val="none"/>
              </w:rPr>
              <w:t>》相关要求，项目与其相符性分析见下表1-</w:t>
            </w:r>
            <w:r>
              <w:rPr>
                <w:rFonts w:hint="default" w:ascii="Times New Roman" w:hAnsi="Times New Roman" w:eastAsia="宋体" w:cs="Times New Roman"/>
                <w:bCs/>
                <w:sz w:val="24"/>
                <w:highlight w:val="none"/>
                <w:lang w:val="en-US" w:eastAsia="zh-CN"/>
              </w:rPr>
              <w:t>1</w:t>
            </w:r>
            <w:r>
              <w:rPr>
                <w:rFonts w:hint="default" w:ascii="Times New Roman" w:hAnsi="Times New Roman" w:cs="Times New Roman"/>
                <w:bCs/>
                <w:sz w:val="24"/>
                <w:highlight w:val="none"/>
                <w:lang w:val="en-US" w:eastAsia="zh-CN"/>
              </w:rPr>
              <w:t>1</w:t>
            </w:r>
            <w:r>
              <w:rPr>
                <w:rFonts w:hint="default" w:ascii="Times New Roman" w:hAnsi="Times New Roman" w:eastAsia="宋体" w:cs="Times New Roman"/>
                <w:bCs/>
                <w:sz w:val="24"/>
                <w:highlight w:val="none"/>
              </w:rPr>
              <w:t>。</w:t>
            </w:r>
          </w:p>
          <w:p w14:paraId="424203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leftChars="0" w:right="0" w:firstLine="0" w:firstLineChars="0"/>
              <w:jc w:val="center"/>
              <w:textAlignment w:val="auto"/>
              <w:rPr>
                <w:rFonts w:hint="eastAsia" w:ascii="Times New Roman" w:hAnsi="Times New Roman" w:eastAsia="宋体" w:cs="Times New Roman"/>
                <w:b/>
                <w:sz w:val="24"/>
                <w:highlight w:val="none"/>
                <w:lang w:eastAsia="zh-CN"/>
              </w:rPr>
            </w:pPr>
            <w:r>
              <w:rPr>
                <w:rFonts w:hint="default" w:ascii="Times New Roman" w:hAnsi="Times New Roman" w:eastAsia="宋体" w:cs="Times New Roman"/>
                <w:b/>
                <w:kern w:val="2"/>
                <w:sz w:val="24"/>
                <w:szCs w:val="24"/>
                <w:highlight w:val="none"/>
                <w:lang w:val="en-US" w:eastAsia="zh-CN" w:bidi="ar-SA"/>
              </w:rPr>
              <w:t>表1-1</w:t>
            </w:r>
            <w:r>
              <w:rPr>
                <w:rFonts w:hint="eastAsia" w:cs="Times New Roman"/>
                <w:b/>
                <w:kern w:val="2"/>
                <w:sz w:val="24"/>
                <w:szCs w:val="24"/>
                <w:highlight w:val="none"/>
                <w:lang w:val="en-US" w:eastAsia="zh-CN" w:bidi="ar-SA"/>
              </w:rPr>
              <w:t>1</w:t>
            </w:r>
            <w:r>
              <w:rPr>
                <w:rFonts w:hint="default" w:ascii="Times New Roman" w:hAnsi="Times New Roman" w:eastAsia="宋体" w:cs="Times New Roman"/>
                <w:b/>
                <w:kern w:val="2"/>
                <w:sz w:val="24"/>
                <w:szCs w:val="24"/>
                <w:highlight w:val="none"/>
                <w:lang w:val="en-US" w:eastAsia="zh-CN" w:bidi="ar-SA"/>
              </w:rPr>
              <w:t xml:space="preserve">   本项目</w:t>
            </w:r>
            <w:r>
              <w:rPr>
                <w:rFonts w:hint="default" w:ascii="Times New Roman" w:hAnsi="Times New Roman" w:eastAsia="宋体" w:cs="Times New Roman"/>
                <w:b/>
                <w:bCs/>
                <w:kern w:val="2"/>
                <w:sz w:val="24"/>
                <w:szCs w:val="24"/>
                <w:highlight w:val="none"/>
                <w:lang w:val="en-US" w:eastAsia="zh-CN" w:bidi="ar-SA"/>
              </w:rPr>
              <w:t>与</w:t>
            </w:r>
            <w:r>
              <w:rPr>
                <w:rFonts w:hint="default" w:ascii="Times New Roman" w:hAnsi="Times New Roman" w:eastAsia="宋体" w:cs="Times New Roman"/>
                <w:b/>
                <w:sz w:val="24"/>
                <w:highlight w:val="none"/>
              </w:rPr>
              <w:t>《</w:t>
            </w:r>
            <w:r>
              <w:rPr>
                <w:rFonts w:hint="eastAsia" w:ascii="Times New Roman" w:hAnsi="Times New Roman" w:eastAsia="宋体" w:cs="Times New Roman"/>
                <w:b/>
                <w:sz w:val="24"/>
                <w:highlight w:val="none"/>
                <w:lang w:eastAsia="zh-CN"/>
              </w:rPr>
              <w:t>关于规范挥发性有机物治理过程中活性炭使用</w:t>
            </w:r>
          </w:p>
          <w:p w14:paraId="300E6C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leftChars="0" w:right="0" w:firstLine="0" w:firstLineChars="0"/>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eastAsia="宋体" w:cs="Times New Roman"/>
                <w:b/>
                <w:sz w:val="24"/>
                <w:highlight w:val="none"/>
                <w:lang w:eastAsia="zh-CN"/>
              </w:rPr>
              <w:t>管理的通知</w:t>
            </w:r>
            <w:r>
              <w:rPr>
                <w:rFonts w:hint="default" w:ascii="Times New Roman" w:hAnsi="Times New Roman" w:eastAsia="宋体" w:cs="Times New Roman"/>
                <w:b/>
                <w:sz w:val="24"/>
                <w:highlight w:val="none"/>
              </w:rPr>
              <w:t>》</w:t>
            </w:r>
            <w:r>
              <w:rPr>
                <w:rFonts w:hint="default" w:ascii="Times New Roman" w:hAnsi="Times New Roman" w:eastAsia="宋体" w:cs="Times New Roman"/>
                <w:b/>
                <w:kern w:val="2"/>
                <w:sz w:val="24"/>
                <w:szCs w:val="24"/>
                <w:highlight w:val="none"/>
                <w:lang w:val="en-US" w:eastAsia="zh-CN" w:bidi="ar-SA"/>
              </w:rPr>
              <w:t>相符性分析</w:t>
            </w:r>
            <w:r>
              <w:rPr>
                <w:rFonts w:hint="default" w:ascii="Times New Roman" w:hAnsi="Times New Roman" w:cs="Times New Roman"/>
                <w:b/>
                <w:kern w:val="2"/>
                <w:sz w:val="24"/>
                <w:szCs w:val="24"/>
                <w:highlight w:val="none"/>
                <w:lang w:val="en-US" w:eastAsia="zh-CN" w:bidi="ar-SA"/>
              </w:rPr>
              <w:t>一览表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5047"/>
              <w:gridCol w:w="2159"/>
              <w:gridCol w:w="686"/>
            </w:tblGrid>
            <w:tr w14:paraId="266C1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5753" w:type="dxa"/>
                  <w:gridSpan w:val="2"/>
                  <w:tcBorders>
                    <w:top w:val="single" w:color="auto" w:sz="4" w:space="0"/>
                    <w:left w:val="single" w:color="auto" w:sz="4" w:space="0"/>
                    <w:bottom w:val="single" w:color="auto" w:sz="4" w:space="0"/>
                    <w:right w:val="single" w:color="auto" w:sz="4" w:space="0"/>
                  </w:tcBorders>
                  <w:noWrap w:val="0"/>
                  <w:vAlign w:val="center"/>
                </w:tcPr>
                <w:p w14:paraId="453085BC">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Cs/>
                      <w:sz w:val="21"/>
                      <w:szCs w:val="21"/>
                      <w:highlight w:val="none"/>
                    </w:rPr>
                    <w:t>《</w:t>
                  </w:r>
                  <w:r>
                    <w:rPr>
                      <w:rFonts w:hint="eastAsia" w:ascii="Times New Roman" w:hAnsi="Times New Roman" w:eastAsia="宋体" w:cs="Times New Roman"/>
                      <w:b w:val="0"/>
                      <w:bCs/>
                      <w:sz w:val="21"/>
                      <w:szCs w:val="21"/>
                      <w:highlight w:val="none"/>
                      <w:lang w:eastAsia="zh-CN"/>
                    </w:rPr>
                    <w:t>关于规范挥发性有机物治理过程中活性炭使用管理的通知</w:t>
                  </w:r>
                  <w:r>
                    <w:rPr>
                      <w:rFonts w:hint="default" w:ascii="Times New Roman" w:hAnsi="Times New Roman" w:eastAsia="宋体" w:cs="Times New Roman"/>
                      <w:bCs/>
                      <w:sz w:val="21"/>
                      <w:szCs w:val="21"/>
                      <w:highlight w:val="none"/>
                    </w:rPr>
                    <w:t>》</w:t>
                  </w:r>
                  <w:r>
                    <w:rPr>
                      <w:rFonts w:hint="eastAsia" w:ascii="Times New Roman" w:hAnsi="Times New Roman" w:eastAsia="宋体" w:cs="Times New Roman"/>
                      <w:bCs/>
                      <w:sz w:val="21"/>
                      <w:szCs w:val="21"/>
                      <w:highlight w:val="none"/>
                      <w:lang w:eastAsia="zh-CN"/>
                    </w:rPr>
                    <w:t>相关要求</w:t>
                  </w:r>
                </w:p>
              </w:tc>
              <w:tc>
                <w:tcPr>
                  <w:tcW w:w="2159" w:type="dxa"/>
                  <w:tcBorders>
                    <w:top w:val="single" w:color="auto" w:sz="4" w:space="0"/>
                    <w:left w:val="single" w:color="auto" w:sz="4" w:space="0"/>
                    <w:bottom w:val="single" w:color="auto" w:sz="4" w:space="0"/>
                    <w:right w:val="single" w:color="auto" w:sz="4" w:space="0"/>
                  </w:tcBorders>
                  <w:noWrap w:val="0"/>
                  <w:vAlign w:val="center"/>
                </w:tcPr>
                <w:p w14:paraId="49B68BA4">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color w:val="auto"/>
                      <w:sz w:val="21"/>
                      <w:szCs w:val="21"/>
                      <w:highlight w:val="none"/>
                      <w:u w:val="single"/>
                    </w:rPr>
                  </w:pPr>
                  <w:r>
                    <w:rPr>
                      <w:rFonts w:hint="default" w:ascii="Times New Roman" w:hAnsi="Times New Roman" w:eastAsia="宋体" w:cs="Times New Roman"/>
                      <w:b w:val="0"/>
                      <w:bCs/>
                      <w:color w:val="auto"/>
                      <w:sz w:val="21"/>
                      <w:szCs w:val="21"/>
                      <w:highlight w:val="none"/>
                    </w:rPr>
                    <w:t>本项目情况</w:t>
                  </w:r>
                </w:p>
              </w:tc>
              <w:tc>
                <w:tcPr>
                  <w:tcW w:w="686" w:type="dxa"/>
                  <w:tcBorders>
                    <w:top w:val="single" w:color="auto" w:sz="4" w:space="0"/>
                    <w:left w:val="single" w:color="auto" w:sz="4" w:space="0"/>
                    <w:bottom w:val="single" w:color="auto" w:sz="4" w:space="0"/>
                    <w:right w:val="single" w:color="auto" w:sz="4" w:space="0"/>
                  </w:tcBorders>
                  <w:noWrap w:val="0"/>
                  <w:vAlign w:val="center"/>
                </w:tcPr>
                <w:p w14:paraId="411FD9A9">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color w:val="auto"/>
                      <w:sz w:val="21"/>
                      <w:szCs w:val="21"/>
                      <w:highlight w:val="none"/>
                      <w:u w:val="single"/>
                    </w:rPr>
                  </w:pPr>
                  <w:r>
                    <w:rPr>
                      <w:rFonts w:hint="default" w:ascii="Times New Roman" w:hAnsi="Times New Roman" w:eastAsia="宋体" w:cs="Times New Roman"/>
                      <w:b w:val="0"/>
                      <w:bCs/>
                      <w:color w:val="auto"/>
                      <w:sz w:val="21"/>
                      <w:szCs w:val="21"/>
                      <w:highlight w:val="none"/>
                    </w:rPr>
                    <w:t>是否相符</w:t>
                  </w:r>
                </w:p>
              </w:tc>
            </w:tr>
            <w:tr w14:paraId="2C1D5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6" w:type="dxa"/>
                  <w:tcBorders>
                    <w:top w:val="single" w:color="auto" w:sz="4" w:space="0"/>
                    <w:left w:val="single" w:color="auto" w:sz="4" w:space="0"/>
                    <w:right w:val="single" w:color="auto" w:sz="4" w:space="0"/>
                  </w:tcBorders>
                  <w:noWrap w:val="0"/>
                  <w:vAlign w:val="center"/>
                </w:tcPr>
                <w:p w14:paraId="2BB1FB86">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强化废气预处理</w:t>
                  </w:r>
                </w:p>
              </w:tc>
              <w:tc>
                <w:tcPr>
                  <w:tcW w:w="5047" w:type="dxa"/>
                  <w:tcBorders>
                    <w:top w:val="single" w:color="auto" w:sz="4" w:space="0"/>
                    <w:left w:val="single" w:color="auto" w:sz="4" w:space="0"/>
                    <w:right w:val="single" w:color="auto" w:sz="4" w:space="0"/>
                  </w:tcBorders>
                  <w:noWrap w:val="0"/>
                  <w:vAlign w:val="center"/>
                </w:tcPr>
                <w:p w14:paraId="42694724">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进入活性炭吸附装置的废气，其颗粒物含量应低于10mg/m</w:t>
                  </w:r>
                  <w:r>
                    <w:rPr>
                      <w:rFonts w:hint="default" w:ascii="Times New Roman" w:hAnsi="Times New Roman" w:eastAsia="宋体" w:cs="Times New Roman"/>
                      <w:bCs/>
                      <w:color w:val="auto"/>
                      <w:sz w:val="21"/>
                      <w:szCs w:val="21"/>
                      <w:highlight w:val="none"/>
                      <w:vertAlign w:val="superscript"/>
                    </w:rPr>
                    <w:t>3</w:t>
                  </w:r>
                  <w:r>
                    <w:rPr>
                      <w:rFonts w:hint="default" w:ascii="Times New Roman" w:hAnsi="Times New Roman" w:eastAsia="宋体" w:cs="Times New Roman"/>
                      <w:bCs/>
                      <w:color w:val="auto"/>
                      <w:sz w:val="21"/>
                      <w:szCs w:val="21"/>
                      <w:highlight w:val="none"/>
                    </w:rPr>
                    <w:t>、温度宜低于40℃。采用蜂窝状活性炭的，湿度宜低于60%；采用颗粒状（含柱状）活性炭的，湿度宜低于50%。废气产生工序有颗粒物的，进入活性炭设施前要加装相应除尘设施。有酸碱等水洗前处理工艺或烘干等可能造成气体湿度大的，进入活性炭设施前要加装除湿装置。存在加热环节造成废气温度较高的进入活性炭设施前要加装降温装置。企业应在活性炭吸附单元进口处，安装PLC控制系统或接入DCS控制系统记录启停时间，根据工艺需求配套安装温度计、压差计、湿度计等实时监控进入活性炭吸附装置废气的温度、压差、湿度等参数，相关信息电子台账需保存3个月以上。</w:t>
                  </w:r>
                </w:p>
              </w:tc>
              <w:tc>
                <w:tcPr>
                  <w:tcW w:w="2159" w:type="dxa"/>
                  <w:tcBorders>
                    <w:top w:val="single" w:color="auto" w:sz="4" w:space="0"/>
                    <w:left w:val="single" w:color="auto" w:sz="4" w:space="0"/>
                    <w:right w:val="single" w:color="auto" w:sz="4" w:space="0"/>
                  </w:tcBorders>
                  <w:noWrap w:val="0"/>
                  <w:vAlign w:val="center"/>
                </w:tcPr>
                <w:p w14:paraId="76303429">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本项目</w:t>
                  </w:r>
                  <w:r>
                    <w:rPr>
                      <w:rFonts w:hint="eastAsia" w:cs="Times New Roman"/>
                      <w:bCs/>
                      <w:color w:val="auto"/>
                      <w:sz w:val="21"/>
                      <w:szCs w:val="21"/>
                      <w:highlight w:val="none"/>
                      <w:lang w:eastAsia="zh-CN"/>
                    </w:rPr>
                    <w:t>加热成型</w:t>
                  </w:r>
                  <w:r>
                    <w:rPr>
                      <w:rFonts w:hint="eastAsia" w:ascii="Times New Roman" w:hAnsi="Times New Roman" w:cs="Times New Roman"/>
                      <w:bCs/>
                      <w:color w:val="auto"/>
                      <w:sz w:val="21"/>
                      <w:szCs w:val="21"/>
                      <w:highlight w:val="none"/>
                      <w:lang w:eastAsia="zh-CN"/>
                    </w:rPr>
                    <w:t>工序产生的</w:t>
                  </w:r>
                  <w:r>
                    <w:rPr>
                      <w:rFonts w:hint="eastAsia" w:cs="Times New Roman"/>
                      <w:bCs/>
                      <w:color w:val="auto"/>
                      <w:sz w:val="21"/>
                      <w:szCs w:val="21"/>
                      <w:highlight w:val="none"/>
                      <w:lang w:eastAsia="zh-CN"/>
                    </w:rPr>
                    <w:t>有机</w:t>
                  </w:r>
                  <w:r>
                    <w:rPr>
                      <w:rFonts w:hint="eastAsia" w:ascii="Times New Roman" w:hAnsi="Times New Roman" w:cs="Times New Roman"/>
                      <w:bCs/>
                      <w:color w:val="auto"/>
                      <w:sz w:val="21"/>
                      <w:szCs w:val="21"/>
                      <w:highlight w:val="none"/>
                      <w:lang w:eastAsia="zh-CN"/>
                    </w:rPr>
                    <w:t>废气</w:t>
                  </w:r>
                  <w:r>
                    <w:rPr>
                      <w:rFonts w:hint="eastAsia" w:cs="Times New Roman"/>
                      <w:bCs/>
                      <w:color w:val="auto"/>
                      <w:sz w:val="21"/>
                      <w:szCs w:val="21"/>
                      <w:highlight w:val="none"/>
                      <w:lang w:eastAsia="zh-CN"/>
                    </w:rPr>
                    <w:t>和危废间废气，经过收集后</w:t>
                  </w:r>
                  <w:r>
                    <w:rPr>
                      <w:rFonts w:hint="eastAsia" w:ascii="Times New Roman" w:hAnsi="Times New Roman" w:cs="Times New Roman"/>
                      <w:bCs/>
                      <w:color w:val="auto"/>
                      <w:sz w:val="21"/>
                      <w:szCs w:val="21"/>
                      <w:highlight w:val="none"/>
                      <w:lang w:eastAsia="zh-CN"/>
                    </w:rPr>
                    <w:t>使用蜂窝状活性炭进行处理，其废气中无</w:t>
                  </w:r>
                  <w:r>
                    <w:rPr>
                      <w:rFonts w:hint="default" w:ascii="Times New Roman" w:hAnsi="Times New Roman" w:eastAsia="宋体" w:cs="Times New Roman"/>
                      <w:bCs/>
                      <w:color w:val="auto"/>
                      <w:sz w:val="21"/>
                      <w:szCs w:val="21"/>
                      <w:highlight w:val="none"/>
                    </w:rPr>
                    <w:t>颗粒物</w:t>
                  </w:r>
                  <w:r>
                    <w:rPr>
                      <w:rFonts w:hint="eastAsia" w:ascii="Times New Roman" w:hAnsi="Times New Roman" w:eastAsia="宋体" w:cs="Times New Roman"/>
                      <w:bCs/>
                      <w:color w:val="auto"/>
                      <w:sz w:val="21"/>
                      <w:szCs w:val="21"/>
                      <w:highlight w:val="none"/>
                      <w:lang w:eastAsia="zh-CN"/>
                    </w:rPr>
                    <w:t>污染因子，废气温度低于</w:t>
                  </w:r>
                  <w:r>
                    <w:rPr>
                      <w:rFonts w:hint="default" w:ascii="Times New Roman" w:hAnsi="Times New Roman" w:eastAsia="宋体" w:cs="Times New Roman"/>
                      <w:bCs/>
                      <w:color w:val="auto"/>
                      <w:sz w:val="21"/>
                      <w:szCs w:val="21"/>
                      <w:highlight w:val="none"/>
                    </w:rPr>
                    <w:t>40℃</w:t>
                  </w:r>
                  <w:r>
                    <w:rPr>
                      <w:rFonts w:hint="eastAsia"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企业</w:t>
                  </w:r>
                  <w:r>
                    <w:rPr>
                      <w:rFonts w:hint="eastAsia" w:ascii="Times New Roman" w:hAnsi="Times New Roman" w:eastAsia="宋体" w:cs="Times New Roman"/>
                      <w:bCs/>
                      <w:color w:val="auto"/>
                      <w:sz w:val="21"/>
                      <w:szCs w:val="21"/>
                      <w:highlight w:val="none"/>
                      <w:lang w:eastAsia="zh-CN"/>
                    </w:rPr>
                    <w:t>按照具体要求</w:t>
                  </w:r>
                  <w:r>
                    <w:rPr>
                      <w:rFonts w:hint="default" w:ascii="Times New Roman" w:hAnsi="Times New Roman" w:eastAsia="宋体" w:cs="Times New Roman"/>
                      <w:bCs/>
                      <w:color w:val="auto"/>
                      <w:sz w:val="21"/>
                      <w:szCs w:val="21"/>
                      <w:highlight w:val="none"/>
                    </w:rPr>
                    <w:t>安装PLC控制系统，</w:t>
                  </w:r>
                  <w:r>
                    <w:rPr>
                      <w:rFonts w:hint="eastAsia" w:ascii="Times New Roman" w:hAnsi="Times New Roman" w:eastAsia="宋体" w:cs="Times New Roman"/>
                      <w:bCs/>
                      <w:color w:val="auto"/>
                      <w:sz w:val="21"/>
                      <w:szCs w:val="21"/>
                      <w:highlight w:val="none"/>
                      <w:lang w:eastAsia="zh-CN"/>
                    </w:rPr>
                    <w:t>并记录相关</w:t>
                  </w:r>
                  <w:r>
                    <w:rPr>
                      <w:rFonts w:hint="default" w:ascii="Times New Roman" w:hAnsi="Times New Roman" w:eastAsia="宋体" w:cs="Times New Roman"/>
                      <w:bCs/>
                      <w:color w:val="auto"/>
                      <w:sz w:val="21"/>
                      <w:szCs w:val="21"/>
                      <w:highlight w:val="none"/>
                    </w:rPr>
                    <w:t>信息电子台账</w:t>
                  </w:r>
                  <w:r>
                    <w:rPr>
                      <w:rFonts w:hint="eastAsia" w:ascii="Times New Roman" w:hAnsi="Times New Roman" w:eastAsia="宋体" w:cs="Times New Roman"/>
                      <w:bCs/>
                      <w:color w:val="auto"/>
                      <w:sz w:val="21"/>
                      <w:szCs w:val="21"/>
                      <w:highlight w:val="none"/>
                      <w:lang w:eastAsia="zh-CN"/>
                    </w:rPr>
                    <w:t>且</w:t>
                  </w:r>
                  <w:r>
                    <w:rPr>
                      <w:rFonts w:hint="default" w:ascii="Times New Roman" w:hAnsi="Times New Roman" w:eastAsia="宋体" w:cs="Times New Roman"/>
                      <w:bCs/>
                      <w:color w:val="auto"/>
                      <w:sz w:val="21"/>
                      <w:szCs w:val="21"/>
                      <w:highlight w:val="none"/>
                    </w:rPr>
                    <w:t>保存3个月以上</w:t>
                  </w:r>
                  <w:r>
                    <w:rPr>
                      <w:rFonts w:hint="eastAsia" w:ascii="Times New Roman" w:hAnsi="Times New Roman" w:eastAsia="宋体" w:cs="Times New Roman"/>
                      <w:bCs/>
                      <w:color w:val="auto"/>
                      <w:sz w:val="21"/>
                      <w:szCs w:val="21"/>
                      <w:highlight w:val="none"/>
                      <w:lang w:eastAsia="zh-CN"/>
                    </w:rPr>
                    <w:t>。</w:t>
                  </w:r>
                </w:p>
              </w:tc>
              <w:tc>
                <w:tcPr>
                  <w:tcW w:w="686" w:type="dxa"/>
                  <w:tcBorders>
                    <w:top w:val="single" w:color="auto" w:sz="4" w:space="0"/>
                    <w:left w:val="single" w:color="auto" w:sz="4" w:space="0"/>
                    <w:right w:val="single" w:color="auto" w:sz="4" w:space="0"/>
                  </w:tcBorders>
                  <w:noWrap w:val="0"/>
                  <w:vAlign w:val="center"/>
                </w:tcPr>
                <w:p w14:paraId="5B9D6A25">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lang w:eastAsia="zh-CN"/>
                    </w:rPr>
                    <w:t>相符</w:t>
                  </w:r>
                </w:p>
              </w:tc>
            </w:tr>
            <w:tr w14:paraId="55004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706" w:type="dxa"/>
                  <w:tcBorders>
                    <w:top w:val="single" w:color="auto" w:sz="4" w:space="0"/>
                    <w:left w:val="single" w:color="auto" w:sz="4" w:space="0"/>
                    <w:right w:val="single" w:color="auto" w:sz="4" w:space="0"/>
                  </w:tcBorders>
                  <w:noWrap w:val="0"/>
                  <w:vAlign w:val="center"/>
                </w:tcPr>
                <w:p w14:paraId="2E23EBF6">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 w:val="0"/>
                      <w:bCs w:val="0"/>
                      <w:color w:val="000000"/>
                      <w:sz w:val="21"/>
                      <w:szCs w:val="21"/>
                    </w:rPr>
                    <w:t>规范活性炭处置装置</w:t>
                  </w:r>
                </w:p>
              </w:tc>
              <w:tc>
                <w:tcPr>
                  <w:tcW w:w="5047" w:type="dxa"/>
                  <w:tcBorders>
                    <w:top w:val="single" w:color="auto" w:sz="4" w:space="0"/>
                    <w:left w:val="single" w:color="auto" w:sz="4" w:space="0"/>
                    <w:right w:val="single" w:color="auto" w:sz="4" w:space="0"/>
                  </w:tcBorders>
                  <w:noWrap w:val="0"/>
                  <w:vAlign w:val="center"/>
                </w:tcPr>
                <w:p w14:paraId="6E1EDD56">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 w:val="0"/>
                      <w:bCs w:val="0"/>
                      <w:color w:val="000000"/>
                      <w:sz w:val="21"/>
                      <w:szCs w:val="21"/>
                    </w:rPr>
                    <w:t>合理布置活性炭吸附材料，确保废气均匀穿透。采用颗粒状活性炭时气体流速应低于0.6m/s，采用蜂窝状活性炭时气体流速应低于1.2m/s，严禁出现气体短流情况。</w:t>
                  </w:r>
                </w:p>
              </w:tc>
              <w:tc>
                <w:tcPr>
                  <w:tcW w:w="2159" w:type="dxa"/>
                  <w:tcBorders>
                    <w:top w:val="single" w:color="auto" w:sz="4" w:space="0"/>
                    <w:left w:val="single" w:color="auto" w:sz="4" w:space="0"/>
                    <w:right w:val="single" w:color="auto" w:sz="4" w:space="0"/>
                  </w:tcBorders>
                  <w:noWrap w:val="0"/>
                  <w:vAlign w:val="center"/>
                </w:tcPr>
                <w:p w14:paraId="43868C2F">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eastAsia"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本项目使用蜂窝状活性炭吸附箱，通过设计计算，</w:t>
                  </w:r>
                  <w:r>
                    <w:rPr>
                      <w:rFonts w:hint="default" w:ascii="Times New Roman" w:hAnsi="Times New Roman" w:eastAsia="宋体" w:cs="Times New Roman"/>
                      <w:b w:val="0"/>
                      <w:bCs w:val="0"/>
                      <w:color w:val="000000"/>
                      <w:sz w:val="21"/>
                      <w:szCs w:val="21"/>
                      <w:highlight w:val="none"/>
                    </w:rPr>
                    <w:t>气体流速</w:t>
                  </w:r>
                  <w:r>
                    <w:rPr>
                      <w:rFonts w:hint="eastAsia" w:ascii="Times New Roman" w:hAnsi="Times New Roman" w:eastAsia="宋体" w:cs="Times New Roman"/>
                      <w:b w:val="0"/>
                      <w:bCs w:val="0"/>
                      <w:color w:val="000000"/>
                      <w:sz w:val="21"/>
                      <w:szCs w:val="21"/>
                      <w:highlight w:val="none"/>
                      <w:lang w:eastAsia="zh-CN"/>
                    </w:rPr>
                    <w:t>为</w:t>
                  </w:r>
                  <w:r>
                    <w:rPr>
                      <w:rFonts w:hint="eastAsia" w:ascii="Times New Roman" w:hAnsi="Times New Roman" w:eastAsia="宋体" w:cs="Times New Roman"/>
                      <w:b w:val="0"/>
                      <w:bCs w:val="0"/>
                      <w:color w:val="000000"/>
                      <w:sz w:val="21"/>
                      <w:szCs w:val="21"/>
                      <w:highlight w:val="none"/>
                      <w:lang w:val="en-US" w:eastAsia="zh-CN"/>
                    </w:rPr>
                    <w:t>0.</w:t>
                  </w:r>
                  <w:r>
                    <w:rPr>
                      <w:rFonts w:hint="eastAsia" w:cs="Times New Roman"/>
                      <w:b w:val="0"/>
                      <w:bCs w:val="0"/>
                      <w:color w:val="000000"/>
                      <w:sz w:val="21"/>
                      <w:szCs w:val="21"/>
                      <w:highlight w:val="none"/>
                      <w:lang w:val="en-US" w:eastAsia="zh-CN"/>
                    </w:rPr>
                    <w:t>62</w:t>
                  </w:r>
                  <w:r>
                    <w:rPr>
                      <w:rFonts w:hint="default" w:ascii="Times New Roman" w:hAnsi="Times New Roman" w:eastAsia="宋体" w:cs="Times New Roman"/>
                      <w:b w:val="0"/>
                      <w:bCs w:val="0"/>
                      <w:color w:val="000000"/>
                      <w:sz w:val="21"/>
                      <w:szCs w:val="21"/>
                      <w:highlight w:val="none"/>
                    </w:rPr>
                    <w:t>m/s</w:t>
                  </w:r>
                  <w:r>
                    <w:rPr>
                      <w:rFonts w:hint="eastAsia" w:ascii="Times New Roman" w:hAnsi="Times New Roman" w:eastAsia="宋体" w:cs="Times New Roman"/>
                      <w:b w:val="0"/>
                      <w:bCs w:val="0"/>
                      <w:color w:val="000000"/>
                      <w:sz w:val="21"/>
                      <w:szCs w:val="21"/>
                      <w:highlight w:val="none"/>
                      <w:lang w:eastAsia="zh-CN"/>
                    </w:rPr>
                    <w:t>，小于</w:t>
                  </w:r>
                  <w:r>
                    <w:rPr>
                      <w:rFonts w:hint="default" w:ascii="Times New Roman" w:hAnsi="Times New Roman" w:eastAsia="宋体" w:cs="Times New Roman"/>
                      <w:b w:val="0"/>
                      <w:bCs w:val="0"/>
                      <w:color w:val="000000"/>
                      <w:sz w:val="21"/>
                      <w:szCs w:val="21"/>
                      <w:highlight w:val="none"/>
                    </w:rPr>
                    <w:t>1.2m/s</w:t>
                  </w:r>
                  <w:r>
                    <w:rPr>
                      <w:rFonts w:hint="eastAsia" w:ascii="Times New Roman" w:hAnsi="Times New Roman" w:eastAsia="宋体" w:cs="Times New Roman"/>
                      <w:b w:val="0"/>
                      <w:bCs w:val="0"/>
                      <w:color w:val="000000"/>
                      <w:sz w:val="21"/>
                      <w:szCs w:val="21"/>
                      <w:highlight w:val="none"/>
                      <w:lang w:eastAsia="zh-CN"/>
                    </w:rPr>
                    <w:t>。</w:t>
                  </w:r>
                </w:p>
              </w:tc>
              <w:tc>
                <w:tcPr>
                  <w:tcW w:w="686" w:type="dxa"/>
                  <w:tcBorders>
                    <w:top w:val="single" w:color="auto" w:sz="4" w:space="0"/>
                    <w:left w:val="single" w:color="auto" w:sz="4" w:space="0"/>
                    <w:right w:val="single" w:color="auto" w:sz="4" w:space="0"/>
                  </w:tcBorders>
                  <w:noWrap w:val="0"/>
                  <w:vAlign w:val="center"/>
                </w:tcPr>
                <w:p w14:paraId="1623A4FF">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相符</w:t>
                  </w:r>
                </w:p>
              </w:tc>
            </w:tr>
            <w:tr w14:paraId="52288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06" w:type="dxa"/>
                  <w:tcBorders>
                    <w:top w:val="single" w:color="auto" w:sz="4" w:space="0"/>
                    <w:left w:val="single" w:color="auto" w:sz="4" w:space="0"/>
                    <w:right w:val="single" w:color="auto" w:sz="4" w:space="0"/>
                  </w:tcBorders>
                  <w:noWrap w:val="0"/>
                  <w:vAlign w:val="center"/>
                </w:tcPr>
                <w:p w14:paraId="4D3B8B6B">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保证活性炭质量</w:t>
                  </w:r>
                </w:p>
              </w:tc>
              <w:tc>
                <w:tcPr>
                  <w:tcW w:w="5047" w:type="dxa"/>
                  <w:tcBorders>
                    <w:top w:val="single" w:color="auto" w:sz="4" w:space="0"/>
                    <w:left w:val="single" w:color="auto" w:sz="4" w:space="0"/>
                    <w:right w:val="single" w:color="auto" w:sz="4" w:space="0"/>
                  </w:tcBorders>
                  <w:noWrap w:val="0"/>
                  <w:vAlign w:val="center"/>
                </w:tcPr>
                <w:p w14:paraId="42E8BC13">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优先使用颗粒状（含柱状）活性炭，有自脱附设施的可采用蜂窝状活性炭。采用颗粒状（含柱状）活性炭作为吸附剂时，其碘值应不低于800mg/g；使用蜂窝活性炭作为吸附剂时，其碘值应不低于650mg/g，蜂窝活性炭比表面积不低于750m</w:t>
                  </w:r>
                  <w:r>
                    <w:rPr>
                      <w:rFonts w:hint="default" w:ascii="Times New Roman" w:hAnsi="Times New Roman" w:eastAsia="宋体" w:cs="Times New Roman"/>
                      <w:bCs/>
                      <w:color w:val="auto"/>
                      <w:sz w:val="21"/>
                      <w:szCs w:val="21"/>
                      <w:highlight w:val="none"/>
                      <w:vertAlign w:val="superscript"/>
                    </w:rPr>
                    <w:t>2</w:t>
                  </w:r>
                  <w:r>
                    <w:rPr>
                      <w:rFonts w:hint="default" w:ascii="Times New Roman" w:hAnsi="Times New Roman" w:eastAsia="宋体" w:cs="Times New Roman"/>
                      <w:bCs/>
                      <w:color w:val="auto"/>
                      <w:sz w:val="21"/>
                      <w:szCs w:val="21"/>
                      <w:highlight w:val="none"/>
                    </w:rPr>
                    <w:t>/g。企业应对所使用的活性炭的质量进行负责，并对所使用活性炭碘值进行检测。原则上检测频次不低于半年一次，更换活性炭供应厂家时，需对新更换的活性炭碘值进行检测。</w:t>
                  </w:r>
                </w:p>
              </w:tc>
              <w:tc>
                <w:tcPr>
                  <w:tcW w:w="2159" w:type="dxa"/>
                  <w:tcBorders>
                    <w:top w:val="single" w:color="auto" w:sz="4" w:space="0"/>
                    <w:left w:val="single" w:color="auto" w:sz="4" w:space="0"/>
                    <w:right w:val="single" w:color="auto" w:sz="4" w:space="0"/>
                  </w:tcBorders>
                  <w:noWrap w:val="0"/>
                  <w:vAlign w:val="center"/>
                </w:tcPr>
                <w:p w14:paraId="75268D36">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eastAsia="宋体" w:cs="Times New Roman"/>
                      <w:bCs/>
                      <w:color w:val="auto"/>
                      <w:sz w:val="21"/>
                      <w:szCs w:val="21"/>
                      <w:highlight w:val="none"/>
                      <w:lang w:eastAsia="zh-CN"/>
                    </w:rPr>
                    <w:t>评价要求企业</w:t>
                  </w:r>
                  <w:r>
                    <w:rPr>
                      <w:rFonts w:hint="default" w:ascii="Times New Roman" w:hAnsi="Times New Roman" w:eastAsia="宋体" w:cs="Times New Roman"/>
                      <w:bCs/>
                      <w:color w:val="auto"/>
                      <w:sz w:val="21"/>
                      <w:szCs w:val="21"/>
                      <w:highlight w:val="none"/>
                    </w:rPr>
                    <w:t>使用</w:t>
                  </w:r>
                  <w:r>
                    <w:rPr>
                      <w:rFonts w:hint="eastAsia"/>
                      <w:bCs/>
                      <w:sz w:val="21"/>
                      <w:szCs w:val="21"/>
                      <w:highlight w:val="none"/>
                      <w:lang w:val="en-US" w:eastAsia="zh-CN" w:bidi="ar-SA"/>
                    </w:rPr>
                    <w:t>蜂窝状活性炭</w:t>
                  </w:r>
                  <w:r>
                    <w:rPr>
                      <w:rFonts w:hint="eastAsia"/>
                      <w:bCs/>
                      <w:color w:val="000000"/>
                      <w:sz w:val="21"/>
                      <w:szCs w:val="21"/>
                      <w:highlight w:val="none"/>
                      <w:lang w:val="en-US" w:eastAsia="zh-CN" w:bidi="ar-SA"/>
                    </w:rPr>
                    <w:t>碘值≥650mg/g、比表面积应不低于750m</w:t>
                  </w:r>
                  <w:r>
                    <w:rPr>
                      <w:rFonts w:hint="eastAsia"/>
                      <w:bCs/>
                      <w:color w:val="000000"/>
                      <w:sz w:val="21"/>
                      <w:szCs w:val="21"/>
                      <w:highlight w:val="none"/>
                      <w:vertAlign w:val="superscript"/>
                      <w:lang w:val="en-US" w:eastAsia="zh-CN" w:bidi="ar-SA"/>
                    </w:rPr>
                    <w:t>2</w:t>
                  </w:r>
                  <w:r>
                    <w:rPr>
                      <w:rFonts w:hint="eastAsia"/>
                      <w:bCs/>
                      <w:color w:val="000000"/>
                      <w:sz w:val="21"/>
                      <w:szCs w:val="21"/>
                      <w:highlight w:val="none"/>
                      <w:lang w:val="en-US" w:eastAsia="zh-CN" w:bidi="ar-SA"/>
                    </w:rPr>
                    <w:t>/g</w:t>
                  </w:r>
                  <w:r>
                    <w:rPr>
                      <w:rFonts w:hint="default" w:ascii="Times New Roman" w:hAnsi="Times New Roman" w:eastAsia="宋体" w:cs="Times New Roman"/>
                      <w:bCs/>
                      <w:color w:val="auto"/>
                      <w:sz w:val="21"/>
                      <w:szCs w:val="21"/>
                      <w:highlight w:val="none"/>
                    </w:rPr>
                    <w:t>。企业对所使用的活性炭的质量进行负责，并对所使用活性炭碘值进行</w:t>
                  </w:r>
                  <w:r>
                    <w:rPr>
                      <w:rFonts w:hint="eastAsia" w:ascii="Times New Roman" w:hAnsi="Times New Roman" w:eastAsia="宋体" w:cs="Times New Roman"/>
                      <w:bCs/>
                      <w:color w:val="auto"/>
                      <w:sz w:val="21"/>
                      <w:szCs w:val="21"/>
                      <w:highlight w:val="none"/>
                      <w:lang w:eastAsia="zh-CN"/>
                    </w:rPr>
                    <w:t>定期</w:t>
                  </w:r>
                  <w:r>
                    <w:rPr>
                      <w:rFonts w:hint="default" w:ascii="Times New Roman" w:hAnsi="Times New Roman" w:eastAsia="宋体" w:cs="Times New Roman"/>
                      <w:bCs/>
                      <w:color w:val="auto"/>
                      <w:sz w:val="21"/>
                      <w:szCs w:val="21"/>
                      <w:highlight w:val="none"/>
                    </w:rPr>
                    <w:t>检测。</w:t>
                  </w:r>
                </w:p>
              </w:tc>
              <w:tc>
                <w:tcPr>
                  <w:tcW w:w="686" w:type="dxa"/>
                  <w:tcBorders>
                    <w:top w:val="single" w:color="auto" w:sz="4" w:space="0"/>
                    <w:left w:val="single" w:color="auto" w:sz="4" w:space="0"/>
                    <w:right w:val="single" w:color="auto" w:sz="4" w:space="0"/>
                  </w:tcBorders>
                  <w:noWrap w:val="0"/>
                  <w:vAlign w:val="center"/>
                </w:tcPr>
                <w:p w14:paraId="7EEEAEF3">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相符</w:t>
                  </w:r>
                </w:p>
              </w:tc>
            </w:tr>
            <w:tr w14:paraId="6D843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3" w:hRule="atLeast"/>
                <w:jc w:val="center"/>
              </w:trPr>
              <w:tc>
                <w:tcPr>
                  <w:tcW w:w="706" w:type="dxa"/>
                  <w:tcBorders>
                    <w:top w:val="single" w:color="auto" w:sz="4" w:space="0"/>
                    <w:left w:val="single" w:color="auto" w:sz="4" w:space="0"/>
                    <w:right w:val="single" w:color="auto" w:sz="4" w:space="0"/>
                  </w:tcBorders>
                  <w:noWrap w:val="0"/>
                  <w:vAlign w:val="center"/>
                </w:tcPr>
                <w:p w14:paraId="7A1D9371">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明确填充量和更换时间</w:t>
                  </w:r>
                </w:p>
              </w:tc>
              <w:tc>
                <w:tcPr>
                  <w:tcW w:w="5047" w:type="dxa"/>
                  <w:tcBorders>
                    <w:top w:val="single" w:color="auto" w:sz="4" w:space="0"/>
                    <w:left w:val="single" w:color="auto" w:sz="4" w:space="0"/>
                    <w:right w:val="single" w:color="auto" w:sz="4" w:space="0"/>
                  </w:tcBorders>
                  <w:noWrap w:val="0"/>
                  <w:vAlign w:val="center"/>
                </w:tcPr>
                <w:p w14:paraId="32C89DF8">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颗粒状活性炭填充量与每小时处理废气量体积之比不小于1:7000，蜂窝活性炭填充量与每小时处理废气量体积之比不小于1:5000，活性炭填充量最低不低于0.5m</w:t>
                  </w:r>
                  <w:r>
                    <w:rPr>
                      <w:rFonts w:hint="default" w:ascii="Times New Roman" w:hAnsi="Times New Roman" w:eastAsia="宋体" w:cs="Times New Roman"/>
                      <w:bCs/>
                      <w:color w:val="auto"/>
                      <w:sz w:val="21"/>
                      <w:szCs w:val="21"/>
                      <w:highlight w:val="none"/>
                      <w:vertAlign w:val="superscript"/>
                    </w:rPr>
                    <w:t>3</w:t>
                  </w:r>
                  <w:r>
                    <w:rPr>
                      <w:rFonts w:hint="default" w:ascii="Times New Roman" w:hAnsi="Times New Roman" w:eastAsia="宋体" w:cs="Times New Roman"/>
                      <w:bCs/>
                      <w:color w:val="auto"/>
                      <w:sz w:val="21"/>
                      <w:szCs w:val="21"/>
                      <w:highlight w:val="none"/>
                    </w:rPr>
                    <w:t>。活性炭更换时，新换活性炭要保留样品备查。企业应制定一厂一策活性炭使用规范，根据废气VOCs浓度和活性炭填充量等信息，计算活性炭更换周期；原则上活性炭更换周期一般不应超过累计运行500小时或连续运行3个月，有原位再生装置（自脱附处理设施）除外。</w:t>
                  </w:r>
                </w:p>
              </w:tc>
              <w:tc>
                <w:tcPr>
                  <w:tcW w:w="2159" w:type="dxa"/>
                  <w:tcBorders>
                    <w:top w:val="single" w:color="auto" w:sz="4" w:space="0"/>
                    <w:left w:val="single" w:color="auto" w:sz="4" w:space="0"/>
                    <w:right w:val="single" w:color="auto" w:sz="4" w:space="0"/>
                  </w:tcBorders>
                  <w:noWrap w:val="0"/>
                  <w:vAlign w:val="center"/>
                </w:tcPr>
                <w:p w14:paraId="22381946">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eastAsia="zh-CN"/>
                    </w:rPr>
                    <w:t>蜂窝活性炭填充量与每小时处理废气量体积之比为1:</w:t>
                  </w:r>
                  <w:r>
                    <w:rPr>
                      <w:rFonts w:hint="eastAsia" w:cs="Times New Roman"/>
                      <w:bCs/>
                      <w:color w:val="auto"/>
                      <w:sz w:val="21"/>
                      <w:szCs w:val="21"/>
                      <w:highlight w:val="none"/>
                      <w:lang w:val="en-US" w:eastAsia="zh-CN"/>
                    </w:rPr>
                    <w:t>5000</w:t>
                  </w:r>
                  <w:r>
                    <w:rPr>
                      <w:rFonts w:hint="default" w:ascii="Times New Roman" w:hAnsi="Times New Roman" w:eastAsia="宋体" w:cs="Times New Roman"/>
                      <w:bCs/>
                      <w:color w:val="auto"/>
                      <w:sz w:val="21"/>
                      <w:szCs w:val="21"/>
                      <w:highlight w:val="none"/>
                      <w:lang w:eastAsia="zh-CN"/>
                    </w:rPr>
                    <w:t>，</w:t>
                  </w:r>
                  <w:r>
                    <w:rPr>
                      <w:rFonts w:hint="eastAsia" w:cs="Times New Roman"/>
                      <w:bCs/>
                      <w:color w:val="auto"/>
                      <w:sz w:val="21"/>
                      <w:szCs w:val="21"/>
                      <w:highlight w:val="none"/>
                      <w:lang w:eastAsia="zh-CN"/>
                    </w:rPr>
                    <w:t>不小于</w:t>
                  </w:r>
                  <w:r>
                    <w:rPr>
                      <w:rFonts w:hint="default" w:ascii="Times New Roman" w:hAnsi="Times New Roman" w:eastAsia="宋体" w:cs="Times New Roman"/>
                      <w:bCs/>
                      <w:color w:val="auto"/>
                      <w:sz w:val="21"/>
                      <w:szCs w:val="21"/>
                      <w:highlight w:val="none"/>
                      <w:lang w:eastAsia="zh-CN"/>
                    </w:rPr>
                    <w:t>1:5000，</w:t>
                  </w:r>
                  <w:r>
                    <w:rPr>
                      <w:rFonts w:hint="default" w:ascii="Times New Roman" w:hAnsi="Times New Roman" w:eastAsia="宋体" w:cs="Times New Roman"/>
                      <w:bCs/>
                      <w:color w:val="auto"/>
                      <w:sz w:val="21"/>
                      <w:szCs w:val="21"/>
                      <w:highlight w:val="none"/>
                    </w:rPr>
                    <w:t>活性炭填充量</w:t>
                  </w:r>
                  <w:r>
                    <w:rPr>
                      <w:rFonts w:hint="eastAsia" w:ascii="Times New Roman" w:hAnsi="Times New Roman" w:eastAsia="宋体" w:cs="Times New Roman"/>
                      <w:bCs/>
                      <w:color w:val="auto"/>
                      <w:sz w:val="21"/>
                      <w:szCs w:val="21"/>
                      <w:highlight w:val="none"/>
                      <w:lang w:eastAsia="zh-CN"/>
                    </w:rPr>
                    <w:t>为</w:t>
                  </w:r>
                  <w:r>
                    <w:rPr>
                      <w:rFonts w:hint="eastAsia" w:cs="Times New Roman"/>
                      <w:bCs/>
                      <w:color w:val="auto"/>
                      <w:sz w:val="21"/>
                      <w:szCs w:val="21"/>
                      <w:highlight w:val="none"/>
                      <w:lang w:val="en-US" w:eastAsia="zh-CN"/>
                    </w:rPr>
                    <w:t>1.43</w:t>
                  </w:r>
                  <w:r>
                    <w:rPr>
                      <w:rFonts w:hint="default" w:ascii="Times New Roman" w:hAnsi="Times New Roman" w:eastAsia="宋体" w:cs="Times New Roman"/>
                      <w:bCs/>
                      <w:color w:val="auto"/>
                      <w:sz w:val="21"/>
                      <w:szCs w:val="21"/>
                      <w:highlight w:val="none"/>
                    </w:rPr>
                    <w:t>m</w:t>
                  </w:r>
                  <w:r>
                    <w:rPr>
                      <w:rFonts w:hint="default" w:ascii="Times New Roman" w:hAnsi="Times New Roman" w:eastAsia="宋体" w:cs="Times New Roman"/>
                      <w:bCs/>
                      <w:color w:val="auto"/>
                      <w:sz w:val="21"/>
                      <w:szCs w:val="21"/>
                      <w:highlight w:val="none"/>
                      <w:vertAlign w:val="superscript"/>
                    </w:rPr>
                    <w:t>3</w:t>
                  </w:r>
                  <w:r>
                    <w:rPr>
                      <w:rFonts w:hint="eastAsia"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不低于0.5m</w:t>
                  </w:r>
                  <w:r>
                    <w:rPr>
                      <w:rFonts w:hint="default" w:ascii="Times New Roman" w:hAnsi="Times New Roman" w:eastAsia="宋体" w:cs="Times New Roman"/>
                      <w:bCs/>
                      <w:color w:val="auto"/>
                      <w:sz w:val="21"/>
                      <w:szCs w:val="21"/>
                      <w:highlight w:val="none"/>
                      <w:vertAlign w:val="superscript"/>
                    </w:rPr>
                    <w:t>3</w:t>
                  </w:r>
                  <w:r>
                    <w:rPr>
                      <w:rFonts w:hint="eastAsia"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活性炭更换时，新换活性炭要保留样品备查</w:t>
                  </w:r>
                  <w:r>
                    <w:rPr>
                      <w:rFonts w:hint="eastAsia" w:ascii="Times New Roman" w:hAnsi="Times New Roman" w:eastAsia="宋体" w:cs="Times New Roman"/>
                      <w:bCs/>
                      <w:color w:val="auto"/>
                      <w:sz w:val="21"/>
                      <w:szCs w:val="21"/>
                      <w:highlight w:val="none"/>
                      <w:lang w:eastAsia="zh-CN"/>
                    </w:rPr>
                    <w:t>，本项目活性炭</w:t>
                  </w:r>
                  <w:r>
                    <w:rPr>
                      <w:rFonts w:hint="eastAsia" w:cs="Times New Roman"/>
                      <w:bCs/>
                      <w:color w:val="auto"/>
                      <w:sz w:val="21"/>
                      <w:szCs w:val="21"/>
                      <w:highlight w:val="none"/>
                      <w:lang w:eastAsia="zh-CN"/>
                    </w:rPr>
                    <w:t>累计运行</w:t>
                  </w:r>
                  <w:r>
                    <w:rPr>
                      <w:rFonts w:hint="eastAsia" w:cs="Times New Roman"/>
                      <w:bCs/>
                      <w:color w:val="auto"/>
                      <w:sz w:val="21"/>
                      <w:szCs w:val="21"/>
                      <w:highlight w:val="none"/>
                      <w:lang w:val="en-US" w:eastAsia="zh-CN"/>
                    </w:rPr>
                    <w:t>500小时更换</w:t>
                  </w:r>
                  <w:r>
                    <w:rPr>
                      <w:rFonts w:hint="eastAsia" w:ascii="Times New Roman" w:hAnsi="Times New Roman" w:eastAsia="宋体" w:cs="Times New Roman"/>
                      <w:bCs/>
                      <w:color w:val="auto"/>
                      <w:sz w:val="21"/>
                      <w:szCs w:val="21"/>
                      <w:highlight w:val="none"/>
                      <w:lang w:val="en-US" w:eastAsia="zh-CN"/>
                    </w:rPr>
                    <w:t>一次</w:t>
                  </w:r>
                  <w:r>
                    <w:rPr>
                      <w:rFonts w:hint="eastAsia" w:cs="Times New Roman"/>
                      <w:bCs/>
                      <w:color w:val="auto"/>
                      <w:sz w:val="21"/>
                      <w:szCs w:val="21"/>
                      <w:highlight w:val="none"/>
                      <w:lang w:val="en-US" w:eastAsia="zh-CN"/>
                    </w:rPr>
                    <w:t>，更换周期为5次/年。</w:t>
                  </w:r>
                </w:p>
              </w:tc>
              <w:tc>
                <w:tcPr>
                  <w:tcW w:w="686" w:type="dxa"/>
                  <w:tcBorders>
                    <w:top w:val="single" w:color="auto" w:sz="4" w:space="0"/>
                    <w:left w:val="single" w:color="auto" w:sz="4" w:space="0"/>
                    <w:right w:val="single" w:color="auto" w:sz="4" w:space="0"/>
                  </w:tcBorders>
                  <w:noWrap w:val="0"/>
                  <w:vAlign w:val="center"/>
                </w:tcPr>
                <w:p w14:paraId="2825C4D3">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相符</w:t>
                  </w:r>
                </w:p>
              </w:tc>
            </w:tr>
            <w:tr w14:paraId="10447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706" w:type="dxa"/>
                  <w:tcBorders>
                    <w:top w:val="single" w:color="auto" w:sz="4" w:space="0"/>
                    <w:left w:val="single" w:color="auto" w:sz="4" w:space="0"/>
                    <w:right w:val="single" w:color="auto" w:sz="4" w:space="0"/>
                  </w:tcBorders>
                  <w:noWrap w:val="0"/>
                  <w:vAlign w:val="center"/>
                </w:tcPr>
                <w:p w14:paraId="4EC9DAF2">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规范废活性炭处理</w:t>
                  </w:r>
                </w:p>
              </w:tc>
              <w:tc>
                <w:tcPr>
                  <w:tcW w:w="5047" w:type="dxa"/>
                  <w:tcBorders>
                    <w:top w:val="single" w:color="auto" w:sz="4" w:space="0"/>
                    <w:left w:val="single" w:color="auto" w:sz="4" w:space="0"/>
                    <w:right w:val="single" w:color="auto" w:sz="4" w:space="0"/>
                  </w:tcBorders>
                  <w:noWrap w:val="0"/>
                  <w:vAlign w:val="center"/>
                </w:tcPr>
                <w:p w14:paraId="0F52BCE7">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更换下来的废活性炭应委托有资质的专业机构进行处置，对没有自脱附设施的废活性炭鼓励送入专业脱附再生利用处置机构处理，废活性炭进行脱附再生或热处理再生过程需符合《废活性炭热处理再生技术规范》（T/ZGZS0308-2023）相关规范。</w:t>
                  </w:r>
                </w:p>
              </w:tc>
              <w:tc>
                <w:tcPr>
                  <w:tcW w:w="2159" w:type="dxa"/>
                  <w:tcBorders>
                    <w:top w:val="single" w:color="auto" w:sz="4" w:space="0"/>
                    <w:left w:val="single" w:color="auto" w:sz="4" w:space="0"/>
                    <w:right w:val="single" w:color="auto" w:sz="4" w:space="0"/>
                  </w:tcBorders>
                  <w:noWrap w:val="0"/>
                  <w:vAlign w:val="center"/>
                </w:tcPr>
                <w:p w14:paraId="6B7A944D">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本项目更换下来的废活性炭暂存于危废间，并定期交由有资质单位安全处理。</w:t>
                  </w:r>
                </w:p>
              </w:tc>
              <w:tc>
                <w:tcPr>
                  <w:tcW w:w="686" w:type="dxa"/>
                  <w:tcBorders>
                    <w:top w:val="single" w:color="auto" w:sz="4" w:space="0"/>
                    <w:left w:val="single" w:color="auto" w:sz="4" w:space="0"/>
                    <w:right w:val="single" w:color="auto" w:sz="4" w:space="0"/>
                  </w:tcBorders>
                  <w:noWrap w:val="0"/>
                  <w:vAlign w:val="center"/>
                </w:tcPr>
                <w:p w14:paraId="0A3C3A4B">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相符</w:t>
                  </w:r>
                </w:p>
              </w:tc>
            </w:tr>
            <w:tr w14:paraId="510CA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06" w:type="dxa"/>
                  <w:tcBorders>
                    <w:top w:val="single" w:color="auto" w:sz="4" w:space="0"/>
                    <w:left w:val="single" w:color="auto" w:sz="4" w:space="0"/>
                    <w:right w:val="single" w:color="auto" w:sz="4" w:space="0"/>
                  </w:tcBorders>
                  <w:noWrap w:val="0"/>
                  <w:vAlign w:val="center"/>
                </w:tcPr>
                <w:p w14:paraId="2A980324">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完善台账记录</w:t>
                  </w:r>
                </w:p>
              </w:tc>
              <w:tc>
                <w:tcPr>
                  <w:tcW w:w="5047" w:type="dxa"/>
                  <w:tcBorders>
                    <w:top w:val="single" w:color="auto" w:sz="4" w:space="0"/>
                    <w:left w:val="single" w:color="auto" w:sz="4" w:space="0"/>
                    <w:right w:val="single" w:color="auto" w:sz="4" w:space="0"/>
                  </w:tcBorders>
                  <w:noWrap w:val="0"/>
                  <w:vAlign w:val="center"/>
                </w:tcPr>
                <w:p w14:paraId="1BEF31F7">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企业应按要求做好活性炭使用管理台账，具体包括：活性炭吸附装置启停时间、设备运行情况，活性炭种类、采购信息（含碘值检测报告等）、装填或更换的数量和时间，以及废活性炭产生、贮存、处置等内容。</w:t>
                  </w:r>
                </w:p>
              </w:tc>
              <w:tc>
                <w:tcPr>
                  <w:tcW w:w="2159" w:type="dxa"/>
                  <w:tcBorders>
                    <w:top w:val="single" w:color="auto" w:sz="4" w:space="0"/>
                    <w:left w:val="single" w:color="auto" w:sz="4" w:space="0"/>
                    <w:right w:val="single" w:color="auto" w:sz="4" w:space="0"/>
                  </w:tcBorders>
                  <w:noWrap w:val="0"/>
                  <w:vAlign w:val="center"/>
                </w:tcPr>
                <w:p w14:paraId="56E4CCD5">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 w:val="0"/>
                      <w:bCs w:val="0"/>
                      <w:color w:val="000000"/>
                      <w:sz w:val="21"/>
                      <w:szCs w:val="21"/>
                      <w:highlight w:val="none"/>
                      <w:u w:val="none"/>
                      <w:lang w:eastAsia="zh-CN"/>
                    </w:rPr>
                    <w:t>本项目建成后按要求进行</w:t>
                  </w:r>
                  <w:r>
                    <w:rPr>
                      <w:rFonts w:hint="eastAsia" w:ascii="Times New Roman" w:hAnsi="Times New Roman" w:eastAsia="宋体" w:cs="Times New Roman"/>
                      <w:b w:val="0"/>
                      <w:bCs w:val="0"/>
                      <w:color w:val="000000"/>
                      <w:sz w:val="21"/>
                      <w:szCs w:val="21"/>
                      <w:highlight w:val="none"/>
                      <w:u w:val="none"/>
                      <w:lang w:eastAsia="zh-CN"/>
                    </w:rPr>
                    <w:t>活性炭使用管理台账</w:t>
                  </w:r>
                  <w:r>
                    <w:rPr>
                      <w:rFonts w:hint="default" w:ascii="Times New Roman" w:hAnsi="Times New Roman" w:eastAsia="宋体" w:cs="Times New Roman"/>
                      <w:b w:val="0"/>
                      <w:bCs w:val="0"/>
                      <w:color w:val="000000"/>
                      <w:sz w:val="21"/>
                      <w:szCs w:val="21"/>
                      <w:highlight w:val="none"/>
                      <w:u w:val="none"/>
                      <w:lang w:eastAsia="zh-CN"/>
                    </w:rPr>
                    <w:t>。</w:t>
                  </w:r>
                </w:p>
              </w:tc>
              <w:tc>
                <w:tcPr>
                  <w:tcW w:w="686" w:type="dxa"/>
                  <w:tcBorders>
                    <w:top w:val="single" w:color="auto" w:sz="4" w:space="0"/>
                    <w:left w:val="single" w:color="auto" w:sz="4" w:space="0"/>
                    <w:right w:val="single" w:color="auto" w:sz="4" w:space="0"/>
                  </w:tcBorders>
                  <w:noWrap w:val="0"/>
                  <w:vAlign w:val="center"/>
                </w:tcPr>
                <w:p w14:paraId="14C902B2">
                  <w:pPr>
                    <w:keepNext w:val="0"/>
                    <w:keepLines w:val="0"/>
                    <w:pageBreakBefore w:val="0"/>
                    <w:widowControl w:val="0"/>
                    <w:kinsoku/>
                    <w:wordWrap w:val="0"/>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eastAsia" w:ascii="Times New Roman" w:hAnsi="Times New Roman" w:cs="Times New Roman"/>
                      <w:bCs/>
                      <w:color w:val="auto"/>
                      <w:sz w:val="21"/>
                      <w:szCs w:val="21"/>
                      <w:highlight w:val="none"/>
                      <w:lang w:eastAsia="zh-CN"/>
                    </w:rPr>
                    <w:t>相符</w:t>
                  </w:r>
                </w:p>
              </w:tc>
            </w:tr>
          </w:tbl>
          <w:p w14:paraId="0FB56CF8">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jc w:val="both"/>
              <w:textAlignment w:val="auto"/>
              <w:rPr>
                <w:rFonts w:hint="default" w:ascii="Times New Roman" w:hAnsi="Times New Roman" w:cs="Times New Roman"/>
                <w:b w:val="0"/>
                <w:bCs w:val="0"/>
                <w:sz w:val="24"/>
                <w:highlight w:val="none"/>
                <w:lang w:val="en-US" w:eastAsia="zh-CN"/>
              </w:rPr>
            </w:pPr>
            <w:r>
              <w:rPr>
                <w:rFonts w:hint="default" w:ascii="Times New Roman" w:hAnsi="Times New Roman" w:eastAsia="宋体" w:cs="Times New Roman"/>
                <w:color w:val="auto"/>
                <w:sz w:val="24"/>
                <w:highlight w:val="none"/>
              </w:rPr>
              <w:t>由上表可知，</w:t>
            </w:r>
            <w:r>
              <w:rPr>
                <w:rFonts w:hint="eastAsia" w:ascii="Times New Roman" w:hAnsi="Times New Roman" w:eastAsia="宋体" w:cs="Times New Roman"/>
                <w:b w:val="0"/>
                <w:bCs w:val="0"/>
                <w:color w:val="auto"/>
                <w:sz w:val="24"/>
                <w:highlight w:val="none"/>
                <w:lang w:eastAsia="zh-CN"/>
              </w:rPr>
              <w:t>有机废气</w:t>
            </w:r>
            <w:r>
              <w:rPr>
                <w:rFonts w:hint="eastAsia" w:ascii="Times New Roman" w:hAnsi="Times New Roman" w:eastAsia="宋体" w:cs="Times New Roman"/>
                <w:b w:val="0"/>
                <w:bCs w:val="0"/>
                <w:sz w:val="24"/>
                <w:highlight w:val="none"/>
                <w:lang w:eastAsia="zh-CN"/>
              </w:rPr>
              <w:t>治理过程中使用的活性炭管理措施符合焦作市生态环境局发布的</w:t>
            </w:r>
            <w:r>
              <w:rPr>
                <w:rFonts w:hint="default" w:ascii="Times New Roman" w:hAnsi="Times New Roman" w:eastAsia="宋体" w:cs="Times New Roman"/>
                <w:b w:val="0"/>
                <w:bCs w:val="0"/>
                <w:sz w:val="24"/>
                <w:highlight w:val="none"/>
              </w:rPr>
              <w:t>《</w:t>
            </w:r>
            <w:r>
              <w:rPr>
                <w:rFonts w:hint="eastAsia" w:ascii="Times New Roman" w:hAnsi="Times New Roman" w:eastAsia="宋体" w:cs="Times New Roman"/>
                <w:b w:val="0"/>
                <w:bCs w:val="0"/>
                <w:sz w:val="24"/>
                <w:highlight w:val="none"/>
                <w:lang w:eastAsia="zh-CN"/>
              </w:rPr>
              <w:t>关于规范挥发性有机物治理过程中活性炭使用管理的通知</w:t>
            </w:r>
            <w:r>
              <w:rPr>
                <w:rFonts w:hint="default" w:ascii="Times New Roman" w:hAnsi="Times New Roman" w:eastAsia="宋体" w:cs="Times New Roman"/>
                <w:b w:val="0"/>
                <w:bCs w:val="0"/>
                <w:sz w:val="24"/>
                <w:highlight w:val="none"/>
              </w:rPr>
              <w:t>》</w:t>
            </w:r>
            <w:r>
              <w:rPr>
                <w:rFonts w:hint="default" w:ascii="Times New Roman" w:hAnsi="Times New Roman" w:eastAsia="宋体" w:cs="Times New Roman"/>
                <w:b w:val="0"/>
                <w:bCs w:val="0"/>
                <w:color w:val="auto"/>
                <w:sz w:val="24"/>
                <w:highlight w:val="none"/>
              </w:rPr>
              <w:t>的相关要求。</w:t>
            </w:r>
          </w:p>
          <w:p w14:paraId="15BEB30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left"/>
              <w:textAlignment w:val="auto"/>
              <w:rPr>
                <w:rFonts w:hint="default" w:ascii="Times New Roman" w:hAnsi="Times New Roman" w:cs="Times New Roman"/>
                <w:b/>
                <w:color w:val="000000"/>
                <w:sz w:val="24"/>
                <w:lang w:eastAsia="zh-CN"/>
              </w:rPr>
            </w:pPr>
            <w:r>
              <w:rPr>
                <w:rFonts w:hint="default" w:ascii="Times New Roman" w:hAnsi="Times New Roman" w:cs="Times New Roman"/>
                <w:b/>
                <w:color w:val="000000"/>
                <w:sz w:val="24"/>
                <w:lang w:val="en-US" w:eastAsia="zh-CN"/>
              </w:rPr>
              <w:t>1</w:t>
            </w:r>
            <w:r>
              <w:rPr>
                <w:rFonts w:hint="eastAsia" w:cs="Times New Roman"/>
                <w:b/>
                <w:color w:val="000000"/>
                <w:sz w:val="24"/>
                <w:lang w:val="en-US" w:eastAsia="zh-CN"/>
              </w:rPr>
              <w:t>2</w:t>
            </w:r>
            <w:r>
              <w:rPr>
                <w:rFonts w:hint="default" w:ascii="Times New Roman" w:hAnsi="Times New Roman" w:cs="Times New Roman"/>
                <w:b/>
                <w:color w:val="000000"/>
                <w:sz w:val="24"/>
                <w:lang w:val="en-US" w:eastAsia="zh-CN"/>
              </w:rPr>
              <w:t>、与《</w:t>
            </w:r>
            <w:r>
              <w:rPr>
                <w:rFonts w:hint="default" w:ascii="Times New Roman" w:hAnsi="Times New Roman" w:cs="Times New Roman"/>
                <w:b/>
                <w:color w:val="000000"/>
                <w:sz w:val="24"/>
                <w:lang w:eastAsia="zh-CN"/>
              </w:rPr>
              <w:t>河南省高速公路条例》相符性分析</w:t>
            </w:r>
          </w:p>
          <w:p w14:paraId="1BD8C6C5">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lang w:val="en-US" w:eastAsia="zh-CN"/>
              </w:rPr>
            </w:pPr>
            <w:r>
              <w:rPr>
                <w:rFonts w:hint="default" w:ascii="Times New Roman" w:hAnsi="Times New Roman" w:cs="Times New Roman"/>
                <w:color w:val="000000"/>
                <w:sz w:val="24"/>
                <w:lang w:val="en-US" w:eastAsia="zh-CN"/>
              </w:rPr>
              <w:t>根据《河南省高速公路条例》</w:t>
            </w:r>
            <w:r>
              <w:rPr>
                <w:rFonts w:hint="eastAsia" w:cs="Times New Roman"/>
                <w:color w:val="000000"/>
                <w:sz w:val="24"/>
                <w:lang w:val="en-US" w:eastAsia="zh-CN"/>
              </w:rPr>
              <w:t>（2023年修订）：</w:t>
            </w:r>
          </w:p>
          <w:p w14:paraId="005EED0B">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lang w:val="en-US" w:eastAsia="zh-CN"/>
              </w:rPr>
            </w:pPr>
            <w:r>
              <w:rPr>
                <w:rFonts w:hint="default" w:ascii="Times New Roman" w:hAnsi="Times New Roman" w:cs="Times New Roman"/>
                <w:color w:val="000000"/>
                <w:sz w:val="24"/>
                <w:lang w:val="en-US" w:eastAsia="zh-CN"/>
              </w:rPr>
              <w:t>第十八条：国家重点高速公路用地两侧外各五十米、其他高速公路用地两侧外各三十米、高速公路立交桥、匝道、收费站外侧各一百米范围内为高速公路建筑控制区。除公路防护、养护需要的以外，禁止在高速公路建筑控制区内新建、扩建建筑物或者地面构筑物。控制区内原有的合法建筑物、构筑物需要拆迁的，高速公路经营管理单位应当依法给予补偿。</w:t>
            </w:r>
            <w:r>
              <w:rPr>
                <w:rFonts w:hint="default" w:ascii="Times New Roman" w:hAnsi="Times New Roman" w:cs="Times New Roman"/>
                <w:color w:val="000000"/>
                <w:sz w:val="24"/>
                <w:lang w:val="en-US" w:eastAsia="zh-CN"/>
              </w:rPr>
              <w:br w:type="textWrapping"/>
            </w:r>
            <w:r>
              <w:rPr>
                <w:rFonts w:hint="eastAsia" w:cs="Times New Roman"/>
                <w:color w:val="000000"/>
                <w:sz w:val="24"/>
                <w:lang w:val="en-US" w:eastAsia="zh-CN"/>
              </w:rPr>
              <w:t xml:space="preserve">    </w:t>
            </w:r>
            <w:r>
              <w:rPr>
                <w:rFonts w:hint="default" w:ascii="Times New Roman" w:hAnsi="Times New Roman" w:cs="Times New Roman"/>
                <w:color w:val="000000"/>
                <w:sz w:val="24"/>
                <w:lang w:val="en-US" w:eastAsia="zh-CN"/>
              </w:rPr>
              <w:t>本项目距离</w:t>
            </w:r>
            <w:r>
              <w:rPr>
                <w:rFonts w:hint="eastAsia" w:cs="Times New Roman"/>
                <w:color w:val="000000"/>
                <w:sz w:val="24"/>
                <w:lang w:val="en-US" w:eastAsia="zh-CN"/>
              </w:rPr>
              <w:t>东北</w:t>
            </w:r>
            <w:r>
              <w:rPr>
                <w:rFonts w:hint="default" w:ascii="Times New Roman" w:hAnsi="Times New Roman" w:cs="Times New Roman"/>
                <w:color w:val="000000"/>
                <w:sz w:val="24"/>
                <w:lang w:val="en-US" w:eastAsia="zh-CN"/>
              </w:rPr>
              <w:t>侧</w:t>
            </w:r>
            <w:r>
              <w:rPr>
                <w:rFonts w:hint="default" w:ascii="Times New Roman" w:hAnsi="Times New Roman" w:cs="Times New Roman"/>
                <w:color w:val="000000"/>
                <w:sz w:val="24"/>
                <w:highlight w:val="none"/>
                <w:lang w:val="en-US" w:eastAsia="zh-CN"/>
              </w:rPr>
              <w:t>的</w:t>
            </w:r>
            <w:r>
              <w:rPr>
                <w:rFonts w:hint="eastAsia" w:cs="Times New Roman"/>
                <w:color w:val="000000"/>
                <w:sz w:val="24"/>
                <w:highlight w:val="none"/>
                <w:lang w:val="en-US" w:eastAsia="zh-CN"/>
              </w:rPr>
              <w:t>晋新</w:t>
            </w:r>
            <w:r>
              <w:rPr>
                <w:rFonts w:hint="default" w:ascii="Times New Roman" w:hAnsi="Times New Roman" w:cs="Times New Roman"/>
                <w:color w:val="000000"/>
                <w:sz w:val="24"/>
                <w:highlight w:val="none"/>
                <w:lang w:val="en-US" w:eastAsia="zh-CN"/>
              </w:rPr>
              <w:t>高速公路</w:t>
            </w:r>
            <w:r>
              <w:rPr>
                <w:rFonts w:hint="eastAsia" w:cs="Times New Roman"/>
                <w:color w:val="000000"/>
                <w:sz w:val="24"/>
                <w:highlight w:val="none"/>
                <w:lang w:val="en-US" w:eastAsia="zh-CN"/>
              </w:rPr>
              <w:t>焦作</w:t>
            </w:r>
            <w:r>
              <w:rPr>
                <w:rFonts w:hint="default" w:ascii="Times New Roman" w:hAnsi="Times New Roman" w:cs="Times New Roman"/>
                <w:color w:val="000000"/>
                <w:sz w:val="24"/>
                <w:highlight w:val="none"/>
                <w:lang w:val="en-US" w:eastAsia="zh-CN"/>
              </w:rPr>
              <w:t>至</w:t>
            </w:r>
            <w:r>
              <w:rPr>
                <w:rFonts w:hint="eastAsia" w:cs="Times New Roman"/>
                <w:color w:val="000000"/>
                <w:sz w:val="24"/>
                <w:highlight w:val="none"/>
                <w:lang w:val="en-US" w:eastAsia="zh-CN"/>
              </w:rPr>
              <w:t>郑</w:t>
            </w:r>
            <w:r>
              <w:rPr>
                <w:rFonts w:hint="eastAsia" w:cs="Times New Roman"/>
                <w:color w:val="000000"/>
                <w:sz w:val="24"/>
                <w:lang w:val="en-US" w:eastAsia="zh-CN"/>
              </w:rPr>
              <w:t>州</w:t>
            </w:r>
            <w:r>
              <w:rPr>
                <w:rFonts w:hint="default" w:ascii="Times New Roman" w:hAnsi="Times New Roman" w:cs="Times New Roman"/>
                <w:color w:val="000000"/>
                <w:sz w:val="24"/>
                <w:lang w:val="en-US" w:eastAsia="zh-CN"/>
              </w:rPr>
              <w:t>段最近</w:t>
            </w:r>
            <w:r>
              <w:rPr>
                <w:rFonts w:hint="eastAsia" w:cs="Times New Roman"/>
                <w:color w:val="000000"/>
                <w:sz w:val="24"/>
                <w:lang w:val="en-US" w:eastAsia="zh-CN"/>
              </w:rPr>
              <w:t>直线距离</w:t>
            </w:r>
            <w:r>
              <w:rPr>
                <w:rFonts w:hint="default" w:ascii="Times New Roman" w:hAnsi="Times New Roman" w:cs="Times New Roman"/>
                <w:color w:val="000000"/>
                <w:sz w:val="24"/>
                <w:lang w:val="en-US" w:eastAsia="zh-CN"/>
              </w:rPr>
              <w:t>为</w:t>
            </w:r>
            <w:r>
              <w:rPr>
                <w:rFonts w:hint="eastAsia" w:cs="Times New Roman"/>
                <w:color w:val="000000"/>
                <w:sz w:val="24"/>
                <w:lang w:val="en-US" w:eastAsia="zh-CN"/>
              </w:rPr>
              <w:t>1.2k</w:t>
            </w:r>
            <w:r>
              <w:rPr>
                <w:rFonts w:hint="default" w:ascii="Times New Roman" w:hAnsi="Times New Roman" w:cs="Times New Roman"/>
                <w:color w:val="000000"/>
                <w:sz w:val="24"/>
                <w:lang w:val="en-US" w:eastAsia="zh-CN"/>
              </w:rPr>
              <w:t>m，满足《河南省高速公路条例》</w:t>
            </w:r>
            <w:r>
              <w:rPr>
                <w:rFonts w:hint="eastAsia" w:cs="Times New Roman"/>
                <w:color w:val="000000"/>
                <w:sz w:val="24"/>
                <w:lang w:val="en-US" w:eastAsia="zh-CN"/>
              </w:rPr>
              <w:t>（2023年修订）</w:t>
            </w:r>
            <w:r>
              <w:rPr>
                <w:rFonts w:hint="default" w:ascii="Times New Roman" w:hAnsi="Times New Roman" w:cs="Times New Roman"/>
                <w:color w:val="000000"/>
                <w:sz w:val="24"/>
                <w:lang w:val="en-US" w:eastAsia="zh-CN"/>
              </w:rPr>
              <w:t>中的保护距离要求。</w:t>
            </w:r>
          </w:p>
          <w:p w14:paraId="2462A54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left"/>
              <w:textAlignment w:val="auto"/>
              <w:rPr>
                <w:rFonts w:hint="default" w:ascii="Times New Roman" w:hAnsi="Times New Roman" w:cs="Times New Roman"/>
                <w:b/>
                <w:color w:val="000000"/>
                <w:sz w:val="24"/>
                <w:highlight w:val="none"/>
                <w:lang w:eastAsia="zh-CN"/>
              </w:rPr>
            </w:pPr>
            <w:r>
              <w:rPr>
                <w:rFonts w:hint="default" w:ascii="Times New Roman" w:hAnsi="Times New Roman" w:cs="Times New Roman"/>
                <w:b/>
                <w:color w:val="000000"/>
                <w:sz w:val="24"/>
                <w:highlight w:val="none"/>
                <w:lang w:val="en-US" w:eastAsia="zh-CN"/>
              </w:rPr>
              <w:t>1</w:t>
            </w:r>
            <w:r>
              <w:rPr>
                <w:rFonts w:hint="eastAsia" w:cs="Times New Roman"/>
                <w:b/>
                <w:color w:val="000000"/>
                <w:sz w:val="24"/>
                <w:highlight w:val="none"/>
                <w:lang w:val="en-US" w:eastAsia="zh-CN"/>
              </w:rPr>
              <w:t>3</w:t>
            </w:r>
            <w:r>
              <w:rPr>
                <w:rFonts w:hint="default" w:ascii="Times New Roman" w:hAnsi="Times New Roman" w:cs="Times New Roman"/>
                <w:b/>
                <w:color w:val="000000"/>
                <w:sz w:val="24"/>
                <w:highlight w:val="none"/>
                <w:lang w:val="en-US" w:eastAsia="zh-CN"/>
              </w:rPr>
              <w:t>、与《</w:t>
            </w:r>
            <w:r>
              <w:rPr>
                <w:rFonts w:hint="eastAsia" w:ascii="Times New Roman" w:hAnsi="Times New Roman" w:cs="Times New Roman"/>
                <w:b/>
                <w:color w:val="000000"/>
                <w:sz w:val="24"/>
                <w:highlight w:val="none"/>
                <w:lang w:val="en-US" w:eastAsia="zh-CN"/>
              </w:rPr>
              <w:t>河南省</w:t>
            </w:r>
            <w:r>
              <w:rPr>
                <w:rFonts w:hint="eastAsia" w:ascii="Times New Roman" w:hAnsi="Times New Roman" w:cs="Times New Roman"/>
                <w:b/>
                <w:color w:val="000000"/>
                <w:sz w:val="24"/>
                <w:highlight w:val="none"/>
                <w:lang w:eastAsia="zh-CN"/>
              </w:rPr>
              <w:t>铁路安全管理规定</w:t>
            </w:r>
            <w:r>
              <w:rPr>
                <w:rFonts w:hint="default" w:ascii="Times New Roman" w:hAnsi="Times New Roman" w:cs="Times New Roman"/>
                <w:b/>
                <w:color w:val="000000"/>
                <w:sz w:val="24"/>
                <w:highlight w:val="none"/>
                <w:lang w:eastAsia="zh-CN"/>
              </w:rPr>
              <w:t>》相符性分析</w:t>
            </w:r>
          </w:p>
          <w:p w14:paraId="649710AE">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lang w:val="en-US" w:eastAsia="zh-CN"/>
              </w:rPr>
              <w:t>根据</w:t>
            </w:r>
            <w:r>
              <w:rPr>
                <w:rFonts w:hint="default" w:ascii="Times New Roman" w:hAnsi="Times New Roman" w:cs="Times New Roman"/>
                <w:b w:val="0"/>
                <w:bCs w:val="0"/>
                <w:color w:val="000000"/>
                <w:sz w:val="24"/>
                <w:highlight w:val="none"/>
                <w:lang w:val="en-US" w:eastAsia="zh-CN"/>
              </w:rPr>
              <w:t>《</w:t>
            </w:r>
            <w:r>
              <w:rPr>
                <w:rFonts w:hint="eastAsia" w:ascii="Times New Roman" w:hAnsi="Times New Roman" w:cs="Times New Roman"/>
                <w:b w:val="0"/>
                <w:bCs w:val="0"/>
                <w:color w:val="000000"/>
                <w:sz w:val="24"/>
                <w:highlight w:val="none"/>
                <w:lang w:val="en-US" w:eastAsia="zh-CN"/>
              </w:rPr>
              <w:t>河南省</w:t>
            </w:r>
            <w:r>
              <w:rPr>
                <w:rFonts w:hint="eastAsia" w:ascii="Times New Roman" w:hAnsi="Times New Roman" w:cs="Times New Roman"/>
                <w:b w:val="0"/>
                <w:bCs w:val="0"/>
                <w:color w:val="000000"/>
                <w:sz w:val="24"/>
                <w:highlight w:val="none"/>
                <w:lang w:eastAsia="zh-CN"/>
              </w:rPr>
              <w:t>铁路安全管理规定</w:t>
            </w:r>
            <w:r>
              <w:rPr>
                <w:rFonts w:hint="default" w:ascii="Times New Roman" w:hAnsi="Times New Roman" w:cs="Times New Roman"/>
                <w:color w:val="000000"/>
                <w:sz w:val="24"/>
                <w:highlight w:val="none"/>
                <w:lang w:val="en-US" w:eastAsia="zh-CN"/>
              </w:rPr>
              <w:t>》</w:t>
            </w:r>
            <w:r>
              <w:rPr>
                <w:rFonts w:hint="eastAsia" w:ascii="Times New Roman" w:hAnsi="Times New Roman" w:cs="Times New Roman"/>
                <w:color w:val="000000"/>
                <w:sz w:val="24"/>
                <w:highlight w:val="none"/>
                <w:lang w:val="en-US" w:eastAsia="zh-CN"/>
              </w:rPr>
              <w:t>（</w:t>
            </w:r>
            <w:r>
              <w:rPr>
                <w:rFonts w:hint="default" w:ascii="Times New Roman" w:hAnsi="Times New Roman" w:cs="Times New Roman"/>
                <w:color w:val="000000"/>
                <w:sz w:val="24"/>
                <w:highlight w:val="none"/>
                <w:lang w:val="en-US" w:eastAsia="zh-CN"/>
              </w:rPr>
              <w:t>20</w:t>
            </w:r>
            <w:r>
              <w:rPr>
                <w:rFonts w:hint="eastAsia" w:ascii="Times New Roman" w:hAnsi="Times New Roman" w:cs="Times New Roman"/>
                <w:color w:val="000000"/>
                <w:sz w:val="24"/>
                <w:highlight w:val="none"/>
                <w:lang w:val="en-US" w:eastAsia="zh-CN"/>
              </w:rPr>
              <w:t>21</w:t>
            </w:r>
            <w:r>
              <w:rPr>
                <w:rFonts w:hint="default" w:ascii="Times New Roman" w:hAnsi="Times New Roman" w:cs="Times New Roman"/>
                <w:color w:val="000000"/>
                <w:sz w:val="24"/>
                <w:highlight w:val="none"/>
                <w:lang w:val="en-US" w:eastAsia="zh-CN"/>
              </w:rPr>
              <w:t>年1月1日实施</w:t>
            </w:r>
            <w:r>
              <w:rPr>
                <w:rFonts w:hint="eastAsia" w:ascii="Times New Roman" w:hAnsi="Times New Roman" w:cs="Times New Roman"/>
                <w:color w:val="000000"/>
                <w:sz w:val="24"/>
                <w:highlight w:val="none"/>
                <w:lang w:val="en-US" w:eastAsia="zh-CN"/>
              </w:rPr>
              <w:t>）</w:t>
            </w:r>
            <w:r>
              <w:rPr>
                <w:rFonts w:hint="default" w:ascii="Times New Roman" w:hAnsi="Times New Roman" w:cs="Times New Roman"/>
                <w:color w:val="000000"/>
                <w:sz w:val="24"/>
                <w:highlight w:val="none"/>
                <w:lang w:val="en-US" w:eastAsia="zh-CN"/>
              </w:rPr>
              <w:t>中第</w:t>
            </w:r>
            <w:r>
              <w:rPr>
                <w:rFonts w:hint="eastAsia" w:ascii="Times New Roman" w:hAnsi="Times New Roman" w:cs="Times New Roman"/>
                <w:color w:val="000000"/>
                <w:sz w:val="24"/>
                <w:highlight w:val="none"/>
                <w:lang w:val="en-US" w:eastAsia="zh-CN"/>
              </w:rPr>
              <w:t>十三</w:t>
            </w:r>
            <w:r>
              <w:rPr>
                <w:rFonts w:hint="default" w:ascii="Times New Roman" w:hAnsi="Times New Roman" w:cs="Times New Roman"/>
                <w:color w:val="000000"/>
                <w:sz w:val="24"/>
                <w:highlight w:val="none"/>
                <w:lang w:val="en-US" w:eastAsia="zh-CN"/>
              </w:rPr>
              <w:t>条规定，铁路线路两侧应当按照国家规定设立铁路线路安全保护区。铁路线路安全保护区的范围，从铁路线路路堤坡脚、路堑坡顶或者铁路桥梁（含铁路、道路两用桥，下同）外侧起向外的距离分别为：</w:t>
            </w:r>
          </w:p>
          <w:p w14:paraId="280F40C2">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lang w:val="en-US" w:eastAsia="zh-CN"/>
              </w:rPr>
              <w:t>①城市市区高速铁路为10米，其他铁路为8米</w:t>
            </w:r>
            <w:r>
              <w:rPr>
                <w:rFonts w:hint="eastAsia" w:ascii="Times New Roman" w:hAnsi="Times New Roman" w:cs="Times New Roman"/>
                <w:color w:val="000000"/>
                <w:sz w:val="24"/>
                <w:highlight w:val="none"/>
                <w:lang w:val="en-US" w:eastAsia="zh-CN"/>
              </w:rPr>
              <w:t>；</w:t>
            </w:r>
          </w:p>
          <w:p w14:paraId="56861824">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lang w:val="en-US" w:eastAsia="zh-CN"/>
              </w:rPr>
              <w:t>②城市郊区居民居住区高速铁路为12米，其他铁路为10米</w:t>
            </w:r>
            <w:r>
              <w:rPr>
                <w:rFonts w:hint="eastAsia" w:ascii="Times New Roman" w:hAnsi="Times New Roman" w:cs="Times New Roman"/>
                <w:color w:val="000000"/>
                <w:sz w:val="24"/>
                <w:highlight w:val="none"/>
                <w:lang w:val="en-US" w:eastAsia="zh-CN"/>
              </w:rPr>
              <w:t>；</w:t>
            </w:r>
          </w:p>
          <w:p w14:paraId="6E47D9E4">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lang w:val="en-US" w:eastAsia="zh-CN"/>
              </w:rPr>
              <w:t>③村镇居民居住区高速铁路为15米，其他铁路为12米</w:t>
            </w:r>
            <w:r>
              <w:rPr>
                <w:rFonts w:hint="eastAsia" w:ascii="Times New Roman" w:hAnsi="Times New Roman" w:cs="Times New Roman"/>
                <w:color w:val="000000"/>
                <w:sz w:val="24"/>
                <w:highlight w:val="none"/>
                <w:lang w:val="en-US" w:eastAsia="zh-CN"/>
              </w:rPr>
              <w:t>；</w:t>
            </w:r>
          </w:p>
          <w:p w14:paraId="02E7B3B8">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highlight w:val="none"/>
                <w:lang w:val="en-US" w:eastAsia="zh-CN"/>
              </w:rPr>
            </w:pPr>
            <w:r>
              <w:rPr>
                <w:rFonts w:hint="default" w:ascii="Times New Roman" w:hAnsi="Times New Roman" w:cs="Times New Roman"/>
                <w:color w:val="000000"/>
                <w:sz w:val="24"/>
                <w:highlight w:val="none"/>
                <w:lang w:val="en-US" w:eastAsia="zh-CN"/>
              </w:rPr>
              <w:t>④其他地区高速铁路为20米，其他铁路为15米。</w:t>
            </w:r>
          </w:p>
          <w:p w14:paraId="3F4113F5">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lang w:val="en-US" w:eastAsia="zh-CN"/>
              </w:rPr>
            </w:pPr>
            <w:r>
              <w:rPr>
                <w:rFonts w:hint="eastAsia" w:ascii="Times New Roman" w:hAnsi="Times New Roman" w:cs="Times New Roman"/>
                <w:color w:val="000000"/>
                <w:sz w:val="24"/>
                <w:highlight w:val="none"/>
                <w:lang w:val="en-US" w:eastAsia="zh-CN"/>
              </w:rPr>
              <w:t>京广</w:t>
            </w:r>
            <w:r>
              <w:rPr>
                <w:rFonts w:hint="default" w:ascii="Times New Roman" w:hAnsi="Times New Roman" w:cs="Times New Roman"/>
                <w:color w:val="000000"/>
                <w:sz w:val="24"/>
                <w:highlight w:val="none"/>
                <w:lang w:val="en-US" w:eastAsia="zh-CN"/>
              </w:rPr>
              <w:t>铁路属于普通铁路，安全保护区的范围为15米，项目</w:t>
            </w:r>
            <w:r>
              <w:rPr>
                <w:rFonts w:hint="eastAsia" w:ascii="Times New Roman" w:hAnsi="Times New Roman" w:cs="Times New Roman"/>
                <w:color w:val="000000"/>
                <w:sz w:val="24"/>
                <w:highlight w:val="none"/>
                <w:lang w:val="en-US" w:eastAsia="zh-CN"/>
              </w:rPr>
              <w:t>厂址</w:t>
            </w:r>
            <w:r>
              <w:rPr>
                <w:rFonts w:hint="default" w:ascii="Times New Roman" w:hAnsi="Times New Roman" w:cs="Times New Roman"/>
                <w:color w:val="000000"/>
                <w:sz w:val="24"/>
                <w:highlight w:val="none"/>
                <w:lang w:val="en-US" w:eastAsia="zh-CN"/>
              </w:rPr>
              <w:t>距离</w:t>
            </w:r>
            <w:r>
              <w:rPr>
                <w:rFonts w:hint="eastAsia" w:ascii="Times New Roman" w:hAnsi="Times New Roman" w:cs="Times New Roman"/>
                <w:color w:val="000000"/>
                <w:sz w:val="24"/>
                <w:highlight w:val="none"/>
                <w:lang w:val="en-US" w:eastAsia="zh-CN"/>
              </w:rPr>
              <w:t>京广</w:t>
            </w:r>
            <w:r>
              <w:rPr>
                <w:rFonts w:hint="default" w:ascii="Times New Roman" w:hAnsi="Times New Roman" w:cs="Times New Roman"/>
                <w:color w:val="000000"/>
                <w:sz w:val="24"/>
                <w:highlight w:val="none"/>
                <w:lang w:val="en-US" w:eastAsia="zh-CN"/>
              </w:rPr>
              <w:t>铁路路堤坡脚外约</w:t>
            </w:r>
            <w:r>
              <w:rPr>
                <w:rFonts w:hint="eastAsia" w:ascii="Times New Roman" w:hAnsi="Times New Roman" w:cs="Times New Roman"/>
                <w:color w:val="000000"/>
                <w:sz w:val="24"/>
                <w:highlight w:val="none"/>
                <w:lang w:val="en-US" w:eastAsia="zh-CN"/>
              </w:rPr>
              <w:t>2.3k</w:t>
            </w:r>
            <w:r>
              <w:rPr>
                <w:rFonts w:hint="default" w:ascii="Times New Roman" w:hAnsi="Times New Roman" w:cs="Times New Roman"/>
                <w:color w:val="000000"/>
                <w:sz w:val="24"/>
                <w:highlight w:val="none"/>
                <w:lang w:val="en-US" w:eastAsia="zh-CN"/>
              </w:rPr>
              <w:t>m，满足《</w:t>
            </w:r>
            <w:r>
              <w:rPr>
                <w:rFonts w:hint="eastAsia" w:ascii="Times New Roman" w:hAnsi="Times New Roman" w:cs="Times New Roman"/>
                <w:b w:val="0"/>
                <w:bCs w:val="0"/>
                <w:color w:val="000000"/>
                <w:sz w:val="24"/>
                <w:highlight w:val="none"/>
                <w:lang w:val="en-US" w:eastAsia="zh-CN"/>
              </w:rPr>
              <w:t>河南省</w:t>
            </w:r>
            <w:r>
              <w:rPr>
                <w:rFonts w:hint="eastAsia" w:ascii="Times New Roman" w:hAnsi="Times New Roman" w:cs="Times New Roman"/>
                <w:b w:val="0"/>
                <w:bCs w:val="0"/>
                <w:color w:val="000000"/>
                <w:sz w:val="24"/>
                <w:highlight w:val="none"/>
                <w:lang w:eastAsia="zh-CN"/>
              </w:rPr>
              <w:t>铁路安全管理规定</w:t>
            </w:r>
            <w:r>
              <w:rPr>
                <w:rFonts w:hint="default" w:ascii="Times New Roman" w:hAnsi="Times New Roman" w:cs="Times New Roman"/>
                <w:color w:val="000000"/>
                <w:sz w:val="24"/>
                <w:highlight w:val="none"/>
                <w:lang w:val="en-US" w:eastAsia="zh-CN"/>
              </w:rPr>
              <w:t>》</w:t>
            </w:r>
            <w:r>
              <w:rPr>
                <w:rFonts w:hint="eastAsia" w:ascii="Times New Roman" w:hAnsi="Times New Roman" w:cs="Times New Roman"/>
                <w:color w:val="000000"/>
                <w:sz w:val="24"/>
                <w:highlight w:val="none"/>
                <w:lang w:val="en-US" w:eastAsia="zh-CN"/>
              </w:rPr>
              <w:t>（</w:t>
            </w:r>
            <w:r>
              <w:rPr>
                <w:rFonts w:hint="default" w:ascii="Times New Roman" w:hAnsi="Times New Roman" w:cs="Times New Roman"/>
                <w:color w:val="000000"/>
                <w:sz w:val="24"/>
                <w:highlight w:val="none"/>
                <w:lang w:val="en-US" w:eastAsia="zh-CN"/>
              </w:rPr>
              <w:t>2</w:t>
            </w:r>
            <w:r>
              <w:rPr>
                <w:rFonts w:hint="default" w:ascii="Times New Roman" w:hAnsi="Times New Roman" w:cs="Times New Roman"/>
                <w:color w:val="000000"/>
                <w:sz w:val="24"/>
                <w:lang w:val="en-US" w:eastAsia="zh-CN"/>
              </w:rPr>
              <w:t>0</w:t>
            </w:r>
            <w:r>
              <w:rPr>
                <w:rFonts w:hint="eastAsia" w:ascii="Times New Roman" w:hAnsi="Times New Roman" w:cs="Times New Roman"/>
                <w:color w:val="000000"/>
                <w:sz w:val="24"/>
                <w:lang w:val="en-US" w:eastAsia="zh-CN"/>
              </w:rPr>
              <w:t>21</w:t>
            </w:r>
            <w:r>
              <w:rPr>
                <w:rFonts w:hint="default" w:ascii="Times New Roman" w:hAnsi="Times New Roman" w:cs="Times New Roman"/>
                <w:color w:val="000000"/>
                <w:sz w:val="24"/>
                <w:lang w:val="en-US" w:eastAsia="zh-CN"/>
              </w:rPr>
              <w:t>年1月1日实施</w:t>
            </w:r>
            <w:r>
              <w:rPr>
                <w:rFonts w:hint="eastAsia" w:ascii="Times New Roman" w:hAnsi="Times New Roman" w:cs="Times New Roman"/>
                <w:color w:val="000000"/>
                <w:sz w:val="24"/>
                <w:lang w:val="en-US" w:eastAsia="zh-CN"/>
              </w:rPr>
              <w:t>）</w:t>
            </w:r>
            <w:r>
              <w:rPr>
                <w:rFonts w:hint="default" w:ascii="Times New Roman" w:hAnsi="Times New Roman" w:cs="Times New Roman"/>
                <w:color w:val="000000"/>
                <w:sz w:val="24"/>
                <w:lang w:val="en-US" w:eastAsia="zh-CN"/>
              </w:rPr>
              <w:t>相关要求。</w:t>
            </w:r>
          </w:p>
          <w:p w14:paraId="2DDF89E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left"/>
              <w:textAlignment w:val="auto"/>
              <w:rPr>
                <w:rFonts w:hint="default" w:ascii="Times New Roman" w:hAnsi="Times New Roman" w:cs="Times New Roman"/>
                <w:b/>
                <w:color w:val="000000"/>
                <w:sz w:val="24"/>
                <w:highlight w:val="none"/>
                <w:lang w:eastAsia="zh-CN"/>
              </w:rPr>
            </w:pPr>
            <w:r>
              <w:rPr>
                <w:rFonts w:hint="default" w:ascii="Times New Roman" w:hAnsi="Times New Roman" w:cs="Times New Roman"/>
                <w:b/>
                <w:color w:val="000000"/>
                <w:sz w:val="24"/>
                <w:highlight w:val="none"/>
                <w:lang w:val="en-US" w:eastAsia="zh-CN"/>
              </w:rPr>
              <w:t>1</w:t>
            </w:r>
            <w:r>
              <w:rPr>
                <w:rFonts w:hint="eastAsia" w:ascii="Times New Roman" w:hAnsi="Times New Roman" w:cs="Times New Roman"/>
                <w:b/>
                <w:color w:val="000000"/>
                <w:sz w:val="24"/>
                <w:highlight w:val="none"/>
                <w:lang w:val="en-US" w:eastAsia="zh-CN"/>
              </w:rPr>
              <w:t>4</w:t>
            </w:r>
            <w:r>
              <w:rPr>
                <w:rFonts w:hint="default" w:ascii="Times New Roman" w:hAnsi="Times New Roman" w:cs="Times New Roman"/>
                <w:b/>
                <w:color w:val="000000"/>
                <w:sz w:val="24"/>
                <w:highlight w:val="none"/>
                <w:lang w:val="en-US" w:eastAsia="zh-CN"/>
              </w:rPr>
              <w:t>、与</w:t>
            </w:r>
            <w:r>
              <w:rPr>
                <w:rFonts w:hint="eastAsia" w:ascii="Times New Roman" w:hAnsi="Times New Roman" w:cs="Times New Roman"/>
                <w:b/>
                <w:color w:val="000000"/>
                <w:sz w:val="24"/>
                <w:highlight w:val="none"/>
                <w:lang w:val="en-US" w:eastAsia="zh-CN"/>
              </w:rPr>
              <w:t>中洛石油管道保护</w:t>
            </w:r>
            <w:r>
              <w:rPr>
                <w:rFonts w:hint="default" w:ascii="Times New Roman" w:hAnsi="Times New Roman" w:cs="Times New Roman"/>
                <w:b/>
                <w:color w:val="000000"/>
                <w:sz w:val="24"/>
                <w:highlight w:val="none"/>
                <w:lang w:eastAsia="zh-CN"/>
              </w:rPr>
              <w:t>相符性分析</w:t>
            </w:r>
          </w:p>
          <w:p w14:paraId="28D352A0">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根据现场调查，在东部园区及城区园区有一条中洛石油管道</w:t>
            </w:r>
            <w:r>
              <w:rPr>
                <w:rFonts w:hint="eastAsia" w:cs="Times New Roman"/>
                <w:b w:val="0"/>
                <w:bCs/>
                <w:color w:val="000000"/>
                <w:sz w:val="24"/>
                <w:szCs w:val="24"/>
                <w:highlight w:val="none"/>
                <w:lang w:val="en-US" w:eastAsia="zh-CN"/>
              </w:rPr>
              <w:t>（</w:t>
            </w:r>
            <w:r>
              <w:rPr>
                <w:rFonts w:hint="default" w:ascii="Times New Roman" w:hAnsi="Times New Roman" w:eastAsia="宋体" w:cs="Times New Roman"/>
                <w:b w:val="0"/>
                <w:bCs/>
                <w:color w:val="000000"/>
                <w:sz w:val="24"/>
                <w:szCs w:val="24"/>
                <w:highlight w:val="none"/>
                <w:lang w:val="en-US" w:eastAsia="zh-CN"/>
              </w:rPr>
              <w:t>东西</w:t>
            </w:r>
            <w:r>
              <w:rPr>
                <w:rFonts w:hint="eastAsia" w:cs="Times New Roman"/>
                <w:b w:val="0"/>
                <w:bCs/>
                <w:color w:val="000000"/>
                <w:sz w:val="24"/>
                <w:szCs w:val="24"/>
                <w:highlight w:val="none"/>
                <w:lang w:val="en-US" w:eastAsia="zh-CN"/>
              </w:rPr>
              <w:t>走</w:t>
            </w:r>
            <w:r>
              <w:rPr>
                <w:rFonts w:hint="default" w:ascii="Times New Roman" w:hAnsi="Times New Roman" w:eastAsia="宋体" w:cs="Times New Roman"/>
                <w:b w:val="0"/>
                <w:bCs/>
                <w:color w:val="000000"/>
                <w:sz w:val="24"/>
                <w:szCs w:val="24"/>
                <w:highlight w:val="none"/>
                <w:lang w:val="en-US" w:eastAsia="zh-CN"/>
              </w:rPr>
              <w:t>向</w:t>
            </w:r>
            <w:r>
              <w:rPr>
                <w:rFonts w:hint="eastAsia" w:cs="Times New Roman"/>
                <w:b w:val="0"/>
                <w:bCs/>
                <w:color w:val="000000"/>
                <w:sz w:val="24"/>
                <w:szCs w:val="24"/>
                <w:highlight w:val="none"/>
                <w:lang w:val="en-US" w:eastAsia="zh-CN"/>
              </w:rPr>
              <w:t>）</w:t>
            </w:r>
            <w:r>
              <w:rPr>
                <w:rFonts w:hint="default" w:ascii="Times New Roman" w:hAnsi="Times New Roman" w:eastAsia="宋体" w:cs="Times New Roman"/>
                <w:b w:val="0"/>
                <w:bCs/>
                <w:color w:val="000000"/>
                <w:sz w:val="24"/>
                <w:szCs w:val="24"/>
                <w:highlight w:val="none"/>
                <w:lang w:val="en-US" w:eastAsia="zh-CN"/>
              </w:rPr>
              <w:t>从园区中部穿过</w:t>
            </w:r>
            <w:r>
              <w:rPr>
                <w:rFonts w:hint="eastAsia" w:cs="Times New Roman"/>
                <w:b w:val="0"/>
                <w:bCs/>
                <w:color w:val="000000"/>
                <w:sz w:val="24"/>
                <w:szCs w:val="24"/>
                <w:highlight w:val="none"/>
                <w:lang w:val="en-US" w:eastAsia="zh-CN"/>
              </w:rPr>
              <w:t>，</w:t>
            </w:r>
            <w:r>
              <w:rPr>
                <w:rFonts w:hint="default" w:ascii="Times New Roman" w:hAnsi="Times New Roman" w:eastAsia="宋体" w:cs="Times New Roman"/>
                <w:b w:val="0"/>
                <w:bCs/>
                <w:color w:val="000000"/>
                <w:sz w:val="24"/>
                <w:szCs w:val="24"/>
                <w:highlight w:val="none"/>
                <w:lang w:val="en-US" w:eastAsia="zh-CN"/>
              </w:rPr>
              <w:t>管道线路</w:t>
            </w:r>
            <w:r>
              <w:rPr>
                <w:rFonts w:hint="eastAsia" w:cs="Times New Roman"/>
                <w:b w:val="0"/>
                <w:bCs/>
                <w:color w:val="000000"/>
                <w:sz w:val="24"/>
                <w:szCs w:val="24"/>
                <w:highlight w:val="none"/>
                <w:lang w:val="en-US" w:eastAsia="zh-CN"/>
              </w:rPr>
              <w:t>走</w:t>
            </w:r>
            <w:r>
              <w:rPr>
                <w:rFonts w:hint="default" w:ascii="Times New Roman" w:hAnsi="Times New Roman" w:eastAsia="宋体" w:cs="Times New Roman"/>
                <w:b w:val="0"/>
                <w:bCs/>
                <w:color w:val="000000"/>
                <w:sz w:val="24"/>
                <w:szCs w:val="24"/>
                <w:highlight w:val="none"/>
                <w:lang w:val="en-US" w:eastAsia="zh-CN"/>
              </w:rPr>
              <w:t>向见</w:t>
            </w:r>
            <w:r>
              <w:rPr>
                <w:rFonts w:hint="eastAsia" w:cs="Times New Roman"/>
                <w:b w:val="0"/>
                <w:bCs/>
                <w:color w:val="000000"/>
                <w:sz w:val="24"/>
                <w:szCs w:val="24"/>
                <w:highlight w:val="none"/>
                <w:lang w:val="en-US" w:eastAsia="zh-CN"/>
              </w:rPr>
              <w:t>附图七。</w:t>
            </w:r>
          </w:p>
          <w:p w14:paraId="76F6E5DF">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（1）保护要求</w:t>
            </w:r>
          </w:p>
          <w:p w14:paraId="45FD42EA">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根据《中华人民共和国石油天然气管道保护法》：第三十条</w:t>
            </w:r>
            <w:r>
              <w:rPr>
                <w:rFonts w:hint="eastAsia" w:cs="Times New Roman"/>
                <w:b w:val="0"/>
                <w:bCs/>
                <w:color w:val="000000"/>
                <w:sz w:val="24"/>
                <w:szCs w:val="24"/>
                <w:highlight w:val="none"/>
                <w:lang w:val="en-US" w:eastAsia="zh-CN"/>
              </w:rPr>
              <w:t xml:space="preserve"> </w:t>
            </w:r>
            <w:r>
              <w:rPr>
                <w:rFonts w:hint="default" w:ascii="Times New Roman" w:hAnsi="Times New Roman" w:eastAsia="宋体" w:cs="Times New Roman"/>
                <w:b w:val="0"/>
                <w:bCs/>
                <w:color w:val="000000"/>
                <w:sz w:val="24"/>
                <w:szCs w:val="24"/>
                <w:highlight w:val="none"/>
                <w:lang w:val="en-US" w:eastAsia="zh-CN"/>
              </w:rPr>
              <w:t>在管道线路中心线两侧各五米地域范围内，禁止下列危害管道安全的行为：</w:t>
            </w:r>
          </w:p>
          <w:p w14:paraId="12958A94">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宋体" w:cs="Times New Roman"/>
                <w:b w:val="0"/>
                <w:bCs/>
                <w:color w:val="000000"/>
                <w:sz w:val="24"/>
                <w:szCs w:val="24"/>
                <w:highlight w:val="none"/>
                <w:lang w:val="en-US" w:eastAsia="zh-CN"/>
              </w:rPr>
            </w:pPr>
            <w:r>
              <w:rPr>
                <w:rFonts w:hint="eastAsia" w:cs="Times New Roman"/>
                <w:b w:val="0"/>
                <w:bCs/>
                <w:color w:val="000000"/>
                <w:sz w:val="24"/>
                <w:szCs w:val="24"/>
                <w:highlight w:val="none"/>
                <w:lang w:val="en-US" w:eastAsia="zh-CN"/>
              </w:rPr>
              <w:t>①</w:t>
            </w:r>
            <w:r>
              <w:rPr>
                <w:rFonts w:hint="default" w:ascii="Times New Roman" w:hAnsi="Times New Roman" w:eastAsia="宋体" w:cs="Times New Roman"/>
                <w:b w:val="0"/>
                <w:bCs/>
                <w:color w:val="000000"/>
                <w:sz w:val="24"/>
                <w:szCs w:val="24"/>
                <w:highlight w:val="none"/>
                <w:lang w:val="en-US" w:eastAsia="zh-CN"/>
              </w:rPr>
              <w:t>种植乔木、灌木、藤类、芦苇、竹子或者其他根系深达管道埋设部位可能</w:t>
            </w:r>
          </w:p>
          <w:p w14:paraId="28D3A6EB">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损坏管道防腐层的深根植物；</w:t>
            </w:r>
          </w:p>
          <w:p w14:paraId="0581F33B">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宋体" w:cs="Times New Roman"/>
                <w:b w:val="0"/>
                <w:bCs/>
                <w:color w:val="000000"/>
                <w:sz w:val="24"/>
                <w:szCs w:val="24"/>
                <w:highlight w:val="none"/>
                <w:lang w:val="en-US" w:eastAsia="zh-CN"/>
              </w:rPr>
            </w:pPr>
            <w:r>
              <w:rPr>
                <w:rFonts w:hint="eastAsia" w:cs="Times New Roman"/>
                <w:b w:val="0"/>
                <w:bCs/>
                <w:color w:val="000000"/>
                <w:sz w:val="24"/>
                <w:szCs w:val="24"/>
                <w:highlight w:val="none"/>
                <w:lang w:val="en-US" w:eastAsia="zh-CN"/>
              </w:rPr>
              <w:t>②</w:t>
            </w:r>
            <w:r>
              <w:rPr>
                <w:rFonts w:hint="default" w:ascii="Times New Roman" w:hAnsi="Times New Roman" w:eastAsia="宋体" w:cs="Times New Roman"/>
                <w:b w:val="0"/>
                <w:bCs/>
                <w:color w:val="000000"/>
                <w:sz w:val="24"/>
                <w:szCs w:val="24"/>
                <w:highlight w:val="none"/>
                <w:lang w:val="en-US" w:eastAsia="zh-CN"/>
              </w:rPr>
              <w:t>取土、采石、用火、堆放重物、排放腐蚀性物质、使用机械工具进行挖掘</w:t>
            </w:r>
          </w:p>
          <w:p w14:paraId="4EEFAB50">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施工；</w:t>
            </w:r>
          </w:p>
          <w:p w14:paraId="4512E779">
            <w:pPr>
              <w:keepNext w:val="0"/>
              <w:keepLines w:val="0"/>
              <w:pageBreakBefore w:val="0"/>
              <w:widowControl w:val="0"/>
              <w:tabs>
                <w:tab w:val="left" w:pos="300"/>
              </w:tabs>
              <w:kinsoku/>
              <w:wordWrap/>
              <w:overflowPunct/>
              <w:topLinePunct w:val="0"/>
              <w:autoSpaceDE/>
              <w:autoSpaceDN/>
              <w:bidi w:val="0"/>
              <w:adjustRightInd/>
              <w:snapToGrid/>
              <w:spacing w:line="520" w:lineRule="exact"/>
              <w:textAlignment w:val="auto"/>
              <w:rPr>
                <w:rFonts w:hint="default" w:ascii="Times New Roman" w:hAnsi="Times New Roman" w:eastAsia="宋体" w:cs="Times New Roman"/>
                <w:b w:val="0"/>
                <w:bCs/>
                <w:color w:val="000000"/>
                <w:sz w:val="24"/>
                <w:szCs w:val="24"/>
                <w:highlight w:val="none"/>
                <w:lang w:val="en-US" w:eastAsia="zh-CN"/>
              </w:rPr>
            </w:pPr>
            <w:r>
              <w:rPr>
                <w:rFonts w:hint="eastAsia" w:cs="Times New Roman"/>
                <w:b w:val="0"/>
                <w:bCs/>
                <w:color w:val="000000"/>
                <w:sz w:val="24"/>
                <w:szCs w:val="24"/>
                <w:highlight w:val="none"/>
                <w:lang w:val="en-US" w:eastAsia="zh-CN"/>
              </w:rPr>
              <w:t>③</w:t>
            </w:r>
            <w:r>
              <w:rPr>
                <w:rFonts w:hint="default" w:ascii="Times New Roman" w:hAnsi="Times New Roman" w:eastAsia="宋体" w:cs="Times New Roman"/>
                <w:b w:val="0"/>
                <w:bCs/>
                <w:color w:val="000000"/>
                <w:sz w:val="24"/>
                <w:szCs w:val="24"/>
                <w:highlight w:val="none"/>
                <w:lang w:val="en-US" w:eastAsia="zh-CN"/>
              </w:rPr>
              <w:t>挖塘、修渠、修晒场、修建水产养殖场、建温室、建家畜棚圈、建房以及</w:t>
            </w:r>
          </w:p>
          <w:p w14:paraId="67600EC7">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宋体" w:cs="Times New Roman"/>
                <w:b w:val="0"/>
                <w:bCs/>
                <w:color w:val="000000"/>
                <w:sz w:val="24"/>
                <w:szCs w:val="24"/>
                <w:highlight w:val="none"/>
                <w:lang w:val="en-US" w:eastAsia="zh-CN"/>
              </w:rPr>
            </w:pPr>
            <w:r>
              <w:rPr>
                <w:rFonts w:hint="default" w:ascii="Times New Roman" w:hAnsi="Times New Roman" w:eastAsia="宋体" w:cs="Times New Roman"/>
                <w:b w:val="0"/>
                <w:bCs/>
                <w:color w:val="000000"/>
                <w:sz w:val="24"/>
                <w:szCs w:val="24"/>
                <w:highlight w:val="none"/>
                <w:lang w:val="en-US" w:eastAsia="zh-CN"/>
              </w:rPr>
              <w:t>修建其他建筑物、构筑物。</w:t>
            </w:r>
          </w:p>
          <w:p w14:paraId="5F8E593F">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cs="Times New Roman"/>
                <w:color w:val="000000"/>
                <w:sz w:val="24"/>
                <w:lang w:val="en-US" w:eastAsia="zh-CN"/>
              </w:rPr>
            </w:pPr>
            <w:r>
              <w:rPr>
                <w:rFonts w:hint="eastAsia" w:cs="Times New Roman"/>
                <w:b w:val="0"/>
                <w:bCs/>
                <w:color w:val="000000"/>
                <w:sz w:val="24"/>
                <w:szCs w:val="24"/>
                <w:highlight w:val="none"/>
                <w:lang w:val="en-US" w:eastAsia="zh-CN"/>
              </w:rPr>
              <w:t>本项目</w:t>
            </w:r>
            <w:r>
              <w:rPr>
                <w:rFonts w:hint="eastAsia" w:ascii="Times New Roman" w:hAnsi="Times New Roman" w:cs="Times New Roman"/>
                <w:color w:val="000000"/>
                <w:sz w:val="24"/>
                <w:highlight w:val="none"/>
                <w:lang w:val="en-US" w:eastAsia="zh-CN"/>
              </w:rPr>
              <w:t>厂址</w:t>
            </w:r>
            <w:r>
              <w:rPr>
                <w:rFonts w:hint="default" w:ascii="Times New Roman" w:hAnsi="Times New Roman" w:cs="Times New Roman"/>
                <w:color w:val="000000"/>
                <w:sz w:val="24"/>
                <w:highlight w:val="none"/>
                <w:lang w:val="en-US" w:eastAsia="zh-CN"/>
              </w:rPr>
              <w:t>距离</w:t>
            </w:r>
            <w:r>
              <w:rPr>
                <w:rFonts w:hint="eastAsia" w:ascii="Times New Roman" w:hAnsi="Times New Roman" w:cs="Times New Roman"/>
                <w:color w:val="000000"/>
                <w:sz w:val="24"/>
                <w:highlight w:val="none"/>
                <w:lang w:val="en-US" w:eastAsia="zh-CN"/>
              </w:rPr>
              <w:t>中洛石油</w:t>
            </w:r>
            <w:r>
              <w:rPr>
                <w:rFonts w:hint="default" w:ascii="Times New Roman" w:hAnsi="Times New Roman" w:eastAsia="宋体" w:cs="Times New Roman"/>
                <w:b w:val="0"/>
                <w:bCs/>
                <w:color w:val="000000"/>
                <w:sz w:val="24"/>
                <w:szCs w:val="24"/>
                <w:highlight w:val="none"/>
                <w:lang w:val="en-US" w:eastAsia="zh-CN"/>
              </w:rPr>
              <w:t>管道线路</w:t>
            </w:r>
            <w:r>
              <w:rPr>
                <w:rFonts w:hint="eastAsia" w:ascii="Times New Roman" w:hAnsi="Times New Roman" w:eastAsia="宋体" w:cs="Times New Roman"/>
                <w:b w:val="0"/>
                <w:bCs/>
                <w:color w:val="000000"/>
                <w:sz w:val="24"/>
                <w:szCs w:val="24"/>
                <w:highlight w:val="none"/>
                <w:lang w:val="en-US" w:eastAsia="zh-CN"/>
              </w:rPr>
              <w:t>外</w:t>
            </w:r>
            <w:r>
              <w:rPr>
                <w:rFonts w:hint="eastAsia" w:ascii="Times New Roman" w:hAnsi="Times New Roman" w:cs="Times New Roman"/>
                <w:color w:val="000000"/>
                <w:sz w:val="24"/>
                <w:highlight w:val="none"/>
                <w:lang w:val="en-US" w:eastAsia="zh-CN"/>
              </w:rPr>
              <w:t>305</w:t>
            </w:r>
            <w:r>
              <w:rPr>
                <w:rFonts w:hint="default" w:ascii="Times New Roman" w:hAnsi="Times New Roman" w:cs="Times New Roman"/>
                <w:color w:val="000000"/>
                <w:sz w:val="24"/>
                <w:highlight w:val="none"/>
                <w:lang w:val="en-US" w:eastAsia="zh-CN"/>
              </w:rPr>
              <w:t>m，满足</w:t>
            </w:r>
            <w:r>
              <w:rPr>
                <w:rFonts w:hint="default" w:ascii="Times New Roman" w:hAnsi="Times New Roman" w:eastAsia="宋体" w:cs="Times New Roman"/>
                <w:b w:val="0"/>
                <w:bCs/>
                <w:color w:val="000000"/>
                <w:sz w:val="24"/>
                <w:szCs w:val="24"/>
                <w:highlight w:val="none"/>
                <w:lang w:val="en-US" w:eastAsia="zh-CN"/>
              </w:rPr>
              <w:t>《中华人民共和国石油天然气管道保护法》</w:t>
            </w:r>
            <w:r>
              <w:rPr>
                <w:rFonts w:hint="default" w:ascii="Times New Roman" w:hAnsi="Times New Roman" w:cs="Times New Roman"/>
                <w:color w:val="000000"/>
                <w:sz w:val="24"/>
                <w:lang w:val="en-US" w:eastAsia="zh-CN"/>
              </w:rPr>
              <w:t>相关要求</w:t>
            </w:r>
            <w:r>
              <w:rPr>
                <w:rFonts w:hint="eastAsia" w:ascii="Times New Roman" w:hAnsi="Times New Roman" w:cs="Times New Roman"/>
                <w:color w:val="000000"/>
                <w:sz w:val="24"/>
                <w:lang w:val="en-US" w:eastAsia="zh-CN"/>
              </w:rPr>
              <w:t>，不在其保护范围内。</w:t>
            </w:r>
          </w:p>
          <w:p w14:paraId="79C9907E">
            <w:pPr>
              <w:keepNext w:val="0"/>
              <w:keepLines w:val="0"/>
              <w:pageBreakBefore w:val="0"/>
              <w:widowControl w:val="0"/>
              <w:tabs>
                <w:tab w:val="left" w:pos="300"/>
              </w:tabs>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宋体" w:cs="Times New Roman"/>
                <w:b/>
                <w:color w:val="000000"/>
                <w:sz w:val="24"/>
                <w:szCs w:val="24"/>
                <w:highlight w:val="none"/>
              </w:rPr>
            </w:pPr>
            <w:r>
              <w:rPr>
                <w:rFonts w:hint="default" w:ascii="Times New Roman" w:hAnsi="Times New Roman" w:eastAsia="宋体" w:cs="Times New Roman"/>
                <w:b/>
                <w:color w:val="000000"/>
                <w:sz w:val="24"/>
                <w:szCs w:val="24"/>
                <w:highlight w:val="none"/>
                <w:lang w:val="en-US" w:eastAsia="zh-CN"/>
              </w:rPr>
              <w:t>1</w:t>
            </w:r>
            <w:r>
              <w:rPr>
                <w:rFonts w:hint="eastAsia" w:cs="Times New Roman"/>
                <w:b/>
                <w:color w:val="000000"/>
                <w:sz w:val="24"/>
                <w:szCs w:val="24"/>
                <w:highlight w:val="none"/>
                <w:lang w:val="en-US" w:eastAsia="zh-CN"/>
              </w:rPr>
              <w:t>5</w:t>
            </w:r>
            <w:r>
              <w:rPr>
                <w:rFonts w:hint="default" w:ascii="Times New Roman" w:hAnsi="Times New Roman" w:eastAsia="宋体" w:cs="Times New Roman"/>
                <w:b/>
                <w:color w:val="000000"/>
                <w:sz w:val="24"/>
                <w:szCs w:val="24"/>
                <w:highlight w:val="none"/>
              </w:rPr>
              <w:t>、与河南省“两高”项目判定的对照分析</w:t>
            </w:r>
          </w:p>
          <w:p w14:paraId="1045624A">
            <w:pPr>
              <w:pStyle w:val="14"/>
              <w:keepNext w:val="0"/>
              <w:keepLines w:val="0"/>
              <w:pageBreakBefore w:val="0"/>
              <w:widowControl w:val="0"/>
              <w:kinsoku/>
              <w:wordWrap/>
              <w:overflowPunct/>
              <w:topLinePunct w:val="0"/>
              <w:autoSpaceDE/>
              <w:autoSpaceDN/>
              <w:bidi w:val="0"/>
              <w:spacing w:after="0" w:line="520" w:lineRule="exact"/>
              <w:ind w:left="0" w:leftChars="0" w:firstLine="480" w:firstLineChars="200"/>
              <w:textAlignment w:val="auto"/>
              <w:rPr>
                <w:rFonts w:hint="default" w:ascii="Times New Roman" w:hAnsi="Times New Roman" w:eastAsia="宋体" w:cs="Times New Roman"/>
                <w:b w:val="0"/>
                <w:bCs/>
                <w:color w:val="000000"/>
                <w:kern w:val="2"/>
                <w:sz w:val="24"/>
                <w:szCs w:val="24"/>
                <w:highlight w:val="none"/>
                <w:u w:val="none"/>
                <w:lang w:val="en-US" w:eastAsia="zh-CN" w:bidi="ar-SA"/>
              </w:rPr>
            </w:pPr>
            <w:r>
              <w:rPr>
                <w:rFonts w:hint="default" w:ascii="Times New Roman" w:hAnsi="Times New Roman" w:eastAsia="宋体" w:cs="Times New Roman"/>
                <w:b w:val="0"/>
                <w:bCs/>
                <w:color w:val="000000"/>
                <w:kern w:val="2"/>
                <w:sz w:val="24"/>
                <w:szCs w:val="24"/>
                <w:highlight w:val="none"/>
                <w:u w:val="none"/>
                <w:lang w:val="en-US" w:eastAsia="zh-CN" w:bidi="ar-SA"/>
              </w:rPr>
              <w:t>本项目与河南省“两高”项目判定的对照分析情况详见下表。</w:t>
            </w:r>
          </w:p>
          <w:p w14:paraId="7F9BFDE3">
            <w:pPr>
              <w:pStyle w:val="28"/>
              <w:keepNext w:val="0"/>
              <w:keepLines w:val="0"/>
              <w:pageBreakBefore w:val="0"/>
              <w:widowControl w:val="0"/>
              <w:kinsoku/>
              <w:wordWrap/>
              <w:overflowPunct/>
              <w:topLinePunct w:val="0"/>
              <w:autoSpaceDE/>
              <w:autoSpaceDN/>
              <w:bidi w:val="0"/>
              <w:adjustRightInd/>
              <w:snapToGrid/>
              <w:spacing w:line="520" w:lineRule="exact"/>
              <w:ind w:firstLine="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表1-</w:t>
            </w:r>
            <w:r>
              <w:rPr>
                <w:rFonts w:hint="default" w:ascii="Times New Roman" w:hAnsi="Times New Roman" w:cs="Times New Roman"/>
                <w:color w:val="000000"/>
                <w:highlight w:val="none"/>
                <w:lang w:val="en-US" w:eastAsia="zh-CN"/>
              </w:rPr>
              <w:t>12</w:t>
            </w:r>
            <w:r>
              <w:rPr>
                <w:rFonts w:hint="default" w:ascii="Times New Roman" w:hAnsi="Times New Roman" w:cs="Times New Roman"/>
                <w:color w:val="000000"/>
                <w:highlight w:val="none"/>
              </w:rPr>
              <w:t xml:space="preserve">   本项目与河南省“两高”项目判定的对照分析一览表</w:t>
            </w:r>
          </w:p>
          <w:tbl>
            <w:tblPr>
              <w:tblStyle w:val="15"/>
              <w:tblW w:w="4971"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5"/>
              <w:gridCol w:w="5865"/>
              <w:gridCol w:w="1926"/>
            </w:tblGrid>
            <w:tr w14:paraId="10B254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jc w:val="center"/>
              </w:trPr>
              <w:tc>
                <w:tcPr>
                  <w:tcW w:w="500" w:type="pct"/>
                  <w:noWrap w:val="0"/>
                  <w:vAlign w:val="center"/>
                </w:tcPr>
                <w:p w14:paraId="4A276532">
                  <w:pPr>
                    <w:pStyle w:val="22"/>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类别</w:t>
                  </w:r>
                </w:p>
              </w:tc>
              <w:tc>
                <w:tcPr>
                  <w:tcW w:w="3387" w:type="pct"/>
                  <w:noWrap w:val="0"/>
                  <w:vAlign w:val="center"/>
                </w:tcPr>
                <w:p w14:paraId="42ADA327">
                  <w:pPr>
                    <w:pStyle w:val="22"/>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文件相关要求</w:t>
                  </w:r>
                </w:p>
              </w:tc>
              <w:tc>
                <w:tcPr>
                  <w:tcW w:w="1112" w:type="pct"/>
                  <w:noWrap w:val="0"/>
                  <w:vAlign w:val="center"/>
                </w:tcPr>
                <w:p w14:paraId="2E10C448">
                  <w:pPr>
                    <w:pStyle w:val="22"/>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本项目情况</w:t>
                  </w:r>
                </w:p>
              </w:tc>
            </w:tr>
            <w:tr w14:paraId="6EFE4E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5" w:hRule="atLeast"/>
                <w:jc w:val="center"/>
              </w:trPr>
              <w:tc>
                <w:tcPr>
                  <w:tcW w:w="500" w:type="pct"/>
                  <w:noWrap w:val="0"/>
                  <w:vAlign w:val="center"/>
                </w:tcPr>
                <w:p w14:paraId="75F1783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《关于印发河南省“两高”项目管理目录（2023年修订）的通知》（豫发改环资〔2023〕38号）</w:t>
                  </w:r>
                </w:p>
              </w:tc>
              <w:tc>
                <w:tcPr>
                  <w:tcW w:w="3387" w:type="pct"/>
                  <w:noWrap w:val="0"/>
                  <w:vAlign w:val="center"/>
                </w:tcPr>
                <w:p w14:paraId="5D452606">
                  <w:pPr>
                    <w:keepNext w:val="0"/>
                    <w:keepLines w:val="0"/>
                    <w:pageBreakBefore w:val="0"/>
                    <w:kinsoku/>
                    <w:wordWrap/>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河南省“两高”项目主要包括两类：</w:t>
                  </w:r>
                </w:p>
                <w:p w14:paraId="2B0E5755">
                  <w:pPr>
                    <w:keepNext w:val="0"/>
                    <w:keepLines w:val="0"/>
                    <w:pageBreakBefore w:val="0"/>
                    <w:kinsoku/>
                    <w:wordWrap/>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第一类：煤电、石化、化工、煤化工、钢铁（不含短流程炼钢项目及钢铁压延加工项目）、焦化、建材（非金属矿物制品，不含耐火材料项目）、有色（不含铜、铅锌、铝、硅等有色金属再生冶炼和原生、再生有色金属压延加工项目）等8个行业年综合能耗量5万吨标准煤（等价值）及以上项目。</w:t>
                  </w:r>
                </w:p>
                <w:p w14:paraId="6290C4A0">
                  <w:pPr>
                    <w:keepNext w:val="0"/>
                    <w:keepLines w:val="0"/>
                    <w:pageBreakBefore w:val="0"/>
                    <w:kinsoku/>
                    <w:wordWrap/>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第二类:以下19个细分行业中年综合能耗1~5万吨标准煤（等价值）的项目。主要包括：钢铁（长流程炼钢）、铁合金、氧化铝、电解铝、铝用碳素、铜铅锌硅冶炼（不含铜、铅锌、硅再生冶炼）、水泥、石灰、建筑陶瓷、砖瓦（有烧结工序的）、平板玻璃、煤电、炼化、焦化、甲醇、氮肥、醋酸、氯碱、电石。</w:t>
                  </w:r>
                </w:p>
                <w:p w14:paraId="2D5951CB">
                  <w:pPr>
                    <w:keepNext w:val="0"/>
                    <w:keepLines w:val="0"/>
                    <w:pageBreakBefore w:val="0"/>
                    <w:kinsoku/>
                    <w:wordWrap/>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改建、扩建“两高”项目均适用此目录，其中改建项目指在原有产能基础上通过等量或减量置换进行整合升级的项目（含涉及主体工程改造项目），扩建项目指在原有产能基础上新增产能的项目，不涉及主体工程、未增加产能的技术改造项目除外。</w:t>
                  </w:r>
                </w:p>
              </w:tc>
              <w:tc>
                <w:tcPr>
                  <w:tcW w:w="1112" w:type="pct"/>
                  <w:noWrap w:val="0"/>
                  <w:vAlign w:val="center"/>
                </w:tcPr>
                <w:p w14:paraId="17CEF6B4">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Cs/>
                      <w:color w:val="000000"/>
                      <w:kern w:val="0"/>
                      <w:sz w:val="21"/>
                      <w:szCs w:val="21"/>
                      <w:highlight w:val="none"/>
                      <w:lang w:val="en-US" w:bidi="ar"/>
                    </w:rPr>
                  </w:pPr>
                  <w:r>
                    <w:rPr>
                      <w:rFonts w:hint="default" w:ascii="Times New Roman" w:hAnsi="Times New Roman" w:cs="Times New Roman"/>
                      <w:bCs/>
                      <w:color w:val="000000"/>
                      <w:sz w:val="21"/>
                      <w:szCs w:val="21"/>
                      <w:highlight w:val="none"/>
                    </w:rPr>
                    <w:t>本项目</w:t>
                  </w:r>
                  <w:r>
                    <w:rPr>
                      <w:rFonts w:hint="default" w:ascii="Times New Roman" w:hAnsi="Times New Roman" w:cs="Times New Roman"/>
                      <w:bCs/>
                      <w:color w:val="000000"/>
                      <w:sz w:val="21"/>
                      <w:szCs w:val="21"/>
                      <w:highlight w:val="none"/>
                      <w:lang w:eastAsia="zh-CN"/>
                    </w:rPr>
                    <w:t>属于</w:t>
                  </w:r>
                  <w:r>
                    <w:rPr>
                      <w:rFonts w:hint="eastAsia" w:cs="Times New Roman"/>
                      <w:bCs/>
                      <w:color w:val="000000"/>
                      <w:sz w:val="21"/>
                      <w:szCs w:val="21"/>
                      <w:highlight w:val="none"/>
                      <w:lang w:eastAsia="zh-CN"/>
                    </w:rPr>
                    <w:t>日用塑料制品制造，本项目不属于“两高”项目行业类别之内。</w:t>
                  </w:r>
                </w:p>
              </w:tc>
            </w:tr>
          </w:tbl>
          <w:p w14:paraId="0A319A08">
            <w:pPr>
              <w:pStyle w:val="2"/>
              <w:keepNext/>
              <w:keepLines w:val="0"/>
              <w:pageBreakBefore w:val="0"/>
              <w:widowControl w:val="0"/>
              <w:kinsoku/>
              <w:wordWrap/>
              <w:overflowPunct w:val="0"/>
              <w:topLinePunct w:val="0"/>
              <w:autoSpaceDE/>
              <w:autoSpaceDN/>
              <w:bidi w:val="0"/>
              <w:adjustRightInd/>
              <w:snapToGrid w:val="0"/>
              <w:ind w:left="0" w:leftChars="0" w:firstLine="480" w:firstLineChars="200"/>
              <w:textAlignment w:val="auto"/>
              <w:rPr>
                <w:rFonts w:hint="default" w:ascii="Times New Roman" w:hAnsi="Times New Roman" w:eastAsia="宋体" w:cs="Times New Roman"/>
                <w:b w:val="0"/>
                <w:bCs w:val="0"/>
                <w:sz w:val="24"/>
                <w:szCs w:val="24"/>
                <w:u w:val="none"/>
                <w:lang w:val="en-US" w:eastAsia="zh-CN" w:bidi="ar"/>
              </w:rPr>
            </w:pPr>
            <w:r>
              <w:rPr>
                <w:rFonts w:hint="default" w:ascii="Times New Roman" w:hAnsi="Times New Roman" w:eastAsia="宋体" w:cs="Times New Roman"/>
                <w:b w:val="0"/>
                <w:bCs w:val="0"/>
                <w:sz w:val="24"/>
                <w:szCs w:val="24"/>
                <w:u w:val="none"/>
                <w:lang w:val="en-US" w:eastAsia="zh-CN" w:bidi="ar"/>
              </w:rPr>
              <w:t>由上表对比分析可知项目不属于文件规定的“两高”项目类别。</w:t>
            </w:r>
          </w:p>
          <w:p w14:paraId="457D2A1A">
            <w:pPr>
              <w:rPr>
                <w:rFonts w:hint="default" w:ascii="Times New Roman" w:hAnsi="Times New Roman" w:eastAsia="宋体" w:cs="Times New Roman"/>
                <w:b w:val="0"/>
                <w:bCs w:val="0"/>
                <w:sz w:val="24"/>
                <w:szCs w:val="24"/>
                <w:u w:val="none"/>
                <w:lang w:val="en-US" w:eastAsia="zh-CN" w:bidi="ar"/>
              </w:rPr>
            </w:pPr>
          </w:p>
          <w:p w14:paraId="09F089A9">
            <w:pPr>
              <w:rPr>
                <w:rFonts w:hint="default" w:ascii="Times New Roman" w:hAnsi="Times New Roman" w:eastAsia="宋体" w:cs="Times New Roman"/>
                <w:b w:val="0"/>
                <w:bCs w:val="0"/>
                <w:sz w:val="24"/>
                <w:szCs w:val="24"/>
                <w:u w:val="none"/>
                <w:lang w:val="en-US" w:eastAsia="zh-CN" w:bidi="ar"/>
              </w:rPr>
            </w:pPr>
          </w:p>
          <w:p w14:paraId="5C49FC98">
            <w:pPr>
              <w:rPr>
                <w:rFonts w:hint="default" w:ascii="Times New Roman" w:hAnsi="Times New Roman" w:eastAsia="宋体" w:cs="Times New Roman"/>
                <w:b w:val="0"/>
                <w:bCs w:val="0"/>
                <w:sz w:val="24"/>
                <w:szCs w:val="24"/>
                <w:u w:val="none"/>
                <w:lang w:val="en-US" w:eastAsia="zh-CN" w:bidi="ar"/>
              </w:rPr>
            </w:pPr>
          </w:p>
          <w:p w14:paraId="03DE1C18">
            <w:pPr>
              <w:rPr>
                <w:rFonts w:hint="default" w:ascii="Times New Roman" w:hAnsi="Times New Roman" w:eastAsia="宋体" w:cs="Times New Roman"/>
                <w:b w:val="0"/>
                <w:bCs w:val="0"/>
                <w:sz w:val="24"/>
                <w:szCs w:val="24"/>
                <w:u w:val="none"/>
                <w:lang w:val="en-US" w:eastAsia="zh-CN" w:bidi="ar"/>
              </w:rPr>
            </w:pPr>
          </w:p>
          <w:p w14:paraId="05EFBF97">
            <w:pPr>
              <w:rPr>
                <w:rFonts w:hint="default" w:ascii="Times New Roman" w:hAnsi="Times New Roman" w:eastAsia="宋体" w:cs="Times New Roman"/>
                <w:b w:val="0"/>
                <w:bCs w:val="0"/>
                <w:sz w:val="24"/>
                <w:szCs w:val="24"/>
                <w:u w:val="none"/>
                <w:lang w:val="en-US" w:eastAsia="zh-CN" w:bidi="ar"/>
              </w:rPr>
            </w:pPr>
          </w:p>
          <w:p w14:paraId="0C39749B">
            <w:pPr>
              <w:rPr>
                <w:rFonts w:hint="default" w:ascii="Times New Roman" w:hAnsi="Times New Roman" w:eastAsia="宋体" w:cs="Times New Roman"/>
                <w:b w:val="0"/>
                <w:bCs w:val="0"/>
                <w:sz w:val="24"/>
                <w:szCs w:val="24"/>
                <w:u w:val="none"/>
                <w:lang w:val="en-US" w:eastAsia="zh-CN" w:bidi="ar"/>
              </w:rPr>
            </w:pPr>
          </w:p>
          <w:p w14:paraId="47299BBB">
            <w:pPr>
              <w:ind w:left="0" w:leftChars="0" w:firstLine="0" w:firstLineChars="0"/>
              <w:rPr>
                <w:rFonts w:hint="default" w:ascii="Times New Roman" w:hAnsi="Times New Roman" w:eastAsia="宋体" w:cs="Times New Roman"/>
                <w:b w:val="0"/>
                <w:bCs w:val="0"/>
                <w:sz w:val="24"/>
                <w:szCs w:val="24"/>
                <w:u w:val="none"/>
                <w:lang w:val="en-US" w:eastAsia="zh-CN" w:bidi="ar"/>
              </w:rPr>
            </w:pPr>
          </w:p>
        </w:tc>
      </w:tr>
    </w:tbl>
    <w:p w14:paraId="1D3FD911">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firstLine="0" w:firstLineChars="0"/>
        <w:jc w:val="center"/>
        <w:textAlignment w:val="auto"/>
        <w:outlineLvl w:val="0"/>
        <w:rPr>
          <w:rFonts w:hint="default" w:ascii="Times New Roman" w:hAnsi="Times New Roman" w:eastAsia="黑体" w:cs="Times New Roman"/>
          <w:snapToGrid w:val="0"/>
          <w:sz w:val="30"/>
          <w:szCs w:val="30"/>
        </w:rPr>
      </w:pPr>
      <w:r>
        <w:rPr>
          <w:rFonts w:hint="default" w:ascii="Times New Roman" w:hAnsi="Times New Roman" w:eastAsia="黑体" w:cs="Times New Roman"/>
          <w:snapToGrid w:val="0"/>
          <w:sz w:val="30"/>
          <w:szCs w:val="30"/>
        </w:rPr>
        <w:br w:type="page"/>
      </w:r>
      <w:r>
        <w:rPr>
          <w:rFonts w:hint="default" w:ascii="Times New Roman" w:hAnsi="Times New Roman" w:eastAsia="黑体" w:cs="Times New Roman"/>
          <w:snapToGrid w:val="0"/>
          <w:sz w:val="30"/>
          <w:szCs w:val="30"/>
        </w:rPr>
        <w:t>二、建设项目工程分析</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8990"/>
      </w:tblGrid>
      <w:tr w14:paraId="24B135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56" w:hRule="atLeast"/>
          <w:jc w:val="center"/>
        </w:trPr>
        <w:tc>
          <w:tcPr>
            <w:tcW w:w="776" w:type="dxa"/>
            <w:noWrap w:val="0"/>
            <w:vAlign w:val="center"/>
          </w:tcPr>
          <w:p w14:paraId="174EADE2">
            <w:pPr>
              <w:pStyle w:val="12"/>
              <w:adjustRightInd w:val="0"/>
              <w:snapToGrid w:val="0"/>
              <w:spacing w:before="0" w:beforeAutospacing="0" w:after="0" w:afterAutospacing="0"/>
              <w:ind w:firstLine="0" w:firstLineChars="0"/>
              <w:jc w:val="center"/>
              <w:rPr>
                <w:rFonts w:hint="default" w:ascii="Times New Roman" w:hAnsi="Times New Roman" w:cs="Times New Roman"/>
                <w:szCs w:val="24"/>
              </w:rPr>
            </w:pPr>
            <w:r>
              <w:rPr>
                <w:rFonts w:hint="default" w:ascii="Times New Roman" w:hAnsi="Times New Roman" w:cs="Times New Roman"/>
                <w:szCs w:val="24"/>
              </w:rPr>
              <w:t>建设内容</w:t>
            </w:r>
          </w:p>
        </w:tc>
        <w:tc>
          <w:tcPr>
            <w:tcW w:w="8990" w:type="dxa"/>
            <w:noWrap w:val="0"/>
            <w:vAlign w:val="top"/>
          </w:tcPr>
          <w:p w14:paraId="6CDAC049">
            <w:pPr>
              <w:pStyle w:val="26"/>
              <w:keepNext w:val="0"/>
              <w:keepLines w:val="0"/>
              <w:pageBreakBefore w:val="0"/>
              <w:widowControl w:val="0"/>
              <w:kinsoku/>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rPr>
            </w:pPr>
            <w:r>
              <w:rPr>
                <w:rFonts w:hint="eastAsia" w:cs="Times New Roman"/>
                <w:b/>
                <w:lang w:eastAsia="zh-CN"/>
              </w:rPr>
              <w:t>一</w:t>
            </w:r>
            <w:r>
              <w:rPr>
                <w:rFonts w:hint="default" w:ascii="Times New Roman" w:hAnsi="Times New Roman" w:cs="Times New Roman"/>
                <w:b/>
              </w:rPr>
              <w:t>、项目由来</w:t>
            </w:r>
          </w:p>
          <w:p w14:paraId="7800323F">
            <w:pPr>
              <w:pStyle w:val="26"/>
              <w:keepNext w:val="0"/>
              <w:keepLines w:val="0"/>
              <w:pageBreakBefore w:val="0"/>
              <w:widowControl w:val="0"/>
              <w:kinsoku/>
              <w:wordWrap w:val="0"/>
              <w:overflowPunct/>
              <w:topLinePunct w:val="0"/>
              <w:autoSpaceDE/>
              <w:autoSpaceDN/>
              <w:bidi w:val="0"/>
              <w:adjustRightInd/>
              <w:snapToGrid/>
              <w:spacing w:line="520" w:lineRule="exact"/>
              <w:ind w:firstLine="480"/>
              <w:textAlignment w:val="auto"/>
              <w:rPr>
                <w:rFonts w:hint="eastAsia" w:ascii="Times New Roman" w:hAnsi="Times New Roman" w:eastAsia="宋体" w:cs="Times New Roman"/>
                <w:color w:val="000000"/>
                <w:sz w:val="24"/>
                <w:szCs w:val="24"/>
                <w:lang w:val="en-US" w:eastAsia="zh-CN"/>
              </w:rPr>
            </w:pPr>
            <w:r>
              <w:rPr>
                <w:rFonts w:hint="eastAsia" w:cs="Times New Roman"/>
                <w:lang w:eastAsia="zh-CN"/>
              </w:rPr>
              <w:t>河南建皓新材料</w:t>
            </w:r>
            <w:r>
              <w:rPr>
                <w:rFonts w:hint="default" w:ascii="Times New Roman" w:hAnsi="Times New Roman" w:cs="Times New Roman"/>
                <w:lang w:eastAsia="zh-CN"/>
              </w:rPr>
              <w:t>有限公司是一家从事</w:t>
            </w:r>
            <w:r>
              <w:rPr>
                <w:rFonts w:hint="eastAsia" w:cs="Times New Roman"/>
                <w:lang w:eastAsia="zh-CN"/>
              </w:rPr>
              <w:t>塑料食品餐盒</w:t>
            </w:r>
            <w:r>
              <w:rPr>
                <w:rFonts w:hint="default" w:ascii="Times New Roman" w:hAnsi="Times New Roman" w:cs="Times New Roman"/>
                <w:lang w:eastAsia="zh-CN"/>
              </w:rPr>
              <w:t>生产以及销售的公司，</w:t>
            </w:r>
            <w:r>
              <w:rPr>
                <w:rFonts w:hint="eastAsia" w:cs="Times New Roman"/>
                <w:lang w:eastAsia="zh-CN"/>
              </w:rPr>
              <w:t>该</w:t>
            </w:r>
            <w:r>
              <w:rPr>
                <w:rFonts w:hint="eastAsia" w:ascii="Times New Roman" w:hAnsi="Times New Roman" w:eastAsia="宋体" w:cs="Times New Roman"/>
                <w:sz w:val="24"/>
                <w:highlight w:val="none"/>
                <w:lang w:eastAsia="zh-CN"/>
              </w:rPr>
              <w:t>公司</w:t>
            </w:r>
            <w:r>
              <w:rPr>
                <w:rFonts w:hint="default" w:ascii="Times New Roman" w:hAnsi="Times New Roman" w:eastAsia="宋体" w:cs="Times New Roman"/>
                <w:sz w:val="24"/>
                <w:highlight w:val="none"/>
                <w:lang w:eastAsia="zh-CN"/>
              </w:rPr>
              <w:t>拟投资</w:t>
            </w:r>
            <w:r>
              <w:rPr>
                <w:rFonts w:hint="eastAsia"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lang w:val="en-US" w:eastAsia="zh-CN"/>
              </w:rPr>
              <w:t>00万元</w:t>
            </w:r>
            <w:r>
              <w:rPr>
                <w:rFonts w:hint="eastAsia" w:cs="Times New Roman"/>
                <w:sz w:val="24"/>
                <w:highlight w:val="none"/>
                <w:lang w:val="en-US" w:eastAsia="zh-CN"/>
              </w:rPr>
              <w:t>，</w:t>
            </w:r>
            <w:r>
              <w:rPr>
                <w:rFonts w:hint="default" w:ascii="Times New Roman" w:hAnsi="Times New Roman" w:eastAsia="宋体" w:cs="Times New Roman"/>
                <w:sz w:val="24"/>
                <w:highlight w:val="none"/>
                <w:lang w:val="en-US" w:eastAsia="zh-CN"/>
              </w:rPr>
              <w:t>在</w:t>
            </w:r>
            <w:r>
              <w:rPr>
                <w:rFonts w:hint="default" w:ascii="Times New Roman" w:hAnsi="Times New Roman" w:cs="Times New Roman"/>
                <w:sz w:val="24"/>
                <w:highlight w:val="none"/>
                <w:lang w:eastAsia="zh-CN"/>
              </w:rPr>
              <w:t>焦作市</w:t>
            </w:r>
            <w:r>
              <w:rPr>
                <w:rFonts w:hint="eastAsia" w:ascii="Times New Roman" w:hAnsi="Times New Roman" w:cs="Times New Roman"/>
                <w:sz w:val="24"/>
                <w:highlight w:val="none"/>
                <w:lang w:eastAsia="zh-CN"/>
              </w:rPr>
              <w:t>武陟县</w:t>
            </w:r>
            <w:r>
              <w:rPr>
                <w:rFonts w:hint="default" w:ascii="Times New Roman" w:hAnsi="Times New Roman" w:eastAsia="宋体" w:cs="Times New Roman"/>
                <w:highlight w:val="none"/>
                <w:lang w:eastAsia="zh-CN"/>
              </w:rPr>
              <w:t>经开区东部园区昌武路与鸿源路交叉口路西200米路南01号</w:t>
            </w:r>
            <w:r>
              <w:rPr>
                <w:rFonts w:hint="eastAsia" w:cs="Times New Roman"/>
                <w:sz w:val="24"/>
                <w:highlight w:val="none"/>
                <w:lang w:eastAsia="zh-CN"/>
              </w:rPr>
              <w:t>，</w:t>
            </w:r>
            <w:r>
              <w:rPr>
                <w:rFonts w:hint="default" w:ascii="Times New Roman" w:hAnsi="Times New Roman" w:cs="Times New Roman"/>
                <w:sz w:val="24"/>
                <w:highlight w:val="none"/>
                <w:lang w:eastAsia="zh-CN"/>
              </w:rPr>
              <w:t>建设</w:t>
            </w:r>
            <w:r>
              <w:rPr>
                <w:rFonts w:hint="eastAsia" w:ascii="Times New Roman" w:hAnsi="Times New Roman" w:cs="Times New Roman"/>
                <w:sz w:val="24"/>
                <w:highlight w:val="none"/>
                <w:lang w:eastAsia="zh-CN"/>
              </w:rPr>
              <w:t>年产</w:t>
            </w:r>
            <w:r>
              <w:rPr>
                <w:rFonts w:hint="eastAsia" w:ascii="Times New Roman" w:hAnsi="Times New Roman" w:cs="Times New Roman"/>
                <w:sz w:val="24"/>
                <w:highlight w:val="none"/>
                <w:lang w:val="en-US" w:eastAsia="zh-CN"/>
              </w:rPr>
              <w:t>300吨塑料食品餐盒项目，</w:t>
            </w:r>
            <w:r>
              <w:rPr>
                <w:rFonts w:hint="eastAsia" w:ascii="Times New Roman" w:hAnsi="Times New Roman" w:cs="Times New Roman"/>
                <w:highlight w:val="none"/>
                <w:lang w:eastAsia="zh-CN"/>
              </w:rPr>
              <w:t>本项目租赁建能智慧科技（河南）有限公司</w:t>
            </w:r>
            <w:r>
              <w:rPr>
                <w:rFonts w:hint="eastAsia" w:ascii="Times New Roman" w:hAnsi="Times New Roman" w:cs="Times New Roman"/>
                <w:highlight w:val="none"/>
                <w:lang w:val="en-US" w:eastAsia="zh-CN"/>
              </w:rPr>
              <w:t>的现有空厂房进行建设</w:t>
            </w:r>
            <w:r>
              <w:rPr>
                <w:rFonts w:hint="eastAsia" w:cs="Times New Roman"/>
                <w:highlight w:val="none"/>
                <w:lang w:val="en-US" w:eastAsia="zh-CN"/>
              </w:rPr>
              <w:t>，占地面积为1400m</w:t>
            </w:r>
            <w:r>
              <w:rPr>
                <w:rFonts w:hint="eastAsia" w:cs="Times New Roman"/>
                <w:highlight w:val="none"/>
                <w:vertAlign w:val="superscript"/>
                <w:lang w:val="en-US" w:eastAsia="zh-CN"/>
              </w:rPr>
              <w:t>2</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根据</w:t>
            </w:r>
            <w:r>
              <w:rPr>
                <w:rFonts w:hint="default" w:ascii="Times New Roman" w:hAnsi="Times New Roman" w:cs="Times New Roman"/>
                <w:sz w:val="24"/>
                <w:highlight w:val="none"/>
              </w:rPr>
              <w:t>《武陟经济</w:t>
            </w:r>
            <w:r>
              <w:rPr>
                <w:rFonts w:hint="default" w:ascii="Times New Roman" w:hAnsi="Times New Roman" w:cs="Times New Roman"/>
                <w:sz w:val="24"/>
              </w:rPr>
              <w:t>技术开发区发展规划（2022~2035）》</w:t>
            </w:r>
            <w:r>
              <w:rPr>
                <w:rFonts w:hint="eastAsia" w:cs="Times New Roman"/>
                <w:sz w:val="24"/>
                <w:lang w:eastAsia="zh-CN"/>
              </w:rPr>
              <w:t>可知，本项目所在地为二类工业用地，</w:t>
            </w:r>
            <w:r>
              <w:rPr>
                <w:rFonts w:hint="default" w:ascii="Times New Roman" w:hAnsi="Times New Roman" w:cs="Times New Roman"/>
                <w:highlight w:val="none"/>
                <w:lang w:val="en-US" w:eastAsia="zh-CN"/>
              </w:rPr>
              <w:t>符合土地利用总体规划。</w:t>
            </w:r>
            <w:r>
              <w:rPr>
                <w:rFonts w:hint="default" w:ascii="Times New Roman" w:hAnsi="Times New Roman" w:cs="Times New Roman"/>
              </w:rPr>
              <w:t>经查阅《产业结构调整指导目录（2024年本）》，项目拟用设备均不属于淘汰或限制设备，符合相关设备政策要求。</w:t>
            </w:r>
            <w:r>
              <w:rPr>
                <w:rFonts w:hint="eastAsia" w:ascii="Times New Roman" w:hAnsi="Times New Roman" w:eastAsia="宋体" w:cs="Times New Roman"/>
                <w:color w:val="000000"/>
                <w:sz w:val="24"/>
                <w:szCs w:val="24"/>
                <w:lang w:val="en-US" w:eastAsia="zh-CN"/>
              </w:rPr>
              <w:t>本项目产品、设备、工艺和生产能力均未被列入当前国家和河南省有关产业政策界定的</w:t>
            </w:r>
            <w:r>
              <w:rPr>
                <w:rFonts w:hint="eastAsia" w:eastAsia="宋体" w:cs="Times New Roman"/>
                <w:color w:val="000000"/>
                <w:sz w:val="24"/>
                <w:szCs w:val="24"/>
                <w:lang w:val="en-US" w:eastAsia="zh-CN"/>
              </w:rPr>
              <w:t>鼓励类、</w:t>
            </w:r>
            <w:r>
              <w:rPr>
                <w:rFonts w:hint="eastAsia" w:ascii="Times New Roman" w:hAnsi="Times New Roman" w:eastAsia="宋体" w:cs="Times New Roman"/>
                <w:color w:val="000000"/>
                <w:sz w:val="24"/>
                <w:szCs w:val="24"/>
                <w:lang w:val="en-US" w:eastAsia="zh-CN"/>
              </w:rPr>
              <w:t>限制</w:t>
            </w:r>
            <w:r>
              <w:rPr>
                <w:rFonts w:hint="eastAsia" w:eastAsia="宋体" w:cs="Times New Roman"/>
                <w:color w:val="000000"/>
                <w:sz w:val="24"/>
                <w:szCs w:val="24"/>
                <w:lang w:val="en-US" w:eastAsia="zh-CN"/>
              </w:rPr>
              <w:t>类、</w:t>
            </w:r>
            <w:r>
              <w:rPr>
                <w:rFonts w:hint="eastAsia" w:ascii="Times New Roman" w:hAnsi="Times New Roman" w:eastAsia="宋体" w:cs="Times New Roman"/>
                <w:color w:val="000000"/>
                <w:sz w:val="24"/>
                <w:szCs w:val="24"/>
                <w:lang w:val="en-US" w:eastAsia="zh-CN"/>
              </w:rPr>
              <w:t>淘汰类</w:t>
            </w:r>
            <w:r>
              <w:rPr>
                <w:rFonts w:hint="eastAsia" w:eastAsia="宋体" w:cs="Times New Roman"/>
                <w:color w:val="000000"/>
                <w:sz w:val="24"/>
                <w:szCs w:val="24"/>
                <w:lang w:val="en-US" w:eastAsia="zh-CN"/>
              </w:rPr>
              <w:t>建设项目</w:t>
            </w:r>
            <w:r>
              <w:rPr>
                <w:rFonts w:hint="eastAsia" w:ascii="Times New Roman" w:hAnsi="Times New Roman" w:eastAsia="宋体" w:cs="Times New Roman"/>
                <w:color w:val="000000"/>
                <w:sz w:val="24"/>
                <w:szCs w:val="24"/>
                <w:lang w:val="en-US" w:eastAsia="zh-CN"/>
              </w:rPr>
              <w:t>，属于允许建设项目</w:t>
            </w:r>
            <w:r>
              <w:rPr>
                <w:rFonts w:hint="eastAsia"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同时项目已于202</w:t>
            </w:r>
            <w:r>
              <w:rPr>
                <w:rFonts w:hint="eastAsia" w:eastAsia="宋体" w:cs="Times New Roman"/>
                <w:color w:val="000000"/>
                <w:sz w:val="24"/>
                <w:szCs w:val="24"/>
                <w:lang w:val="en-US" w:eastAsia="zh-CN"/>
              </w:rPr>
              <w:t>5</w:t>
            </w:r>
            <w:r>
              <w:rPr>
                <w:rFonts w:hint="eastAsia" w:ascii="Times New Roman" w:hAnsi="Times New Roman" w:eastAsia="宋体" w:cs="Times New Roman"/>
                <w:color w:val="000000"/>
                <w:sz w:val="24"/>
                <w:szCs w:val="24"/>
                <w:lang w:val="en-US" w:eastAsia="zh-CN"/>
              </w:rPr>
              <w:t>年</w:t>
            </w:r>
            <w:r>
              <w:rPr>
                <w:rFonts w:hint="eastAsia" w:eastAsia="宋体" w:cs="Times New Roman"/>
                <w:color w:val="000000"/>
                <w:sz w:val="24"/>
                <w:szCs w:val="24"/>
                <w:lang w:val="en-US" w:eastAsia="zh-CN"/>
              </w:rPr>
              <w:t>9</w:t>
            </w:r>
            <w:r>
              <w:rPr>
                <w:rFonts w:hint="eastAsia" w:ascii="Times New Roman" w:hAnsi="Times New Roman" w:eastAsia="宋体" w:cs="Times New Roman"/>
                <w:color w:val="000000"/>
                <w:sz w:val="24"/>
                <w:szCs w:val="24"/>
                <w:lang w:val="en-US" w:eastAsia="zh-CN"/>
              </w:rPr>
              <w:t>月1日</w:t>
            </w:r>
            <w:r>
              <w:rPr>
                <w:rFonts w:hint="eastAsia" w:ascii="Times New Roman" w:hAnsi="Times New Roman" w:eastAsia="宋体" w:cs="Times New Roman"/>
                <w:color w:val="000000"/>
                <w:sz w:val="24"/>
                <w:szCs w:val="24"/>
                <w:highlight w:val="none"/>
                <w:lang w:val="en-US" w:eastAsia="zh-CN"/>
              </w:rPr>
              <w:t>，</w:t>
            </w:r>
            <w:r>
              <w:rPr>
                <w:rFonts w:hint="eastAsia" w:ascii="Times New Roman" w:hAnsi="Times New Roman" w:eastAsia="宋体"/>
                <w:bCs/>
                <w:color w:val="000000"/>
                <w:sz w:val="24"/>
                <w:highlight w:val="none"/>
                <w:lang w:eastAsia="zh-CN"/>
              </w:rPr>
              <w:t>在</w:t>
            </w:r>
            <w:r>
              <w:rPr>
                <w:rFonts w:hint="default" w:ascii="Times New Roman" w:hAnsi="Times New Roman" w:cs="Times New Roman"/>
                <w:highlight w:val="none"/>
              </w:rPr>
              <w:t>武陟经济技术开发区管理委员会</w:t>
            </w:r>
            <w:r>
              <w:rPr>
                <w:rFonts w:hint="eastAsia" w:cs="Times New Roman"/>
                <w:highlight w:val="none"/>
                <w:lang w:eastAsia="zh-CN"/>
              </w:rPr>
              <w:t>经济发展局</w:t>
            </w:r>
            <w:r>
              <w:rPr>
                <w:rFonts w:hint="default" w:ascii="Times New Roman" w:hAnsi="Times New Roman" w:cs="Times New Roman"/>
                <w:highlight w:val="none"/>
              </w:rPr>
              <w:t>进行备案</w:t>
            </w:r>
            <w:r>
              <w:rPr>
                <w:rFonts w:hint="eastAsia" w:eastAsia="宋体"/>
                <w:bCs/>
                <w:color w:val="000000"/>
                <w:sz w:val="24"/>
                <w:highlight w:val="none"/>
                <w:lang w:eastAsia="zh-CN"/>
              </w:rPr>
              <w:t>，</w:t>
            </w:r>
            <w:r>
              <w:rPr>
                <w:rFonts w:ascii="Times New Roman" w:hAnsi="Times New Roman"/>
                <w:bCs/>
                <w:color w:val="000000"/>
                <w:sz w:val="24"/>
                <w:highlight w:val="none"/>
              </w:rPr>
              <w:t>项目代码为</w:t>
            </w:r>
            <w:r>
              <w:rPr>
                <w:rFonts w:hint="eastAsia" w:ascii="Times New Roman" w:hAnsi="Times New Roman"/>
                <w:bCs/>
                <w:color w:val="000000"/>
                <w:sz w:val="24"/>
                <w:highlight w:val="none"/>
              </w:rPr>
              <w:t>2509-410823-04-01-</w:t>
            </w:r>
            <w:r>
              <w:rPr>
                <w:rFonts w:hint="eastAsia" w:ascii="Times New Roman" w:hAnsi="Times New Roman"/>
                <w:bCs/>
                <w:color w:val="000000"/>
                <w:sz w:val="24"/>
              </w:rPr>
              <w:t>472195</w:t>
            </w:r>
            <w:r>
              <w:rPr>
                <w:rFonts w:hint="default" w:ascii="Times New Roman" w:hAnsi="Times New Roman" w:cs="Times New Roman"/>
              </w:rPr>
              <w:t>（</w:t>
            </w:r>
            <w:r>
              <w:rPr>
                <w:rFonts w:hint="default" w:ascii="Times New Roman" w:hAnsi="Times New Roman" w:cs="Times New Roman"/>
                <w:highlight w:val="none"/>
              </w:rPr>
              <w:t>见附件2）</w:t>
            </w:r>
            <w:r>
              <w:rPr>
                <w:rFonts w:hint="eastAsia" w:ascii="Times New Roman" w:hAnsi="Times New Roman"/>
                <w:bCs/>
                <w:color w:val="000000"/>
                <w:sz w:val="24"/>
                <w:highlight w:val="none"/>
                <w:lang w:eastAsia="zh-CN"/>
              </w:rPr>
              <w:t>，说</w:t>
            </w:r>
            <w:r>
              <w:rPr>
                <w:rFonts w:hint="eastAsia" w:ascii="Times New Roman" w:hAnsi="Times New Roman"/>
                <w:bCs/>
                <w:color w:val="000000"/>
                <w:sz w:val="24"/>
                <w:lang w:eastAsia="zh-CN"/>
              </w:rPr>
              <w:t>明项目建设</w:t>
            </w:r>
            <w:r>
              <w:rPr>
                <w:rFonts w:hint="eastAsia" w:ascii="Times New Roman" w:hAnsi="Times New Roman" w:eastAsia="宋体" w:cs="Times New Roman"/>
                <w:color w:val="000000"/>
                <w:sz w:val="24"/>
                <w:szCs w:val="24"/>
                <w:lang w:val="en-US" w:eastAsia="zh-CN"/>
              </w:rPr>
              <w:t>符合国家及地方产业政策要求。</w:t>
            </w:r>
          </w:p>
          <w:p w14:paraId="3AF16BDC">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根据《中华人民共和国环境影响评价法》、《建设项目环境保护管理条例》、《河南省建设项目环境保护条例》等国家、地方有关环境保护法律、法规的规定及要求，该项目须进行环境影响评价。根据《建设项目环境影响评价分类管理名录（2021年版）》的规定，本项目属于</w:t>
            </w:r>
            <w:r>
              <w:rPr>
                <w:rFonts w:hint="eastAsia" w:cs="Times New Roman"/>
                <w:lang w:eastAsia="zh-CN"/>
              </w:rPr>
              <w:t>“</w:t>
            </w:r>
            <w:r>
              <w:rPr>
                <w:rFonts w:hint="default" w:ascii="Times New Roman" w:hAnsi="Times New Roman" w:cs="Times New Roman"/>
                <w:lang w:eastAsia="zh-CN"/>
              </w:rPr>
              <w:t>二十</w:t>
            </w:r>
            <w:r>
              <w:rPr>
                <w:rFonts w:hint="eastAsia" w:cs="Times New Roman"/>
                <w:lang w:eastAsia="zh-CN"/>
              </w:rPr>
              <w:t>六</w:t>
            </w:r>
            <w:r>
              <w:rPr>
                <w:rFonts w:hint="default" w:ascii="Times New Roman" w:hAnsi="Times New Roman" w:cs="Times New Roman"/>
              </w:rPr>
              <w:t>、</w:t>
            </w:r>
            <w:r>
              <w:rPr>
                <w:rFonts w:hint="eastAsia" w:cs="Times New Roman"/>
                <w:lang w:eastAsia="zh-CN"/>
              </w:rPr>
              <w:t>橡胶和塑料制品业</w:t>
            </w:r>
            <w:r>
              <w:rPr>
                <w:rFonts w:hint="default" w:ascii="Times New Roman" w:hAnsi="Times New Roman" w:cs="Times New Roman"/>
                <w:lang w:val="en-US" w:eastAsia="zh-CN"/>
              </w:rPr>
              <w:t xml:space="preserve"> </w:t>
            </w:r>
            <w:r>
              <w:rPr>
                <w:rFonts w:hint="eastAsia" w:cs="Times New Roman"/>
                <w:lang w:val="en-US" w:eastAsia="zh-CN"/>
              </w:rPr>
              <w:t>29</w:t>
            </w:r>
            <w:r>
              <w:rPr>
                <w:rFonts w:hint="default" w:ascii="Times New Roman" w:hAnsi="Times New Roman" w:cs="Times New Roman"/>
                <w:lang w:val="en-US" w:eastAsia="zh-CN"/>
              </w:rPr>
              <w:t>-</w:t>
            </w:r>
            <w:r>
              <w:rPr>
                <w:rFonts w:hint="eastAsia" w:cs="Times New Roman"/>
                <w:lang w:val="en-US" w:eastAsia="zh-CN"/>
              </w:rPr>
              <w:t>53塑料制品业292</w:t>
            </w:r>
            <w:r>
              <w:rPr>
                <w:rFonts w:hint="eastAsia" w:cs="Times New Roman"/>
                <w:lang w:eastAsia="zh-CN"/>
              </w:rPr>
              <w:t>”</w:t>
            </w:r>
            <w:r>
              <w:rPr>
                <w:rFonts w:hint="eastAsia" w:cs="Times New Roman"/>
                <w:sz w:val="24"/>
                <w:szCs w:val="24"/>
                <w:highlight w:val="none"/>
                <w:u w:val="none"/>
                <w:lang w:val="en-US" w:eastAsia="zh-CN"/>
              </w:rPr>
              <w:t>-</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highlight w:val="none"/>
              </w:rPr>
              <w:t>C</w:t>
            </w:r>
            <w:r>
              <w:rPr>
                <w:rFonts w:hint="eastAsia" w:cs="Times New Roman"/>
                <w:highlight w:val="none"/>
                <w:lang w:val="en-US" w:eastAsia="zh-CN"/>
              </w:rPr>
              <w:t>2927日用塑料制品制造</w:t>
            </w:r>
            <w:r>
              <w:rPr>
                <w:rFonts w:hint="eastAsia" w:ascii="Times New Roman" w:hAnsi="Times New Roman" w:cs="Times New Roman"/>
                <w:highlight w:val="none"/>
                <w:lang w:val="en-US" w:eastAsia="zh-CN"/>
              </w:rPr>
              <w:t>”</w:t>
            </w:r>
            <w:r>
              <w:rPr>
                <w:rFonts w:hint="default" w:ascii="Times New Roman" w:hAnsi="Times New Roman" w:cs="Times New Roman"/>
              </w:rPr>
              <w:t>，本项目应编制环境影响报告表，受建设单位委托，我公司承担了该项目的环境影响评价工作，委</w:t>
            </w:r>
            <w:r>
              <w:rPr>
                <w:rFonts w:hint="default" w:ascii="Times New Roman" w:hAnsi="Times New Roman" w:cs="Times New Roman"/>
                <w:highlight w:val="none"/>
              </w:rPr>
              <w:t>托书见附件1。</w:t>
            </w:r>
            <w:r>
              <w:rPr>
                <w:rFonts w:hint="default" w:ascii="Times New Roman" w:hAnsi="Times New Roman" w:cs="Times New Roman"/>
              </w:rPr>
              <w:t>我公司接受任务后，经现场踏勘、收集相关资料后，本着“客观、公正、科学、规范”的精神，编制完成了该项目环境影响报告表。</w:t>
            </w:r>
          </w:p>
          <w:p w14:paraId="0B3D2E51">
            <w:pPr>
              <w:pStyle w:val="26"/>
              <w:keepNext w:val="0"/>
              <w:keepLines w:val="0"/>
              <w:pageBreakBefore w:val="0"/>
              <w:widowControl w:val="0"/>
              <w:kinsoku/>
              <w:wordWrap/>
              <w:overflowPunct/>
              <w:topLinePunct w:val="0"/>
              <w:autoSpaceDE/>
              <w:autoSpaceDN/>
              <w:bidi w:val="0"/>
              <w:spacing w:line="520" w:lineRule="exact"/>
              <w:ind w:firstLine="0" w:firstLineChars="0"/>
              <w:textAlignment w:val="auto"/>
              <w:rPr>
                <w:rFonts w:hint="default" w:ascii="Times New Roman" w:hAnsi="Times New Roman" w:cs="Times New Roman"/>
                <w:b/>
                <w:highlight w:val="none"/>
              </w:rPr>
            </w:pPr>
            <w:r>
              <w:rPr>
                <w:rFonts w:hint="eastAsia" w:ascii="Times New Roman" w:hAnsi="Times New Roman" w:cs="Times New Roman"/>
                <w:b/>
                <w:highlight w:val="none"/>
                <w:lang w:val="en-US" w:eastAsia="zh-CN"/>
              </w:rPr>
              <w:t>二</w:t>
            </w:r>
            <w:r>
              <w:rPr>
                <w:rFonts w:hint="default" w:ascii="Times New Roman" w:hAnsi="Times New Roman" w:cs="Times New Roman"/>
                <w:b/>
                <w:highlight w:val="none"/>
              </w:rPr>
              <w:t>、</w:t>
            </w:r>
            <w:r>
              <w:rPr>
                <w:rFonts w:hint="eastAsia" w:ascii="Times New Roman" w:hAnsi="Times New Roman" w:cs="Times New Roman"/>
                <w:b/>
                <w:highlight w:val="none"/>
                <w:lang w:eastAsia="zh-CN"/>
              </w:rPr>
              <w:t>项目建设内容</w:t>
            </w:r>
            <w:r>
              <w:rPr>
                <w:rFonts w:hint="default" w:ascii="Times New Roman" w:hAnsi="Times New Roman" w:cs="Times New Roman"/>
                <w:b/>
                <w:highlight w:val="none"/>
              </w:rPr>
              <w:t>与备案相符性分析</w:t>
            </w:r>
          </w:p>
          <w:p w14:paraId="7DCD0E14">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本项目拟建情况与项目备案的相符性分析情况见下表。</w:t>
            </w:r>
          </w:p>
          <w:p w14:paraId="68B2002D">
            <w:pPr>
              <w:pStyle w:val="28"/>
              <w:keepNext w:val="0"/>
              <w:keepLines w:val="0"/>
              <w:pageBreakBefore w:val="0"/>
              <w:widowControl w:val="0"/>
              <w:kinsoku/>
              <w:wordWrap/>
              <w:overflowPunct/>
              <w:topLinePunct w:val="0"/>
              <w:autoSpaceDE/>
              <w:autoSpaceDN/>
              <w:bidi w:val="0"/>
              <w:spacing w:line="520" w:lineRule="exact"/>
              <w:textAlignment w:val="auto"/>
              <w:rPr>
                <w:rFonts w:hint="default" w:ascii="Times New Roman" w:hAnsi="Times New Roman" w:cs="Times New Roman"/>
              </w:rPr>
            </w:pPr>
            <w:r>
              <w:rPr>
                <w:rFonts w:hint="default" w:ascii="Times New Roman" w:hAnsi="Times New Roman" w:cs="Times New Roman"/>
              </w:rPr>
              <w:t>表</w:t>
            </w:r>
            <w:r>
              <w:rPr>
                <w:rFonts w:hint="eastAsia" w:ascii="Times New Roman" w:hAnsi="Times New Roman" w:cs="Times New Roman"/>
                <w:lang w:val="en-US" w:eastAsia="zh-CN"/>
              </w:rPr>
              <w:t>2</w:t>
            </w:r>
            <w:r>
              <w:rPr>
                <w:rFonts w:hint="default" w:ascii="Times New Roman" w:hAnsi="Times New Roman" w:cs="Times New Roman"/>
              </w:rPr>
              <w:t>-</w:t>
            </w:r>
            <w:r>
              <w:rPr>
                <w:rFonts w:hint="eastAsia" w:ascii="Times New Roman" w:hAnsi="Times New Roman" w:cs="Times New Roman"/>
                <w:lang w:val="en-US" w:eastAsia="zh-CN"/>
              </w:rPr>
              <w:t>1</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 xml:space="preserve"> 项目与备案的相符性分析一览表</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740"/>
              <w:gridCol w:w="2958"/>
              <w:gridCol w:w="3067"/>
              <w:gridCol w:w="1505"/>
            </w:tblGrid>
            <w:tr w14:paraId="07826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79" w:type="pct"/>
                  <w:noWrap w:val="0"/>
                  <w:vAlign w:val="center"/>
                </w:tcPr>
                <w:p w14:paraId="3D31A21C">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序号</w:t>
                  </w:r>
                </w:p>
              </w:tc>
              <w:tc>
                <w:tcPr>
                  <w:tcW w:w="422" w:type="pct"/>
                  <w:noWrap w:val="0"/>
                  <w:vAlign w:val="center"/>
                </w:tcPr>
                <w:p w14:paraId="34F29BCC">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项目</w:t>
                  </w:r>
                </w:p>
              </w:tc>
              <w:tc>
                <w:tcPr>
                  <w:tcW w:w="1688" w:type="pct"/>
                  <w:noWrap w:val="0"/>
                  <w:vAlign w:val="center"/>
                </w:tcPr>
                <w:p w14:paraId="53C714F0">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备案内容</w:t>
                  </w:r>
                </w:p>
              </w:tc>
              <w:tc>
                <w:tcPr>
                  <w:tcW w:w="1750" w:type="pct"/>
                  <w:noWrap w:val="0"/>
                  <w:vAlign w:val="center"/>
                </w:tcPr>
                <w:p w14:paraId="0247CF71">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拟建内容</w:t>
                  </w:r>
                </w:p>
              </w:tc>
              <w:tc>
                <w:tcPr>
                  <w:tcW w:w="859" w:type="pct"/>
                  <w:noWrap w:val="0"/>
                  <w:vAlign w:val="center"/>
                </w:tcPr>
                <w:p w14:paraId="743EEAE2">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相符性</w:t>
                  </w:r>
                </w:p>
              </w:tc>
            </w:tr>
            <w:tr w14:paraId="3D578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79" w:type="pct"/>
                  <w:noWrap w:val="0"/>
                  <w:vAlign w:val="center"/>
                </w:tcPr>
                <w:p w14:paraId="464FBBA3">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1</w:t>
                  </w:r>
                </w:p>
              </w:tc>
              <w:tc>
                <w:tcPr>
                  <w:tcW w:w="422" w:type="pct"/>
                  <w:noWrap w:val="0"/>
                  <w:vAlign w:val="center"/>
                </w:tcPr>
                <w:p w14:paraId="1E3EBE2B">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建设单位</w:t>
                  </w:r>
                </w:p>
              </w:tc>
              <w:tc>
                <w:tcPr>
                  <w:tcW w:w="1688" w:type="pct"/>
                  <w:noWrap w:val="0"/>
                  <w:vAlign w:val="center"/>
                </w:tcPr>
                <w:p w14:paraId="6408504B">
                  <w:pPr>
                    <w:pStyle w:val="21"/>
                    <w:keepNext w:val="0"/>
                    <w:keepLines w:val="0"/>
                    <w:pageBreakBefore w:val="0"/>
                    <w:widowControl w:val="0"/>
                    <w:kinsoku/>
                    <w:wordWrap/>
                    <w:overflowPunct/>
                    <w:topLinePunct w:val="0"/>
                    <w:autoSpaceDE/>
                    <w:autoSpaceDN/>
                    <w:bidi w:val="0"/>
                    <w:adjustRightInd w:val="0"/>
                    <w:snapToGrid/>
                    <w:spacing w:line="360" w:lineRule="exact"/>
                    <w:jc w:val="center"/>
                    <w:textAlignment w:val="auto"/>
                    <w:rPr>
                      <w:rFonts w:hint="default" w:ascii="Times New Roman" w:hAnsi="Times New Roman" w:eastAsia="宋体" w:cs="Times New Roman"/>
                      <w:lang w:eastAsia="zh-CN"/>
                    </w:rPr>
                  </w:pPr>
                  <w:r>
                    <w:rPr>
                      <w:rFonts w:hint="eastAsia" w:cs="Times New Roman"/>
                      <w:lang w:eastAsia="zh-CN"/>
                    </w:rPr>
                    <w:t>河南建皓新材料</w:t>
                  </w:r>
                  <w:r>
                    <w:rPr>
                      <w:rFonts w:hint="default" w:ascii="Times New Roman" w:hAnsi="Times New Roman" w:cs="Times New Roman"/>
                      <w:lang w:eastAsia="zh-CN"/>
                    </w:rPr>
                    <w:t>有限公司</w:t>
                  </w:r>
                </w:p>
              </w:tc>
              <w:tc>
                <w:tcPr>
                  <w:tcW w:w="1750" w:type="pct"/>
                  <w:shd w:val="clear" w:color="auto" w:fill="auto"/>
                  <w:noWrap w:val="0"/>
                  <w:vAlign w:val="center"/>
                </w:tcPr>
                <w:p w14:paraId="7DC24793">
                  <w:pPr>
                    <w:pStyle w:val="21"/>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Cs/>
                      <w:color w:val="000000"/>
                      <w:kern w:val="0"/>
                      <w:sz w:val="21"/>
                      <w:szCs w:val="20"/>
                      <w:lang w:val="en-US" w:eastAsia="zh-CN" w:bidi="ar-SA"/>
                    </w:rPr>
                  </w:pPr>
                  <w:r>
                    <w:rPr>
                      <w:rFonts w:hint="eastAsia" w:cs="Times New Roman"/>
                      <w:lang w:eastAsia="zh-CN"/>
                    </w:rPr>
                    <w:t>河南建皓新材料</w:t>
                  </w:r>
                  <w:r>
                    <w:rPr>
                      <w:rFonts w:hint="default" w:ascii="Times New Roman" w:hAnsi="Times New Roman" w:cs="Times New Roman"/>
                      <w:lang w:eastAsia="zh-CN"/>
                    </w:rPr>
                    <w:t>有限公司</w:t>
                  </w:r>
                </w:p>
              </w:tc>
              <w:tc>
                <w:tcPr>
                  <w:tcW w:w="859" w:type="pct"/>
                  <w:noWrap w:val="0"/>
                  <w:vAlign w:val="center"/>
                </w:tcPr>
                <w:p w14:paraId="29EA796E">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相符</w:t>
                  </w:r>
                </w:p>
              </w:tc>
            </w:tr>
            <w:tr w14:paraId="6F641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79" w:type="pct"/>
                  <w:noWrap w:val="0"/>
                  <w:vAlign w:val="center"/>
                </w:tcPr>
                <w:p w14:paraId="55F500A1">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2</w:t>
                  </w:r>
                </w:p>
              </w:tc>
              <w:tc>
                <w:tcPr>
                  <w:tcW w:w="422" w:type="pct"/>
                  <w:noWrap w:val="0"/>
                  <w:vAlign w:val="center"/>
                </w:tcPr>
                <w:p w14:paraId="04877134">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项目名称</w:t>
                  </w:r>
                </w:p>
              </w:tc>
              <w:tc>
                <w:tcPr>
                  <w:tcW w:w="1688" w:type="pct"/>
                  <w:noWrap w:val="0"/>
                  <w:vAlign w:val="center"/>
                </w:tcPr>
                <w:p w14:paraId="7B28737B">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年产</w:t>
                  </w:r>
                  <w:r>
                    <w:rPr>
                      <w:rFonts w:hint="eastAsia" w:cs="Times New Roman"/>
                      <w:highlight w:val="none"/>
                      <w:lang w:val="en-US" w:eastAsia="zh-CN"/>
                    </w:rPr>
                    <w:t>3</w:t>
                  </w:r>
                  <w:r>
                    <w:rPr>
                      <w:rFonts w:hint="default" w:ascii="Times New Roman" w:hAnsi="Times New Roman" w:cs="Times New Roman"/>
                      <w:highlight w:val="none"/>
                      <w:lang w:val="en-US" w:eastAsia="zh-CN"/>
                    </w:rPr>
                    <w:t>00吨</w:t>
                  </w:r>
                  <w:r>
                    <w:rPr>
                      <w:rFonts w:hint="eastAsia" w:cs="Times New Roman"/>
                      <w:highlight w:val="none"/>
                      <w:lang w:val="en-US" w:eastAsia="zh-CN"/>
                    </w:rPr>
                    <w:t>塑料食品餐盒项目</w:t>
                  </w:r>
                </w:p>
              </w:tc>
              <w:tc>
                <w:tcPr>
                  <w:tcW w:w="1750" w:type="pct"/>
                  <w:shd w:val="clear" w:color="auto" w:fill="auto"/>
                  <w:noWrap w:val="0"/>
                  <w:vAlign w:val="center"/>
                </w:tcPr>
                <w:p w14:paraId="003E0731">
                  <w:pPr>
                    <w:pStyle w:val="21"/>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default" w:ascii="Times New Roman" w:hAnsi="Times New Roman" w:cs="Times New Roman"/>
                      <w:highlight w:val="none"/>
                    </w:rPr>
                    <w:t>年产</w:t>
                  </w:r>
                  <w:r>
                    <w:rPr>
                      <w:rFonts w:hint="eastAsia" w:cs="Times New Roman"/>
                      <w:highlight w:val="none"/>
                      <w:lang w:val="en-US" w:eastAsia="zh-CN"/>
                    </w:rPr>
                    <w:t>3</w:t>
                  </w:r>
                  <w:r>
                    <w:rPr>
                      <w:rFonts w:hint="default" w:ascii="Times New Roman" w:hAnsi="Times New Roman" w:cs="Times New Roman"/>
                      <w:highlight w:val="none"/>
                      <w:lang w:val="en-US" w:eastAsia="zh-CN"/>
                    </w:rPr>
                    <w:t>00吨</w:t>
                  </w:r>
                  <w:r>
                    <w:rPr>
                      <w:rFonts w:hint="eastAsia" w:cs="Times New Roman"/>
                      <w:highlight w:val="none"/>
                      <w:lang w:val="en-US" w:eastAsia="zh-CN"/>
                    </w:rPr>
                    <w:t>塑料食品餐盒项目</w:t>
                  </w:r>
                </w:p>
              </w:tc>
              <w:tc>
                <w:tcPr>
                  <w:tcW w:w="859" w:type="pct"/>
                  <w:noWrap w:val="0"/>
                  <w:vAlign w:val="center"/>
                </w:tcPr>
                <w:p w14:paraId="7EF3484D">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相符</w:t>
                  </w:r>
                </w:p>
              </w:tc>
            </w:tr>
            <w:tr w14:paraId="542BF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79" w:type="pct"/>
                  <w:noWrap w:val="0"/>
                  <w:vAlign w:val="center"/>
                </w:tcPr>
                <w:p w14:paraId="28DAC01E">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3</w:t>
                  </w:r>
                </w:p>
              </w:tc>
              <w:tc>
                <w:tcPr>
                  <w:tcW w:w="422" w:type="pct"/>
                  <w:noWrap w:val="0"/>
                  <w:vAlign w:val="center"/>
                </w:tcPr>
                <w:p w14:paraId="08890BF8">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建设地点</w:t>
                  </w:r>
                </w:p>
              </w:tc>
              <w:tc>
                <w:tcPr>
                  <w:tcW w:w="1688" w:type="pct"/>
                  <w:noWrap w:val="0"/>
                  <w:vAlign w:val="center"/>
                </w:tcPr>
                <w:p w14:paraId="73243883">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河南省焦作市武陟县经开区东部园区昌武路与鸿源路交叉口路西200米路南01号</w:t>
                  </w:r>
                </w:p>
              </w:tc>
              <w:tc>
                <w:tcPr>
                  <w:tcW w:w="1750" w:type="pct"/>
                  <w:shd w:val="clear" w:color="auto" w:fill="auto"/>
                  <w:noWrap w:val="0"/>
                  <w:vAlign w:val="center"/>
                </w:tcPr>
                <w:p w14:paraId="324F31A1">
                  <w:pPr>
                    <w:pStyle w:val="21"/>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eastAsia="宋体" w:cs="Times New Roman"/>
                      <w:lang w:eastAsia="zh-CN"/>
                    </w:rPr>
                    <w:t>河南省焦作市武陟县经开区东部园区昌武路与鸿源路交叉口路西200米路南01号</w:t>
                  </w:r>
                </w:p>
              </w:tc>
              <w:tc>
                <w:tcPr>
                  <w:tcW w:w="859" w:type="pct"/>
                  <w:noWrap w:val="0"/>
                  <w:vAlign w:val="center"/>
                </w:tcPr>
                <w:p w14:paraId="1B1DB5AB">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相符</w:t>
                  </w:r>
                </w:p>
              </w:tc>
            </w:tr>
            <w:tr w14:paraId="20DF0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79" w:type="pct"/>
                  <w:noWrap w:val="0"/>
                  <w:vAlign w:val="center"/>
                </w:tcPr>
                <w:p w14:paraId="7CF3E2B9">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4</w:t>
                  </w:r>
                </w:p>
              </w:tc>
              <w:tc>
                <w:tcPr>
                  <w:tcW w:w="422" w:type="pct"/>
                  <w:noWrap w:val="0"/>
                  <w:vAlign w:val="center"/>
                </w:tcPr>
                <w:p w14:paraId="4F780BEE">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建设性质</w:t>
                  </w:r>
                </w:p>
              </w:tc>
              <w:tc>
                <w:tcPr>
                  <w:tcW w:w="1688" w:type="pct"/>
                  <w:noWrap w:val="0"/>
                  <w:vAlign w:val="center"/>
                </w:tcPr>
                <w:p w14:paraId="393F4C05">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eastAsia="宋体" w:cs="Times New Roman"/>
                      <w:lang w:eastAsia="zh-CN"/>
                    </w:rPr>
                  </w:pPr>
                  <w:r>
                    <w:rPr>
                      <w:rFonts w:hint="eastAsia" w:cs="Times New Roman"/>
                      <w:lang w:eastAsia="zh-CN"/>
                    </w:rPr>
                    <w:t>新</w:t>
                  </w:r>
                  <w:r>
                    <w:rPr>
                      <w:rFonts w:hint="default" w:ascii="Times New Roman" w:hAnsi="Times New Roman" w:cs="Times New Roman"/>
                      <w:lang w:eastAsia="zh-CN"/>
                    </w:rPr>
                    <w:t>建</w:t>
                  </w:r>
                </w:p>
              </w:tc>
              <w:tc>
                <w:tcPr>
                  <w:tcW w:w="1750" w:type="pct"/>
                  <w:shd w:val="clear" w:color="auto" w:fill="auto"/>
                  <w:noWrap w:val="0"/>
                  <w:vAlign w:val="center"/>
                </w:tcPr>
                <w:p w14:paraId="58E7E42C">
                  <w:pPr>
                    <w:pStyle w:val="21"/>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eastAsia" w:cs="Times New Roman"/>
                      <w:lang w:eastAsia="zh-CN"/>
                    </w:rPr>
                    <w:t>新</w:t>
                  </w:r>
                  <w:r>
                    <w:rPr>
                      <w:rFonts w:hint="default" w:ascii="Times New Roman" w:hAnsi="Times New Roman" w:cs="Times New Roman"/>
                      <w:lang w:eastAsia="zh-CN"/>
                    </w:rPr>
                    <w:t>建</w:t>
                  </w:r>
                </w:p>
              </w:tc>
              <w:tc>
                <w:tcPr>
                  <w:tcW w:w="859" w:type="pct"/>
                  <w:noWrap w:val="0"/>
                  <w:vAlign w:val="center"/>
                </w:tcPr>
                <w:p w14:paraId="64D8079A">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相符</w:t>
                  </w:r>
                </w:p>
              </w:tc>
            </w:tr>
            <w:tr w14:paraId="26550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79" w:type="pct"/>
                  <w:noWrap w:val="0"/>
                  <w:vAlign w:val="center"/>
                </w:tcPr>
                <w:p w14:paraId="7429AF74">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5</w:t>
                  </w:r>
                </w:p>
              </w:tc>
              <w:tc>
                <w:tcPr>
                  <w:tcW w:w="422" w:type="pct"/>
                  <w:noWrap w:val="0"/>
                  <w:vAlign w:val="center"/>
                </w:tcPr>
                <w:p w14:paraId="798F9EEF">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建设内容</w:t>
                  </w:r>
                </w:p>
              </w:tc>
              <w:tc>
                <w:tcPr>
                  <w:tcW w:w="1688" w:type="pct"/>
                  <w:noWrap w:val="0"/>
                  <w:vAlign w:val="center"/>
                </w:tcPr>
                <w:p w14:paraId="6CA91BFE">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highlight w:val="yellow"/>
                    </w:rPr>
                  </w:pPr>
                  <w:r>
                    <w:rPr>
                      <w:rFonts w:hint="default" w:ascii="Times New Roman" w:hAnsi="Times New Roman" w:cs="Times New Roman"/>
                      <w:highlight w:val="none"/>
                    </w:rPr>
                    <w:t>该项目</w:t>
                  </w:r>
                  <w:r>
                    <w:rPr>
                      <w:rFonts w:hint="eastAsia" w:cs="Times New Roman"/>
                      <w:highlight w:val="none"/>
                      <w:lang w:eastAsia="zh-CN"/>
                    </w:rPr>
                    <w:t>位于经开区东部园区昌武路与鸿源路交叉口路西200米路南01号，</w:t>
                  </w:r>
                  <w:r>
                    <w:rPr>
                      <w:rFonts w:hint="default" w:ascii="Times New Roman" w:hAnsi="Times New Roman" w:cs="Times New Roman"/>
                      <w:highlight w:val="none"/>
                    </w:rPr>
                    <w:t>建筑面积</w:t>
                  </w:r>
                  <w:r>
                    <w:rPr>
                      <w:rFonts w:hint="eastAsia" w:cs="Times New Roman"/>
                      <w:highlight w:val="none"/>
                      <w:lang w:val="en-US" w:eastAsia="zh-CN"/>
                    </w:rPr>
                    <w:t>14</w:t>
                  </w:r>
                  <w:r>
                    <w:rPr>
                      <w:rFonts w:hint="default" w:ascii="Times New Roman" w:hAnsi="Times New Roman" w:cs="Times New Roman"/>
                      <w:highlight w:val="none"/>
                    </w:rPr>
                    <w:t>00平方米，主要建设生产车间、仓库、</w:t>
                  </w:r>
                  <w:r>
                    <w:rPr>
                      <w:rFonts w:hint="eastAsia" w:cs="Times New Roman"/>
                      <w:highlight w:val="none"/>
                      <w:lang w:eastAsia="zh-CN"/>
                    </w:rPr>
                    <w:t>原料库</w:t>
                  </w:r>
                  <w:r>
                    <w:rPr>
                      <w:rFonts w:hint="default" w:ascii="Times New Roman" w:hAnsi="Times New Roman" w:cs="Times New Roman"/>
                      <w:highlight w:val="none"/>
                    </w:rPr>
                    <w:t>等设施。</w:t>
                  </w:r>
                </w:p>
              </w:tc>
              <w:tc>
                <w:tcPr>
                  <w:tcW w:w="1750" w:type="pct"/>
                  <w:shd w:val="clear" w:color="auto" w:fill="auto"/>
                  <w:noWrap w:val="0"/>
                  <w:vAlign w:val="center"/>
                </w:tcPr>
                <w:p w14:paraId="5DC2286C">
                  <w:pPr>
                    <w:pStyle w:val="21"/>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default" w:ascii="Times New Roman" w:hAnsi="Times New Roman" w:eastAsia="宋体" w:cs="Times New Roman"/>
                      <w:bCs/>
                      <w:color w:val="000000"/>
                      <w:kern w:val="0"/>
                      <w:sz w:val="21"/>
                      <w:szCs w:val="20"/>
                      <w:highlight w:val="yellow"/>
                      <w:lang w:val="en-US" w:eastAsia="zh-CN" w:bidi="ar-SA"/>
                    </w:rPr>
                  </w:pPr>
                  <w:r>
                    <w:rPr>
                      <w:rFonts w:hint="default" w:ascii="Times New Roman" w:hAnsi="Times New Roman" w:cs="Times New Roman"/>
                      <w:highlight w:val="none"/>
                    </w:rPr>
                    <w:t>该项目</w:t>
                  </w:r>
                  <w:r>
                    <w:rPr>
                      <w:rFonts w:hint="eastAsia" w:cs="Times New Roman"/>
                      <w:highlight w:val="none"/>
                      <w:lang w:eastAsia="zh-CN"/>
                    </w:rPr>
                    <w:t>位于经开区东部园区昌武路与鸿源路交叉口路西200米路南01号，</w:t>
                  </w:r>
                  <w:r>
                    <w:rPr>
                      <w:rFonts w:hint="default" w:ascii="Times New Roman" w:hAnsi="Times New Roman" w:cs="Times New Roman"/>
                      <w:highlight w:val="none"/>
                    </w:rPr>
                    <w:t>建筑面积</w:t>
                  </w:r>
                  <w:r>
                    <w:rPr>
                      <w:rFonts w:hint="eastAsia" w:cs="Times New Roman"/>
                      <w:highlight w:val="none"/>
                      <w:lang w:val="en-US" w:eastAsia="zh-CN"/>
                    </w:rPr>
                    <w:t>14</w:t>
                  </w:r>
                  <w:r>
                    <w:rPr>
                      <w:rFonts w:hint="default" w:ascii="Times New Roman" w:hAnsi="Times New Roman" w:cs="Times New Roman"/>
                      <w:highlight w:val="none"/>
                    </w:rPr>
                    <w:t>00平方米，主要建设生产车间、仓库、</w:t>
                  </w:r>
                  <w:r>
                    <w:rPr>
                      <w:rFonts w:hint="eastAsia" w:cs="Times New Roman"/>
                      <w:highlight w:val="none"/>
                      <w:lang w:eastAsia="zh-CN"/>
                    </w:rPr>
                    <w:t>原料库</w:t>
                  </w:r>
                  <w:r>
                    <w:rPr>
                      <w:rFonts w:hint="default" w:ascii="Times New Roman" w:hAnsi="Times New Roman" w:cs="Times New Roman"/>
                      <w:highlight w:val="none"/>
                    </w:rPr>
                    <w:t>等设施。</w:t>
                  </w:r>
                </w:p>
              </w:tc>
              <w:tc>
                <w:tcPr>
                  <w:tcW w:w="859" w:type="pct"/>
                  <w:noWrap w:val="0"/>
                  <w:vAlign w:val="center"/>
                </w:tcPr>
                <w:p w14:paraId="76A05839">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相符</w:t>
                  </w:r>
                </w:p>
              </w:tc>
            </w:tr>
            <w:tr w14:paraId="21AC0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279" w:type="pct"/>
                  <w:noWrap w:val="0"/>
                  <w:vAlign w:val="center"/>
                </w:tcPr>
                <w:p w14:paraId="6D1117A4">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6</w:t>
                  </w:r>
                </w:p>
              </w:tc>
              <w:tc>
                <w:tcPr>
                  <w:tcW w:w="422" w:type="pct"/>
                  <w:noWrap w:val="0"/>
                  <w:vAlign w:val="center"/>
                </w:tcPr>
                <w:p w14:paraId="73FBE560">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工艺技术</w:t>
                  </w:r>
                </w:p>
              </w:tc>
              <w:tc>
                <w:tcPr>
                  <w:tcW w:w="1688" w:type="pct"/>
                  <w:noWrap w:val="0"/>
                  <w:vAlign w:val="center"/>
                </w:tcPr>
                <w:p w14:paraId="7DCB86BD">
                  <w:pPr>
                    <w:pStyle w:val="21"/>
                    <w:keepNext w:val="0"/>
                    <w:keepLines w:val="0"/>
                    <w:pageBreakBefore w:val="0"/>
                    <w:widowControl w:val="0"/>
                    <w:kinsoku/>
                    <w:wordWrap/>
                    <w:overflowPunct/>
                    <w:topLinePunct w:val="0"/>
                    <w:autoSpaceDE/>
                    <w:autoSpaceDN/>
                    <w:bidi w:val="0"/>
                    <w:adjustRightInd w:val="0"/>
                    <w:snapToGrid/>
                    <w:spacing w:line="360" w:lineRule="exact"/>
                    <w:jc w:val="both"/>
                    <w:textAlignment w:val="auto"/>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rPr>
                    <w:t>工艺技术</w:t>
                  </w:r>
                  <w:r>
                    <w:rPr>
                      <w:rFonts w:hint="default" w:ascii="Times New Roman" w:hAnsi="Times New Roman" w:cs="Times New Roman"/>
                      <w:sz w:val="21"/>
                      <w:szCs w:val="21"/>
                      <w:highlight w:val="none"/>
                      <w:lang w:eastAsia="zh-CN"/>
                    </w:rPr>
                    <w:t>：</w:t>
                  </w:r>
                  <w:r>
                    <w:rPr>
                      <w:rFonts w:hint="eastAsia" w:cs="Times New Roman"/>
                      <w:sz w:val="21"/>
                      <w:szCs w:val="21"/>
                      <w:highlight w:val="none"/>
                      <w:lang w:eastAsia="zh-CN"/>
                    </w:rPr>
                    <w:t>外购原材料（</w:t>
                  </w:r>
                  <w:r>
                    <w:rPr>
                      <w:rFonts w:hint="eastAsia" w:cs="Times New Roman"/>
                      <w:sz w:val="21"/>
                      <w:szCs w:val="21"/>
                      <w:highlight w:val="none"/>
                      <w:lang w:val="en-US" w:eastAsia="zh-CN"/>
                    </w:rPr>
                    <w:t>BOPS片材</w:t>
                  </w:r>
                  <w:r>
                    <w:rPr>
                      <w:rFonts w:hint="eastAsia" w:cs="Times New Roman"/>
                      <w:sz w:val="21"/>
                      <w:szCs w:val="21"/>
                      <w:highlight w:val="none"/>
                      <w:lang w:eastAsia="zh-CN"/>
                    </w:rPr>
                    <w:t>）</w:t>
                  </w:r>
                  <w:r>
                    <w:rPr>
                      <w:rFonts w:hint="eastAsia" w:cs="Times New Roman"/>
                      <w:sz w:val="21"/>
                      <w:szCs w:val="21"/>
                      <w:highlight w:val="none"/>
                      <w:lang w:val="en-US" w:eastAsia="zh-CN"/>
                    </w:rPr>
                    <w:t>-上料-加热成型-包装</w:t>
                  </w:r>
                </w:p>
              </w:tc>
              <w:tc>
                <w:tcPr>
                  <w:tcW w:w="1750" w:type="pct"/>
                  <w:noWrap w:val="0"/>
                  <w:vAlign w:val="center"/>
                </w:tcPr>
                <w:p w14:paraId="64985593">
                  <w:pPr>
                    <w:keepNext w:val="0"/>
                    <w:keepLines w:val="0"/>
                    <w:pageBreakBefore w:val="0"/>
                    <w:widowControl w:val="0"/>
                    <w:kinsoku/>
                    <w:wordWrap/>
                    <w:overflowPunct/>
                    <w:topLinePunct w:val="0"/>
                    <w:autoSpaceDE/>
                    <w:autoSpaceDN/>
                    <w:bidi w:val="0"/>
                    <w:snapToGrid/>
                    <w:spacing w:line="360" w:lineRule="exact"/>
                    <w:ind w:left="0" w:leftChars="0" w:firstLine="0" w:firstLineChars="0"/>
                    <w:textAlignment w:val="auto"/>
                    <w:rPr>
                      <w:rFonts w:hint="eastAsia"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rPr>
                    <w:t>工艺技术</w:t>
                  </w:r>
                  <w:r>
                    <w:rPr>
                      <w:rFonts w:hint="default" w:ascii="Times New Roman" w:hAnsi="Times New Roman" w:cs="Times New Roman"/>
                      <w:sz w:val="21"/>
                      <w:szCs w:val="21"/>
                      <w:highlight w:val="none"/>
                      <w:lang w:eastAsia="zh-CN"/>
                    </w:rPr>
                    <w:t>：</w:t>
                  </w:r>
                  <w:r>
                    <w:rPr>
                      <w:rFonts w:hint="eastAsia" w:cs="Times New Roman"/>
                      <w:sz w:val="21"/>
                      <w:szCs w:val="21"/>
                      <w:highlight w:val="none"/>
                      <w:lang w:eastAsia="zh-CN"/>
                    </w:rPr>
                    <w:t>外购原材料（</w:t>
                  </w:r>
                  <w:r>
                    <w:rPr>
                      <w:rFonts w:hint="eastAsia" w:cs="Times New Roman"/>
                      <w:sz w:val="21"/>
                      <w:szCs w:val="21"/>
                      <w:highlight w:val="none"/>
                      <w:lang w:val="en-US" w:eastAsia="zh-CN"/>
                    </w:rPr>
                    <w:t>BOPS片材</w:t>
                  </w:r>
                  <w:r>
                    <w:rPr>
                      <w:rFonts w:hint="eastAsia" w:cs="Times New Roman"/>
                      <w:sz w:val="21"/>
                      <w:szCs w:val="21"/>
                      <w:highlight w:val="none"/>
                      <w:lang w:eastAsia="zh-CN"/>
                    </w:rPr>
                    <w:t>）</w:t>
                  </w:r>
                  <w:r>
                    <w:rPr>
                      <w:rFonts w:hint="eastAsia" w:cs="Times New Roman"/>
                      <w:sz w:val="21"/>
                      <w:szCs w:val="21"/>
                      <w:highlight w:val="none"/>
                      <w:lang w:val="en-US" w:eastAsia="zh-CN"/>
                    </w:rPr>
                    <w:t>-上料-加热成型-包装</w:t>
                  </w:r>
                </w:p>
              </w:tc>
              <w:tc>
                <w:tcPr>
                  <w:tcW w:w="859" w:type="pct"/>
                  <w:noWrap w:val="0"/>
                  <w:vAlign w:val="center"/>
                </w:tcPr>
                <w:p w14:paraId="6BA109A7">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eastAsia="宋体" w:cs="Times New Roman"/>
                      <w:sz w:val="21"/>
                      <w:szCs w:val="21"/>
                      <w:highlight w:val="none"/>
                      <w:lang w:eastAsia="zh-CN"/>
                    </w:rPr>
                    <w:t>相符</w:t>
                  </w:r>
                </w:p>
              </w:tc>
            </w:tr>
            <w:tr w14:paraId="0263E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79" w:type="pct"/>
                  <w:noWrap w:val="0"/>
                  <w:vAlign w:val="center"/>
                </w:tcPr>
                <w:p w14:paraId="1456E187">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rPr>
                  </w:pPr>
                  <w:r>
                    <w:rPr>
                      <w:rFonts w:hint="default" w:ascii="Times New Roman" w:hAnsi="Times New Roman" w:cs="Times New Roman"/>
                    </w:rPr>
                    <w:t>7</w:t>
                  </w:r>
                </w:p>
              </w:tc>
              <w:tc>
                <w:tcPr>
                  <w:tcW w:w="422" w:type="pct"/>
                  <w:noWrap w:val="0"/>
                  <w:vAlign w:val="center"/>
                </w:tcPr>
                <w:p w14:paraId="4638DCAE">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主要设备</w:t>
                  </w:r>
                </w:p>
              </w:tc>
              <w:tc>
                <w:tcPr>
                  <w:tcW w:w="1688" w:type="pct"/>
                  <w:noWrap w:val="0"/>
                  <w:vAlign w:val="center"/>
                </w:tcPr>
                <w:p w14:paraId="654DBEF6">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default" w:ascii="Times New Roman" w:hAnsi="Times New Roman" w:cs="Times New Roman"/>
                      <w:highlight w:val="none"/>
                    </w:rPr>
                  </w:pPr>
                  <w:r>
                    <w:rPr>
                      <w:rFonts w:hint="eastAsia" w:cs="Times New Roman"/>
                      <w:highlight w:val="none"/>
                      <w:lang w:val="en-US" w:eastAsia="zh-CN"/>
                    </w:rPr>
                    <w:t>6台</w:t>
                  </w:r>
                  <w:r>
                    <w:rPr>
                      <w:rFonts w:hint="eastAsia" w:cs="Times New Roman"/>
                      <w:highlight w:val="none"/>
                      <w:lang w:eastAsia="zh-CN"/>
                    </w:rPr>
                    <w:t>成型机等</w:t>
                  </w:r>
                </w:p>
              </w:tc>
              <w:tc>
                <w:tcPr>
                  <w:tcW w:w="1750" w:type="pct"/>
                  <w:noWrap w:val="0"/>
                  <w:vAlign w:val="center"/>
                </w:tcPr>
                <w:p w14:paraId="2B9E4DB6">
                  <w:pPr>
                    <w:keepNext w:val="0"/>
                    <w:keepLines w:val="0"/>
                    <w:pageBreakBefore w:val="0"/>
                    <w:widowControl w:val="0"/>
                    <w:kinsoku/>
                    <w:wordWrap/>
                    <w:overflowPunct/>
                    <w:topLinePunct w:val="0"/>
                    <w:autoSpaceDE/>
                    <w:autoSpaceDN/>
                    <w:bidi w:val="0"/>
                    <w:snapToGrid/>
                    <w:spacing w:line="360" w:lineRule="exact"/>
                    <w:ind w:left="0" w:leftChars="0" w:firstLine="0" w:firstLineChars="0"/>
                    <w:jc w:val="center"/>
                    <w:textAlignment w:val="auto"/>
                    <w:rPr>
                      <w:rFonts w:hint="default" w:ascii="Times New Roman" w:hAnsi="Times New Roman" w:eastAsia="宋体" w:cs="Times New Roman"/>
                      <w:highlight w:val="none"/>
                      <w:lang w:val="en-US" w:eastAsia="zh-CN"/>
                    </w:rPr>
                  </w:pPr>
                  <w:r>
                    <w:rPr>
                      <w:rFonts w:hint="eastAsia" w:ascii="Times New Roman" w:hAnsi="Times New Roman" w:cs="Times New Roman"/>
                      <w:sz w:val="21"/>
                      <w:szCs w:val="21"/>
                      <w:highlight w:val="none"/>
                      <w:lang w:val="en-US" w:eastAsia="zh-CN"/>
                    </w:rPr>
                    <w:t>6台</w:t>
                  </w:r>
                  <w:r>
                    <w:rPr>
                      <w:rFonts w:hint="eastAsia" w:ascii="Times New Roman" w:hAnsi="Times New Roman" w:cs="Times New Roman"/>
                      <w:sz w:val="21"/>
                      <w:szCs w:val="21"/>
                      <w:highlight w:val="none"/>
                      <w:lang w:eastAsia="zh-CN"/>
                    </w:rPr>
                    <w:t>成型机</w:t>
                  </w:r>
                  <w:r>
                    <w:rPr>
                      <w:rFonts w:hint="eastAsia" w:cs="Times New Roman"/>
                      <w:sz w:val="21"/>
                      <w:szCs w:val="21"/>
                      <w:highlight w:val="none"/>
                      <w:lang w:eastAsia="zh-CN"/>
                    </w:rPr>
                    <w:t>、</w:t>
                  </w:r>
                  <w:r>
                    <w:rPr>
                      <w:rFonts w:hint="eastAsia" w:cs="Times New Roman"/>
                      <w:sz w:val="21"/>
                      <w:szCs w:val="21"/>
                      <w:highlight w:val="none"/>
                      <w:lang w:val="en-US" w:eastAsia="zh-CN"/>
                    </w:rPr>
                    <w:t>2台空压机</w:t>
                  </w:r>
                </w:p>
              </w:tc>
              <w:tc>
                <w:tcPr>
                  <w:tcW w:w="859" w:type="pct"/>
                  <w:noWrap w:val="0"/>
                  <w:vAlign w:val="center"/>
                </w:tcPr>
                <w:p w14:paraId="265F32F1">
                  <w:pPr>
                    <w:pStyle w:val="21"/>
                    <w:keepNext w:val="0"/>
                    <w:keepLines w:val="0"/>
                    <w:pageBreakBefore w:val="0"/>
                    <w:widowControl w:val="0"/>
                    <w:kinsoku/>
                    <w:wordWrap/>
                    <w:overflowPunct/>
                    <w:topLinePunct w:val="0"/>
                    <w:autoSpaceDE/>
                    <w:autoSpaceDN/>
                    <w:bidi w:val="0"/>
                    <w:adjustRightInd w:val="0"/>
                    <w:snapToGrid/>
                    <w:spacing w:line="360" w:lineRule="exact"/>
                    <w:textAlignment w:val="auto"/>
                    <w:rPr>
                      <w:rFonts w:hint="eastAsia" w:ascii="Times New Roman" w:hAnsi="Times New Roman" w:eastAsia="宋体" w:cs="Times New Roman"/>
                      <w:lang w:eastAsia="zh-CN"/>
                    </w:rPr>
                  </w:pPr>
                  <w:r>
                    <w:rPr>
                      <w:rFonts w:hint="eastAsia" w:cs="Times New Roman"/>
                      <w:b w:val="0"/>
                      <w:bCs w:val="0"/>
                      <w:color w:val="000000"/>
                      <w:sz w:val="21"/>
                      <w:szCs w:val="21"/>
                      <w:highlight w:val="none"/>
                      <w:u w:val="none"/>
                      <w:lang w:val="en-US" w:eastAsia="zh-CN" w:bidi="ar-SA"/>
                    </w:rPr>
                    <w:t>备案中为主要设备，项目产品、原料、工艺等均与备案一致，实际建设对设备进行细化</w:t>
                  </w:r>
                </w:p>
              </w:tc>
            </w:tr>
          </w:tbl>
          <w:p w14:paraId="33AF1DD2">
            <w:pPr>
              <w:pStyle w:val="26"/>
              <w:keepNext w:val="0"/>
              <w:keepLines w:val="0"/>
              <w:pageBreakBefore w:val="0"/>
              <w:widowControl w:val="0"/>
              <w:kinsoku/>
              <w:wordWrap/>
              <w:overflowPunct/>
              <w:topLinePunct w:val="0"/>
              <w:autoSpaceDE/>
              <w:autoSpaceDN/>
              <w:bidi w:val="0"/>
              <w:adjustRightInd/>
              <w:snapToGrid/>
              <w:spacing w:line="520" w:lineRule="atLeast"/>
              <w:ind w:firstLine="0" w:firstLineChars="0"/>
              <w:textAlignment w:val="auto"/>
              <w:rPr>
                <w:rFonts w:hint="default" w:ascii="Times New Roman" w:hAnsi="Times New Roman" w:cs="Times New Roman"/>
                <w:b/>
              </w:rPr>
            </w:pPr>
            <w:r>
              <w:rPr>
                <w:rFonts w:hint="eastAsia" w:cs="Times New Roman"/>
                <w:b/>
                <w:lang w:val="en-US" w:eastAsia="zh-CN"/>
              </w:rPr>
              <w:t>三</w:t>
            </w:r>
            <w:r>
              <w:rPr>
                <w:rFonts w:hint="default" w:ascii="Times New Roman" w:hAnsi="Times New Roman" w:cs="Times New Roman"/>
                <w:b/>
              </w:rPr>
              <w:t>、产品方案</w:t>
            </w:r>
          </w:p>
          <w:p w14:paraId="09445B1B">
            <w:pPr>
              <w:keepNext w:val="0"/>
              <w:keepLines w:val="0"/>
              <w:pageBreakBefore w:val="0"/>
              <w:widowControl w:val="0"/>
              <w:kinsoku/>
              <w:wordWrap/>
              <w:overflowPunct/>
              <w:topLinePunct w:val="0"/>
              <w:autoSpaceDE/>
              <w:autoSpaceDN/>
              <w:bidi w:val="0"/>
              <w:spacing w:line="520" w:lineRule="exact"/>
              <w:ind w:left="0" w:leftChars="0" w:right="0" w:rightChars="0" w:firstLine="480" w:firstLineChars="200"/>
              <w:textAlignment w:val="auto"/>
              <w:outlineLvl w:val="9"/>
              <w:rPr>
                <w:rFonts w:hint="default" w:ascii="Times New Roman" w:hAnsi="Times New Roman" w:cs="Times New Roman"/>
                <w:b w:val="0"/>
                <w:bCs w:val="0"/>
                <w:color w:val="000000"/>
                <w:sz w:val="24"/>
                <w:szCs w:val="24"/>
                <w:highlight w:val="none"/>
                <w:u w:val="none" w:color="auto"/>
                <w:lang w:val="en-US" w:eastAsia="zh-CN"/>
              </w:rPr>
            </w:pPr>
            <w:r>
              <w:rPr>
                <w:rFonts w:hint="eastAsia" w:cs="Times New Roman"/>
                <w:b w:val="0"/>
                <w:bCs w:val="0"/>
                <w:color w:val="000000"/>
                <w:sz w:val="24"/>
                <w:szCs w:val="24"/>
                <w:highlight w:val="none"/>
                <w:u w:val="none" w:color="auto"/>
                <w:lang w:val="en-US" w:eastAsia="zh-CN"/>
              </w:rPr>
              <w:t>本次</w:t>
            </w:r>
            <w:r>
              <w:rPr>
                <w:rFonts w:hint="default" w:ascii="Times New Roman" w:hAnsi="Times New Roman" w:cs="Times New Roman"/>
                <w:b w:val="0"/>
                <w:bCs w:val="0"/>
                <w:color w:val="000000"/>
                <w:sz w:val="24"/>
                <w:szCs w:val="24"/>
                <w:highlight w:val="none"/>
                <w:u w:val="none" w:color="auto"/>
                <w:lang w:val="en-US" w:eastAsia="zh-CN"/>
              </w:rPr>
              <w:t>工程产品为</w:t>
            </w:r>
            <w:r>
              <w:rPr>
                <w:rFonts w:hint="eastAsia" w:cs="Times New Roman"/>
                <w:b w:val="0"/>
                <w:bCs w:val="0"/>
                <w:color w:val="000000"/>
                <w:sz w:val="24"/>
                <w:szCs w:val="24"/>
                <w:highlight w:val="none"/>
                <w:u w:val="none" w:color="auto"/>
                <w:lang w:val="en-US" w:eastAsia="zh-CN"/>
              </w:rPr>
              <w:t>塑料食品餐盒</w:t>
            </w:r>
            <w:r>
              <w:rPr>
                <w:rFonts w:hint="default" w:ascii="Times New Roman" w:hAnsi="Times New Roman" w:cs="Times New Roman"/>
                <w:b w:val="0"/>
                <w:bCs w:val="0"/>
                <w:color w:val="000000"/>
                <w:sz w:val="24"/>
                <w:szCs w:val="24"/>
                <w:highlight w:val="none"/>
                <w:u w:val="none" w:color="auto"/>
                <w:lang w:val="en-US" w:eastAsia="zh-CN"/>
              </w:rPr>
              <w:t>，本项目产品方案及生产规模见表2-2。</w:t>
            </w:r>
          </w:p>
          <w:p w14:paraId="5293928E">
            <w:pPr>
              <w:keepNext w:val="0"/>
              <w:keepLines w:val="0"/>
              <w:pageBreakBefore w:val="0"/>
              <w:widowControl w:val="0"/>
              <w:kinsoku/>
              <w:wordWrap/>
              <w:overflowPunct/>
              <w:topLinePunct w:val="0"/>
              <w:autoSpaceDE/>
              <w:autoSpaceDN/>
              <w:bidi w:val="0"/>
              <w:spacing w:line="520" w:lineRule="exact"/>
              <w:jc w:val="center"/>
              <w:textAlignment w:val="auto"/>
              <w:rPr>
                <w:rFonts w:hint="default" w:ascii="Times New Roman" w:hAnsi="Times New Roman" w:eastAsia="宋体" w:cs="Times New Roman"/>
                <w:b/>
                <w:bCs/>
                <w:sz w:val="24"/>
                <w:highlight w:val="none"/>
                <w:u w:val="none" w:color="auto"/>
              </w:rPr>
            </w:pPr>
            <w:r>
              <w:rPr>
                <w:rFonts w:hint="default" w:ascii="Times New Roman" w:hAnsi="Times New Roman" w:eastAsia="宋体" w:cs="Times New Roman"/>
                <w:b/>
                <w:bCs/>
                <w:sz w:val="24"/>
                <w:highlight w:val="none"/>
                <w:u w:val="none" w:color="auto"/>
              </w:rPr>
              <w:t>表</w:t>
            </w:r>
            <w:r>
              <w:rPr>
                <w:rFonts w:hint="default" w:ascii="Times New Roman" w:hAnsi="Times New Roman" w:eastAsia="宋体" w:cs="Times New Roman"/>
                <w:b/>
                <w:bCs/>
                <w:sz w:val="24"/>
                <w:highlight w:val="none"/>
                <w:u w:val="none" w:color="auto"/>
                <w:lang w:val="en-US" w:eastAsia="zh-CN"/>
              </w:rPr>
              <w:t xml:space="preserve">2-2   </w:t>
            </w:r>
            <w:r>
              <w:rPr>
                <w:rFonts w:hint="default" w:ascii="Times New Roman" w:hAnsi="Times New Roman" w:eastAsia="宋体" w:cs="Times New Roman"/>
                <w:b/>
                <w:bCs/>
                <w:sz w:val="24"/>
                <w:highlight w:val="none"/>
                <w:u w:val="none" w:color="auto"/>
                <w:lang w:eastAsia="zh-CN"/>
              </w:rPr>
              <w:t>本项目</w:t>
            </w:r>
            <w:r>
              <w:rPr>
                <w:rFonts w:hint="default" w:ascii="Times New Roman" w:hAnsi="Times New Roman" w:eastAsia="宋体" w:cs="Times New Roman"/>
                <w:b/>
                <w:bCs/>
                <w:sz w:val="24"/>
                <w:highlight w:val="none"/>
                <w:u w:val="none" w:color="auto"/>
              </w:rPr>
              <w:t>产品</w:t>
            </w:r>
            <w:r>
              <w:rPr>
                <w:rFonts w:hint="default" w:ascii="Times New Roman" w:hAnsi="Times New Roman" w:eastAsia="宋体" w:cs="Times New Roman"/>
                <w:b/>
                <w:bCs/>
                <w:sz w:val="24"/>
                <w:highlight w:val="none"/>
                <w:u w:val="none" w:color="auto"/>
                <w:lang w:eastAsia="zh-CN"/>
              </w:rPr>
              <w:t>方案与</w:t>
            </w:r>
            <w:r>
              <w:rPr>
                <w:rFonts w:hint="default" w:ascii="Times New Roman" w:hAnsi="Times New Roman" w:eastAsia="宋体" w:cs="Times New Roman"/>
                <w:b/>
                <w:bCs/>
                <w:sz w:val="24"/>
                <w:highlight w:val="none"/>
                <w:u w:val="none" w:color="auto"/>
              </w:rPr>
              <w:t>规模一览表</w:t>
            </w:r>
          </w:p>
          <w:tbl>
            <w:tblPr>
              <w:tblStyle w:val="15"/>
              <w:tblW w:w="4871"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0" w:type="dxa"/>
                <w:bottom w:w="0" w:type="dxa"/>
                <w:right w:w="0" w:type="dxa"/>
              </w:tblCellMar>
            </w:tblPr>
            <w:tblGrid>
              <w:gridCol w:w="899"/>
              <w:gridCol w:w="2333"/>
              <w:gridCol w:w="1464"/>
              <w:gridCol w:w="3842"/>
            </w:tblGrid>
            <w:tr w14:paraId="676953D4">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436" w:hRule="atLeast"/>
                <w:jc w:val="center"/>
              </w:trPr>
              <w:tc>
                <w:tcPr>
                  <w:tcW w:w="526" w:type="pct"/>
                  <w:noWrap w:val="0"/>
                  <w:vAlign w:val="center"/>
                </w:tcPr>
                <w:p w14:paraId="16AB771C">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eastAsia="宋体" w:cs="Times New Roman"/>
                      <w:b w:val="0"/>
                      <w:bCs/>
                      <w:sz w:val="21"/>
                      <w:szCs w:val="21"/>
                      <w:lang w:eastAsia="zh-CN"/>
                    </w:rPr>
                  </w:pPr>
                  <w:r>
                    <w:rPr>
                      <w:rFonts w:hint="default" w:ascii="Times New Roman" w:hAnsi="Times New Roman" w:cs="Times New Roman"/>
                      <w:b w:val="0"/>
                      <w:bCs/>
                      <w:sz w:val="21"/>
                      <w:szCs w:val="21"/>
                      <w:lang w:eastAsia="zh-CN"/>
                    </w:rPr>
                    <w:t>序号</w:t>
                  </w:r>
                </w:p>
              </w:tc>
              <w:tc>
                <w:tcPr>
                  <w:tcW w:w="1366" w:type="pct"/>
                  <w:noWrap w:val="0"/>
                  <w:vAlign w:val="center"/>
                </w:tcPr>
                <w:p w14:paraId="50B68C52">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产品名称</w:t>
                  </w:r>
                </w:p>
              </w:tc>
              <w:tc>
                <w:tcPr>
                  <w:tcW w:w="857" w:type="pct"/>
                  <w:noWrap w:val="0"/>
                  <w:vAlign w:val="center"/>
                </w:tcPr>
                <w:p w14:paraId="1C212503">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生产规模</w:t>
                  </w:r>
                  <w:r>
                    <w:rPr>
                      <w:rFonts w:hint="default" w:ascii="Times New Roman" w:hAnsi="Times New Roman" w:cs="Times New Roman"/>
                      <w:b w:val="0"/>
                      <w:bCs/>
                      <w:sz w:val="21"/>
                      <w:szCs w:val="21"/>
                      <w:highlight w:val="none"/>
                      <w:lang w:val="en-US" w:eastAsia="zh-CN"/>
                    </w:rPr>
                    <w:t>t</w:t>
                  </w:r>
                  <w:r>
                    <w:rPr>
                      <w:rFonts w:hint="default" w:ascii="Times New Roman" w:hAnsi="Times New Roman" w:cs="Times New Roman"/>
                      <w:b w:val="0"/>
                      <w:bCs/>
                      <w:sz w:val="21"/>
                      <w:szCs w:val="21"/>
                      <w:highlight w:val="none"/>
                    </w:rPr>
                    <w:t>/a</w:t>
                  </w:r>
                </w:p>
              </w:tc>
              <w:tc>
                <w:tcPr>
                  <w:tcW w:w="2249" w:type="pct"/>
                  <w:noWrap w:val="0"/>
                  <w:vAlign w:val="center"/>
                </w:tcPr>
                <w:p w14:paraId="38045400">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default" w:ascii="Times New Roman" w:hAnsi="Times New Roman" w:eastAsia="宋体" w:cs="Times New Roman"/>
                      <w:b w:val="0"/>
                      <w:bCs/>
                      <w:sz w:val="21"/>
                      <w:szCs w:val="21"/>
                      <w:highlight w:val="none"/>
                      <w:lang w:eastAsia="zh-CN"/>
                    </w:rPr>
                  </w:pPr>
                  <w:r>
                    <w:rPr>
                      <w:rFonts w:hint="eastAsia" w:cs="Times New Roman"/>
                      <w:b w:val="0"/>
                      <w:bCs/>
                      <w:sz w:val="21"/>
                      <w:szCs w:val="21"/>
                      <w:highlight w:val="none"/>
                      <w:lang w:eastAsia="zh-CN"/>
                    </w:rPr>
                    <w:t>形状、规格</w:t>
                  </w:r>
                </w:p>
              </w:tc>
            </w:tr>
            <w:tr w14:paraId="2683BC74">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462" w:hRule="atLeast"/>
                <w:jc w:val="center"/>
              </w:trPr>
              <w:tc>
                <w:tcPr>
                  <w:tcW w:w="526" w:type="pct"/>
                  <w:noWrap w:val="0"/>
                  <w:vAlign w:val="center"/>
                </w:tcPr>
                <w:p w14:paraId="474F5092">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w:t>
                  </w:r>
                </w:p>
              </w:tc>
              <w:tc>
                <w:tcPr>
                  <w:tcW w:w="1366" w:type="pct"/>
                  <w:vMerge w:val="restart"/>
                  <w:shd w:val="clear" w:color="auto" w:fill="auto"/>
                  <w:noWrap w:val="0"/>
                  <w:vAlign w:val="center"/>
                </w:tcPr>
                <w:p w14:paraId="5384BEF2">
                  <w:pPr>
                    <w:keepNext w:val="0"/>
                    <w:keepLines w:val="0"/>
                    <w:pageBreakBefore w:val="0"/>
                    <w:widowControl w:val="0"/>
                    <w:kinsoku/>
                    <w:wordWrap/>
                    <w:overflowPunct/>
                    <w:topLinePunct w:val="0"/>
                    <w:bidi w:val="0"/>
                    <w:spacing w:line="360" w:lineRule="exact"/>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b w:val="0"/>
                      <w:bCs w:val="0"/>
                      <w:color w:val="000000"/>
                      <w:sz w:val="21"/>
                      <w:szCs w:val="21"/>
                      <w:highlight w:val="none"/>
                      <w:u w:val="none" w:color="auto"/>
                      <w:lang w:eastAsia="zh-CN"/>
                    </w:rPr>
                    <w:t>塑料食品餐盒</w:t>
                  </w:r>
                </w:p>
              </w:tc>
              <w:tc>
                <w:tcPr>
                  <w:tcW w:w="857" w:type="pct"/>
                  <w:noWrap w:val="0"/>
                  <w:vAlign w:val="center"/>
                </w:tcPr>
                <w:p w14:paraId="118F8673">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cs="Times New Roman"/>
                      <w:bCs w:val="0"/>
                      <w:sz w:val="21"/>
                      <w:szCs w:val="21"/>
                      <w:lang w:val="en-US" w:eastAsia="zh-CN"/>
                    </w:rPr>
                  </w:pPr>
                  <w:r>
                    <w:rPr>
                      <w:rFonts w:hint="eastAsia" w:cs="Times New Roman"/>
                      <w:bCs w:val="0"/>
                      <w:sz w:val="21"/>
                      <w:szCs w:val="21"/>
                      <w:lang w:val="en-US" w:eastAsia="zh-CN"/>
                    </w:rPr>
                    <w:t>200</w:t>
                  </w:r>
                </w:p>
              </w:tc>
              <w:tc>
                <w:tcPr>
                  <w:tcW w:w="2249" w:type="pct"/>
                  <w:noWrap w:val="0"/>
                  <w:vAlign w:val="center"/>
                </w:tcPr>
                <w:p w14:paraId="293B7263">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长方形，247mm×184mm</w:t>
                  </w:r>
                </w:p>
              </w:tc>
            </w:tr>
            <w:tr w14:paraId="2F5EFD63">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478" w:hRule="atLeast"/>
                <w:jc w:val="center"/>
              </w:trPr>
              <w:tc>
                <w:tcPr>
                  <w:tcW w:w="526" w:type="pct"/>
                  <w:noWrap w:val="0"/>
                  <w:vAlign w:val="center"/>
                </w:tcPr>
                <w:p w14:paraId="5855F137">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66" w:type="pct"/>
                  <w:vMerge w:val="continue"/>
                  <w:shd w:val="clear" w:color="auto" w:fill="auto"/>
                  <w:noWrap w:val="0"/>
                  <w:vAlign w:val="center"/>
                </w:tcPr>
                <w:p w14:paraId="24418D6F">
                  <w:pPr>
                    <w:keepNext w:val="0"/>
                    <w:keepLines w:val="0"/>
                    <w:pageBreakBefore w:val="0"/>
                    <w:widowControl w:val="0"/>
                    <w:kinsoku/>
                    <w:wordWrap/>
                    <w:overflowPunct/>
                    <w:topLinePunct w:val="0"/>
                    <w:bidi w:val="0"/>
                    <w:spacing w:line="360" w:lineRule="exact"/>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857" w:type="pct"/>
                  <w:noWrap w:val="0"/>
                  <w:vAlign w:val="center"/>
                </w:tcPr>
                <w:p w14:paraId="7E5D6DFE">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cs="Times New Roman"/>
                      <w:bCs w:val="0"/>
                      <w:sz w:val="21"/>
                      <w:szCs w:val="21"/>
                      <w:lang w:val="en-US" w:eastAsia="zh-CN"/>
                    </w:rPr>
                  </w:pPr>
                  <w:r>
                    <w:rPr>
                      <w:rFonts w:hint="eastAsia" w:cs="Times New Roman"/>
                      <w:bCs w:val="0"/>
                      <w:sz w:val="21"/>
                      <w:szCs w:val="21"/>
                      <w:lang w:val="en-US" w:eastAsia="zh-CN"/>
                    </w:rPr>
                    <w:t>100</w:t>
                  </w:r>
                </w:p>
              </w:tc>
              <w:tc>
                <w:tcPr>
                  <w:tcW w:w="2249" w:type="pct"/>
                  <w:noWrap w:val="0"/>
                  <w:vAlign w:val="center"/>
                </w:tcPr>
                <w:p w14:paraId="03D96E7D">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lang w:val="en-US" w:eastAsia="zh-CN" w:bidi="ar-SA"/>
                    </w:rPr>
                  </w:pPr>
                  <w:r>
                    <w:rPr>
                      <w:rFonts w:hint="eastAsia" w:cs="Times New Roman"/>
                      <w:bCs w:val="0"/>
                      <w:color w:val="000000"/>
                      <w:kern w:val="0"/>
                      <w:sz w:val="21"/>
                      <w:szCs w:val="21"/>
                      <w:lang w:val="en-US" w:eastAsia="zh-CN" w:bidi="ar-SA"/>
                    </w:rPr>
                    <w:t>圆形，7寸</w:t>
                  </w:r>
                </w:p>
              </w:tc>
            </w:tr>
            <w:tr w14:paraId="4E27BDD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22" w:hRule="atLeast"/>
                <w:jc w:val="center"/>
              </w:trPr>
              <w:tc>
                <w:tcPr>
                  <w:tcW w:w="526" w:type="pct"/>
                  <w:noWrap w:val="0"/>
                  <w:vAlign w:val="center"/>
                </w:tcPr>
                <w:p w14:paraId="21DABA11">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合计</w:t>
                  </w:r>
                </w:p>
              </w:tc>
              <w:tc>
                <w:tcPr>
                  <w:tcW w:w="2223" w:type="pct"/>
                  <w:gridSpan w:val="2"/>
                  <w:noWrap w:val="0"/>
                  <w:vAlign w:val="center"/>
                </w:tcPr>
                <w:p w14:paraId="3CDB43C2">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default" w:ascii="Times New Roman" w:hAnsi="Times New Roman" w:eastAsia="宋体" w:cs="Times New Roman"/>
                      <w:bCs w:val="0"/>
                      <w:sz w:val="21"/>
                      <w:szCs w:val="21"/>
                      <w:lang w:val="en-US" w:eastAsia="zh-CN"/>
                    </w:rPr>
                  </w:pPr>
                  <w:r>
                    <w:rPr>
                      <w:rFonts w:hint="default" w:ascii="Times New Roman" w:hAnsi="Times New Roman" w:cs="Times New Roman"/>
                      <w:bCs w:val="0"/>
                      <w:sz w:val="21"/>
                      <w:szCs w:val="21"/>
                      <w:lang w:val="en-US" w:eastAsia="zh-CN"/>
                    </w:rPr>
                    <w:t>年产量</w:t>
                  </w:r>
                  <w:r>
                    <w:rPr>
                      <w:rFonts w:hint="eastAsia" w:cs="Times New Roman"/>
                      <w:bCs w:val="0"/>
                      <w:sz w:val="21"/>
                      <w:szCs w:val="21"/>
                      <w:lang w:val="en-US" w:eastAsia="zh-CN"/>
                    </w:rPr>
                    <w:t>300</w:t>
                  </w:r>
                  <w:r>
                    <w:rPr>
                      <w:rFonts w:hint="default" w:ascii="Times New Roman" w:hAnsi="Times New Roman" w:cs="Times New Roman"/>
                      <w:bCs w:val="0"/>
                      <w:sz w:val="21"/>
                      <w:szCs w:val="21"/>
                      <w:lang w:val="en-US" w:eastAsia="zh-CN"/>
                    </w:rPr>
                    <w:t>t/a</w:t>
                  </w:r>
                </w:p>
              </w:tc>
              <w:tc>
                <w:tcPr>
                  <w:tcW w:w="2249" w:type="pct"/>
                  <w:noWrap w:val="0"/>
                  <w:vAlign w:val="center"/>
                </w:tcPr>
                <w:p w14:paraId="6668BFAD">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eastAsia" w:ascii="Times New Roman" w:hAnsi="Times New Roman" w:eastAsia="宋体" w:cs="Times New Roman"/>
                      <w:bCs w:val="0"/>
                      <w:sz w:val="21"/>
                      <w:szCs w:val="21"/>
                      <w:lang w:val="en-US" w:eastAsia="zh-CN"/>
                    </w:rPr>
                  </w:pPr>
                  <w:r>
                    <w:rPr>
                      <w:rFonts w:hint="eastAsia" w:cs="Times New Roman"/>
                      <w:bCs w:val="0"/>
                      <w:color w:val="000000"/>
                      <w:kern w:val="0"/>
                      <w:sz w:val="21"/>
                      <w:szCs w:val="21"/>
                      <w:lang w:val="en-US" w:eastAsia="zh-CN" w:bidi="ar-SA"/>
                    </w:rPr>
                    <w:t>餐盒装箱打包，成箱售卖</w:t>
                  </w:r>
                </w:p>
              </w:tc>
            </w:tr>
          </w:tbl>
          <w:p w14:paraId="22E9F5AD">
            <w:pPr>
              <w:pStyle w:val="26"/>
              <w:keepNext w:val="0"/>
              <w:keepLines w:val="0"/>
              <w:pageBreakBefore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bCs/>
              </w:rPr>
            </w:pPr>
            <w:r>
              <w:rPr>
                <w:rFonts w:hint="eastAsia" w:ascii="Times New Roman" w:hAnsi="Times New Roman" w:cs="Times New Roman"/>
                <w:b/>
                <w:bCs/>
                <w:lang w:val="en-US" w:eastAsia="zh-CN"/>
              </w:rPr>
              <w:t>四</w:t>
            </w:r>
            <w:r>
              <w:rPr>
                <w:rFonts w:hint="default" w:ascii="Times New Roman" w:hAnsi="Times New Roman" w:cs="Times New Roman"/>
                <w:b/>
                <w:bCs/>
              </w:rPr>
              <w:t>、</w:t>
            </w:r>
            <w:r>
              <w:rPr>
                <w:rFonts w:hint="eastAsia" w:ascii="Times New Roman" w:hAnsi="Times New Roman" w:cs="Times New Roman"/>
                <w:b/>
                <w:bCs/>
                <w:lang w:eastAsia="zh-CN"/>
              </w:rPr>
              <w:t>工程</w:t>
            </w:r>
            <w:r>
              <w:rPr>
                <w:rFonts w:hint="default" w:ascii="Times New Roman" w:hAnsi="Times New Roman" w:cs="Times New Roman"/>
                <w:b/>
                <w:bCs/>
              </w:rPr>
              <w:t>建设内容</w:t>
            </w:r>
          </w:p>
          <w:p w14:paraId="596AFB2C">
            <w:pPr>
              <w:pStyle w:val="30"/>
              <w:keepNext w:val="0"/>
              <w:keepLines w:val="0"/>
              <w:pageBreakBefore w:val="0"/>
              <w:widowControl/>
              <w:kinsoku/>
              <w:wordWrap/>
              <w:overflowPunct/>
              <w:topLinePunct w:val="0"/>
              <w:autoSpaceDE/>
              <w:autoSpaceDN/>
              <w:bidi w:val="0"/>
              <w:adjustRightInd/>
              <w:snapToGrid/>
              <w:spacing w:before="0" w:beforeLines="0" w:line="520" w:lineRule="exact"/>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b w:val="0"/>
                <w:bCs w:val="0"/>
              </w:rPr>
              <w:t>本项目</w:t>
            </w:r>
            <w:r>
              <w:rPr>
                <w:rFonts w:hint="default" w:ascii="Times New Roman" w:hAnsi="Times New Roman" w:eastAsia="宋体" w:cs="Times New Roman"/>
                <w:b w:val="0"/>
                <w:bCs w:val="0"/>
                <w:highlight w:val="none"/>
              </w:rPr>
              <w:t>租赁建能智慧科技（河南）有限公司</w:t>
            </w:r>
            <w:r>
              <w:rPr>
                <w:rFonts w:hint="eastAsia" w:ascii="Times New Roman" w:hAnsi="Times New Roman" w:eastAsia="宋体" w:cs="Times New Roman"/>
                <w:b w:val="0"/>
                <w:bCs w:val="0"/>
                <w:highlight w:val="none"/>
                <w:lang w:eastAsia="zh-CN"/>
              </w:rPr>
              <w:t>的</w:t>
            </w:r>
            <w:r>
              <w:rPr>
                <w:rFonts w:hint="default" w:ascii="Times New Roman" w:hAnsi="Times New Roman" w:eastAsia="宋体" w:cs="Times New Roman"/>
                <w:b w:val="0"/>
                <w:bCs w:val="0"/>
                <w:highlight w:val="none"/>
              </w:rPr>
              <w:t>现有</w:t>
            </w:r>
            <w:r>
              <w:rPr>
                <w:rFonts w:hint="eastAsia" w:ascii="Times New Roman" w:hAnsi="Times New Roman" w:eastAsia="宋体" w:cs="Times New Roman"/>
                <w:b w:val="0"/>
                <w:bCs w:val="0"/>
                <w:highlight w:val="none"/>
                <w:lang w:eastAsia="zh-CN"/>
              </w:rPr>
              <w:t>空</w:t>
            </w:r>
            <w:r>
              <w:rPr>
                <w:rFonts w:hint="default" w:ascii="Times New Roman" w:hAnsi="Times New Roman" w:eastAsia="宋体" w:cs="Times New Roman"/>
                <w:b w:val="0"/>
                <w:bCs w:val="0"/>
                <w:highlight w:val="none"/>
              </w:rPr>
              <w:t>厂房进行建设，</w:t>
            </w:r>
            <w:r>
              <w:rPr>
                <w:rFonts w:hint="default" w:ascii="Times New Roman" w:hAnsi="Times New Roman" w:eastAsia="宋体" w:cs="Times New Roman"/>
                <w:highlight w:val="none"/>
              </w:rPr>
              <w:t>主要建设内容见下</w:t>
            </w:r>
            <w:r>
              <w:rPr>
                <w:rFonts w:hint="default" w:ascii="Times New Roman" w:hAnsi="Times New Roman" w:eastAsia="宋体" w:cs="Times New Roman"/>
              </w:rPr>
              <w:t>表。</w:t>
            </w:r>
          </w:p>
          <w:p w14:paraId="326512C4">
            <w:pPr>
              <w:pStyle w:val="28"/>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highlight w:val="none"/>
              </w:rPr>
            </w:pPr>
            <w:r>
              <w:rPr>
                <w:rFonts w:hint="default" w:ascii="Times New Roman" w:hAnsi="Times New Roman" w:cs="Times New Roman"/>
                <w:highlight w:val="none"/>
              </w:rPr>
              <w:t>表2-</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 xml:space="preserve">  </w:t>
            </w:r>
            <w:r>
              <w:rPr>
                <w:rFonts w:hint="default" w:ascii="Times New Roman" w:hAnsi="Times New Roman" w:cs="Times New Roman"/>
                <w:highlight w:val="none"/>
                <w:lang w:eastAsia="zh-CN"/>
              </w:rPr>
              <w:t>本</w:t>
            </w:r>
            <w:r>
              <w:rPr>
                <w:rFonts w:hint="default" w:ascii="Times New Roman" w:hAnsi="Times New Roman" w:cs="Times New Roman"/>
                <w:highlight w:val="none"/>
              </w:rPr>
              <w:t>项目建设内容</w:t>
            </w:r>
            <w:r>
              <w:rPr>
                <w:rFonts w:hint="eastAsia" w:ascii="Times New Roman" w:hAnsi="Times New Roman" w:cs="Times New Roman"/>
                <w:highlight w:val="none"/>
                <w:lang w:eastAsia="zh-CN"/>
              </w:rPr>
              <w:t>与规模</w:t>
            </w:r>
            <w:r>
              <w:rPr>
                <w:rFonts w:hint="default" w:ascii="Times New Roman" w:hAnsi="Times New Roman" w:cs="Times New Roman"/>
                <w:highlight w:val="none"/>
              </w:rPr>
              <w:t>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0" w:type="dxa"/>
                <w:bottom w:w="0" w:type="dxa"/>
                <w:right w:w="0" w:type="dxa"/>
              </w:tblCellMar>
            </w:tblPr>
            <w:tblGrid>
              <w:gridCol w:w="1051"/>
              <w:gridCol w:w="1273"/>
              <w:gridCol w:w="884"/>
              <w:gridCol w:w="1217"/>
              <w:gridCol w:w="887"/>
              <w:gridCol w:w="2621"/>
              <w:gridCol w:w="831"/>
            </w:tblGrid>
            <w:tr w14:paraId="596F46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95" w:hRule="atLeast"/>
                <w:jc w:val="center"/>
              </w:trPr>
              <w:tc>
                <w:tcPr>
                  <w:tcW w:w="600" w:type="pct"/>
                  <w:noWrap w:val="0"/>
                  <w:vAlign w:val="center"/>
                </w:tcPr>
                <w:p w14:paraId="34E2886C">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项目组成</w:t>
                  </w:r>
                </w:p>
              </w:tc>
              <w:tc>
                <w:tcPr>
                  <w:tcW w:w="726" w:type="pct"/>
                  <w:noWrap w:val="0"/>
                  <w:vAlign w:val="center"/>
                </w:tcPr>
                <w:p w14:paraId="0EB4EEE6">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名称</w:t>
                  </w:r>
                </w:p>
              </w:tc>
              <w:tc>
                <w:tcPr>
                  <w:tcW w:w="3199" w:type="pct"/>
                  <w:gridSpan w:val="4"/>
                  <w:noWrap w:val="0"/>
                  <w:vAlign w:val="center"/>
                </w:tcPr>
                <w:p w14:paraId="5DAD536A">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建设内容</w:t>
                  </w:r>
                </w:p>
              </w:tc>
              <w:tc>
                <w:tcPr>
                  <w:tcW w:w="474" w:type="pct"/>
                  <w:noWrap w:val="0"/>
                  <w:vAlign w:val="center"/>
                </w:tcPr>
                <w:p w14:paraId="160F2C80">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备注</w:t>
                  </w:r>
                </w:p>
              </w:tc>
            </w:tr>
            <w:tr w14:paraId="7F8164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600" w:type="pct"/>
                  <w:noWrap w:val="0"/>
                  <w:vAlign w:val="center"/>
                </w:tcPr>
                <w:p w14:paraId="19CD9C06">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主体工程</w:t>
                  </w:r>
                </w:p>
              </w:tc>
              <w:tc>
                <w:tcPr>
                  <w:tcW w:w="726" w:type="pct"/>
                  <w:noWrap w:val="0"/>
                  <w:vAlign w:val="center"/>
                </w:tcPr>
                <w:p w14:paraId="7E307492">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highlight w:val="none"/>
                      <w:lang w:eastAsia="zh-CN"/>
                    </w:rPr>
                    <w:t>生产车间</w:t>
                  </w:r>
                </w:p>
              </w:tc>
              <w:tc>
                <w:tcPr>
                  <w:tcW w:w="3199" w:type="pct"/>
                  <w:gridSpan w:val="4"/>
                  <w:noWrap w:val="0"/>
                  <w:vAlign w:val="center"/>
                </w:tcPr>
                <w:p w14:paraId="3361EFF3">
                  <w:pPr>
                    <w:pStyle w:val="21"/>
                    <w:keepNext w:val="0"/>
                    <w:keepLines w:val="0"/>
                    <w:pageBreakBefore w:val="0"/>
                    <w:widowControl w:val="0"/>
                    <w:kinsoku/>
                    <w:wordWrap/>
                    <w:overflowPunct/>
                    <w:topLinePunct w:val="0"/>
                    <w:bidi w:val="0"/>
                    <w:adjustRightInd/>
                    <w:snapToGrid w:val="0"/>
                    <w:spacing w:line="360" w:lineRule="exact"/>
                    <w:ind w:firstLine="0" w:firstLineChars="0"/>
                    <w:jc w:val="both"/>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cs="Times New Roman"/>
                      <w:lang w:eastAsia="zh-CN"/>
                    </w:rPr>
                    <w:t>占地</w:t>
                  </w:r>
                  <w:r>
                    <w:rPr>
                      <w:rFonts w:hint="default" w:ascii="Times New Roman" w:hAnsi="Times New Roman" w:cs="Times New Roman"/>
                    </w:rPr>
                    <w:t>面积</w:t>
                  </w:r>
                  <w:r>
                    <w:rPr>
                      <w:rFonts w:hint="eastAsia" w:ascii="Times New Roman" w:hAnsi="Times New Roman" w:cs="Times New Roman"/>
                      <w:lang w:val="en-US" w:eastAsia="zh-CN"/>
                    </w:rPr>
                    <w:t>1400</w:t>
                  </w:r>
                  <w:r>
                    <w:rPr>
                      <w:rFonts w:hint="default" w:ascii="Times New Roman" w:hAnsi="Times New Roman" w:cs="Times New Roman"/>
                    </w:rPr>
                    <w:t>m</w:t>
                  </w:r>
                  <w:r>
                    <w:rPr>
                      <w:rFonts w:hint="default" w:ascii="Times New Roman" w:hAnsi="Times New Roman" w:cs="Times New Roman"/>
                      <w:vertAlign w:val="superscript"/>
                    </w:rPr>
                    <w:t>2</w:t>
                  </w:r>
                  <w:r>
                    <w:rPr>
                      <w:rFonts w:hint="default" w:ascii="Times New Roman" w:hAnsi="Times New Roman" w:cs="Times New Roman"/>
                    </w:rPr>
                    <w:t>，</w:t>
                  </w:r>
                  <w:r>
                    <w:rPr>
                      <w:rFonts w:hint="default" w:ascii="Times New Roman" w:hAnsi="Times New Roman" w:cs="Times New Roman"/>
                      <w:lang w:eastAsia="zh-CN"/>
                    </w:rPr>
                    <w:t>长</w:t>
                  </w:r>
                  <w:r>
                    <w:rPr>
                      <w:rFonts w:hint="default" w:ascii="Times New Roman" w:hAnsi="Times New Roman" w:cs="Times New Roman"/>
                      <w:lang w:val="en-US" w:eastAsia="zh-CN"/>
                    </w:rPr>
                    <w:t>×宽</w:t>
                  </w:r>
                  <w:r>
                    <w:rPr>
                      <w:rFonts w:hint="eastAsia" w:cs="Times New Roman"/>
                      <w:lang w:val="en-US" w:eastAsia="zh-CN"/>
                    </w:rPr>
                    <w:t>×高</w:t>
                  </w:r>
                  <w:r>
                    <w:rPr>
                      <w:rFonts w:hint="default" w:ascii="Times New Roman" w:hAnsi="Times New Roman" w:cs="Times New Roman"/>
                      <w:lang w:val="en-US" w:eastAsia="zh-CN"/>
                    </w:rPr>
                    <w:t>=</w:t>
                  </w:r>
                  <w:r>
                    <w:rPr>
                      <w:rFonts w:hint="eastAsia" w:ascii="Times New Roman" w:hAnsi="Times New Roman" w:cs="Times New Roman"/>
                      <w:lang w:val="en-US" w:eastAsia="zh-CN"/>
                    </w:rPr>
                    <w:t>70</w:t>
                  </w:r>
                  <w:r>
                    <w:rPr>
                      <w:rFonts w:hint="eastAsia" w:cs="Times New Roman"/>
                      <w:lang w:val="en-US" w:eastAsia="zh-CN"/>
                    </w:rPr>
                    <w:t>m</w:t>
                  </w:r>
                  <w:r>
                    <w:rPr>
                      <w:rFonts w:hint="default" w:ascii="Times New Roman" w:hAnsi="Times New Roman" w:cs="Times New Roman"/>
                      <w:lang w:val="en-US" w:eastAsia="zh-CN"/>
                    </w:rPr>
                    <w:t>×</w:t>
                  </w:r>
                  <w:r>
                    <w:rPr>
                      <w:rFonts w:hint="eastAsia" w:ascii="Times New Roman" w:hAnsi="Times New Roman" w:cs="Times New Roman"/>
                      <w:lang w:val="en-US" w:eastAsia="zh-CN"/>
                    </w:rPr>
                    <w:t>2</w:t>
                  </w:r>
                  <w:r>
                    <w:rPr>
                      <w:rFonts w:hint="default" w:ascii="Times New Roman" w:hAnsi="Times New Roman" w:cs="Times New Roman"/>
                      <w:lang w:val="en-US" w:eastAsia="zh-CN"/>
                    </w:rPr>
                    <w:t>0</w:t>
                  </w:r>
                  <w:r>
                    <w:rPr>
                      <w:rFonts w:hint="eastAsia" w:cs="Times New Roman"/>
                      <w:lang w:val="en-US" w:eastAsia="zh-CN"/>
                    </w:rPr>
                    <w:t>m×9m</w:t>
                  </w:r>
                  <w:r>
                    <w:rPr>
                      <w:rFonts w:hint="default" w:ascii="Times New Roman" w:hAnsi="Times New Roman" w:cs="Times New Roman"/>
                      <w:lang w:val="en-US" w:eastAsia="zh-CN"/>
                    </w:rPr>
                    <w:t>，</w:t>
                  </w:r>
                  <w:r>
                    <w:rPr>
                      <w:rFonts w:hint="default" w:ascii="Times New Roman" w:hAnsi="Times New Roman" w:cs="Times New Roman"/>
                    </w:rPr>
                    <w:t>钢结构厂房，</w:t>
                  </w:r>
                  <w:r>
                    <w:rPr>
                      <w:rFonts w:hint="default" w:ascii="Times New Roman" w:hAnsi="Times New Roman" w:cs="Times New Roman"/>
                      <w:lang w:val="en-US" w:eastAsia="zh-CN"/>
                    </w:rPr>
                    <w:t>1栋</w:t>
                  </w:r>
                  <w:r>
                    <w:rPr>
                      <w:rFonts w:hint="default" w:ascii="Times New Roman" w:hAnsi="Times New Roman" w:cs="Times New Roman"/>
                    </w:rPr>
                    <w:t>1层</w:t>
                  </w:r>
                  <w:r>
                    <w:rPr>
                      <w:rFonts w:hint="eastAsia" w:ascii="Times New Roman" w:hAnsi="Times New Roman" w:cs="Times New Roman"/>
                      <w:lang w:eastAsia="zh-CN"/>
                    </w:rPr>
                    <w:t>，包含塑料食品餐盒生产。</w:t>
                  </w:r>
                </w:p>
              </w:tc>
              <w:tc>
                <w:tcPr>
                  <w:tcW w:w="474" w:type="pct"/>
                  <w:vMerge w:val="restart"/>
                  <w:noWrap w:val="0"/>
                  <w:vAlign w:val="center"/>
                </w:tcPr>
                <w:p w14:paraId="5814AFB7">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租赁</w:t>
                  </w:r>
                  <w:r>
                    <w:rPr>
                      <w:rFonts w:hint="default" w:ascii="Times New Roman" w:hAnsi="Times New Roman" w:cs="Times New Roman"/>
                      <w:sz w:val="21"/>
                      <w:szCs w:val="21"/>
                    </w:rPr>
                    <w:t>现</w:t>
                  </w:r>
                </w:p>
                <w:p w14:paraId="4138E541">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有厂房</w:t>
                  </w:r>
                </w:p>
              </w:tc>
            </w:tr>
            <w:tr w14:paraId="0A1B54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08" w:hRule="atLeast"/>
                <w:jc w:val="center"/>
              </w:trPr>
              <w:tc>
                <w:tcPr>
                  <w:tcW w:w="600" w:type="pct"/>
                  <w:vMerge w:val="restart"/>
                  <w:noWrap w:val="0"/>
                  <w:vAlign w:val="center"/>
                </w:tcPr>
                <w:p w14:paraId="10FCFB23">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储运工程</w:t>
                  </w:r>
                </w:p>
              </w:tc>
              <w:tc>
                <w:tcPr>
                  <w:tcW w:w="726" w:type="pct"/>
                  <w:noWrap w:val="0"/>
                  <w:vAlign w:val="center"/>
                </w:tcPr>
                <w:p w14:paraId="69281D23">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rPr>
                    <w:t>原料</w:t>
                  </w:r>
                  <w:r>
                    <w:rPr>
                      <w:rFonts w:hint="default" w:ascii="Times New Roman" w:hAnsi="Times New Roman" w:cs="Times New Roman"/>
                      <w:sz w:val="21"/>
                      <w:szCs w:val="21"/>
                      <w:highlight w:val="none"/>
                      <w:lang w:eastAsia="zh-CN"/>
                    </w:rPr>
                    <w:t>区</w:t>
                  </w:r>
                </w:p>
              </w:tc>
              <w:tc>
                <w:tcPr>
                  <w:tcW w:w="3199" w:type="pct"/>
                  <w:gridSpan w:val="4"/>
                  <w:noWrap w:val="0"/>
                  <w:vAlign w:val="center"/>
                </w:tcPr>
                <w:p w14:paraId="283CDAD1">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lang w:eastAsia="zh-CN"/>
                    </w:rPr>
                    <w:t>位于车间</w:t>
                  </w:r>
                  <w:r>
                    <w:rPr>
                      <w:rFonts w:hint="eastAsia" w:ascii="Times New Roman" w:hAnsi="Times New Roman" w:cs="Times New Roman"/>
                      <w:highlight w:val="none"/>
                      <w:lang w:eastAsia="zh-CN"/>
                    </w:rPr>
                    <w:t>中部</w:t>
                  </w:r>
                  <w:r>
                    <w:rPr>
                      <w:rFonts w:hint="default" w:ascii="Times New Roman" w:hAnsi="Times New Roman" w:cs="Times New Roman"/>
                      <w:highlight w:val="none"/>
                      <w:lang w:eastAsia="zh-CN"/>
                    </w:rPr>
                    <w:t>区域</w:t>
                  </w:r>
                  <w:r>
                    <w:rPr>
                      <w:rFonts w:hint="default" w:ascii="Times New Roman" w:hAnsi="Times New Roman" w:cs="Times New Roman"/>
                      <w:highlight w:val="none"/>
                    </w:rPr>
                    <w:t>，</w:t>
                  </w:r>
                  <w:r>
                    <w:rPr>
                      <w:rFonts w:hint="default" w:ascii="Times New Roman" w:hAnsi="Times New Roman" w:cs="Times New Roman"/>
                      <w:highlight w:val="none"/>
                      <w:lang w:eastAsia="zh-CN"/>
                    </w:rPr>
                    <w:t>用于存放</w:t>
                  </w:r>
                  <w:r>
                    <w:rPr>
                      <w:rFonts w:hint="eastAsia" w:ascii="Times New Roman" w:hAnsi="Times New Roman" w:cs="Times New Roman"/>
                      <w:highlight w:val="none"/>
                      <w:lang w:val="en-US" w:eastAsia="zh-CN"/>
                    </w:rPr>
                    <w:t>BOPS片材、包装纸箱</w:t>
                  </w:r>
                  <w:r>
                    <w:rPr>
                      <w:rFonts w:hint="default" w:ascii="Times New Roman" w:hAnsi="Times New Roman" w:cs="Times New Roman"/>
                      <w:highlight w:val="none"/>
                      <w:lang w:eastAsia="zh-CN"/>
                    </w:rPr>
                    <w:t>等原料</w:t>
                  </w:r>
                  <w:r>
                    <w:rPr>
                      <w:rFonts w:hint="eastAsia" w:ascii="Times New Roman" w:hAnsi="Times New Roman" w:cs="Times New Roman"/>
                      <w:highlight w:val="none"/>
                      <w:lang w:eastAsia="zh-CN"/>
                    </w:rPr>
                    <w:t>。</w:t>
                  </w:r>
                </w:p>
              </w:tc>
              <w:tc>
                <w:tcPr>
                  <w:tcW w:w="474" w:type="pct"/>
                  <w:vMerge w:val="continue"/>
                  <w:noWrap w:val="0"/>
                  <w:vAlign w:val="center"/>
                </w:tcPr>
                <w:p w14:paraId="06B22B76">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r>
            <w:tr w14:paraId="0997E4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95" w:hRule="atLeast"/>
                <w:jc w:val="center"/>
              </w:trPr>
              <w:tc>
                <w:tcPr>
                  <w:tcW w:w="600" w:type="pct"/>
                  <w:vMerge w:val="continue"/>
                  <w:noWrap w:val="0"/>
                  <w:vAlign w:val="center"/>
                </w:tcPr>
                <w:p w14:paraId="6588184A">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c>
                <w:tcPr>
                  <w:tcW w:w="726" w:type="pct"/>
                  <w:noWrap w:val="0"/>
                  <w:vAlign w:val="center"/>
                </w:tcPr>
                <w:p w14:paraId="1D46CA89">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成品</w:t>
                  </w:r>
                  <w:r>
                    <w:rPr>
                      <w:rFonts w:hint="default" w:ascii="Times New Roman" w:hAnsi="Times New Roman" w:cs="Times New Roman"/>
                      <w:sz w:val="21"/>
                      <w:szCs w:val="21"/>
                      <w:lang w:eastAsia="zh-CN"/>
                    </w:rPr>
                    <w:t>区</w:t>
                  </w:r>
                </w:p>
              </w:tc>
              <w:tc>
                <w:tcPr>
                  <w:tcW w:w="3199" w:type="pct"/>
                  <w:gridSpan w:val="4"/>
                  <w:noWrap w:val="0"/>
                  <w:vAlign w:val="center"/>
                </w:tcPr>
                <w:p w14:paraId="2BDB423B">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rPr>
                  </w:pPr>
                  <w:r>
                    <w:rPr>
                      <w:rFonts w:hint="default" w:ascii="Times New Roman" w:hAnsi="Times New Roman" w:cs="Times New Roman"/>
                      <w:lang w:eastAsia="zh-CN"/>
                    </w:rPr>
                    <w:t>位于车间</w:t>
                  </w:r>
                  <w:r>
                    <w:rPr>
                      <w:rFonts w:hint="eastAsia" w:ascii="Times New Roman" w:hAnsi="Times New Roman" w:cs="Times New Roman"/>
                      <w:lang w:eastAsia="zh-CN"/>
                    </w:rPr>
                    <w:t>入口左</w:t>
                  </w:r>
                  <w:r>
                    <w:rPr>
                      <w:rFonts w:hint="default" w:ascii="Times New Roman" w:hAnsi="Times New Roman" w:cs="Times New Roman"/>
                      <w:lang w:eastAsia="zh-CN"/>
                    </w:rPr>
                    <w:t>侧区域</w:t>
                  </w:r>
                  <w:r>
                    <w:rPr>
                      <w:rFonts w:hint="default" w:ascii="Times New Roman" w:hAnsi="Times New Roman" w:cs="Times New Roman"/>
                    </w:rPr>
                    <w:t>，</w:t>
                  </w:r>
                  <w:r>
                    <w:rPr>
                      <w:rFonts w:hint="default" w:ascii="Times New Roman" w:hAnsi="Times New Roman" w:cs="Times New Roman"/>
                      <w:lang w:eastAsia="zh-CN"/>
                    </w:rPr>
                    <w:t>用于</w:t>
                  </w:r>
                  <w:r>
                    <w:rPr>
                      <w:rFonts w:hint="eastAsia" w:ascii="Times New Roman" w:hAnsi="Times New Roman" w:cs="Times New Roman"/>
                      <w:lang w:eastAsia="zh-CN"/>
                    </w:rPr>
                    <w:t>打包过的塑料食品餐盒成品。</w:t>
                  </w:r>
                </w:p>
              </w:tc>
              <w:tc>
                <w:tcPr>
                  <w:tcW w:w="474" w:type="pct"/>
                  <w:vMerge w:val="continue"/>
                  <w:noWrap w:val="0"/>
                  <w:vAlign w:val="center"/>
                </w:tcPr>
                <w:p w14:paraId="4817DCA8">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r>
            <w:tr w14:paraId="1B04FCF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35" w:hRule="atLeast"/>
                <w:jc w:val="center"/>
              </w:trPr>
              <w:tc>
                <w:tcPr>
                  <w:tcW w:w="600" w:type="pct"/>
                  <w:noWrap w:val="0"/>
                  <w:vAlign w:val="center"/>
                </w:tcPr>
                <w:p w14:paraId="75A2019F">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辅助工程</w:t>
                  </w:r>
                </w:p>
              </w:tc>
              <w:tc>
                <w:tcPr>
                  <w:tcW w:w="726" w:type="pct"/>
                  <w:noWrap w:val="0"/>
                  <w:vAlign w:val="center"/>
                </w:tcPr>
                <w:p w14:paraId="7F74A7A1">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办公</w:t>
                  </w:r>
                  <w:r>
                    <w:rPr>
                      <w:rFonts w:hint="eastAsia" w:ascii="Times New Roman" w:hAnsi="Times New Roman" w:cs="Times New Roman"/>
                      <w:sz w:val="21"/>
                      <w:szCs w:val="21"/>
                      <w:lang w:eastAsia="zh-CN"/>
                    </w:rPr>
                    <w:t>区</w:t>
                  </w:r>
                </w:p>
              </w:tc>
              <w:tc>
                <w:tcPr>
                  <w:tcW w:w="3199" w:type="pct"/>
                  <w:gridSpan w:val="4"/>
                  <w:noWrap w:val="0"/>
                  <w:vAlign w:val="center"/>
                </w:tcPr>
                <w:p w14:paraId="63F4975E">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lang w:eastAsia="zh-CN"/>
                    </w:rPr>
                    <w:t>位于</w:t>
                  </w:r>
                  <w:r>
                    <w:rPr>
                      <w:rFonts w:hint="eastAsia" w:ascii="Times New Roman" w:hAnsi="Times New Roman" w:cs="Times New Roman"/>
                      <w:sz w:val="21"/>
                      <w:lang w:eastAsia="zh-CN"/>
                    </w:rPr>
                    <w:t>车间入口右侧</w:t>
                  </w:r>
                  <w:r>
                    <w:rPr>
                      <w:rFonts w:hint="default" w:ascii="Times New Roman" w:hAnsi="Times New Roman" w:cs="Times New Roman"/>
                      <w:sz w:val="21"/>
                      <w:lang w:eastAsia="zh-CN"/>
                    </w:rPr>
                    <w:t>区域</w:t>
                  </w:r>
                  <w:r>
                    <w:rPr>
                      <w:rFonts w:hint="eastAsia" w:ascii="Times New Roman" w:hAnsi="Times New Roman" w:cs="Times New Roman"/>
                      <w:sz w:val="21"/>
                      <w:lang w:eastAsia="zh-CN"/>
                    </w:rPr>
                    <w:t>，用于日常办公使用。</w:t>
                  </w:r>
                </w:p>
              </w:tc>
              <w:tc>
                <w:tcPr>
                  <w:tcW w:w="474" w:type="pct"/>
                  <w:vMerge w:val="continue"/>
                  <w:noWrap w:val="0"/>
                  <w:vAlign w:val="center"/>
                </w:tcPr>
                <w:p w14:paraId="275E5390">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lang w:eastAsia="zh-CN"/>
                    </w:rPr>
                  </w:pPr>
                </w:p>
              </w:tc>
            </w:tr>
            <w:tr w14:paraId="0EBC3D1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20" w:hRule="atLeast"/>
                <w:jc w:val="center"/>
              </w:trPr>
              <w:tc>
                <w:tcPr>
                  <w:tcW w:w="600" w:type="pct"/>
                  <w:vMerge w:val="restart"/>
                  <w:noWrap w:val="0"/>
                  <w:vAlign w:val="center"/>
                </w:tcPr>
                <w:p w14:paraId="37625834">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公用工程</w:t>
                  </w:r>
                </w:p>
              </w:tc>
              <w:tc>
                <w:tcPr>
                  <w:tcW w:w="726" w:type="pct"/>
                  <w:noWrap w:val="0"/>
                  <w:vAlign w:val="center"/>
                </w:tcPr>
                <w:p w14:paraId="01276B60">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供水</w:t>
                  </w:r>
                </w:p>
              </w:tc>
              <w:tc>
                <w:tcPr>
                  <w:tcW w:w="3199" w:type="pct"/>
                  <w:gridSpan w:val="4"/>
                  <w:noWrap w:val="0"/>
                  <w:vAlign w:val="center"/>
                </w:tcPr>
                <w:p w14:paraId="6FD44005">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市政</w:t>
                  </w:r>
                  <w:r>
                    <w:rPr>
                      <w:rFonts w:hint="default" w:ascii="Times New Roman" w:hAnsi="Times New Roman" w:cs="Times New Roman"/>
                      <w:sz w:val="21"/>
                      <w:szCs w:val="21"/>
                      <w:lang w:eastAsia="zh-CN"/>
                    </w:rPr>
                    <w:t>管网</w:t>
                  </w:r>
                  <w:r>
                    <w:rPr>
                      <w:rFonts w:hint="default" w:ascii="Times New Roman" w:hAnsi="Times New Roman" w:cs="Times New Roman"/>
                      <w:sz w:val="21"/>
                      <w:szCs w:val="21"/>
                    </w:rPr>
                    <w:t>供水</w:t>
                  </w:r>
                </w:p>
              </w:tc>
              <w:tc>
                <w:tcPr>
                  <w:tcW w:w="474" w:type="pct"/>
                  <w:vMerge w:val="restart"/>
                  <w:noWrap w:val="0"/>
                  <w:vAlign w:val="center"/>
                </w:tcPr>
                <w:p w14:paraId="6E77AC54">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依托现有</w:t>
                  </w:r>
                  <w:r>
                    <w:rPr>
                      <w:rFonts w:hint="eastAsia" w:ascii="Times New Roman" w:hAnsi="Times New Roman" w:cs="Times New Roman"/>
                      <w:sz w:val="21"/>
                      <w:szCs w:val="21"/>
                      <w:lang w:eastAsia="zh-CN"/>
                    </w:rPr>
                    <w:t>厂区</w:t>
                  </w:r>
                </w:p>
              </w:tc>
            </w:tr>
            <w:tr w14:paraId="535238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20" w:hRule="atLeast"/>
                <w:jc w:val="center"/>
              </w:trPr>
              <w:tc>
                <w:tcPr>
                  <w:tcW w:w="600" w:type="pct"/>
                  <w:vMerge w:val="continue"/>
                  <w:noWrap w:val="0"/>
                  <w:vAlign w:val="center"/>
                </w:tcPr>
                <w:p w14:paraId="06265926">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c>
                <w:tcPr>
                  <w:tcW w:w="726" w:type="pct"/>
                  <w:noWrap w:val="0"/>
                  <w:vAlign w:val="center"/>
                </w:tcPr>
                <w:p w14:paraId="72E3D708">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供电</w:t>
                  </w:r>
                </w:p>
              </w:tc>
              <w:tc>
                <w:tcPr>
                  <w:tcW w:w="3199" w:type="pct"/>
                  <w:gridSpan w:val="4"/>
                  <w:noWrap w:val="0"/>
                  <w:vAlign w:val="center"/>
                </w:tcPr>
                <w:p w14:paraId="4EA94BC8">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市政</w:t>
                  </w:r>
                  <w:r>
                    <w:rPr>
                      <w:rFonts w:hint="default" w:ascii="Times New Roman" w:hAnsi="Times New Roman" w:cs="Times New Roman"/>
                      <w:sz w:val="21"/>
                      <w:szCs w:val="21"/>
                      <w:lang w:eastAsia="zh-CN"/>
                    </w:rPr>
                    <w:t>电网</w:t>
                  </w:r>
                  <w:r>
                    <w:rPr>
                      <w:rFonts w:hint="default" w:ascii="Times New Roman" w:hAnsi="Times New Roman" w:cs="Times New Roman"/>
                      <w:sz w:val="21"/>
                      <w:szCs w:val="21"/>
                    </w:rPr>
                    <w:t>供电</w:t>
                  </w:r>
                </w:p>
              </w:tc>
              <w:tc>
                <w:tcPr>
                  <w:tcW w:w="474" w:type="pct"/>
                  <w:vMerge w:val="continue"/>
                  <w:noWrap w:val="0"/>
                  <w:vAlign w:val="center"/>
                </w:tcPr>
                <w:p w14:paraId="29AC65B4">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r>
            <w:tr w14:paraId="535BCD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12" w:hRule="atLeast"/>
                <w:jc w:val="center"/>
              </w:trPr>
              <w:tc>
                <w:tcPr>
                  <w:tcW w:w="600" w:type="pct"/>
                  <w:vMerge w:val="restart"/>
                  <w:noWrap w:val="0"/>
                  <w:vAlign w:val="center"/>
                </w:tcPr>
                <w:p w14:paraId="5BAFC83B">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环保工程</w:t>
                  </w:r>
                </w:p>
              </w:tc>
              <w:tc>
                <w:tcPr>
                  <w:tcW w:w="726" w:type="pct"/>
                  <w:vMerge w:val="restart"/>
                  <w:noWrap w:val="0"/>
                  <w:vAlign w:val="center"/>
                </w:tcPr>
                <w:p w14:paraId="2768E855">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废气治</w:t>
                  </w:r>
                </w:p>
                <w:p w14:paraId="7B3D801E">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504" w:type="pct"/>
                  <w:vMerge w:val="restart"/>
                  <w:noWrap w:val="0"/>
                  <w:vAlign w:val="center"/>
                </w:tcPr>
                <w:p w14:paraId="24803224">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eastAsia="宋体" w:cs="Times New Roman"/>
                      <w:iCs/>
                      <w:sz w:val="21"/>
                      <w:szCs w:val="21"/>
                      <w:highlight w:val="none"/>
                      <w:lang w:eastAsia="zh-CN"/>
                    </w:rPr>
                  </w:pPr>
                  <w:r>
                    <w:rPr>
                      <w:rFonts w:hint="eastAsia" w:ascii="Times New Roman" w:hAnsi="Times New Roman" w:eastAsia="宋体" w:cs="Times New Roman"/>
                      <w:iCs/>
                      <w:sz w:val="21"/>
                      <w:szCs w:val="21"/>
                      <w:highlight w:val="none"/>
                      <w:lang w:eastAsia="zh-CN"/>
                    </w:rPr>
                    <w:t>加热成型工序</w:t>
                  </w:r>
                </w:p>
              </w:tc>
              <w:tc>
                <w:tcPr>
                  <w:tcW w:w="694" w:type="pct"/>
                  <w:vMerge w:val="restart"/>
                  <w:noWrap w:val="0"/>
                  <w:vAlign w:val="center"/>
                </w:tcPr>
                <w:p w14:paraId="0C03AD9C">
                  <w:pPr>
                    <w:pStyle w:val="32"/>
                    <w:keepNext w:val="0"/>
                    <w:keepLines w:val="0"/>
                    <w:pageBreakBefore w:val="0"/>
                    <w:widowControl w:val="0"/>
                    <w:kinsoku/>
                    <w:wordWrap w:val="0"/>
                    <w:overflowPunct/>
                    <w:topLinePunct w:val="0"/>
                    <w:autoSpaceDE/>
                    <w:autoSpaceDN/>
                    <w:bidi w:val="0"/>
                    <w:snapToGrid w:val="0"/>
                    <w:ind w:firstLine="0" w:firstLineChars="0"/>
                    <w:textAlignment w:val="auto"/>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加热成型</w:t>
                  </w:r>
                </w:p>
                <w:p w14:paraId="345FE403">
                  <w:pPr>
                    <w:pStyle w:val="32"/>
                    <w:keepNext w:val="0"/>
                    <w:keepLines w:val="0"/>
                    <w:pageBreakBefore w:val="0"/>
                    <w:widowControl w:val="0"/>
                    <w:kinsoku/>
                    <w:wordWrap w:val="0"/>
                    <w:overflowPunct/>
                    <w:topLinePunct w:val="0"/>
                    <w:autoSpaceDE/>
                    <w:autoSpaceDN/>
                    <w:bidi w:val="0"/>
                    <w:snapToGrid w:val="0"/>
                    <w:ind w:firstLine="0" w:firstLineChars="0"/>
                    <w:textAlignment w:val="auto"/>
                    <w:rPr>
                      <w:rFonts w:hint="default" w:ascii="Times New Roman" w:hAnsi="Times New Roman" w:cs="Times New Roman"/>
                      <w:snapToGrid/>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废气</w:t>
                  </w:r>
                </w:p>
              </w:tc>
              <w:tc>
                <w:tcPr>
                  <w:tcW w:w="506" w:type="pct"/>
                  <w:noWrap w:val="0"/>
                  <w:vAlign w:val="center"/>
                </w:tcPr>
                <w:p w14:paraId="7DF0705C">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r>
                    <w:rPr>
                      <w:rFonts w:hint="eastAsia" w:ascii="Times New Roman" w:hAnsi="Times New Roman" w:cs="Times New Roman"/>
                      <w:iCs/>
                      <w:sz w:val="21"/>
                      <w:szCs w:val="21"/>
                      <w:highlight w:val="none"/>
                      <w:lang w:eastAsia="zh-CN"/>
                    </w:rPr>
                    <w:t>非甲烷</w:t>
                  </w:r>
                </w:p>
                <w:p w14:paraId="744D6BD4">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iCs/>
                      <w:sz w:val="21"/>
                      <w:szCs w:val="21"/>
                      <w:highlight w:val="none"/>
                      <w:lang w:eastAsia="zh-CN"/>
                    </w:rPr>
                  </w:pPr>
                  <w:r>
                    <w:rPr>
                      <w:rFonts w:hint="eastAsia" w:ascii="Times New Roman" w:hAnsi="Times New Roman" w:cs="Times New Roman"/>
                      <w:iCs/>
                      <w:sz w:val="21"/>
                      <w:szCs w:val="21"/>
                      <w:highlight w:val="none"/>
                      <w:lang w:eastAsia="zh-CN"/>
                    </w:rPr>
                    <w:t>总烃</w:t>
                  </w:r>
                </w:p>
              </w:tc>
              <w:tc>
                <w:tcPr>
                  <w:tcW w:w="1494" w:type="pct"/>
                  <w:vMerge w:val="restart"/>
                  <w:noWrap w:val="0"/>
                  <w:vAlign w:val="center"/>
                </w:tcPr>
                <w:p w14:paraId="2941C295">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sz w:val="21"/>
                      <w:szCs w:val="21"/>
                      <w:highlight w:val="none"/>
                      <w:lang w:eastAsia="zh-CN"/>
                    </w:rPr>
                  </w:pPr>
                  <w:r>
                    <w:rPr>
                      <w:rFonts w:hint="default" w:ascii="Times New Roman" w:hAnsi="Times New Roman" w:eastAsia="宋体" w:cs="Times New Roman"/>
                      <w:b w:val="0"/>
                      <w:bCs w:val="0"/>
                      <w:color w:val="000000"/>
                      <w:kern w:val="2"/>
                      <w:sz w:val="21"/>
                      <w:szCs w:val="21"/>
                      <w:highlight w:val="none"/>
                      <w:u w:val="none" w:color="auto"/>
                      <w:lang w:val="en-US" w:eastAsia="zh-CN" w:bidi="ar-SA"/>
                    </w:rPr>
                    <w:t>有机废气</w:t>
                  </w:r>
                  <w:r>
                    <w:rPr>
                      <w:rFonts w:hint="eastAsia" w:ascii="Times New Roman" w:hAnsi="Times New Roman" w:eastAsia="宋体" w:cs="Times New Roman"/>
                      <w:b w:val="0"/>
                      <w:bCs w:val="0"/>
                      <w:color w:val="000000"/>
                      <w:kern w:val="2"/>
                      <w:sz w:val="21"/>
                      <w:szCs w:val="21"/>
                      <w:highlight w:val="none"/>
                      <w:u w:val="none" w:color="auto"/>
                      <w:lang w:val="en-US" w:eastAsia="zh-CN" w:bidi="ar-SA"/>
                    </w:rPr>
                    <w:t>通过集气</w:t>
                  </w:r>
                  <w:r>
                    <w:rPr>
                      <w:rFonts w:hint="eastAsia" w:cs="Times New Roman"/>
                      <w:b w:val="0"/>
                      <w:bCs w:val="0"/>
                      <w:color w:val="000000"/>
                      <w:kern w:val="2"/>
                      <w:sz w:val="21"/>
                      <w:szCs w:val="21"/>
                      <w:highlight w:val="none"/>
                      <w:u w:val="none" w:color="auto"/>
                      <w:lang w:val="en-US" w:eastAsia="zh-CN" w:bidi="ar-SA"/>
                    </w:rPr>
                    <w:t>系统</w:t>
                  </w:r>
                  <w:r>
                    <w:rPr>
                      <w:rFonts w:hint="eastAsia" w:ascii="Times New Roman" w:hAnsi="Times New Roman" w:eastAsia="宋体" w:cs="Times New Roman"/>
                      <w:b w:val="0"/>
                      <w:bCs w:val="0"/>
                      <w:color w:val="000000"/>
                      <w:kern w:val="2"/>
                      <w:sz w:val="21"/>
                      <w:szCs w:val="21"/>
                      <w:highlight w:val="none"/>
                      <w:u w:val="none" w:color="auto"/>
                      <w:lang w:val="en-US" w:eastAsia="zh-CN" w:bidi="ar-SA"/>
                    </w:rPr>
                    <w:t>收集后，</w:t>
                  </w:r>
                  <w:r>
                    <w:rPr>
                      <w:rFonts w:hint="default" w:ascii="Times New Roman" w:hAnsi="Times New Roman" w:eastAsia="宋体" w:cs="Times New Roman"/>
                      <w:b w:val="0"/>
                      <w:bCs w:val="0"/>
                      <w:color w:val="000000"/>
                      <w:kern w:val="2"/>
                      <w:sz w:val="21"/>
                      <w:szCs w:val="21"/>
                      <w:highlight w:val="none"/>
                      <w:u w:val="none" w:color="auto"/>
                      <w:lang w:val="en-US" w:eastAsia="zh-CN" w:bidi="ar-SA"/>
                    </w:rPr>
                    <w:t>经1套两级活性炭吸附装置处理后经15m高排气筒（DA001）排放</w:t>
                  </w:r>
                  <w:r>
                    <w:rPr>
                      <w:rFonts w:hint="eastAsia" w:ascii="Times New Roman" w:hAnsi="Times New Roman" w:eastAsia="宋体" w:cs="Times New Roman"/>
                      <w:b w:val="0"/>
                      <w:bCs w:val="0"/>
                      <w:color w:val="000000"/>
                      <w:kern w:val="2"/>
                      <w:sz w:val="21"/>
                      <w:szCs w:val="21"/>
                      <w:highlight w:val="none"/>
                      <w:u w:val="none" w:color="auto"/>
                      <w:lang w:val="en-US" w:eastAsia="zh-CN" w:bidi="ar-SA"/>
                    </w:rPr>
                    <w:t>。</w:t>
                  </w:r>
                </w:p>
              </w:tc>
              <w:tc>
                <w:tcPr>
                  <w:tcW w:w="474" w:type="pct"/>
                  <w:vMerge w:val="restart"/>
                  <w:noWrap w:val="0"/>
                  <w:vAlign w:val="center"/>
                </w:tcPr>
                <w:p w14:paraId="679EAE63">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szCs w:val="21"/>
                      <w:lang w:val="zh-CN"/>
                    </w:rPr>
                  </w:pPr>
                  <w:r>
                    <w:rPr>
                      <w:rFonts w:hint="default" w:ascii="Times New Roman" w:hAnsi="Times New Roman" w:cs="Times New Roman"/>
                      <w:szCs w:val="21"/>
                      <w:lang w:val="zh-CN"/>
                    </w:rPr>
                    <w:t>新建</w:t>
                  </w:r>
                </w:p>
              </w:tc>
            </w:tr>
            <w:tr w14:paraId="41F8E7A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14" w:hRule="atLeast"/>
                <w:jc w:val="center"/>
              </w:trPr>
              <w:tc>
                <w:tcPr>
                  <w:tcW w:w="600" w:type="pct"/>
                  <w:vMerge w:val="continue"/>
                  <w:noWrap w:val="0"/>
                  <w:vAlign w:val="center"/>
                </w:tcPr>
                <w:p w14:paraId="536620BC">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726" w:type="pct"/>
                  <w:vMerge w:val="continue"/>
                  <w:noWrap w:val="0"/>
                  <w:vAlign w:val="center"/>
                </w:tcPr>
                <w:p w14:paraId="4DE630DD">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504" w:type="pct"/>
                  <w:vMerge w:val="continue"/>
                  <w:noWrap w:val="0"/>
                  <w:vAlign w:val="center"/>
                </w:tcPr>
                <w:p w14:paraId="0B494AEB">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694" w:type="pct"/>
                  <w:vMerge w:val="continue"/>
                  <w:noWrap w:val="0"/>
                  <w:vAlign w:val="center"/>
                </w:tcPr>
                <w:p w14:paraId="18B6E44D">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506" w:type="pct"/>
                  <w:noWrap w:val="0"/>
                  <w:vAlign w:val="center"/>
                </w:tcPr>
                <w:p w14:paraId="39EFA64E">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r>
                    <w:rPr>
                      <w:rFonts w:hint="eastAsia" w:cs="Times New Roman"/>
                      <w:iCs/>
                      <w:sz w:val="21"/>
                      <w:szCs w:val="21"/>
                      <w:highlight w:val="none"/>
                      <w:lang w:eastAsia="zh-CN"/>
                    </w:rPr>
                    <w:t>苯乙烯</w:t>
                  </w:r>
                </w:p>
              </w:tc>
              <w:tc>
                <w:tcPr>
                  <w:tcW w:w="1494" w:type="pct"/>
                  <w:vMerge w:val="continue"/>
                  <w:noWrap w:val="0"/>
                  <w:vAlign w:val="center"/>
                </w:tcPr>
                <w:p w14:paraId="226AC9AD">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c>
                <w:tcPr>
                  <w:tcW w:w="474" w:type="pct"/>
                  <w:vMerge w:val="continue"/>
                  <w:noWrap w:val="0"/>
                  <w:vAlign w:val="center"/>
                </w:tcPr>
                <w:p w14:paraId="3B15982B">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r>
            <w:tr w14:paraId="4EE284E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13" w:hRule="atLeast"/>
                <w:jc w:val="center"/>
              </w:trPr>
              <w:tc>
                <w:tcPr>
                  <w:tcW w:w="600" w:type="pct"/>
                  <w:vMerge w:val="continue"/>
                  <w:noWrap w:val="0"/>
                  <w:vAlign w:val="center"/>
                </w:tcPr>
                <w:p w14:paraId="15C81200">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726" w:type="pct"/>
                  <w:vMerge w:val="continue"/>
                  <w:noWrap w:val="0"/>
                  <w:vAlign w:val="center"/>
                </w:tcPr>
                <w:p w14:paraId="39C66E15">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504" w:type="pct"/>
                  <w:noWrap w:val="0"/>
                  <w:vAlign w:val="center"/>
                </w:tcPr>
                <w:p w14:paraId="73815618">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eastAsia="宋体"/>
                      <w:lang w:eastAsia="zh-CN"/>
                    </w:rPr>
                  </w:pPr>
                  <w:r>
                    <w:rPr>
                      <w:rFonts w:hint="eastAsia"/>
                      <w:lang w:eastAsia="zh-CN"/>
                    </w:rPr>
                    <w:t>危废间</w:t>
                  </w:r>
                </w:p>
              </w:tc>
              <w:tc>
                <w:tcPr>
                  <w:tcW w:w="694" w:type="pct"/>
                  <w:noWrap w:val="0"/>
                  <w:vAlign w:val="center"/>
                </w:tcPr>
                <w:p w14:paraId="43609090">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lang w:val="en-US" w:eastAsia="zh-CN"/>
                    </w:rPr>
                  </w:pPr>
                  <w:r>
                    <w:rPr>
                      <w:rFonts w:hint="eastAsia"/>
                      <w:lang w:val="en-US" w:eastAsia="zh-CN"/>
                    </w:rPr>
                    <w:t>危废间废气</w:t>
                  </w:r>
                </w:p>
              </w:tc>
              <w:tc>
                <w:tcPr>
                  <w:tcW w:w="506" w:type="pct"/>
                  <w:noWrap w:val="0"/>
                  <w:vAlign w:val="center"/>
                </w:tcPr>
                <w:p w14:paraId="3703FCE2">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cs="Times New Roman"/>
                      <w:iCs/>
                      <w:sz w:val="21"/>
                      <w:szCs w:val="21"/>
                      <w:highlight w:val="none"/>
                      <w:lang w:val="en-US" w:eastAsia="zh-CN"/>
                    </w:rPr>
                  </w:pPr>
                  <w:r>
                    <w:rPr>
                      <w:rFonts w:hint="eastAsia" w:cs="Times New Roman"/>
                      <w:iCs/>
                      <w:sz w:val="21"/>
                      <w:szCs w:val="21"/>
                      <w:highlight w:val="none"/>
                      <w:lang w:val="en-US" w:eastAsia="zh-CN"/>
                    </w:rPr>
                    <w:t>VOCs</w:t>
                  </w:r>
                </w:p>
              </w:tc>
              <w:tc>
                <w:tcPr>
                  <w:tcW w:w="1494" w:type="pct"/>
                  <w:vMerge w:val="continue"/>
                  <w:noWrap w:val="0"/>
                  <w:vAlign w:val="center"/>
                </w:tcPr>
                <w:p w14:paraId="30FD66FB">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c>
                <w:tcPr>
                  <w:tcW w:w="474" w:type="pct"/>
                  <w:vMerge w:val="continue"/>
                  <w:noWrap w:val="0"/>
                  <w:vAlign w:val="center"/>
                </w:tcPr>
                <w:p w14:paraId="435536B3">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r>
            <w:tr w14:paraId="3BC52A2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76" w:hRule="atLeast"/>
                <w:jc w:val="center"/>
              </w:trPr>
              <w:tc>
                <w:tcPr>
                  <w:tcW w:w="600" w:type="pct"/>
                  <w:vMerge w:val="continue"/>
                  <w:noWrap w:val="0"/>
                  <w:vAlign w:val="center"/>
                </w:tcPr>
                <w:p w14:paraId="7422C30E">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p>
              </w:tc>
              <w:tc>
                <w:tcPr>
                  <w:tcW w:w="726" w:type="pct"/>
                  <w:noWrap w:val="0"/>
                  <w:vAlign w:val="center"/>
                </w:tcPr>
                <w:p w14:paraId="72EEC50C">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废水治</w:t>
                  </w:r>
                </w:p>
                <w:p w14:paraId="0E0D852E">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3199" w:type="pct"/>
                  <w:gridSpan w:val="4"/>
                  <w:noWrap w:val="0"/>
                  <w:vAlign w:val="center"/>
                </w:tcPr>
                <w:p w14:paraId="2DDB8067">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eastAsia" w:ascii="Times New Roman" w:hAnsi="Times New Roman" w:eastAsia="宋体" w:cs="Times New Roman"/>
                      <w:bCs/>
                      <w:iCs/>
                      <w:sz w:val="21"/>
                      <w:szCs w:val="21"/>
                      <w:highlight w:val="none"/>
                      <w:lang w:eastAsia="zh-CN"/>
                    </w:rPr>
                  </w:pPr>
                  <w:r>
                    <w:rPr>
                      <w:rFonts w:hint="default" w:ascii="Times New Roman" w:hAnsi="Times New Roman" w:cs="Times New Roman"/>
                      <w:sz w:val="21"/>
                      <w:szCs w:val="21"/>
                      <w:highlight w:val="none"/>
                    </w:rPr>
                    <w:t>生活污水</w:t>
                  </w:r>
                  <w:r>
                    <w:rPr>
                      <w:rFonts w:hint="eastAsia" w:cs="Times New Roman"/>
                      <w:sz w:val="21"/>
                      <w:szCs w:val="21"/>
                      <w:highlight w:val="none"/>
                      <w:lang w:eastAsia="zh-CN"/>
                    </w:rPr>
                    <w:t>经</w:t>
                  </w:r>
                  <w:r>
                    <w:rPr>
                      <w:rFonts w:hint="default" w:ascii="Times New Roman" w:hAnsi="Times New Roman" w:cs="Times New Roman"/>
                      <w:sz w:val="21"/>
                      <w:szCs w:val="21"/>
                      <w:highlight w:val="none"/>
                    </w:rPr>
                    <w:t>化粪池处理后</w:t>
                  </w:r>
                  <w:r>
                    <w:rPr>
                      <w:rFonts w:hint="default" w:ascii="Times New Roman" w:hAnsi="Times New Roman" w:cs="Times New Roman"/>
                      <w:bCs/>
                      <w:color w:val="000000"/>
                      <w:sz w:val="21"/>
                      <w:szCs w:val="21"/>
                      <w:highlight w:val="none"/>
                    </w:rPr>
                    <w:t>通过</w:t>
                  </w:r>
                  <w:r>
                    <w:rPr>
                      <w:rFonts w:hint="eastAsia" w:cs="Times New Roman"/>
                      <w:bCs/>
                      <w:color w:val="000000"/>
                      <w:sz w:val="21"/>
                      <w:szCs w:val="21"/>
                      <w:highlight w:val="none"/>
                      <w:lang w:eastAsia="zh-CN"/>
                    </w:rPr>
                    <w:t>产业园区</w:t>
                  </w:r>
                  <w:r>
                    <w:rPr>
                      <w:rFonts w:hint="default" w:ascii="Times New Roman" w:hAnsi="Times New Roman" w:cs="Times New Roman"/>
                      <w:bCs/>
                      <w:color w:val="000000"/>
                      <w:sz w:val="21"/>
                      <w:szCs w:val="21"/>
                      <w:highlight w:val="none"/>
                    </w:rPr>
                    <w:t>污水管网排入</w:t>
                  </w:r>
                  <w:r>
                    <w:rPr>
                      <w:rFonts w:hint="eastAsia" w:ascii="Times New Roman" w:hAnsi="Times New Roman" w:cs="Times New Roman"/>
                      <w:bCs/>
                      <w:color w:val="000000"/>
                      <w:sz w:val="21"/>
                      <w:szCs w:val="21"/>
                      <w:highlight w:val="none"/>
                      <w:lang w:eastAsia="zh-CN"/>
                    </w:rPr>
                    <w:t>詹店镇</w:t>
                  </w:r>
                  <w:r>
                    <w:rPr>
                      <w:rFonts w:hint="default" w:ascii="Times New Roman" w:hAnsi="Times New Roman" w:cs="Times New Roman"/>
                      <w:sz w:val="21"/>
                      <w:szCs w:val="21"/>
                      <w:highlight w:val="none"/>
                    </w:rPr>
                    <w:t>污水处理厂进一步处理</w:t>
                  </w:r>
                  <w:r>
                    <w:rPr>
                      <w:rFonts w:hint="eastAsia" w:ascii="Times New Roman" w:hAnsi="Times New Roman" w:cs="Times New Roman"/>
                      <w:sz w:val="21"/>
                      <w:szCs w:val="21"/>
                      <w:highlight w:val="none"/>
                      <w:lang w:eastAsia="zh-CN"/>
                    </w:rPr>
                    <w:t>。</w:t>
                  </w:r>
                </w:p>
              </w:tc>
              <w:tc>
                <w:tcPr>
                  <w:tcW w:w="474" w:type="pct"/>
                  <w:noWrap w:val="0"/>
                  <w:vAlign w:val="center"/>
                </w:tcPr>
                <w:p w14:paraId="65592D62">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bCs/>
                      <w:iCs/>
                      <w:sz w:val="21"/>
                      <w:szCs w:val="21"/>
                      <w:lang w:eastAsia="zh-CN"/>
                    </w:rPr>
                  </w:pPr>
                  <w:r>
                    <w:rPr>
                      <w:rFonts w:hint="default" w:ascii="Times New Roman" w:hAnsi="Times New Roman" w:cs="Times New Roman"/>
                      <w:bCs/>
                      <w:iCs/>
                      <w:sz w:val="21"/>
                      <w:szCs w:val="21"/>
                      <w:lang w:eastAsia="zh-CN"/>
                    </w:rPr>
                    <w:t>新建</w:t>
                  </w:r>
                </w:p>
              </w:tc>
            </w:tr>
            <w:tr w14:paraId="68EB31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15" w:hRule="atLeast"/>
                <w:jc w:val="center"/>
              </w:trPr>
              <w:tc>
                <w:tcPr>
                  <w:tcW w:w="600" w:type="pct"/>
                  <w:vMerge w:val="continue"/>
                  <w:noWrap w:val="0"/>
                  <w:vAlign w:val="center"/>
                </w:tcPr>
                <w:p w14:paraId="37706730">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p>
              </w:tc>
              <w:tc>
                <w:tcPr>
                  <w:tcW w:w="726" w:type="pct"/>
                  <w:noWrap w:val="0"/>
                  <w:vAlign w:val="center"/>
                </w:tcPr>
                <w:p w14:paraId="2E733B34">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噪声治</w:t>
                  </w:r>
                </w:p>
                <w:p w14:paraId="19F6ADBC">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3199" w:type="pct"/>
                  <w:gridSpan w:val="4"/>
                  <w:noWrap w:val="0"/>
                  <w:vAlign w:val="center"/>
                </w:tcPr>
                <w:p w14:paraId="59F4156D">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基础减振、厂房隔</w:t>
                  </w:r>
                  <w:r>
                    <w:rPr>
                      <w:rFonts w:hint="default" w:ascii="Times New Roman" w:hAnsi="Times New Roman" w:cs="Times New Roman"/>
                      <w:sz w:val="21"/>
                      <w:szCs w:val="21"/>
                      <w:highlight w:val="none"/>
                      <w:lang w:eastAsia="zh-CN"/>
                    </w:rPr>
                    <w:t>声</w:t>
                  </w:r>
                </w:p>
              </w:tc>
              <w:tc>
                <w:tcPr>
                  <w:tcW w:w="474" w:type="pct"/>
                  <w:noWrap w:val="0"/>
                  <w:vAlign w:val="center"/>
                </w:tcPr>
                <w:p w14:paraId="0629F15C">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r>
            <w:tr w14:paraId="1E03BC9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15" w:hRule="atLeast"/>
                <w:jc w:val="center"/>
              </w:trPr>
              <w:tc>
                <w:tcPr>
                  <w:tcW w:w="600" w:type="pct"/>
                  <w:vMerge w:val="continue"/>
                  <w:noWrap w:val="0"/>
                  <w:vAlign w:val="center"/>
                </w:tcPr>
                <w:p w14:paraId="0870F219">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p>
              </w:tc>
              <w:tc>
                <w:tcPr>
                  <w:tcW w:w="726" w:type="pct"/>
                  <w:noWrap w:val="0"/>
                  <w:vAlign w:val="center"/>
                </w:tcPr>
                <w:p w14:paraId="0D9EF137">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固废处</w:t>
                  </w:r>
                </w:p>
                <w:p w14:paraId="21EADF4D">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3199" w:type="pct"/>
                  <w:gridSpan w:val="4"/>
                  <w:noWrap w:val="0"/>
                  <w:vAlign w:val="center"/>
                </w:tcPr>
                <w:p w14:paraId="34A1D2D6">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left"/>
                    <w:textAlignment w:val="auto"/>
                    <w:rPr>
                      <w:rFonts w:hint="default" w:ascii="Times New Roman" w:hAnsi="Times New Roman" w:cs="Times New Roman"/>
                      <w:bCs/>
                      <w:iCs/>
                      <w:sz w:val="21"/>
                      <w:szCs w:val="21"/>
                      <w:highlight w:val="none"/>
                    </w:rPr>
                  </w:pPr>
                  <w:r>
                    <w:rPr>
                      <w:rFonts w:hint="default" w:ascii="Times New Roman" w:hAnsi="Times New Roman" w:cs="Times New Roman"/>
                      <w:bCs/>
                      <w:iCs/>
                      <w:sz w:val="21"/>
                      <w:szCs w:val="21"/>
                      <w:highlight w:val="none"/>
                    </w:rPr>
                    <w:t>废</w:t>
                  </w:r>
                  <w:r>
                    <w:rPr>
                      <w:rFonts w:hint="eastAsia" w:ascii="Times New Roman" w:hAnsi="Times New Roman" w:cs="Times New Roman"/>
                      <w:bCs/>
                      <w:iCs/>
                      <w:sz w:val="21"/>
                      <w:szCs w:val="21"/>
                      <w:highlight w:val="none"/>
                      <w:lang w:eastAsia="zh-CN"/>
                    </w:rPr>
                    <w:t>边角料</w:t>
                  </w:r>
                  <w:r>
                    <w:rPr>
                      <w:rFonts w:hint="default" w:ascii="Times New Roman" w:hAnsi="Times New Roman" w:cs="Times New Roman"/>
                      <w:bCs/>
                      <w:iCs/>
                      <w:sz w:val="21"/>
                      <w:szCs w:val="21"/>
                      <w:highlight w:val="none"/>
                      <w:lang w:eastAsia="zh-CN"/>
                    </w:rPr>
                    <w:t>、</w:t>
                  </w:r>
                  <w:r>
                    <w:rPr>
                      <w:rFonts w:hint="eastAsia" w:ascii="Times New Roman" w:hAnsi="Times New Roman" w:cs="Times New Roman"/>
                      <w:bCs/>
                      <w:iCs/>
                      <w:sz w:val="21"/>
                      <w:szCs w:val="21"/>
                      <w:highlight w:val="none"/>
                      <w:lang w:eastAsia="zh-CN"/>
                    </w:rPr>
                    <w:t>不合格产品</w:t>
                  </w:r>
                  <w:r>
                    <w:rPr>
                      <w:rFonts w:hint="default"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收集后在一般固废间暂存</w:t>
                  </w:r>
                  <w:r>
                    <w:rPr>
                      <w:rFonts w:hint="eastAsia" w:ascii="Times New Roman" w:hAnsi="Times New Roman" w:cs="Times New Roman"/>
                      <w:bCs/>
                      <w:iCs/>
                      <w:sz w:val="21"/>
                      <w:szCs w:val="21"/>
                      <w:highlight w:val="none"/>
                      <w:lang w:eastAsia="zh-CN"/>
                    </w:rPr>
                    <w:t>（</w:t>
                  </w:r>
                  <w:r>
                    <w:rPr>
                      <w:rFonts w:hint="eastAsia" w:ascii="Times New Roman" w:hAnsi="Times New Roman" w:cs="Times New Roman"/>
                      <w:bCs/>
                      <w:iCs/>
                      <w:sz w:val="21"/>
                      <w:szCs w:val="21"/>
                      <w:highlight w:val="none"/>
                      <w:lang w:val="en-US" w:eastAsia="zh-CN"/>
                    </w:rPr>
                    <w:t>10m</w:t>
                  </w:r>
                  <w:r>
                    <w:rPr>
                      <w:rFonts w:hint="eastAsia" w:ascii="Times New Roman" w:hAnsi="Times New Roman" w:cs="Times New Roman"/>
                      <w:bCs/>
                      <w:iCs/>
                      <w:sz w:val="21"/>
                      <w:szCs w:val="21"/>
                      <w:highlight w:val="none"/>
                      <w:vertAlign w:val="superscript"/>
                      <w:lang w:val="en-US" w:eastAsia="zh-CN"/>
                    </w:rPr>
                    <w:t>2</w:t>
                  </w:r>
                  <w:r>
                    <w:rPr>
                      <w:rFonts w:hint="eastAsia"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，定期外售；废润滑油、废油桶</w:t>
                  </w:r>
                  <w:r>
                    <w:rPr>
                      <w:rFonts w:hint="eastAsia" w:ascii="Times New Roman" w:hAnsi="Times New Roman" w:cs="Times New Roman"/>
                      <w:bCs/>
                      <w:iCs/>
                      <w:sz w:val="21"/>
                      <w:szCs w:val="21"/>
                      <w:highlight w:val="none"/>
                      <w:lang w:eastAsia="zh-CN"/>
                    </w:rPr>
                    <w:t>、废活性炭</w:t>
                  </w:r>
                  <w:r>
                    <w:rPr>
                      <w:rFonts w:hint="default" w:ascii="Times New Roman" w:hAnsi="Times New Roman" w:cs="Times New Roman"/>
                      <w:bCs/>
                      <w:iCs/>
                      <w:sz w:val="21"/>
                      <w:szCs w:val="21"/>
                      <w:highlight w:val="none"/>
                    </w:rPr>
                    <w:t>经收集后</w:t>
                  </w:r>
                  <w:r>
                    <w:rPr>
                      <w:rFonts w:hint="eastAsia" w:ascii="Times New Roman" w:hAnsi="Times New Roman" w:cs="Times New Roman"/>
                      <w:bCs/>
                      <w:iCs/>
                      <w:sz w:val="21"/>
                      <w:szCs w:val="21"/>
                      <w:highlight w:val="none"/>
                      <w:lang w:eastAsia="zh-CN"/>
                    </w:rPr>
                    <w:t>密闭</w:t>
                  </w:r>
                  <w:r>
                    <w:rPr>
                      <w:rFonts w:hint="default" w:ascii="Times New Roman" w:hAnsi="Times New Roman" w:cs="Times New Roman"/>
                      <w:bCs/>
                      <w:iCs/>
                      <w:sz w:val="21"/>
                      <w:szCs w:val="21"/>
                      <w:highlight w:val="none"/>
                    </w:rPr>
                    <w:t>暂存于危废间</w:t>
                  </w:r>
                  <w:r>
                    <w:rPr>
                      <w:rFonts w:hint="eastAsia" w:ascii="Times New Roman" w:hAnsi="Times New Roman" w:cs="Times New Roman"/>
                      <w:bCs/>
                      <w:iCs/>
                      <w:sz w:val="21"/>
                      <w:szCs w:val="21"/>
                      <w:highlight w:val="none"/>
                      <w:lang w:eastAsia="zh-CN"/>
                    </w:rPr>
                    <w:t>内（</w:t>
                  </w:r>
                  <w:r>
                    <w:rPr>
                      <w:rFonts w:hint="eastAsia" w:cs="Times New Roman"/>
                      <w:bCs/>
                      <w:iCs/>
                      <w:sz w:val="21"/>
                      <w:szCs w:val="21"/>
                      <w:highlight w:val="none"/>
                      <w:lang w:val="en-US" w:eastAsia="zh-CN"/>
                    </w:rPr>
                    <w:t>5</w:t>
                  </w:r>
                  <w:r>
                    <w:rPr>
                      <w:rFonts w:hint="eastAsia" w:ascii="Times New Roman" w:hAnsi="Times New Roman" w:cs="Times New Roman"/>
                      <w:bCs/>
                      <w:iCs/>
                      <w:sz w:val="21"/>
                      <w:szCs w:val="21"/>
                      <w:highlight w:val="none"/>
                      <w:lang w:val="en-US" w:eastAsia="zh-CN"/>
                    </w:rPr>
                    <w:t>m</w:t>
                  </w:r>
                  <w:r>
                    <w:rPr>
                      <w:rFonts w:hint="eastAsia" w:ascii="Times New Roman" w:hAnsi="Times New Roman" w:cs="Times New Roman"/>
                      <w:bCs/>
                      <w:iCs/>
                      <w:sz w:val="21"/>
                      <w:szCs w:val="21"/>
                      <w:highlight w:val="none"/>
                      <w:vertAlign w:val="superscript"/>
                      <w:lang w:val="en-US" w:eastAsia="zh-CN"/>
                    </w:rPr>
                    <w:t>2</w:t>
                  </w:r>
                  <w:r>
                    <w:rPr>
                      <w:rFonts w:hint="eastAsia"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，定期交由有资质单位处置</w:t>
                  </w:r>
                  <w:r>
                    <w:rPr>
                      <w:rFonts w:hint="default"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生活垃圾经垃圾桶收集后由当地环卫部门定期清运。</w:t>
                  </w:r>
                </w:p>
              </w:tc>
              <w:tc>
                <w:tcPr>
                  <w:tcW w:w="474" w:type="pct"/>
                  <w:noWrap w:val="0"/>
                  <w:vAlign w:val="center"/>
                </w:tcPr>
                <w:p w14:paraId="18EFE2F1">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eastAsia="宋体" w:cs="Times New Roman"/>
                      <w:bCs/>
                      <w:iCs/>
                      <w:sz w:val="21"/>
                      <w:szCs w:val="21"/>
                      <w:lang w:eastAsia="zh-CN"/>
                    </w:rPr>
                  </w:pPr>
                  <w:r>
                    <w:rPr>
                      <w:rFonts w:hint="default" w:ascii="Times New Roman" w:hAnsi="Times New Roman" w:eastAsia="宋体" w:cs="Times New Roman"/>
                      <w:bCs/>
                      <w:iCs/>
                      <w:sz w:val="21"/>
                      <w:szCs w:val="21"/>
                      <w:lang w:eastAsia="zh-CN"/>
                    </w:rPr>
                    <w:t>新建</w:t>
                  </w:r>
                </w:p>
              </w:tc>
            </w:tr>
          </w:tbl>
          <w:p w14:paraId="61ECCDFA">
            <w:pPr>
              <w:pStyle w:val="26"/>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rPr>
            </w:pPr>
            <w:r>
              <w:rPr>
                <w:rFonts w:hint="eastAsia" w:cs="Times New Roman"/>
                <w:b/>
                <w:lang w:val="en-US" w:eastAsia="zh-CN"/>
              </w:rPr>
              <w:t>五</w:t>
            </w:r>
            <w:r>
              <w:rPr>
                <w:rFonts w:hint="default" w:ascii="Times New Roman" w:hAnsi="Times New Roman" w:cs="Times New Roman"/>
                <w:b/>
              </w:rPr>
              <w:t>、主要</w:t>
            </w:r>
            <w:r>
              <w:rPr>
                <w:rFonts w:hint="default" w:ascii="Times New Roman" w:hAnsi="Times New Roman" w:cs="Times New Roman"/>
                <w:b/>
                <w:lang w:eastAsia="zh-CN"/>
              </w:rPr>
              <w:t>生产</w:t>
            </w:r>
            <w:r>
              <w:rPr>
                <w:rFonts w:hint="default" w:ascii="Times New Roman" w:hAnsi="Times New Roman" w:cs="Times New Roman"/>
                <w:b/>
              </w:rPr>
              <w:t>设备</w:t>
            </w:r>
          </w:p>
          <w:p w14:paraId="0F1E2CB2">
            <w:pPr>
              <w:keepNext w:val="0"/>
              <w:keepLines w:val="0"/>
              <w:pageBreakBefore w:val="0"/>
              <w:widowControl w:val="0"/>
              <w:kinsoku/>
              <w:wordWrap/>
              <w:overflowPunct/>
              <w:topLinePunct w:val="0"/>
              <w:autoSpaceDE/>
              <w:autoSpaceDN/>
              <w:bidi w:val="0"/>
              <w:spacing w:line="520" w:lineRule="exact"/>
              <w:textAlignment w:val="auto"/>
              <w:rPr>
                <w:rFonts w:hint="default" w:ascii="Times New Roman" w:hAnsi="Times New Roman" w:cs="Times New Roman"/>
                <w:highlight w:val="none"/>
                <w:lang w:val="en-US" w:eastAsia="zh-CN"/>
              </w:rPr>
            </w:pPr>
            <w:r>
              <w:rPr>
                <w:rFonts w:hint="eastAsia" w:cs="Times New Roman"/>
                <w:highlight w:val="none"/>
                <w:lang w:eastAsia="zh-CN"/>
              </w:rPr>
              <w:t>本项目</w:t>
            </w:r>
            <w:r>
              <w:rPr>
                <w:rFonts w:hint="default" w:ascii="Times New Roman" w:hAnsi="Times New Roman" w:cs="Times New Roman"/>
                <w:highlight w:val="none"/>
              </w:rPr>
              <w:t>生产过程中涉及使用的主要生产</w:t>
            </w:r>
            <w:r>
              <w:rPr>
                <w:rFonts w:hint="default" w:ascii="Times New Roman" w:hAnsi="Times New Roman" w:cs="Times New Roman"/>
                <w:highlight w:val="none"/>
                <w:lang w:val="en-US" w:eastAsia="zh-CN"/>
              </w:rPr>
              <w:t>设备</w:t>
            </w:r>
            <w:r>
              <w:rPr>
                <w:rFonts w:hint="default" w:ascii="Times New Roman" w:hAnsi="Times New Roman" w:cs="Times New Roman"/>
                <w:highlight w:val="none"/>
              </w:rPr>
              <w:t>情况见</w:t>
            </w:r>
            <w:r>
              <w:rPr>
                <w:rFonts w:hint="default" w:ascii="Times New Roman" w:hAnsi="Times New Roman" w:cs="Times New Roman"/>
                <w:highlight w:val="none"/>
                <w:lang w:val="en-US" w:eastAsia="zh-CN"/>
              </w:rPr>
              <w:t>下表</w:t>
            </w:r>
            <w:r>
              <w:rPr>
                <w:rFonts w:hint="default" w:ascii="Times New Roman" w:hAnsi="Times New Roman" w:cs="Times New Roman"/>
                <w:highlight w:val="none"/>
              </w:rPr>
              <w:t>。</w:t>
            </w:r>
          </w:p>
          <w:p w14:paraId="5134B8FC">
            <w:pPr>
              <w:pStyle w:val="28"/>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rPr>
            </w:pPr>
            <w:r>
              <w:rPr>
                <w:rFonts w:hint="default" w:ascii="Times New Roman" w:hAnsi="Times New Roman" w:cs="Times New Roman"/>
              </w:rPr>
              <w:t>表2-</w:t>
            </w:r>
            <w:r>
              <w:rPr>
                <w:rFonts w:hint="eastAsia" w:cs="Times New Roman"/>
                <w:lang w:val="en-US" w:eastAsia="zh-CN"/>
              </w:rPr>
              <w:t>4</w:t>
            </w:r>
            <w:r>
              <w:rPr>
                <w:rFonts w:hint="default" w:ascii="Times New Roman" w:hAnsi="Times New Roman" w:cs="Times New Roman"/>
              </w:rPr>
              <w:t xml:space="preserve">  项目主要生产设备一览表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451"/>
              <w:gridCol w:w="1385"/>
              <w:gridCol w:w="1099"/>
              <w:gridCol w:w="3877"/>
            </w:tblGrid>
            <w:tr w14:paraId="4C9E7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41" w:type="pct"/>
                  <w:noWrap w:val="0"/>
                  <w:vAlign w:val="center"/>
                </w:tcPr>
                <w:p w14:paraId="5D1D4A8C">
                  <w:pPr>
                    <w:keepNext w:val="0"/>
                    <w:keepLines w:val="0"/>
                    <w:pageBreakBefore w:val="0"/>
                    <w:widowControl/>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1"/>
                    </w:rPr>
                  </w:pPr>
                  <w:r>
                    <w:rPr>
                      <w:rFonts w:hint="default" w:ascii="Times New Roman" w:hAnsi="Times New Roman" w:cs="Times New Roman"/>
                      <w:b w:val="0"/>
                      <w:bCs/>
                      <w:kern w:val="0"/>
                      <w:sz w:val="21"/>
                      <w:szCs w:val="21"/>
                    </w:rPr>
                    <w:t>产品</w:t>
                  </w:r>
                </w:p>
              </w:tc>
              <w:tc>
                <w:tcPr>
                  <w:tcW w:w="828" w:type="pct"/>
                  <w:noWrap w:val="0"/>
                  <w:vAlign w:val="center"/>
                </w:tcPr>
                <w:p w14:paraId="6674A39D">
                  <w:pPr>
                    <w:keepNext w:val="0"/>
                    <w:keepLines w:val="0"/>
                    <w:pageBreakBefore w:val="0"/>
                    <w:widowControl/>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1"/>
                    </w:rPr>
                  </w:pPr>
                  <w:r>
                    <w:rPr>
                      <w:rFonts w:hint="default" w:ascii="Times New Roman" w:hAnsi="Times New Roman" w:cs="Times New Roman"/>
                      <w:b w:val="0"/>
                      <w:bCs/>
                      <w:kern w:val="0"/>
                      <w:sz w:val="21"/>
                      <w:szCs w:val="21"/>
                    </w:rPr>
                    <w:t>设备名称</w:t>
                  </w:r>
                </w:p>
              </w:tc>
              <w:tc>
                <w:tcPr>
                  <w:tcW w:w="790" w:type="pct"/>
                  <w:noWrap w:val="0"/>
                  <w:vAlign w:val="center"/>
                </w:tcPr>
                <w:p w14:paraId="7C623734">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规格/型</w:t>
                  </w:r>
                  <w:r>
                    <w:rPr>
                      <w:rFonts w:hint="default" w:ascii="Times New Roman" w:hAnsi="Times New Roman" w:cs="Times New Roman"/>
                      <w:b w:val="0"/>
                      <w:bCs/>
                      <w:sz w:val="21"/>
                      <w:szCs w:val="21"/>
                    </w:rPr>
                    <w:cr/>
                  </w:r>
                  <w:r>
                    <w:rPr>
                      <w:rFonts w:hint="default" w:ascii="Times New Roman" w:hAnsi="Times New Roman" w:cs="Times New Roman"/>
                      <w:b w:val="0"/>
                      <w:bCs/>
                      <w:sz w:val="21"/>
                      <w:szCs w:val="21"/>
                    </w:rPr>
                    <w:t>号</w:t>
                  </w:r>
                </w:p>
              </w:tc>
              <w:tc>
                <w:tcPr>
                  <w:tcW w:w="627" w:type="pct"/>
                  <w:noWrap w:val="0"/>
                  <w:vAlign w:val="center"/>
                </w:tcPr>
                <w:p w14:paraId="3FCFDAEE">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cs="Times New Roman"/>
                      <w:b w:val="0"/>
                      <w:bCs/>
                      <w:sz w:val="21"/>
                      <w:szCs w:val="21"/>
                    </w:rPr>
                    <w:t>数量</w:t>
                  </w:r>
                </w:p>
              </w:tc>
              <w:tc>
                <w:tcPr>
                  <w:tcW w:w="2212" w:type="pct"/>
                  <w:noWrap w:val="0"/>
                  <w:vAlign w:val="center"/>
                </w:tcPr>
                <w:p w14:paraId="2ED63F56">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备注</w:t>
                  </w:r>
                </w:p>
              </w:tc>
            </w:tr>
            <w:tr w14:paraId="07309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41" w:type="pct"/>
                  <w:vMerge w:val="restart"/>
                  <w:noWrap w:val="0"/>
                  <w:vAlign w:val="center"/>
                </w:tcPr>
                <w:p w14:paraId="55A59BFD">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eastAsia" w:ascii="Times New Roman" w:hAnsi="Times New Roman" w:eastAsia="宋体" w:cs="Times New Roman"/>
                      <w:kern w:val="0"/>
                      <w:sz w:val="21"/>
                      <w:szCs w:val="21"/>
                      <w:lang w:eastAsia="zh-CN"/>
                    </w:rPr>
                  </w:pPr>
                  <w:r>
                    <w:rPr>
                      <w:rFonts w:hint="eastAsia" w:cs="Times New Roman"/>
                      <w:kern w:val="0"/>
                      <w:sz w:val="21"/>
                      <w:szCs w:val="21"/>
                      <w:lang w:eastAsia="zh-CN"/>
                    </w:rPr>
                    <w:t>塑料食品餐盒</w:t>
                  </w:r>
                </w:p>
              </w:tc>
              <w:tc>
                <w:tcPr>
                  <w:tcW w:w="828" w:type="pct"/>
                  <w:noWrap w:val="0"/>
                  <w:vAlign w:val="center"/>
                </w:tcPr>
                <w:p w14:paraId="373C7F3A">
                  <w:pPr>
                    <w:pStyle w:val="21"/>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ascii="Times New Roman" w:hAnsi="Times New Roman" w:eastAsia="宋体"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成型机</w:t>
                  </w:r>
                </w:p>
              </w:tc>
              <w:tc>
                <w:tcPr>
                  <w:tcW w:w="790" w:type="pct"/>
                  <w:noWrap w:val="0"/>
                  <w:vAlign w:val="center"/>
                </w:tcPr>
                <w:p w14:paraId="225559FC">
                  <w:pPr>
                    <w:pStyle w:val="21"/>
                    <w:keepNext w:val="0"/>
                    <w:keepLines w:val="0"/>
                    <w:pageBreakBefore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eastAsia="宋体"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HY-6378</w:t>
                  </w:r>
                </w:p>
              </w:tc>
              <w:tc>
                <w:tcPr>
                  <w:tcW w:w="627" w:type="pct"/>
                  <w:noWrap w:val="0"/>
                  <w:vAlign w:val="center"/>
                </w:tcPr>
                <w:p w14:paraId="7CFCD494">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仿宋" w:cs="Times New Roman"/>
                      <w:kern w:val="2"/>
                      <w:sz w:val="21"/>
                      <w:szCs w:val="21"/>
                      <w:lang w:val="en-US" w:eastAsia="zh-CN" w:bidi="ar-SA"/>
                    </w:rPr>
                  </w:pPr>
                  <w:r>
                    <w:rPr>
                      <w:rFonts w:hint="eastAsia" w:eastAsia="仿宋" w:cs="Times New Roman"/>
                      <w:kern w:val="2"/>
                      <w:sz w:val="21"/>
                      <w:szCs w:val="21"/>
                      <w:lang w:val="en-US" w:eastAsia="zh-CN" w:bidi="ar-SA"/>
                    </w:rPr>
                    <w:t>6</w:t>
                  </w:r>
                  <w:r>
                    <w:rPr>
                      <w:rFonts w:hint="eastAsia" w:ascii="宋体" w:hAnsi="宋体" w:eastAsia="宋体" w:cs="宋体"/>
                      <w:kern w:val="2"/>
                      <w:sz w:val="21"/>
                      <w:szCs w:val="21"/>
                      <w:lang w:val="en-US" w:eastAsia="zh-CN" w:bidi="ar-SA"/>
                    </w:rPr>
                    <w:t>台</w:t>
                  </w:r>
                </w:p>
              </w:tc>
              <w:tc>
                <w:tcPr>
                  <w:tcW w:w="2212" w:type="pct"/>
                  <w:noWrap w:val="0"/>
                  <w:vAlign w:val="center"/>
                </w:tcPr>
                <w:p w14:paraId="412305C3">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kern w:val="0"/>
                      <w:sz w:val="21"/>
                      <w:szCs w:val="21"/>
                      <w:lang w:val="en-US" w:eastAsia="zh-CN" w:bidi="ar-SA"/>
                    </w:rPr>
                  </w:pPr>
                  <w:r>
                    <w:rPr>
                      <w:rFonts w:hint="eastAsia" w:cs="Times New Roman"/>
                      <w:kern w:val="0"/>
                      <w:sz w:val="21"/>
                      <w:szCs w:val="21"/>
                      <w:lang w:val="en-US" w:eastAsia="zh-CN" w:bidi="ar-SA"/>
                    </w:rPr>
                    <w:t>用于加工生产塑料食品餐盒</w:t>
                  </w:r>
                </w:p>
              </w:tc>
            </w:tr>
            <w:tr w14:paraId="2337C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41" w:type="pct"/>
                  <w:vMerge w:val="continue"/>
                  <w:noWrap w:val="0"/>
                  <w:vAlign w:val="center"/>
                </w:tcPr>
                <w:p w14:paraId="3BCBAE93">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eastAsia" w:cs="Times New Roman"/>
                      <w:kern w:val="0"/>
                      <w:sz w:val="21"/>
                      <w:szCs w:val="21"/>
                      <w:lang w:eastAsia="zh-CN"/>
                    </w:rPr>
                  </w:pPr>
                </w:p>
              </w:tc>
              <w:tc>
                <w:tcPr>
                  <w:tcW w:w="828" w:type="pct"/>
                  <w:noWrap w:val="0"/>
                  <w:vAlign w:val="center"/>
                </w:tcPr>
                <w:p w14:paraId="22614140">
                  <w:pPr>
                    <w:pStyle w:val="21"/>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eastAsia" w:cs="Times New Roman"/>
                      <w:bCs w:val="0"/>
                      <w:color w:val="000000"/>
                      <w:kern w:val="0"/>
                      <w:sz w:val="21"/>
                      <w:szCs w:val="21"/>
                      <w:highlight w:val="none"/>
                      <w:lang w:val="en-US" w:eastAsia="zh-CN" w:bidi="ar-SA"/>
                    </w:rPr>
                  </w:pPr>
                  <w:r>
                    <w:rPr>
                      <w:rFonts w:hint="eastAsia" w:cs="Times New Roman"/>
                      <w:bCs w:val="0"/>
                      <w:color w:val="000000"/>
                      <w:kern w:val="0"/>
                      <w:sz w:val="21"/>
                      <w:szCs w:val="21"/>
                      <w:highlight w:val="none"/>
                      <w:lang w:val="en-US" w:eastAsia="zh-CN" w:bidi="ar-SA"/>
                    </w:rPr>
                    <w:t>空压机</w:t>
                  </w:r>
                </w:p>
              </w:tc>
              <w:tc>
                <w:tcPr>
                  <w:tcW w:w="790" w:type="pct"/>
                  <w:noWrap w:val="0"/>
                  <w:vAlign w:val="center"/>
                </w:tcPr>
                <w:p w14:paraId="4C7AECAB">
                  <w:pPr>
                    <w:pStyle w:val="21"/>
                    <w:keepNext w:val="0"/>
                    <w:keepLines w:val="0"/>
                    <w:pageBreakBefore w:val="0"/>
                    <w:kinsoku/>
                    <w:wordWrap/>
                    <w:overflowPunct/>
                    <w:topLinePunct w:val="0"/>
                    <w:autoSpaceDE w:val="0"/>
                    <w:autoSpaceDN w:val="0"/>
                    <w:bidi w:val="0"/>
                    <w:adjustRightInd w:val="0"/>
                    <w:snapToGrid w:val="0"/>
                    <w:spacing w:line="360" w:lineRule="exact"/>
                    <w:ind w:firstLine="0" w:firstLineChars="0"/>
                    <w:textAlignment w:val="auto"/>
                    <w:rPr>
                      <w:rFonts w:hint="default" w:cs="Times New Roman"/>
                      <w:bCs w:val="0"/>
                      <w:color w:val="000000"/>
                      <w:kern w:val="0"/>
                      <w:sz w:val="21"/>
                      <w:szCs w:val="21"/>
                      <w:highlight w:val="none"/>
                      <w:lang w:val="en-US" w:eastAsia="zh-CN" w:bidi="ar-SA"/>
                    </w:rPr>
                  </w:pPr>
                  <w:r>
                    <w:rPr>
                      <w:rFonts w:hint="eastAsia" w:cs="Times New Roman"/>
                      <w:bCs w:val="0"/>
                      <w:color w:val="000000"/>
                      <w:kern w:val="0"/>
                      <w:sz w:val="21"/>
                      <w:szCs w:val="21"/>
                      <w:highlight w:val="none"/>
                      <w:lang w:val="en-US" w:eastAsia="zh-CN" w:bidi="ar-SA"/>
                    </w:rPr>
                    <w:t>/</w:t>
                  </w:r>
                </w:p>
              </w:tc>
              <w:tc>
                <w:tcPr>
                  <w:tcW w:w="627" w:type="pct"/>
                  <w:noWrap w:val="0"/>
                  <w:vAlign w:val="center"/>
                </w:tcPr>
                <w:p w14:paraId="3F0A0099">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eastAsia="仿宋" w:cs="Times New Roman"/>
                      <w:kern w:val="2"/>
                      <w:sz w:val="21"/>
                      <w:szCs w:val="21"/>
                      <w:highlight w:val="none"/>
                      <w:lang w:val="en-US" w:eastAsia="zh-CN" w:bidi="ar-SA"/>
                    </w:rPr>
                  </w:pPr>
                  <w:r>
                    <w:rPr>
                      <w:rFonts w:hint="eastAsia" w:eastAsia="仿宋" w:cs="Times New Roman"/>
                      <w:kern w:val="2"/>
                      <w:sz w:val="21"/>
                      <w:szCs w:val="21"/>
                      <w:highlight w:val="none"/>
                      <w:lang w:val="en-US" w:eastAsia="zh-CN" w:bidi="ar-SA"/>
                    </w:rPr>
                    <w:t>2</w:t>
                  </w:r>
                  <w:r>
                    <w:rPr>
                      <w:rFonts w:hint="eastAsia" w:ascii="宋体" w:hAnsi="宋体" w:eastAsia="宋体" w:cs="宋体"/>
                      <w:kern w:val="2"/>
                      <w:sz w:val="21"/>
                      <w:szCs w:val="21"/>
                      <w:highlight w:val="none"/>
                      <w:lang w:val="en-US" w:eastAsia="zh-CN" w:bidi="ar-SA"/>
                    </w:rPr>
                    <w:t>台</w:t>
                  </w:r>
                </w:p>
              </w:tc>
              <w:tc>
                <w:tcPr>
                  <w:tcW w:w="2212" w:type="pct"/>
                  <w:noWrap w:val="0"/>
                  <w:vAlign w:val="center"/>
                </w:tcPr>
                <w:p w14:paraId="08946F2D">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eastAsia" w:cs="Times New Roman"/>
                      <w:kern w:val="0"/>
                      <w:sz w:val="21"/>
                      <w:szCs w:val="21"/>
                      <w:lang w:val="en-US" w:eastAsia="zh-CN" w:bidi="ar-SA"/>
                    </w:rPr>
                  </w:pPr>
                  <w:r>
                    <w:rPr>
                      <w:rFonts w:hint="eastAsia" w:cs="Times New Roman"/>
                      <w:kern w:val="0"/>
                      <w:sz w:val="21"/>
                      <w:szCs w:val="21"/>
                      <w:lang w:val="en-US" w:eastAsia="zh-CN" w:bidi="ar-SA"/>
                    </w:rPr>
                    <w:t>为成型机输送压缩气体</w:t>
                  </w:r>
                </w:p>
              </w:tc>
            </w:tr>
          </w:tbl>
          <w:p w14:paraId="5CB7134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经查阅《产业结构调整指导目录（2024年本）》，项目拟用设备均不属于淘汰或限制设备，符合相关设备政策要求。</w:t>
            </w:r>
          </w:p>
          <w:p w14:paraId="502A7BB7">
            <w:pPr>
              <w:keepNext w:val="0"/>
              <w:keepLines w:val="0"/>
              <w:pageBreakBefore w:val="0"/>
              <w:widowControl w:val="0"/>
              <w:kinsoku/>
              <w:wordWrap/>
              <w:overflowPunct/>
              <w:topLinePunct w:val="0"/>
              <w:autoSpaceDE w:val="0"/>
              <w:autoSpaceDN w:val="0"/>
              <w:bidi w:val="0"/>
              <w:adjustRightInd w:val="0"/>
              <w:snapToGrid/>
              <w:spacing w:line="520" w:lineRule="exact"/>
              <w:ind w:left="0" w:leftChars="0" w:firstLine="0" w:firstLineChars="0"/>
              <w:jc w:val="center"/>
              <w:textAlignment w:val="auto"/>
              <w:rPr>
                <w:rFonts w:hint="default" w:ascii="Times New Roman" w:hAnsi="Times New Roman" w:eastAsia="宋体" w:cs="Times New Roman"/>
                <w:b/>
                <w:bCs/>
                <w:kern w:val="0"/>
                <w:sz w:val="24"/>
                <w:szCs w:val="24"/>
                <w:lang w:val="en-US" w:eastAsia="zh-CN" w:bidi="ar-SA"/>
              </w:rPr>
            </w:pPr>
            <w:r>
              <w:rPr>
                <w:rFonts w:hint="default" w:ascii="Times New Roman" w:hAnsi="Times New Roman" w:eastAsia="宋体" w:cs="Times New Roman"/>
                <w:b/>
                <w:bCs/>
                <w:kern w:val="0"/>
                <w:sz w:val="24"/>
                <w:szCs w:val="24"/>
                <w:lang w:val="en-US" w:eastAsia="zh-CN" w:bidi="ar-SA"/>
              </w:rPr>
              <w:t>表2-</w:t>
            </w:r>
            <w:r>
              <w:rPr>
                <w:rFonts w:hint="eastAsia" w:ascii="Times New Roman" w:hAnsi="Times New Roman" w:eastAsia="宋体" w:cs="Times New Roman"/>
                <w:b/>
                <w:bCs/>
                <w:kern w:val="0"/>
                <w:sz w:val="24"/>
                <w:szCs w:val="24"/>
                <w:lang w:val="en-US" w:eastAsia="zh-CN" w:bidi="ar-SA"/>
              </w:rPr>
              <w:t>5</w:t>
            </w:r>
            <w:r>
              <w:rPr>
                <w:rFonts w:hint="default" w:ascii="Times New Roman" w:hAnsi="Times New Roman" w:eastAsia="宋体" w:cs="Times New Roman"/>
                <w:b/>
                <w:bCs/>
                <w:kern w:val="0"/>
                <w:sz w:val="24"/>
                <w:szCs w:val="24"/>
                <w:lang w:val="en-US" w:eastAsia="zh-CN" w:bidi="ar-SA"/>
              </w:rPr>
              <w:t xml:space="preserve">   项目设备产品匹配性分析</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8"/>
              <w:gridCol w:w="850"/>
              <w:gridCol w:w="2024"/>
              <w:gridCol w:w="1868"/>
              <w:gridCol w:w="3109"/>
            </w:tblGrid>
            <w:tr w14:paraId="2ED1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18" w:type="pct"/>
                  <w:noWrap w:val="0"/>
                  <w:vAlign w:val="center"/>
                </w:tcPr>
                <w:p w14:paraId="1F9E270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设备</w:t>
                  </w:r>
                </w:p>
              </w:tc>
              <w:tc>
                <w:tcPr>
                  <w:tcW w:w="485" w:type="pct"/>
                  <w:noWrap w:val="0"/>
                  <w:vAlign w:val="center"/>
                </w:tcPr>
                <w:p w14:paraId="3BB4C7A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数量</w:t>
                  </w:r>
                </w:p>
              </w:tc>
              <w:tc>
                <w:tcPr>
                  <w:tcW w:w="1155" w:type="pct"/>
                  <w:noWrap w:val="0"/>
                  <w:vAlign w:val="center"/>
                </w:tcPr>
                <w:p w14:paraId="67CB9E6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设备参数</w:t>
                  </w:r>
                </w:p>
              </w:tc>
              <w:tc>
                <w:tcPr>
                  <w:tcW w:w="1066" w:type="pct"/>
                  <w:noWrap w:val="0"/>
                  <w:vAlign w:val="center"/>
                </w:tcPr>
                <w:p w14:paraId="1D7E27B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产能</w:t>
                  </w:r>
                </w:p>
              </w:tc>
              <w:tc>
                <w:tcPr>
                  <w:tcW w:w="1774" w:type="pct"/>
                  <w:noWrap w:val="0"/>
                  <w:vAlign w:val="center"/>
                </w:tcPr>
                <w:p w14:paraId="5611713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备注</w:t>
                  </w:r>
                </w:p>
              </w:tc>
            </w:tr>
            <w:tr w14:paraId="68434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518" w:type="pct"/>
                  <w:noWrap w:val="0"/>
                  <w:vAlign w:val="center"/>
                </w:tcPr>
                <w:p w14:paraId="5358BBC0">
                  <w:pPr>
                    <w:keepNext w:val="0"/>
                    <w:keepLines w:val="0"/>
                    <w:pageBreakBefore w:val="0"/>
                    <w:widowControl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cs="Times New Roman"/>
                      <w:sz w:val="21"/>
                      <w:szCs w:val="21"/>
                      <w:highlight w:val="none"/>
                      <w:lang w:eastAsia="zh-CN" w:bidi="ar-SA"/>
                    </w:rPr>
                  </w:pPr>
                  <w:r>
                    <w:rPr>
                      <w:rFonts w:hint="eastAsia" w:ascii="Times New Roman" w:hAnsi="Times New Roman" w:cs="Times New Roman"/>
                      <w:bCs w:val="0"/>
                      <w:sz w:val="21"/>
                      <w:szCs w:val="21"/>
                      <w:highlight w:val="none"/>
                      <w:lang w:val="en-US" w:eastAsia="zh-CN"/>
                    </w:rPr>
                    <w:t>成型机</w:t>
                  </w:r>
                </w:p>
              </w:tc>
              <w:tc>
                <w:tcPr>
                  <w:tcW w:w="485" w:type="pct"/>
                  <w:noWrap w:val="0"/>
                  <w:vAlign w:val="center"/>
                </w:tcPr>
                <w:p w14:paraId="3150807C">
                  <w:pPr>
                    <w:keepNext w:val="0"/>
                    <w:keepLines w:val="0"/>
                    <w:pageBreakBefore w:val="0"/>
                    <w:widowControl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bidi="ar-SA"/>
                    </w:rPr>
                  </w:pPr>
                  <w:r>
                    <w:rPr>
                      <w:rFonts w:hint="eastAsia" w:ascii="Times New Roman" w:hAnsi="Times New Roman" w:eastAsia="宋体" w:cs="Times New Roman"/>
                      <w:sz w:val="21"/>
                      <w:szCs w:val="21"/>
                      <w:highlight w:val="none"/>
                      <w:lang w:val="en-US" w:eastAsia="zh-CN" w:bidi="ar-SA"/>
                    </w:rPr>
                    <w:t>6台</w:t>
                  </w:r>
                </w:p>
              </w:tc>
              <w:tc>
                <w:tcPr>
                  <w:tcW w:w="1155" w:type="pct"/>
                  <w:noWrap w:val="0"/>
                  <w:vAlign w:val="center"/>
                </w:tcPr>
                <w:p w14:paraId="406E1E81">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每</w:t>
                  </w:r>
                  <w:r>
                    <w:rPr>
                      <w:rFonts w:hint="eastAsia" w:ascii="Times New Roman" w:hAnsi="Times New Roman" w:eastAsia="宋体" w:cs="Times New Roman"/>
                      <w:kern w:val="0"/>
                      <w:sz w:val="21"/>
                      <w:szCs w:val="21"/>
                      <w:highlight w:val="none"/>
                      <w:lang w:val="en-US" w:eastAsia="zh-CN" w:bidi="ar-SA"/>
                    </w:rPr>
                    <w:t>台成型机</w:t>
                  </w:r>
                  <w:r>
                    <w:rPr>
                      <w:rFonts w:hint="default" w:ascii="Times New Roman" w:hAnsi="Times New Roman" w:eastAsia="宋体" w:cs="Times New Roman"/>
                      <w:kern w:val="0"/>
                      <w:sz w:val="21"/>
                      <w:szCs w:val="21"/>
                      <w:highlight w:val="none"/>
                      <w:lang w:val="en-US" w:eastAsia="zh-CN" w:bidi="ar-SA"/>
                    </w:rPr>
                    <w:t>效率为0.</w:t>
                  </w:r>
                  <w:r>
                    <w:rPr>
                      <w:rFonts w:hint="eastAsia" w:ascii="Times New Roman" w:hAnsi="Times New Roman" w:eastAsia="宋体" w:cs="Times New Roman"/>
                      <w:kern w:val="0"/>
                      <w:sz w:val="21"/>
                      <w:szCs w:val="21"/>
                      <w:highlight w:val="none"/>
                      <w:lang w:val="en-US" w:eastAsia="zh-CN" w:bidi="ar-SA"/>
                    </w:rPr>
                    <w:t>025</w:t>
                  </w:r>
                  <w:r>
                    <w:rPr>
                      <w:rFonts w:hint="default" w:ascii="Times New Roman" w:hAnsi="Times New Roman" w:eastAsia="宋体" w:cs="Times New Roman"/>
                      <w:kern w:val="0"/>
                      <w:sz w:val="21"/>
                      <w:szCs w:val="21"/>
                      <w:highlight w:val="none"/>
                      <w:lang w:val="en-US" w:eastAsia="zh-CN" w:bidi="ar-SA"/>
                    </w:rPr>
                    <w:t>t物料/</w:t>
                  </w:r>
                  <w:r>
                    <w:rPr>
                      <w:rFonts w:hint="default" w:ascii="Times New Roman" w:hAnsi="Times New Roman" w:cs="Times New Roman"/>
                      <w:kern w:val="0"/>
                      <w:sz w:val="21"/>
                      <w:szCs w:val="21"/>
                      <w:highlight w:val="none"/>
                      <w:lang w:val="en-US" w:eastAsia="zh-CN" w:bidi="ar-SA"/>
                    </w:rPr>
                    <w:t>h</w:t>
                  </w:r>
                </w:p>
              </w:tc>
              <w:tc>
                <w:tcPr>
                  <w:tcW w:w="1066" w:type="pct"/>
                  <w:noWrap w:val="0"/>
                  <w:vAlign w:val="center"/>
                </w:tcPr>
                <w:p w14:paraId="49A18EF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kern w:val="0"/>
                      <w:sz w:val="21"/>
                      <w:szCs w:val="21"/>
                      <w:highlight w:val="none"/>
                      <w:lang w:val="en-US" w:eastAsia="zh-CN" w:bidi="ar-SA"/>
                    </w:rPr>
                    <w:t>0.</w:t>
                  </w:r>
                  <w:r>
                    <w:rPr>
                      <w:rFonts w:hint="eastAsia" w:ascii="Times New Roman" w:hAnsi="Times New Roman" w:cs="Times New Roman"/>
                      <w:kern w:val="0"/>
                      <w:sz w:val="21"/>
                      <w:szCs w:val="21"/>
                      <w:highlight w:val="none"/>
                      <w:lang w:val="en-US" w:eastAsia="zh-CN" w:bidi="ar-SA"/>
                    </w:rPr>
                    <w:t>025</w:t>
                  </w:r>
                  <w:r>
                    <w:rPr>
                      <w:rFonts w:hint="default" w:ascii="Times New Roman" w:hAnsi="Times New Roman" w:cs="Times New Roman"/>
                      <w:kern w:val="0"/>
                      <w:sz w:val="21"/>
                      <w:szCs w:val="21"/>
                      <w:highlight w:val="none"/>
                      <w:lang w:val="en-US" w:eastAsia="zh-CN" w:bidi="ar-SA"/>
                    </w:rPr>
                    <w:t>t</w:t>
                  </w:r>
                  <w:r>
                    <w:rPr>
                      <w:rFonts w:hint="default" w:ascii="Times New Roman" w:hAnsi="Times New Roman" w:eastAsia="宋体" w:cs="Times New Roman"/>
                      <w:kern w:val="0"/>
                      <w:sz w:val="21"/>
                      <w:szCs w:val="21"/>
                      <w:highlight w:val="none"/>
                      <w:lang w:val="en-US" w:eastAsia="zh-CN" w:bidi="ar-SA"/>
                    </w:rPr>
                    <w:t>原料/</w:t>
                  </w:r>
                  <w:r>
                    <w:rPr>
                      <w:rFonts w:hint="default" w:ascii="Times New Roman" w:hAnsi="Times New Roman" w:cs="Times New Roman"/>
                      <w:kern w:val="0"/>
                      <w:sz w:val="21"/>
                      <w:szCs w:val="21"/>
                      <w:highlight w:val="none"/>
                      <w:lang w:val="en-US" w:eastAsia="zh-CN" w:bidi="ar-SA"/>
                    </w:rPr>
                    <w:t>h</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6台</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24</w:t>
                  </w:r>
                  <w:r>
                    <w:rPr>
                      <w:rFonts w:hint="default" w:ascii="Times New Roman" w:hAnsi="Times New Roman" w:eastAsia="宋体" w:cs="Times New Roman"/>
                      <w:kern w:val="0"/>
                      <w:sz w:val="21"/>
                      <w:szCs w:val="21"/>
                      <w:highlight w:val="none"/>
                      <w:lang w:val="en-US" w:eastAsia="zh-CN" w:bidi="ar-SA"/>
                    </w:rPr>
                    <w:t>00</w:t>
                  </w:r>
                  <w:r>
                    <w:rPr>
                      <w:rFonts w:hint="default" w:ascii="Times New Roman" w:hAnsi="Times New Roman" w:cs="Times New Roman"/>
                      <w:kern w:val="0"/>
                      <w:sz w:val="21"/>
                      <w:szCs w:val="21"/>
                      <w:highlight w:val="none"/>
                      <w:lang w:val="en-US" w:eastAsia="zh-CN" w:bidi="ar-SA"/>
                    </w:rPr>
                    <w:t>h/a</w:t>
                  </w:r>
                  <w:r>
                    <w:rPr>
                      <w:rFonts w:hint="default" w:ascii="Times New Roman" w:hAnsi="Times New Roman" w:eastAsia="宋体" w:cs="Times New Roman"/>
                      <w:kern w:val="0"/>
                      <w:sz w:val="21"/>
                      <w:szCs w:val="21"/>
                      <w:highlight w:val="none"/>
                      <w:lang w:val="en-US" w:eastAsia="zh-CN" w:bidi="ar-SA"/>
                    </w:rPr>
                    <w:t>=</w:t>
                  </w:r>
                  <w:r>
                    <w:rPr>
                      <w:rFonts w:hint="eastAsia" w:ascii="Times New Roman" w:hAnsi="Times New Roman" w:eastAsia="宋体" w:cs="Times New Roman"/>
                      <w:kern w:val="0"/>
                      <w:sz w:val="21"/>
                      <w:szCs w:val="21"/>
                      <w:highlight w:val="none"/>
                      <w:lang w:val="en-US" w:eastAsia="zh-CN" w:bidi="ar-SA"/>
                    </w:rPr>
                    <w:t>360</w:t>
                  </w:r>
                  <w:r>
                    <w:rPr>
                      <w:rFonts w:hint="default" w:ascii="Times New Roman" w:hAnsi="Times New Roman" w:eastAsia="宋体" w:cs="Times New Roman"/>
                      <w:kern w:val="0"/>
                      <w:sz w:val="21"/>
                      <w:szCs w:val="21"/>
                      <w:highlight w:val="none"/>
                      <w:lang w:val="en-US" w:eastAsia="zh-CN" w:bidi="ar-SA"/>
                    </w:rPr>
                    <w:t>t/a</w:t>
                  </w:r>
                </w:p>
              </w:tc>
              <w:tc>
                <w:tcPr>
                  <w:tcW w:w="1774" w:type="pct"/>
                  <w:noWrap w:val="0"/>
                  <w:vAlign w:val="center"/>
                </w:tcPr>
                <w:p w14:paraId="492B8D3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可满足年产</w:t>
                  </w:r>
                  <w:r>
                    <w:rPr>
                      <w:rFonts w:hint="eastAsia" w:ascii="Times New Roman" w:hAnsi="Times New Roman" w:eastAsia="宋体" w:cs="Times New Roman"/>
                      <w:kern w:val="0"/>
                      <w:sz w:val="21"/>
                      <w:szCs w:val="21"/>
                      <w:highlight w:val="none"/>
                      <w:lang w:val="en-US" w:eastAsia="zh-CN" w:bidi="ar-SA"/>
                    </w:rPr>
                    <w:t>3</w:t>
                  </w:r>
                  <w:r>
                    <w:rPr>
                      <w:rFonts w:hint="default" w:ascii="Times New Roman" w:hAnsi="Times New Roman" w:eastAsia="宋体" w:cs="Times New Roman"/>
                      <w:kern w:val="0"/>
                      <w:sz w:val="21"/>
                      <w:szCs w:val="21"/>
                      <w:highlight w:val="none"/>
                      <w:lang w:val="en-US" w:eastAsia="zh-CN" w:bidi="ar-SA"/>
                    </w:rPr>
                    <w:t>00吨</w:t>
                  </w:r>
                  <w:r>
                    <w:rPr>
                      <w:rFonts w:hint="eastAsia" w:ascii="Times New Roman" w:hAnsi="Times New Roman" w:eastAsia="宋体" w:cs="Times New Roman"/>
                      <w:kern w:val="0"/>
                      <w:sz w:val="21"/>
                      <w:szCs w:val="21"/>
                      <w:highlight w:val="none"/>
                      <w:lang w:val="en-US" w:eastAsia="zh-CN" w:bidi="ar-SA"/>
                    </w:rPr>
                    <w:t>塑料</w:t>
                  </w:r>
                </w:p>
                <w:p w14:paraId="0D146F2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bidi="ar-SA"/>
                    </w:rPr>
                    <w:t>食品餐盒</w:t>
                  </w:r>
                  <w:r>
                    <w:rPr>
                      <w:rFonts w:hint="default" w:ascii="Times New Roman" w:hAnsi="Times New Roman" w:eastAsia="宋体" w:cs="Times New Roman"/>
                      <w:kern w:val="0"/>
                      <w:sz w:val="21"/>
                      <w:szCs w:val="21"/>
                      <w:highlight w:val="none"/>
                      <w:lang w:val="en-US" w:eastAsia="zh-CN" w:bidi="ar-SA"/>
                    </w:rPr>
                    <w:t>需要</w:t>
                  </w:r>
                </w:p>
              </w:tc>
            </w:tr>
          </w:tbl>
          <w:p w14:paraId="4F06D554">
            <w:pPr>
              <w:pStyle w:val="26"/>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bCs w:val="0"/>
              </w:rPr>
            </w:pPr>
            <w:r>
              <w:rPr>
                <w:rFonts w:hint="eastAsia" w:cs="Times New Roman"/>
                <w:b/>
                <w:lang w:val="en-US" w:eastAsia="zh-CN"/>
              </w:rPr>
              <w:t>六</w:t>
            </w:r>
            <w:r>
              <w:rPr>
                <w:rFonts w:hint="default" w:ascii="Times New Roman" w:hAnsi="Times New Roman" w:cs="Times New Roman"/>
                <w:b/>
              </w:rPr>
              <w:t>、原辅材料消</w:t>
            </w:r>
            <w:r>
              <w:rPr>
                <w:rFonts w:hint="default" w:ascii="Times New Roman" w:hAnsi="Times New Roman" w:cs="Times New Roman"/>
                <w:b/>
                <w:bCs w:val="0"/>
              </w:rPr>
              <w:t>耗</w:t>
            </w:r>
            <w:r>
              <w:rPr>
                <w:b/>
                <w:bCs w:val="0"/>
              </w:rPr>
              <w:t>及能源消耗</w:t>
            </w:r>
          </w:p>
          <w:p w14:paraId="42B39B0A">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eastAsia" w:cs="Times New Roman"/>
                <w:lang w:eastAsia="zh-CN"/>
              </w:rPr>
              <w:t>本</w:t>
            </w:r>
            <w:r>
              <w:rPr>
                <w:rFonts w:hint="default" w:ascii="Times New Roman" w:hAnsi="Times New Roman" w:cs="Times New Roman"/>
                <w:lang w:eastAsia="zh-CN"/>
              </w:rPr>
              <w:t>项目</w:t>
            </w:r>
            <w:r>
              <w:rPr>
                <w:rFonts w:hint="default" w:ascii="Times New Roman" w:hAnsi="Times New Roman" w:cs="Times New Roman"/>
              </w:rPr>
              <w:t>主要原辅材料</w:t>
            </w:r>
            <w:r>
              <w:rPr>
                <w:rFonts w:hint="eastAsia" w:cs="Times New Roman"/>
                <w:lang w:eastAsia="zh-CN"/>
              </w:rPr>
              <w:t>及能源</w:t>
            </w:r>
            <w:r>
              <w:rPr>
                <w:rFonts w:hint="default" w:ascii="Times New Roman" w:hAnsi="Times New Roman" w:cs="Times New Roman"/>
              </w:rPr>
              <w:t>消耗见下表。</w:t>
            </w:r>
          </w:p>
          <w:p w14:paraId="6797F52F">
            <w:pPr>
              <w:pStyle w:val="30"/>
              <w:keepNext w:val="0"/>
              <w:keepLines w:val="0"/>
              <w:pageBreakBefore w:val="0"/>
              <w:widowControl w:val="0"/>
              <w:kinsoku/>
              <w:wordWrap/>
              <w:overflowPunct/>
              <w:topLinePunct w:val="0"/>
              <w:autoSpaceDE/>
              <w:autoSpaceDN/>
              <w:bidi w:val="0"/>
              <w:spacing w:before="0" w:beforeLines="0" w:line="520" w:lineRule="exact"/>
              <w:ind w:left="0" w:leftChars="0" w:firstLine="0" w:firstLineChars="0"/>
              <w:jc w:val="center"/>
              <w:textAlignment w:val="auto"/>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表2-</w:t>
            </w:r>
            <w:r>
              <w:rPr>
                <w:rFonts w:hint="eastAsia" w:eastAsia="宋体" w:cs="Times New Roman"/>
                <w:b/>
                <w:bCs/>
                <w:highlight w:val="none"/>
                <w:lang w:val="en-US" w:eastAsia="zh-CN"/>
              </w:rPr>
              <w:t>6</w:t>
            </w:r>
            <w:r>
              <w:rPr>
                <w:rFonts w:hint="default" w:ascii="Times New Roman" w:hAnsi="Times New Roman" w:eastAsia="宋体" w:cs="Times New Roman"/>
                <w:b/>
                <w:bCs/>
                <w:highlight w:val="none"/>
                <w:lang w:val="en-US" w:eastAsia="zh-CN"/>
              </w:rPr>
              <w:t xml:space="preserve">   项目主要原辅材料及能源消耗情况一览表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532"/>
              <w:gridCol w:w="757"/>
              <w:gridCol w:w="1216"/>
              <w:gridCol w:w="1272"/>
              <w:gridCol w:w="4982"/>
            </w:tblGrid>
            <w:tr w14:paraId="6424B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48" w:hRule="atLeast"/>
                <w:jc w:val="center"/>
              </w:trPr>
              <w:tc>
                <w:tcPr>
                  <w:tcW w:w="736" w:type="pct"/>
                  <w:gridSpan w:val="2"/>
                  <w:noWrap w:val="0"/>
                  <w:vAlign w:val="center"/>
                </w:tcPr>
                <w:p w14:paraId="4F927FD0">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highlight w:val="none"/>
                      <w:lang w:eastAsia="zh-CN"/>
                    </w:rPr>
                  </w:pPr>
                  <w:r>
                    <w:rPr>
                      <w:rFonts w:hint="default" w:ascii="Times New Roman" w:hAnsi="Times New Roman" w:cs="Times New Roman"/>
                      <w:highlight w:val="none"/>
                      <w:lang w:eastAsia="zh-CN"/>
                    </w:rPr>
                    <w:t>项目</w:t>
                  </w:r>
                </w:p>
              </w:tc>
              <w:tc>
                <w:tcPr>
                  <w:tcW w:w="694" w:type="pct"/>
                  <w:noWrap w:val="0"/>
                  <w:vAlign w:val="center"/>
                </w:tcPr>
                <w:p w14:paraId="36F220B9">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名称</w:t>
                  </w:r>
                </w:p>
              </w:tc>
              <w:tc>
                <w:tcPr>
                  <w:tcW w:w="726" w:type="pct"/>
                  <w:noWrap w:val="0"/>
                  <w:vAlign w:val="center"/>
                </w:tcPr>
                <w:p w14:paraId="4ADDC175">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消耗量</w:t>
                  </w:r>
                  <w:r>
                    <w:rPr>
                      <w:rFonts w:hint="default" w:ascii="Times New Roman" w:hAnsi="Times New Roman" w:cs="Times New Roman"/>
                      <w:highlight w:val="none"/>
                      <w:lang w:val="en-US" w:eastAsia="zh-CN"/>
                    </w:rPr>
                    <w:t>t/a</w:t>
                  </w:r>
                </w:p>
              </w:tc>
              <w:tc>
                <w:tcPr>
                  <w:tcW w:w="2843" w:type="pct"/>
                  <w:noWrap w:val="0"/>
                  <w:vAlign w:val="center"/>
                </w:tcPr>
                <w:p w14:paraId="47922827">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r>
            <w:tr w14:paraId="3FDA6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48" w:hRule="atLeast"/>
                <w:jc w:val="center"/>
              </w:trPr>
              <w:tc>
                <w:tcPr>
                  <w:tcW w:w="304" w:type="pct"/>
                  <w:vMerge w:val="restart"/>
                  <w:noWrap w:val="0"/>
                  <w:vAlign w:val="center"/>
                </w:tcPr>
                <w:p w14:paraId="7EBF7055">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eastAsia="zh-CN"/>
                    </w:rPr>
                  </w:pPr>
                  <w:r>
                    <w:rPr>
                      <w:rFonts w:hint="default" w:ascii="Times New Roman" w:hAnsi="Times New Roman" w:cs="Times New Roman"/>
                      <w:highlight w:val="none"/>
                      <w:lang w:eastAsia="zh-CN"/>
                    </w:rPr>
                    <w:t>原</w:t>
                  </w:r>
                </w:p>
                <w:p w14:paraId="3CDC1FB2">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eastAsia="zh-CN"/>
                    </w:rPr>
                  </w:pPr>
                  <w:r>
                    <w:rPr>
                      <w:rFonts w:hint="default" w:ascii="Times New Roman" w:hAnsi="Times New Roman" w:cs="Times New Roman"/>
                      <w:highlight w:val="none"/>
                      <w:lang w:eastAsia="zh-CN"/>
                    </w:rPr>
                    <w:t>材料</w:t>
                  </w:r>
                </w:p>
              </w:tc>
              <w:tc>
                <w:tcPr>
                  <w:tcW w:w="432" w:type="pct"/>
                  <w:vMerge w:val="restart"/>
                  <w:noWrap w:val="0"/>
                  <w:vAlign w:val="center"/>
                </w:tcPr>
                <w:p w14:paraId="3908E9FE">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highlight w:val="none"/>
                      <w:lang w:eastAsia="zh-CN"/>
                    </w:rPr>
                  </w:pPr>
                  <w:r>
                    <w:rPr>
                      <w:rFonts w:hint="eastAsia" w:cs="Times New Roman"/>
                      <w:sz w:val="21"/>
                      <w:szCs w:val="21"/>
                      <w:highlight w:val="none"/>
                      <w:lang w:eastAsia="zh-CN"/>
                    </w:rPr>
                    <w:t>塑料食品餐盒</w:t>
                  </w:r>
                </w:p>
              </w:tc>
              <w:tc>
                <w:tcPr>
                  <w:tcW w:w="694" w:type="pct"/>
                  <w:shd w:val="clear" w:color="auto" w:fill="auto"/>
                  <w:noWrap w:val="0"/>
                  <w:vAlign w:val="center"/>
                </w:tcPr>
                <w:p w14:paraId="4D8B1814">
                  <w:pPr>
                    <w:pStyle w:val="21"/>
                    <w:keepNext w:val="0"/>
                    <w:keepLines w:val="0"/>
                    <w:pageBreakBefore w:val="0"/>
                    <w:widowControl w:val="0"/>
                    <w:kinsoku/>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eastAsia="宋体" w:cs="Times New Roman"/>
                      <w:bCs w:val="0"/>
                      <w:color w:val="000000"/>
                      <w:kern w:val="0"/>
                      <w:sz w:val="21"/>
                      <w:szCs w:val="21"/>
                      <w:highlight w:val="none"/>
                      <w:lang w:val="en-US" w:eastAsia="zh-CN" w:bidi="ar-SA"/>
                    </w:rPr>
                  </w:pPr>
                  <w:r>
                    <w:rPr>
                      <w:rFonts w:hint="eastAsia" w:cs="Times New Roman"/>
                      <w:bCs w:val="0"/>
                      <w:color w:val="000000"/>
                      <w:kern w:val="0"/>
                      <w:sz w:val="21"/>
                      <w:szCs w:val="21"/>
                      <w:highlight w:val="none"/>
                      <w:lang w:val="en-US" w:eastAsia="zh-CN" w:bidi="ar-SA"/>
                    </w:rPr>
                    <w:t>BOPS片材</w:t>
                  </w:r>
                </w:p>
              </w:tc>
              <w:tc>
                <w:tcPr>
                  <w:tcW w:w="726" w:type="pct"/>
                  <w:shd w:val="clear" w:color="auto" w:fill="auto"/>
                  <w:noWrap w:val="0"/>
                  <w:vAlign w:val="center"/>
                </w:tcPr>
                <w:p w14:paraId="34260DAE">
                  <w:pPr>
                    <w:pStyle w:val="21"/>
                    <w:keepNext w:val="0"/>
                    <w:keepLines w:val="0"/>
                    <w:pageBreakBefore w:val="0"/>
                    <w:widowControl w:val="0"/>
                    <w:kinsoku/>
                    <w:overflowPunct/>
                    <w:topLinePunct w:val="0"/>
                    <w:bidi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eastAsia" w:ascii="Times New Roman" w:hAnsi="Times New Roman" w:cs="Times New Roman"/>
                      <w:sz w:val="21"/>
                      <w:szCs w:val="21"/>
                      <w:highlight w:val="none"/>
                      <w:lang w:val="en-US" w:eastAsia="zh-CN"/>
                    </w:rPr>
                    <w:t>360</w:t>
                  </w:r>
                </w:p>
              </w:tc>
              <w:tc>
                <w:tcPr>
                  <w:tcW w:w="2843" w:type="pct"/>
                  <w:noWrap w:val="0"/>
                  <w:vAlign w:val="center"/>
                </w:tcPr>
                <w:p w14:paraId="6DF6FA28">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sz w:val="21"/>
                      <w:szCs w:val="21"/>
                      <w:highlight w:val="none"/>
                      <w:lang w:val="en-US" w:eastAsia="zh-CN"/>
                    </w:rPr>
                    <w:t>0.25</w:t>
                  </w:r>
                  <w:r>
                    <w:rPr>
                      <w:rFonts w:hint="default" w:ascii="Times New Roman" w:hAnsi="Times New Roman" w:cs="Times New Roman"/>
                      <w:sz w:val="21"/>
                      <w:szCs w:val="21"/>
                      <w:highlight w:val="none"/>
                      <w:lang w:val="en-US" w:eastAsia="zh-CN"/>
                    </w:rPr>
                    <w:t>吨/卷</w:t>
                  </w:r>
                  <w:r>
                    <w:rPr>
                      <w:rFonts w:hint="default"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eastAsia="zh-CN"/>
                    </w:rPr>
                    <w:t>外购</w:t>
                  </w:r>
                  <w:r>
                    <w:rPr>
                      <w:rFonts w:hint="default" w:ascii="Times New Roman" w:hAnsi="Times New Roman" w:cs="Times New Roman"/>
                      <w:sz w:val="21"/>
                      <w:szCs w:val="21"/>
                      <w:highlight w:val="none"/>
                      <w:lang w:eastAsia="zh-CN"/>
                    </w:rPr>
                    <w:t>汽运，</w:t>
                  </w:r>
                  <w:r>
                    <w:rPr>
                      <w:rFonts w:hint="eastAsia" w:ascii="Times New Roman" w:hAnsi="Times New Roman" w:cs="Times New Roman"/>
                      <w:sz w:val="21"/>
                      <w:szCs w:val="21"/>
                      <w:highlight w:val="none"/>
                      <w:lang w:eastAsia="zh-CN"/>
                    </w:rPr>
                    <w:t>透明，主要成分为聚苯乙烯</w:t>
                  </w:r>
                </w:p>
              </w:tc>
            </w:tr>
            <w:tr w14:paraId="06DEE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48" w:hRule="atLeast"/>
                <w:jc w:val="center"/>
              </w:trPr>
              <w:tc>
                <w:tcPr>
                  <w:tcW w:w="304" w:type="pct"/>
                  <w:vMerge w:val="continue"/>
                  <w:noWrap w:val="0"/>
                  <w:vAlign w:val="center"/>
                </w:tcPr>
                <w:p w14:paraId="41348D07">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rPr>
                  </w:pPr>
                </w:p>
              </w:tc>
              <w:tc>
                <w:tcPr>
                  <w:tcW w:w="432" w:type="pct"/>
                  <w:vMerge w:val="continue"/>
                  <w:noWrap w:val="0"/>
                  <w:vAlign w:val="center"/>
                </w:tcPr>
                <w:p w14:paraId="658945CC">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rPr>
                  </w:pPr>
                </w:p>
              </w:tc>
              <w:tc>
                <w:tcPr>
                  <w:tcW w:w="694" w:type="pct"/>
                  <w:shd w:val="clear" w:color="auto" w:fill="auto"/>
                  <w:noWrap w:val="0"/>
                  <w:vAlign w:val="center"/>
                </w:tcPr>
                <w:p w14:paraId="558C26CA">
                  <w:pPr>
                    <w:pStyle w:val="21"/>
                    <w:keepNext w:val="0"/>
                    <w:keepLines w:val="0"/>
                    <w:pageBreakBefore w:val="0"/>
                    <w:widowControl w:val="0"/>
                    <w:kinsoku/>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eastAsia="宋体"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纸箱</w:t>
                  </w:r>
                </w:p>
              </w:tc>
              <w:tc>
                <w:tcPr>
                  <w:tcW w:w="726" w:type="pct"/>
                  <w:shd w:val="clear" w:color="auto" w:fill="auto"/>
                  <w:noWrap w:val="0"/>
                  <w:vAlign w:val="center"/>
                </w:tcPr>
                <w:p w14:paraId="2ADE0524">
                  <w:pPr>
                    <w:pStyle w:val="21"/>
                    <w:keepNext w:val="0"/>
                    <w:keepLines w:val="0"/>
                    <w:pageBreakBefore w:val="0"/>
                    <w:widowControl w:val="0"/>
                    <w:kinsoku/>
                    <w:overflowPunct/>
                    <w:topLinePunct w:val="0"/>
                    <w:bidi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eastAsia" w:ascii="Times New Roman" w:hAnsi="Times New Roman" w:eastAsia="宋体" w:cs="Times New Roman"/>
                      <w:bCs/>
                      <w:color w:val="000000"/>
                      <w:kern w:val="0"/>
                      <w:sz w:val="21"/>
                      <w:szCs w:val="21"/>
                      <w:highlight w:val="none"/>
                      <w:lang w:val="en-US" w:eastAsia="zh-CN" w:bidi="ar-SA"/>
                    </w:rPr>
                    <w:t>400</w:t>
                  </w:r>
                </w:p>
              </w:tc>
              <w:tc>
                <w:tcPr>
                  <w:tcW w:w="2843" w:type="pct"/>
                  <w:noWrap w:val="0"/>
                  <w:vAlign w:val="center"/>
                </w:tcPr>
                <w:p w14:paraId="42CA1B77">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sz w:val="21"/>
                      <w:szCs w:val="21"/>
                      <w:highlight w:val="none"/>
                      <w:lang w:val="en-US" w:eastAsia="zh-CN"/>
                    </w:rPr>
                    <w:t>0.5</w:t>
                  </w:r>
                  <w:r>
                    <w:rPr>
                      <w:rFonts w:hint="default" w:ascii="Times New Roman" w:hAnsi="Times New Roman" w:cs="Times New Roman"/>
                      <w:sz w:val="21"/>
                      <w:szCs w:val="21"/>
                      <w:highlight w:val="none"/>
                      <w:lang w:val="en-US" w:eastAsia="zh-CN"/>
                    </w:rPr>
                    <w:t>吨/</w:t>
                  </w:r>
                  <w:r>
                    <w:rPr>
                      <w:rFonts w:hint="eastAsia" w:ascii="Times New Roman" w:hAnsi="Times New Roman" w:cs="Times New Roman"/>
                      <w:sz w:val="21"/>
                      <w:szCs w:val="21"/>
                      <w:highlight w:val="none"/>
                      <w:lang w:val="en-US" w:eastAsia="zh-CN"/>
                    </w:rPr>
                    <w:t>捆</w:t>
                  </w:r>
                  <w:r>
                    <w:rPr>
                      <w:rFonts w:hint="default"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eastAsia="zh-CN"/>
                    </w:rPr>
                    <w:t>外购</w:t>
                  </w:r>
                  <w:r>
                    <w:rPr>
                      <w:rFonts w:hint="default" w:ascii="Times New Roman" w:hAnsi="Times New Roman" w:cs="Times New Roman"/>
                      <w:sz w:val="21"/>
                      <w:szCs w:val="21"/>
                      <w:highlight w:val="none"/>
                      <w:lang w:eastAsia="zh-CN"/>
                    </w:rPr>
                    <w:t>汽运，</w:t>
                  </w:r>
                  <w:r>
                    <w:rPr>
                      <w:rFonts w:hint="eastAsia" w:ascii="Times New Roman" w:hAnsi="Times New Roman" w:cs="Times New Roman"/>
                      <w:sz w:val="21"/>
                      <w:szCs w:val="21"/>
                      <w:highlight w:val="none"/>
                      <w:lang w:eastAsia="zh-CN"/>
                    </w:rPr>
                    <w:t>纸箱，暂存在车间的原料区</w:t>
                  </w:r>
                </w:p>
              </w:tc>
            </w:tr>
            <w:tr w14:paraId="1FA53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46" w:hRule="atLeast"/>
                <w:jc w:val="center"/>
              </w:trPr>
              <w:tc>
                <w:tcPr>
                  <w:tcW w:w="304" w:type="pct"/>
                  <w:vMerge w:val="continue"/>
                  <w:noWrap w:val="0"/>
                  <w:vAlign w:val="center"/>
                </w:tcPr>
                <w:p w14:paraId="32A59EC0">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rPr>
                  </w:pPr>
                </w:p>
              </w:tc>
              <w:tc>
                <w:tcPr>
                  <w:tcW w:w="432" w:type="pct"/>
                  <w:vMerge w:val="continue"/>
                  <w:noWrap w:val="0"/>
                  <w:vAlign w:val="center"/>
                </w:tcPr>
                <w:p w14:paraId="2E6D7F19">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rPr>
                  </w:pPr>
                </w:p>
              </w:tc>
              <w:tc>
                <w:tcPr>
                  <w:tcW w:w="694" w:type="pct"/>
                  <w:shd w:val="clear" w:color="auto" w:fill="auto"/>
                  <w:noWrap w:val="0"/>
                  <w:vAlign w:val="center"/>
                </w:tcPr>
                <w:p w14:paraId="334A3655">
                  <w:pPr>
                    <w:pStyle w:val="21"/>
                    <w:keepNext w:val="0"/>
                    <w:keepLines w:val="0"/>
                    <w:pageBreakBefore w:val="0"/>
                    <w:widowControl w:val="0"/>
                    <w:kinsoku/>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eastAsia="宋体"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胶带</w:t>
                  </w:r>
                </w:p>
              </w:tc>
              <w:tc>
                <w:tcPr>
                  <w:tcW w:w="726" w:type="pct"/>
                  <w:shd w:val="clear" w:color="auto" w:fill="auto"/>
                  <w:noWrap w:val="0"/>
                  <w:vAlign w:val="center"/>
                </w:tcPr>
                <w:p w14:paraId="5E8E3599">
                  <w:pPr>
                    <w:pStyle w:val="21"/>
                    <w:keepNext w:val="0"/>
                    <w:keepLines w:val="0"/>
                    <w:pageBreakBefore w:val="0"/>
                    <w:widowControl w:val="0"/>
                    <w:kinsoku/>
                    <w:overflowPunct/>
                    <w:topLinePunct w:val="0"/>
                    <w:bidi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eastAsia" w:ascii="Times New Roman" w:hAnsi="Times New Roman" w:cs="Times New Roman"/>
                      <w:bCs/>
                      <w:color w:val="000000"/>
                      <w:kern w:val="0"/>
                      <w:sz w:val="21"/>
                      <w:szCs w:val="21"/>
                      <w:highlight w:val="none"/>
                      <w:lang w:val="en-US" w:eastAsia="zh-CN" w:bidi="ar-SA"/>
                    </w:rPr>
                    <w:t>40</w:t>
                  </w:r>
                </w:p>
              </w:tc>
              <w:tc>
                <w:tcPr>
                  <w:tcW w:w="2843" w:type="pct"/>
                  <w:noWrap w:val="0"/>
                  <w:vAlign w:val="center"/>
                </w:tcPr>
                <w:p w14:paraId="5A3D3A64">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highlight w:val="none"/>
                      <w:lang w:val="en-US" w:eastAsia="zh-CN"/>
                    </w:rPr>
                  </w:pPr>
                  <w:r>
                    <w:rPr>
                      <w:rFonts w:hint="eastAsia" w:ascii="Times New Roman" w:hAnsi="Times New Roman" w:cs="Times New Roman"/>
                      <w:sz w:val="21"/>
                      <w:szCs w:val="21"/>
                      <w:highlight w:val="none"/>
                      <w:lang w:val="en-US" w:eastAsia="zh-CN"/>
                    </w:rPr>
                    <w:t>0.1</w:t>
                  </w:r>
                  <w:r>
                    <w:rPr>
                      <w:rFonts w:hint="default" w:ascii="Times New Roman" w:hAnsi="Times New Roman" w:cs="Times New Roman"/>
                      <w:sz w:val="21"/>
                      <w:szCs w:val="21"/>
                      <w:highlight w:val="none"/>
                      <w:lang w:val="en-US" w:eastAsia="zh-CN"/>
                    </w:rPr>
                    <w:t>吨/</w:t>
                  </w:r>
                  <w:r>
                    <w:rPr>
                      <w:rFonts w:hint="eastAsia" w:ascii="Times New Roman" w:hAnsi="Times New Roman" w:cs="Times New Roman"/>
                      <w:sz w:val="21"/>
                      <w:szCs w:val="21"/>
                      <w:highlight w:val="none"/>
                      <w:lang w:val="en-US" w:eastAsia="zh-CN"/>
                    </w:rPr>
                    <w:t>包</w:t>
                  </w:r>
                  <w:r>
                    <w:rPr>
                      <w:rFonts w:hint="default"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eastAsia="zh-CN"/>
                    </w:rPr>
                    <w:t>外购</w:t>
                  </w:r>
                  <w:r>
                    <w:rPr>
                      <w:rFonts w:hint="default" w:ascii="Times New Roman" w:hAnsi="Times New Roman" w:cs="Times New Roman"/>
                      <w:sz w:val="21"/>
                      <w:szCs w:val="21"/>
                      <w:highlight w:val="none"/>
                      <w:lang w:eastAsia="zh-CN"/>
                    </w:rPr>
                    <w:t>汽运，</w:t>
                  </w:r>
                  <w:r>
                    <w:rPr>
                      <w:rFonts w:hint="eastAsia" w:ascii="Times New Roman" w:hAnsi="Times New Roman" w:cs="Times New Roman"/>
                      <w:sz w:val="21"/>
                      <w:szCs w:val="21"/>
                      <w:highlight w:val="none"/>
                      <w:lang w:eastAsia="zh-CN"/>
                    </w:rPr>
                    <w:t>透明，暂存在车间的原料区</w:t>
                  </w:r>
                </w:p>
              </w:tc>
            </w:tr>
            <w:tr w14:paraId="5B8AA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48" w:hRule="atLeast"/>
                <w:jc w:val="center"/>
              </w:trPr>
              <w:tc>
                <w:tcPr>
                  <w:tcW w:w="736" w:type="pct"/>
                  <w:gridSpan w:val="2"/>
                  <w:noWrap w:val="0"/>
                  <w:vAlign w:val="center"/>
                </w:tcPr>
                <w:p w14:paraId="0651E494">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原辅材料</w:t>
                  </w:r>
                </w:p>
              </w:tc>
              <w:tc>
                <w:tcPr>
                  <w:tcW w:w="694" w:type="pct"/>
                  <w:noWrap w:val="0"/>
                  <w:vAlign w:val="center"/>
                </w:tcPr>
                <w:p w14:paraId="3542201C">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润滑油</w:t>
                  </w:r>
                </w:p>
              </w:tc>
              <w:tc>
                <w:tcPr>
                  <w:tcW w:w="726" w:type="pct"/>
                  <w:noWrap w:val="0"/>
                  <w:vAlign w:val="center"/>
                </w:tcPr>
                <w:p w14:paraId="341DC0E3">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0.5</w:t>
                  </w:r>
                </w:p>
              </w:tc>
              <w:tc>
                <w:tcPr>
                  <w:tcW w:w="2843" w:type="pct"/>
                  <w:noWrap w:val="0"/>
                  <w:vAlign w:val="center"/>
                </w:tcPr>
                <w:p w14:paraId="039E0026">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val="en-US" w:eastAsia="zh-CN"/>
                    </w:rPr>
                  </w:pPr>
                  <w:r>
                    <w:rPr>
                      <w:rFonts w:hint="default" w:ascii="Times New Roman" w:hAnsi="Times New Roman" w:cs="Times New Roman"/>
                      <w:b w:val="0"/>
                      <w:bCs w:val="0"/>
                      <w:highlight w:val="none"/>
                      <w:u w:val="none"/>
                      <w:lang w:val="en-US" w:eastAsia="zh-CN"/>
                    </w:rPr>
                    <w:t>液态，20kg/桶，即买即用，不在</w:t>
                  </w:r>
                  <w:r>
                    <w:rPr>
                      <w:rFonts w:hint="eastAsia" w:ascii="Times New Roman" w:hAnsi="Times New Roman" w:cs="Times New Roman"/>
                      <w:b w:val="0"/>
                      <w:bCs w:val="0"/>
                      <w:highlight w:val="none"/>
                      <w:u w:val="none"/>
                      <w:lang w:val="en-US" w:eastAsia="zh-CN"/>
                    </w:rPr>
                    <w:t>车间内</w:t>
                  </w:r>
                  <w:r>
                    <w:rPr>
                      <w:rFonts w:hint="default" w:ascii="Times New Roman" w:hAnsi="Times New Roman" w:cs="Times New Roman"/>
                      <w:b w:val="0"/>
                      <w:bCs w:val="0"/>
                      <w:highlight w:val="none"/>
                      <w:u w:val="none"/>
                      <w:lang w:val="en-US" w:eastAsia="zh-CN"/>
                    </w:rPr>
                    <w:t>储存</w:t>
                  </w:r>
                </w:p>
              </w:tc>
            </w:tr>
            <w:tr w14:paraId="46683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1" w:hRule="atLeast"/>
                <w:jc w:val="center"/>
              </w:trPr>
              <w:tc>
                <w:tcPr>
                  <w:tcW w:w="736" w:type="pct"/>
                  <w:gridSpan w:val="2"/>
                  <w:vMerge w:val="restart"/>
                  <w:noWrap w:val="0"/>
                  <w:vAlign w:val="center"/>
                </w:tcPr>
                <w:p w14:paraId="61A28B43">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highlight w:val="none"/>
                      <w:lang w:eastAsia="zh-CN"/>
                    </w:rPr>
                  </w:pPr>
                  <w:r>
                    <w:rPr>
                      <w:rFonts w:hint="eastAsia" w:ascii="Times New Roman" w:hAnsi="Times New Roman" w:cs="Times New Roman"/>
                      <w:highlight w:val="none"/>
                      <w:lang w:val="en-US" w:eastAsia="zh-CN"/>
                    </w:rPr>
                    <w:t>能</w:t>
                  </w:r>
                  <w:r>
                    <w:rPr>
                      <w:rFonts w:hint="default" w:ascii="Times New Roman" w:hAnsi="Times New Roman" w:cs="Times New Roman"/>
                      <w:highlight w:val="none"/>
                      <w:lang w:val="en-US" w:eastAsia="zh-CN"/>
                    </w:rPr>
                    <w:t>源</w:t>
                  </w:r>
                </w:p>
              </w:tc>
              <w:tc>
                <w:tcPr>
                  <w:tcW w:w="694" w:type="pct"/>
                  <w:noWrap w:val="0"/>
                  <w:vAlign w:val="center"/>
                </w:tcPr>
                <w:p w14:paraId="1E955B8B">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kern w:val="28"/>
                      <w:sz w:val="21"/>
                      <w:szCs w:val="18"/>
                      <w:highlight w:val="none"/>
                      <w:lang w:val="en-US" w:eastAsia="zh-CN" w:bidi="ar-SA"/>
                    </w:rPr>
                  </w:pPr>
                  <w:r>
                    <w:rPr>
                      <w:rFonts w:hint="default" w:ascii="Times New Roman" w:hAnsi="Times New Roman" w:cs="Times New Roman"/>
                      <w:highlight w:val="none"/>
                      <w:lang w:eastAsia="zh-CN"/>
                    </w:rPr>
                    <w:t>水</w:t>
                  </w:r>
                </w:p>
              </w:tc>
              <w:tc>
                <w:tcPr>
                  <w:tcW w:w="726" w:type="pct"/>
                  <w:noWrap w:val="0"/>
                  <w:vAlign w:val="center"/>
                </w:tcPr>
                <w:p w14:paraId="70EAC705">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val="en-US" w:eastAsia="zh-CN"/>
                    </w:rPr>
                  </w:pPr>
                  <w:r>
                    <w:rPr>
                      <w:rFonts w:hint="default" w:ascii="Times New Roman" w:hAnsi="Times New Roman" w:cs="Times New Roman"/>
                      <w:b w:val="0"/>
                      <w:bCs w:val="0"/>
                      <w:highlight w:val="none"/>
                      <w:u w:val="none"/>
                      <w:lang w:val="en-US" w:eastAsia="zh-CN"/>
                    </w:rPr>
                    <w:t>150m</w:t>
                  </w:r>
                  <w:r>
                    <w:rPr>
                      <w:rFonts w:hint="default" w:ascii="Times New Roman" w:hAnsi="Times New Roman" w:cs="Times New Roman"/>
                      <w:b w:val="0"/>
                      <w:bCs w:val="0"/>
                      <w:highlight w:val="none"/>
                      <w:u w:val="none"/>
                      <w:vertAlign w:val="superscript"/>
                      <w:lang w:val="en-US" w:eastAsia="zh-CN"/>
                    </w:rPr>
                    <w:t>3</w:t>
                  </w:r>
                  <w:r>
                    <w:rPr>
                      <w:rFonts w:hint="default" w:ascii="Times New Roman" w:hAnsi="Times New Roman" w:cs="Times New Roman"/>
                      <w:b w:val="0"/>
                      <w:bCs w:val="0"/>
                      <w:highlight w:val="none"/>
                      <w:u w:val="none"/>
                      <w:lang w:val="en-US" w:eastAsia="zh-CN"/>
                    </w:rPr>
                    <w:t>/a</w:t>
                  </w:r>
                </w:p>
              </w:tc>
              <w:tc>
                <w:tcPr>
                  <w:tcW w:w="2843" w:type="pct"/>
                  <w:noWrap w:val="0"/>
                  <w:vAlign w:val="center"/>
                </w:tcPr>
                <w:p w14:paraId="66193596">
                  <w:pPr>
                    <w:pStyle w:val="11"/>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360" w:lineRule="exact"/>
                    <w:ind w:left="0" w:leftChars="0" w:right="0" w:rightChars="0" w:firstLine="0" w:firstLineChars="0"/>
                    <w:textAlignment w:val="auto"/>
                    <w:rPr>
                      <w:rFonts w:hint="default" w:ascii="Times New Roman" w:hAnsi="Times New Roman" w:eastAsia="宋体" w:cs="Times New Roman"/>
                      <w:b w:val="0"/>
                      <w:bCs/>
                      <w:kern w:val="28"/>
                      <w:sz w:val="21"/>
                      <w:szCs w:val="21"/>
                      <w:highlight w:val="none"/>
                      <w:u w:val="none"/>
                      <w:lang w:val="en-US" w:eastAsia="zh-CN" w:bidi="ar-SA"/>
                    </w:rPr>
                  </w:pPr>
                  <w:r>
                    <w:rPr>
                      <w:rFonts w:hint="default" w:ascii="Times New Roman" w:hAnsi="Times New Roman" w:cs="Times New Roman"/>
                      <w:kern w:val="0"/>
                      <w:sz w:val="21"/>
                      <w:szCs w:val="21"/>
                      <w:highlight w:val="none"/>
                      <w:lang w:val="en-US" w:eastAsia="zh-CN" w:bidi="ar-SA"/>
                    </w:rPr>
                    <w:t>市政供水</w:t>
                  </w:r>
                  <w:r>
                    <w:rPr>
                      <w:rFonts w:hint="default" w:ascii="Times New Roman" w:hAnsi="Times New Roman" w:eastAsia="宋体" w:cs="Times New Roman"/>
                      <w:kern w:val="0"/>
                      <w:sz w:val="21"/>
                      <w:szCs w:val="21"/>
                      <w:highlight w:val="none"/>
                      <w:lang w:val="en-US" w:eastAsia="zh-CN" w:bidi="ar-SA"/>
                    </w:rPr>
                    <w:t>管网</w:t>
                  </w:r>
                </w:p>
              </w:tc>
            </w:tr>
            <w:tr w14:paraId="0EBF0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84" w:hRule="atLeast"/>
                <w:jc w:val="center"/>
              </w:trPr>
              <w:tc>
                <w:tcPr>
                  <w:tcW w:w="736" w:type="pct"/>
                  <w:gridSpan w:val="2"/>
                  <w:vMerge w:val="continue"/>
                  <w:noWrap w:val="0"/>
                  <w:vAlign w:val="center"/>
                </w:tcPr>
                <w:p w14:paraId="68DDB8F4">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highlight w:val="none"/>
                      <w:lang w:eastAsia="zh-CN"/>
                    </w:rPr>
                  </w:pPr>
                </w:p>
              </w:tc>
              <w:tc>
                <w:tcPr>
                  <w:tcW w:w="694" w:type="pct"/>
                  <w:noWrap w:val="0"/>
                  <w:vAlign w:val="center"/>
                </w:tcPr>
                <w:p w14:paraId="5497FBD3">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kern w:val="28"/>
                      <w:sz w:val="21"/>
                      <w:szCs w:val="18"/>
                      <w:highlight w:val="none"/>
                      <w:lang w:val="en-US" w:eastAsia="zh-CN" w:bidi="ar-SA"/>
                    </w:rPr>
                  </w:pPr>
                  <w:r>
                    <w:rPr>
                      <w:rFonts w:hint="default" w:ascii="Times New Roman" w:hAnsi="Times New Roman" w:cs="Times New Roman"/>
                      <w:highlight w:val="none"/>
                      <w:lang w:eastAsia="zh-CN"/>
                    </w:rPr>
                    <w:t>电</w:t>
                  </w:r>
                </w:p>
              </w:tc>
              <w:tc>
                <w:tcPr>
                  <w:tcW w:w="726" w:type="pct"/>
                  <w:noWrap w:val="0"/>
                  <w:vAlign w:val="center"/>
                </w:tcPr>
                <w:p w14:paraId="327133E5">
                  <w:pPr>
                    <w:pStyle w:val="2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highlight w:val="none"/>
                      <w:lang w:val="en-US" w:eastAsia="zh-CN"/>
                    </w:rPr>
                  </w:pPr>
                  <w:r>
                    <w:rPr>
                      <w:rFonts w:hint="default" w:ascii="Times New Roman" w:hAnsi="Times New Roman" w:cs="Times New Roman"/>
                      <w:b w:val="0"/>
                      <w:bCs w:val="0"/>
                      <w:highlight w:val="none"/>
                      <w:u w:val="none"/>
                      <w:lang w:val="en-US" w:eastAsia="zh-CN"/>
                    </w:rPr>
                    <w:t>20万kw·h/a</w:t>
                  </w:r>
                </w:p>
              </w:tc>
              <w:tc>
                <w:tcPr>
                  <w:tcW w:w="2843" w:type="pct"/>
                  <w:noWrap w:val="0"/>
                  <w:vAlign w:val="center"/>
                </w:tcPr>
                <w:p w14:paraId="61E70FDD">
                  <w:pPr>
                    <w:pStyle w:val="11"/>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360" w:lineRule="exact"/>
                    <w:ind w:left="0" w:leftChars="0" w:right="0" w:rightChars="0" w:firstLine="0" w:firstLineChars="0"/>
                    <w:textAlignment w:val="auto"/>
                    <w:rPr>
                      <w:rFonts w:hint="default" w:ascii="Times New Roman" w:hAnsi="Times New Roman" w:eastAsia="宋体" w:cs="Times New Roman"/>
                      <w:b w:val="0"/>
                      <w:bCs/>
                      <w:kern w:val="28"/>
                      <w:sz w:val="21"/>
                      <w:szCs w:val="21"/>
                      <w:highlight w:val="none"/>
                      <w:u w:val="none"/>
                      <w:lang w:val="en-US" w:eastAsia="zh-CN" w:bidi="ar-SA"/>
                    </w:rPr>
                  </w:pPr>
                  <w:r>
                    <w:rPr>
                      <w:rFonts w:hint="default" w:ascii="Times New Roman" w:hAnsi="Times New Roman" w:cs="Times New Roman"/>
                      <w:color w:val="auto"/>
                      <w:sz w:val="21"/>
                      <w:szCs w:val="21"/>
                      <w:highlight w:val="none"/>
                      <w:lang w:eastAsia="zh-CN"/>
                    </w:rPr>
                    <w:t>市政国家</w:t>
                  </w:r>
                  <w:r>
                    <w:rPr>
                      <w:rFonts w:hint="default" w:ascii="Times New Roman" w:hAnsi="Times New Roman" w:eastAsia="宋体" w:cs="Times New Roman"/>
                      <w:color w:val="auto"/>
                      <w:sz w:val="21"/>
                      <w:szCs w:val="21"/>
                      <w:highlight w:val="none"/>
                      <w:lang w:eastAsia="zh-CN"/>
                    </w:rPr>
                    <w:t>电网</w:t>
                  </w:r>
                  <w:r>
                    <w:rPr>
                      <w:rFonts w:hint="default" w:ascii="Times New Roman" w:hAnsi="Times New Roman" w:cs="Times New Roman"/>
                      <w:color w:val="auto"/>
                      <w:sz w:val="21"/>
                      <w:szCs w:val="21"/>
                      <w:highlight w:val="none"/>
                      <w:lang w:eastAsia="zh-CN"/>
                    </w:rPr>
                    <w:t>，厂内设置变压器</w:t>
                  </w:r>
                </w:p>
              </w:tc>
            </w:tr>
          </w:tbl>
          <w:p w14:paraId="06AB9763">
            <w:pPr>
              <w:keepNext w:val="0"/>
              <w:keepLines w:val="0"/>
              <w:pageBreakBefore w:val="0"/>
              <w:widowControl w:val="0"/>
              <w:kinsoku/>
              <w:wordWrap/>
              <w:overflowPunct/>
              <w:topLinePunct w:val="0"/>
              <w:autoSpaceDE/>
              <w:autoSpaceDN/>
              <w:bidi w:val="0"/>
              <w:adjustRightInd/>
              <w:snapToGrid/>
              <w:spacing w:line="520" w:lineRule="atLeast"/>
              <w:ind w:firstLine="48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项目</w:t>
            </w:r>
            <w:r>
              <w:rPr>
                <w:rFonts w:hint="eastAsia" w:ascii="Times New Roman" w:hAnsi="Times New Roman" w:cs="Times New Roman"/>
                <w:highlight w:val="none"/>
                <w:lang w:eastAsia="zh-CN"/>
              </w:rPr>
              <w:t>部分</w:t>
            </w:r>
            <w:r>
              <w:rPr>
                <w:rFonts w:hint="default" w:ascii="Times New Roman" w:hAnsi="Times New Roman" w:cs="Times New Roman"/>
                <w:highlight w:val="none"/>
              </w:rPr>
              <w:t>原辅材料理化性质见表</w:t>
            </w:r>
            <w:r>
              <w:rPr>
                <w:rFonts w:hint="default" w:ascii="Times New Roman" w:hAnsi="Times New Roman" w:cs="Times New Roman"/>
                <w:highlight w:val="none"/>
                <w:lang w:val="en-US" w:eastAsia="zh-CN"/>
              </w:rPr>
              <w:t>2-</w:t>
            </w:r>
            <w:r>
              <w:rPr>
                <w:rFonts w:hint="eastAsia" w:cs="Times New Roman"/>
                <w:highlight w:val="none"/>
                <w:lang w:val="en-US" w:eastAsia="zh-CN"/>
              </w:rPr>
              <w:t>7</w:t>
            </w:r>
            <w:r>
              <w:rPr>
                <w:rFonts w:hint="default" w:ascii="Times New Roman" w:hAnsi="Times New Roman" w:cs="Times New Roman"/>
                <w:highlight w:val="none"/>
              </w:rPr>
              <w:t>。</w:t>
            </w:r>
          </w:p>
          <w:p w14:paraId="19E5CEB9">
            <w:pPr>
              <w:keepNext w:val="0"/>
              <w:keepLines w:val="0"/>
              <w:pageBreakBefore w:val="0"/>
              <w:widowControl w:val="0"/>
              <w:kinsoku/>
              <w:wordWrap/>
              <w:overflowPunct/>
              <w:topLinePunct w:val="0"/>
              <w:autoSpaceDE w:val="0"/>
              <w:autoSpaceDN w:val="0"/>
              <w:bidi w:val="0"/>
              <w:adjustRightInd/>
              <w:snapToGrid/>
              <w:spacing w:line="520" w:lineRule="exact"/>
              <w:ind w:firstLine="0" w:firstLineChars="0"/>
              <w:jc w:val="center"/>
              <w:textAlignment w:val="baseline"/>
              <w:rPr>
                <w:rFonts w:hint="default" w:ascii="Times New Roman" w:hAnsi="Times New Roman" w:cs="Times New Roman"/>
                <w:b/>
                <w:bCs/>
                <w:sz w:val="24"/>
              </w:rPr>
            </w:pPr>
            <w:r>
              <w:rPr>
                <w:rFonts w:hint="default" w:ascii="Times New Roman" w:hAnsi="Times New Roman" w:cs="Times New Roman"/>
                <w:b/>
                <w:bCs/>
                <w:kern w:val="0"/>
                <w:sz w:val="24"/>
              </w:rPr>
              <w:t>表2-</w:t>
            </w:r>
            <w:r>
              <w:rPr>
                <w:rFonts w:hint="eastAsia" w:cs="Times New Roman"/>
                <w:b/>
                <w:bCs/>
                <w:kern w:val="0"/>
                <w:sz w:val="24"/>
                <w:lang w:val="en-US" w:eastAsia="zh-CN"/>
              </w:rPr>
              <w:t>7</w:t>
            </w:r>
            <w:r>
              <w:rPr>
                <w:rFonts w:hint="default" w:ascii="Times New Roman" w:hAnsi="Times New Roman" w:cs="Times New Roman"/>
                <w:b/>
                <w:bCs/>
                <w:kern w:val="0"/>
                <w:sz w:val="24"/>
              </w:rPr>
              <w:t xml:space="preserve">  </w:t>
            </w:r>
            <w:r>
              <w:rPr>
                <w:rFonts w:hint="default" w:ascii="Times New Roman" w:hAnsi="Times New Roman" w:cs="Times New Roman"/>
                <w:b/>
                <w:bCs/>
                <w:kern w:val="0"/>
                <w:sz w:val="24"/>
                <w:lang w:eastAsia="zh-CN"/>
              </w:rPr>
              <w:t>部分</w:t>
            </w:r>
            <w:r>
              <w:rPr>
                <w:rFonts w:hint="default" w:ascii="Times New Roman" w:hAnsi="Times New Roman" w:cs="Times New Roman"/>
                <w:b/>
                <w:bCs/>
                <w:kern w:val="0"/>
                <w:sz w:val="24"/>
              </w:rPr>
              <w:t>原</w:t>
            </w:r>
            <w:r>
              <w:rPr>
                <w:rFonts w:hint="eastAsia" w:cs="Times New Roman"/>
                <w:b/>
                <w:bCs/>
                <w:kern w:val="0"/>
                <w:sz w:val="24"/>
                <w:lang w:eastAsia="zh-CN"/>
              </w:rPr>
              <w:t>辅材</w:t>
            </w:r>
            <w:r>
              <w:rPr>
                <w:rFonts w:hint="default" w:ascii="Times New Roman" w:hAnsi="Times New Roman" w:cs="Times New Roman"/>
                <w:b/>
                <w:bCs/>
                <w:kern w:val="0"/>
                <w:sz w:val="24"/>
              </w:rPr>
              <w:t>料理化性质一览表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0"/>
              <w:gridCol w:w="7279"/>
            </w:tblGrid>
            <w:tr w14:paraId="63B85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14:paraId="39B55DE4">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4154" w:type="pct"/>
                  <w:tcBorders>
                    <w:top w:val="single" w:color="auto" w:sz="4" w:space="0"/>
                    <w:left w:val="single" w:color="auto" w:sz="4" w:space="0"/>
                    <w:bottom w:val="single" w:color="auto" w:sz="4" w:space="0"/>
                    <w:right w:val="single" w:color="auto" w:sz="4" w:space="0"/>
                  </w:tcBorders>
                  <w:noWrap w:val="0"/>
                  <w:vAlign w:val="center"/>
                </w:tcPr>
                <w:p w14:paraId="67412708">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理化性质</w:t>
                  </w:r>
                </w:p>
              </w:tc>
            </w:tr>
            <w:tr w14:paraId="1D33C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14:paraId="553D23E5">
                  <w:pPr>
                    <w:keepNext w:val="0"/>
                    <w:keepLines w:val="0"/>
                    <w:pageBreakBefore w:val="0"/>
                    <w:widowControl/>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val="0"/>
                      <w:spacing w:val="8"/>
                      <w:kern w:val="0"/>
                      <w:sz w:val="21"/>
                      <w:szCs w:val="21"/>
                      <w:u w:val="none"/>
                      <w:lang w:val="en-US" w:eastAsia="zh-CN"/>
                    </w:rPr>
                  </w:pPr>
                  <w:r>
                    <w:rPr>
                      <w:rFonts w:hint="eastAsia" w:cs="Times New Roman"/>
                      <w:b w:val="0"/>
                      <w:bCs w:val="0"/>
                      <w:spacing w:val="8"/>
                      <w:kern w:val="0"/>
                      <w:sz w:val="21"/>
                      <w:szCs w:val="21"/>
                      <w:highlight w:val="none"/>
                      <w:u w:val="none"/>
                      <w:lang w:val="en-US" w:eastAsia="zh-CN"/>
                    </w:rPr>
                    <w:t>BOPS片材</w:t>
                  </w:r>
                </w:p>
              </w:tc>
              <w:tc>
                <w:tcPr>
                  <w:tcW w:w="4154" w:type="pct"/>
                  <w:tcBorders>
                    <w:top w:val="single" w:color="auto" w:sz="4" w:space="0"/>
                    <w:left w:val="single" w:color="auto" w:sz="4" w:space="0"/>
                    <w:bottom w:val="single" w:color="auto" w:sz="4" w:space="0"/>
                    <w:right w:val="single" w:color="auto" w:sz="4" w:space="0"/>
                  </w:tcBorders>
                  <w:noWrap w:val="0"/>
                  <w:vAlign w:val="center"/>
                </w:tcPr>
                <w:p w14:paraId="24265E6B">
                  <w:pPr>
                    <w:keepNext w:val="0"/>
                    <w:keepLines w:val="0"/>
                    <w:pageBreakBefore w:val="0"/>
                    <w:widowControl w:val="0"/>
                    <w:kinsoku/>
                    <w:wordWrap w:val="0"/>
                    <w:overflowPunct/>
                    <w:topLinePunct w:val="0"/>
                    <w:autoSpaceDE/>
                    <w:autoSpaceDN/>
                    <w:bidi w:val="0"/>
                    <w:adjustRightInd/>
                    <w:snapToGrid w:val="0"/>
                    <w:spacing w:line="360" w:lineRule="exact"/>
                    <w:ind w:firstLine="0" w:firstLineChars="0"/>
                    <w:textAlignment w:val="auto"/>
                    <w:rPr>
                      <w:rFonts w:hint="default" w:ascii="Times New Roman" w:hAnsi="Times New Roman" w:eastAsia="宋体" w:cs="Times New Roman"/>
                      <w:b w:val="0"/>
                      <w:bCs w:val="0"/>
                      <w:spacing w:val="8"/>
                      <w:kern w:val="0"/>
                      <w:sz w:val="21"/>
                      <w:szCs w:val="21"/>
                      <w:u w:val="none"/>
                      <w:lang w:val="en-US" w:eastAsia="zh-CN"/>
                    </w:rPr>
                  </w:pPr>
                  <w:r>
                    <w:rPr>
                      <w:rFonts w:hint="eastAsia" w:cs="Times New Roman"/>
                      <w:b w:val="0"/>
                      <w:bCs w:val="0"/>
                      <w:spacing w:val="8"/>
                      <w:kern w:val="0"/>
                      <w:sz w:val="21"/>
                      <w:szCs w:val="21"/>
                      <w:u w:val="none"/>
                      <w:lang w:val="en-US" w:eastAsia="zh-CN"/>
                    </w:rPr>
                    <w:t>BOPS全称“双向拉伸聚苯乙烯”，属于PS（#6），透明材质，无味无臭，食品安全级。高刚性、高强度、高硬度；韧性差，呈脆性，热变形温度低（约70-85</w:t>
                  </w:r>
                  <w:r>
                    <w:rPr>
                      <w:rFonts w:hint="eastAsia" w:ascii="Times New Roman" w:hAnsi="Times New Roman" w:eastAsia="宋体" w:cs="Times New Roman"/>
                      <w:b w:val="0"/>
                      <w:bCs w:val="0"/>
                      <w:i w:val="0"/>
                      <w:iCs w:val="0"/>
                      <w:caps w:val="0"/>
                      <w:color w:val="auto"/>
                      <w:spacing w:val="0"/>
                      <w:kern w:val="0"/>
                      <w:sz w:val="21"/>
                      <w:szCs w:val="21"/>
                      <w:highlight w:val="none"/>
                      <w:shd w:val="clear" w:color="auto" w:fill="FFFFFF"/>
                      <w:lang w:val="en-US" w:eastAsia="zh-CN" w:bidi="ar"/>
                    </w:rPr>
                    <w:t>℃</w:t>
                  </w:r>
                  <w:r>
                    <w:rPr>
                      <w:rFonts w:hint="eastAsia" w:cs="Times New Roman"/>
                      <w:b w:val="0"/>
                      <w:bCs w:val="0"/>
                      <w:spacing w:val="8"/>
                      <w:kern w:val="0"/>
                      <w:sz w:val="21"/>
                      <w:szCs w:val="21"/>
                      <w:u w:val="none"/>
                      <w:lang w:val="en-US" w:eastAsia="zh-CN"/>
                    </w:rPr>
                    <w:t>），具有显著的热收缩性，加热至100</w:t>
                  </w:r>
                  <w:r>
                    <w:rPr>
                      <w:rFonts w:hint="eastAsia" w:ascii="Times New Roman" w:hAnsi="Times New Roman" w:eastAsia="宋体" w:cs="Times New Roman"/>
                      <w:b w:val="0"/>
                      <w:bCs w:val="0"/>
                      <w:i w:val="0"/>
                      <w:iCs w:val="0"/>
                      <w:caps w:val="0"/>
                      <w:color w:val="auto"/>
                      <w:spacing w:val="0"/>
                      <w:kern w:val="0"/>
                      <w:sz w:val="21"/>
                      <w:szCs w:val="21"/>
                      <w:highlight w:val="none"/>
                      <w:shd w:val="clear" w:color="auto" w:fill="FFFFFF"/>
                      <w:lang w:val="en-US" w:eastAsia="zh-CN" w:bidi="ar"/>
                    </w:rPr>
                    <w:t>℃</w:t>
                  </w:r>
                  <w:r>
                    <w:rPr>
                      <w:rFonts w:hint="eastAsia" w:cs="Times New Roman"/>
                      <w:b w:val="0"/>
                      <w:bCs w:val="0"/>
                      <w:spacing w:val="8"/>
                      <w:kern w:val="0"/>
                      <w:sz w:val="21"/>
                      <w:szCs w:val="21"/>
                      <w:u w:val="none"/>
                      <w:lang w:val="en-US" w:eastAsia="zh-CN"/>
                    </w:rPr>
                    <w:t>以上会收缩，密度约1.0-1.05g/cm</w:t>
                  </w:r>
                  <w:r>
                    <w:rPr>
                      <w:rFonts w:hint="eastAsia" w:cs="Times New Roman"/>
                      <w:b w:val="0"/>
                      <w:bCs w:val="0"/>
                      <w:spacing w:val="8"/>
                      <w:kern w:val="0"/>
                      <w:sz w:val="21"/>
                      <w:szCs w:val="21"/>
                      <w:u w:val="none"/>
                      <w:vertAlign w:val="superscript"/>
                      <w:lang w:val="en-US" w:eastAsia="zh-CN"/>
                    </w:rPr>
                    <w:t>3</w:t>
                  </w:r>
                  <w:r>
                    <w:rPr>
                      <w:rFonts w:hint="eastAsia" w:cs="Times New Roman"/>
                      <w:b w:val="0"/>
                      <w:bCs w:val="0"/>
                      <w:spacing w:val="8"/>
                      <w:kern w:val="0"/>
                      <w:sz w:val="21"/>
                      <w:szCs w:val="21"/>
                      <w:u w:val="none"/>
                      <w:lang w:val="en-US" w:eastAsia="zh-CN"/>
                    </w:rPr>
                    <w:t>。</w:t>
                  </w:r>
                </w:p>
              </w:tc>
            </w:tr>
            <w:tr w14:paraId="2FE73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845" w:type="pct"/>
                  <w:tcBorders>
                    <w:top w:val="single" w:color="auto" w:sz="4" w:space="0"/>
                    <w:left w:val="single" w:color="auto" w:sz="4" w:space="0"/>
                    <w:bottom w:val="single" w:color="auto" w:sz="4" w:space="0"/>
                    <w:right w:val="single" w:color="auto" w:sz="4" w:space="0"/>
                  </w:tcBorders>
                  <w:noWrap w:val="0"/>
                  <w:vAlign w:val="center"/>
                </w:tcPr>
                <w:p w14:paraId="2E6BB7E3">
                  <w:pPr>
                    <w:keepNext w:val="0"/>
                    <w:keepLines w:val="0"/>
                    <w:pageBreakBefore w:val="0"/>
                    <w:widowControl/>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highlight w:val="none"/>
                      <w:lang w:val="en-US" w:eastAsia="zh-CN"/>
                    </w:rPr>
                    <w:t>润滑油</w:t>
                  </w:r>
                </w:p>
              </w:tc>
              <w:tc>
                <w:tcPr>
                  <w:tcW w:w="4154" w:type="pct"/>
                  <w:tcBorders>
                    <w:top w:val="single" w:color="auto" w:sz="4" w:space="0"/>
                    <w:left w:val="single" w:color="auto" w:sz="4" w:space="0"/>
                    <w:bottom w:val="single" w:color="auto" w:sz="4" w:space="0"/>
                    <w:right w:val="single" w:color="auto" w:sz="4" w:space="0"/>
                  </w:tcBorders>
                  <w:noWrap w:val="0"/>
                  <w:vAlign w:val="center"/>
                </w:tcPr>
                <w:p w14:paraId="4719176E">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 w:val="0"/>
                      <w:bCs w:val="0"/>
                      <w:i w:val="0"/>
                      <w:iCs w:val="0"/>
                      <w:caps w:val="0"/>
                      <w:color w:val="auto"/>
                      <w:spacing w:val="0"/>
                      <w:kern w:val="0"/>
                      <w:sz w:val="21"/>
                      <w:szCs w:val="21"/>
                      <w:highlight w:val="none"/>
                      <w:shd w:val="clear" w:color="auto" w:fill="FFFFFF"/>
                      <w:lang w:val="en-US" w:eastAsia="zh-CN" w:bidi="ar"/>
                    </w:rPr>
                  </w:pPr>
                  <w:r>
                    <w:rPr>
                      <w:rFonts w:hint="default" w:ascii="Times New Roman" w:hAnsi="Times New Roman" w:eastAsia="宋体" w:cs="Times New Roman"/>
                      <w:b w:val="0"/>
                      <w:bCs w:val="0"/>
                      <w:i w:val="0"/>
                      <w:iCs w:val="0"/>
                      <w:caps w:val="0"/>
                      <w:color w:val="auto"/>
                      <w:spacing w:val="0"/>
                      <w:sz w:val="21"/>
                      <w:szCs w:val="21"/>
                      <w:highlight w:val="none"/>
                      <w:shd w:val="clear" w:color="auto" w:fill="FFFFFF"/>
                      <w:lang w:eastAsia="zh-CN"/>
                    </w:rPr>
                    <w:t>润滑油是</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rPr>
                    <w:t>保护机械及加工件的液体或半</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lang w:val="en-US" w:eastAsia="zh-CN"/>
                    </w:rPr>
                    <w:t>固体润滑剂</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rPr>
                    <w:t>，主要起润滑、辅助冷却、</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lang w:val="en-US" w:eastAsia="zh-CN"/>
                    </w:rPr>
                    <w:t>防锈、清洁、密封</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rPr>
                    <w:t>和缓冲等作用</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lang w:eastAsia="zh-CN"/>
                    </w:rPr>
                    <w:t>，</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rPr>
                    <w:t>润滑油一般由基础油和添加剂两部分组成</w:t>
                  </w:r>
                  <w:r>
                    <w:rPr>
                      <w:rFonts w:hint="default" w:ascii="Times New Roman" w:hAnsi="Times New Roman" w:eastAsia="宋体" w:cs="Times New Roman"/>
                      <w:b w:val="0"/>
                      <w:bCs w:val="0"/>
                      <w:i w:val="0"/>
                      <w:iCs w:val="0"/>
                      <w:caps w:val="0"/>
                      <w:color w:val="auto"/>
                      <w:spacing w:val="0"/>
                      <w:sz w:val="21"/>
                      <w:szCs w:val="21"/>
                      <w:highlight w:val="none"/>
                      <w:shd w:val="clear" w:color="auto" w:fill="FFFFFF"/>
                      <w:lang w:eastAsia="zh-CN"/>
                    </w:rPr>
                    <w:t>，</w:t>
                  </w:r>
                  <w:r>
                    <w:rPr>
                      <w:rFonts w:hint="default" w:ascii="Times New Roman" w:hAnsi="Times New Roman" w:eastAsia="宋体" w:cs="Times New Roman"/>
                      <w:b w:val="0"/>
                      <w:bCs w:val="0"/>
                      <w:i w:val="0"/>
                      <w:iCs w:val="0"/>
                      <w:caps w:val="0"/>
                      <w:color w:val="auto"/>
                      <w:spacing w:val="0"/>
                      <w:kern w:val="0"/>
                      <w:sz w:val="21"/>
                      <w:szCs w:val="21"/>
                      <w:highlight w:val="none"/>
                      <w:shd w:val="clear" w:color="auto" w:fill="FFFFFF"/>
                      <w:lang w:val="en-US" w:eastAsia="zh-CN" w:bidi="ar"/>
                    </w:rPr>
                    <w:t>润滑油的密度随其组成中含碳、氧、硫的数量的增加而增大</w:t>
                  </w:r>
                </w:p>
              </w:tc>
            </w:tr>
          </w:tbl>
          <w:p w14:paraId="74CEA00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Times New Roman" w:hAnsi="Times New Roman" w:eastAsia="宋体" w:cs="Times New Roman"/>
                <w:b/>
                <w:bCs/>
                <w:highlight w:val="none"/>
                <w:u w:val="none"/>
                <w:lang w:val="en-US" w:eastAsia="zh-CN"/>
              </w:rPr>
            </w:pPr>
            <w:r>
              <w:rPr>
                <w:rFonts w:hint="eastAsia" w:cs="Times New Roman"/>
                <w:b/>
                <w:bCs/>
                <w:highlight w:val="none"/>
                <w:u w:val="none"/>
                <w:lang w:val="en-US" w:eastAsia="zh-CN"/>
              </w:rPr>
              <w:t>七</w:t>
            </w:r>
            <w:r>
              <w:rPr>
                <w:rFonts w:hint="default" w:ascii="Times New Roman" w:hAnsi="Times New Roman" w:eastAsia="宋体" w:cs="Times New Roman"/>
                <w:b/>
                <w:bCs/>
                <w:highlight w:val="none"/>
                <w:u w:val="none"/>
                <w:lang w:val="en-US" w:eastAsia="zh-CN"/>
              </w:rPr>
              <w:t>、物料平衡情况</w:t>
            </w:r>
          </w:p>
          <w:p w14:paraId="3FFCFC3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项目物料平衡图如下图：</w:t>
            </w:r>
          </w:p>
          <w:p w14:paraId="612FC09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highlight w:val="none"/>
                <w:lang w:val="en-US" w:eastAsia="zh-CN"/>
              </w:rPr>
            </w:pPr>
            <w:r>
              <w:rPr>
                <w:rFonts w:hint="default" w:ascii="Times New Roman" w:hAnsi="Times New Roman" w:cs="Times New Roman"/>
                <w:highlight w:val="none"/>
                <w:lang w:eastAsia="zh-CN"/>
              </w:rPr>
              <w:object>
                <v:shape id="_x0000_i1025" o:spt="75" type="#_x0000_t75" style="height:135.85pt;width:285.6pt;" o:ole="t" filled="f" o:preferrelative="t" stroked="f" coordsize="21600,21600">
                  <v:path/>
                  <v:fill on="f" focussize="0,0"/>
                  <v:stroke on="f"/>
                  <v:imagedata r:id="rId16" cropleft="15464f" croptop="3609f" cropright="-994f" cropbottom="42836f" o:title=""/>
                  <o:lock v:ext="edit" aspectratio="f"/>
                  <w10:wrap type="none"/>
                  <w10:anchorlock/>
                </v:shape>
                <o:OLEObject Type="Embed" ProgID="Visio.Drawing.11" ShapeID="_x0000_i1025" DrawAspect="Content" ObjectID="_1468075725" r:id="rId15">
                  <o:LockedField>false</o:LockedField>
                </o:OLEObject>
              </w:object>
            </w:r>
          </w:p>
          <w:p w14:paraId="116F4A9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b/>
                <w:bCs/>
                <w:highlight w:val="none"/>
                <w:lang w:val="en-US" w:eastAsia="zh-CN"/>
              </w:rPr>
            </w:pPr>
            <w:r>
              <w:rPr>
                <w:rFonts w:hint="default" w:ascii="Times New Roman" w:hAnsi="Times New Roman" w:cs="Times New Roman"/>
                <w:b/>
                <w:bCs/>
                <w:highlight w:val="none"/>
                <w:lang w:val="en-US" w:eastAsia="zh-CN"/>
              </w:rPr>
              <w:t>图</w:t>
            </w:r>
            <w:r>
              <w:rPr>
                <w:rFonts w:hint="eastAsia" w:ascii="Times New Roman" w:hAnsi="Times New Roman" w:cs="Times New Roman"/>
                <w:b/>
                <w:bCs/>
                <w:highlight w:val="none"/>
                <w:lang w:val="en-US" w:eastAsia="zh-CN"/>
              </w:rPr>
              <w:t>1</w:t>
            </w:r>
            <w:r>
              <w:rPr>
                <w:rFonts w:hint="default" w:ascii="Times New Roman" w:hAnsi="Times New Roman" w:cs="Times New Roman"/>
                <w:b/>
                <w:bCs/>
                <w:highlight w:val="none"/>
                <w:lang w:val="en-US" w:eastAsia="zh-CN"/>
              </w:rPr>
              <w:t xml:space="preserve">  </w:t>
            </w:r>
            <w:r>
              <w:rPr>
                <w:rFonts w:hint="eastAsia" w:ascii="Times New Roman" w:hAnsi="Times New Roman" w:cs="Times New Roman"/>
                <w:b/>
                <w:bCs/>
                <w:highlight w:val="none"/>
                <w:lang w:val="en-US" w:eastAsia="zh-CN"/>
              </w:rPr>
              <w:t>塑料食品餐盒物料</w:t>
            </w:r>
            <w:r>
              <w:rPr>
                <w:rFonts w:hint="default" w:ascii="Times New Roman" w:hAnsi="Times New Roman" w:cs="Times New Roman"/>
                <w:b/>
                <w:bCs/>
                <w:highlight w:val="none"/>
                <w:lang w:val="en-US" w:eastAsia="zh-CN"/>
              </w:rPr>
              <w:t>平衡图    单位：t/a</w:t>
            </w:r>
          </w:p>
          <w:p w14:paraId="5B7E8C4C">
            <w:pPr>
              <w:pStyle w:val="26"/>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rPr>
            </w:pPr>
            <w:r>
              <w:rPr>
                <w:rFonts w:hint="eastAsia" w:cs="Times New Roman"/>
                <w:b/>
                <w:lang w:val="en-US" w:eastAsia="zh-CN"/>
              </w:rPr>
              <w:t>八</w:t>
            </w:r>
            <w:r>
              <w:rPr>
                <w:rFonts w:hint="default" w:ascii="Times New Roman" w:hAnsi="Times New Roman" w:cs="Times New Roman"/>
                <w:b/>
              </w:rPr>
              <w:t>、劳动定员和生产制度</w:t>
            </w:r>
          </w:p>
          <w:p w14:paraId="2015DD3E">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bCs/>
                <w:highlight w:val="none"/>
              </w:rPr>
              <w:t>本项目劳动定员</w:t>
            </w:r>
            <w:r>
              <w:rPr>
                <w:rFonts w:hint="eastAsia" w:ascii="Times New Roman" w:hAnsi="Times New Roman" w:cs="Times New Roman"/>
                <w:bCs/>
                <w:highlight w:val="none"/>
                <w:lang w:val="en-US" w:eastAsia="zh-CN"/>
              </w:rPr>
              <w:t>1</w:t>
            </w:r>
            <w:r>
              <w:rPr>
                <w:rFonts w:hint="default" w:ascii="Times New Roman" w:hAnsi="Times New Roman" w:cs="Times New Roman"/>
                <w:bCs/>
                <w:highlight w:val="none"/>
              </w:rPr>
              <w:t>0人，</w:t>
            </w:r>
            <w:r>
              <w:rPr>
                <w:rFonts w:hint="default" w:ascii="Times New Roman" w:hAnsi="Times New Roman" w:cs="Times New Roman"/>
                <w:highlight w:val="none"/>
              </w:rPr>
              <w:t>单</w:t>
            </w:r>
            <w:r>
              <w:rPr>
                <w:rFonts w:hint="default" w:ascii="Times New Roman" w:hAnsi="Times New Roman" w:cs="Times New Roman"/>
              </w:rPr>
              <w:t>班制，每天工作8小时，</w:t>
            </w:r>
            <w:r>
              <w:rPr>
                <w:rFonts w:hint="default" w:ascii="Times New Roman" w:hAnsi="Times New Roman" w:cs="Times New Roman"/>
                <w:bCs/>
              </w:rPr>
              <w:t>年工作日3</w:t>
            </w:r>
            <w:r>
              <w:rPr>
                <w:rFonts w:hint="eastAsia" w:ascii="Times New Roman" w:hAnsi="Times New Roman" w:cs="Times New Roman"/>
                <w:bCs/>
                <w:lang w:val="en-US" w:eastAsia="zh-CN"/>
              </w:rPr>
              <w:t>0</w:t>
            </w:r>
            <w:r>
              <w:rPr>
                <w:rFonts w:hint="default" w:ascii="Times New Roman" w:hAnsi="Times New Roman" w:cs="Times New Roman"/>
                <w:bCs/>
              </w:rPr>
              <w:t>0天</w:t>
            </w:r>
            <w:r>
              <w:rPr>
                <w:rFonts w:hint="default" w:ascii="Times New Roman" w:hAnsi="Times New Roman" w:cs="Times New Roman"/>
              </w:rPr>
              <w:t>。员工均为附近村民，不在厂区食宿。</w:t>
            </w:r>
          </w:p>
          <w:p w14:paraId="6BCD2DB1">
            <w:pPr>
              <w:pStyle w:val="26"/>
              <w:keepNext w:val="0"/>
              <w:keepLines w:val="0"/>
              <w:pageBreakBefore w:val="0"/>
              <w:widowControl w:val="0"/>
              <w:kinsoku/>
              <w:wordWrap/>
              <w:overflowPunct/>
              <w:topLinePunct w:val="0"/>
              <w:autoSpaceDE/>
              <w:autoSpaceDN/>
              <w:bidi w:val="0"/>
              <w:snapToGrid w:val="0"/>
              <w:spacing w:line="520" w:lineRule="exact"/>
              <w:ind w:firstLine="0" w:firstLineChars="0"/>
              <w:textAlignment w:val="auto"/>
              <w:rPr>
                <w:rFonts w:hint="eastAsia" w:ascii="Times New Roman" w:hAnsi="Times New Roman" w:eastAsia="宋体" w:cs="Times New Roman"/>
                <w:b/>
                <w:highlight w:val="none"/>
                <w:lang w:eastAsia="zh-CN"/>
              </w:rPr>
            </w:pPr>
            <w:r>
              <w:rPr>
                <w:rFonts w:hint="eastAsia" w:cs="Times New Roman"/>
                <w:b/>
                <w:highlight w:val="none"/>
                <w:lang w:val="en-US" w:eastAsia="zh-CN"/>
              </w:rPr>
              <w:t>九</w:t>
            </w:r>
            <w:r>
              <w:rPr>
                <w:rFonts w:hint="default" w:ascii="Times New Roman" w:hAnsi="Times New Roman" w:cs="Times New Roman"/>
                <w:b/>
                <w:highlight w:val="none"/>
              </w:rPr>
              <w:t>、</w:t>
            </w:r>
            <w:r>
              <w:rPr>
                <w:rFonts w:hint="eastAsia" w:cs="Times New Roman"/>
                <w:b/>
                <w:highlight w:val="none"/>
                <w:lang w:eastAsia="zh-CN"/>
              </w:rPr>
              <w:t>共用工程</w:t>
            </w:r>
          </w:p>
          <w:p w14:paraId="3A76930E">
            <w:pPr>
              <w:pStyle w:val="26"/>
              <w:keepNext w:val="0"/>
              <w:keepLines w:val="0"/>
              <w:pageBreakBefore w:val="0"/>
              <w:widowControl w:val="0"/>
              <w:kinsoku/>
              <w:wordWrap/>
              <w:overflowPunct/>
              <w:topLinePunct w:val="0"/>
              <w:autoSpaceDE/>
              <w:autoSpaceDN/>
              <w:bidi w:val="0"/>
              <w:snapToGrid w:val="0"/>
              <w:spacing w:line="520" w:lineRule="exact"/>
              <w:ind w:firstLine="480"/>
              <w:textAlignment w:val="auto"/>
              <w:rPr>
                <w:rFonts w:hint="default" w:ascii="Times New Roman" w:hAnsi="Times New Roman" w:cs="Times New Roman"/>
                <w:bCs/>
                <w:highlight w:val="none"/>
              </w:rPr>
            </w:pPr>
            <w:r>
              <w:rPr>
                <w:rFonts w:hint="default" w:ascii="Times New Roman" w:hAnsi="Times New Roman" w:cs="Times New Roman"/>
                <w:bCs/>
                <w:highlight w:val="none"/>
              </w:rPr>
              <w:t>（1）给水</w:t>
            </w:r>
          </w:p>
          <w:p w14:paraId="3D441FF9">
            <w:pPr>
              <w:pStyle w:val="26"/>
              <w:keepNext w:val="0"/>
              <w:keepLines w:val="0"/>
              <w:pageBreakBefore w:val="0"/>
              <w:widowControl w:val="0"/>
              <w:kinsoku/>
              <w:wordWrap/>
              <w:overflowPunct/>
              <w:topLinePunct w:val="0"/>
              <w:autoSpaceDE/>
              <w:autoSpaceDN/>
              <w:bidi w:val="0"/>
              <w:snapToGrid w:val="0"/>
              <w:spacing w:line="520" w:lineRule="exact"/>
              <w:ind w:firstLine="480"/>
              <w:textAlignment w:val="auto"/>
              <w:rPr>
                <w:rFonts w:hint="default" w:ascii="Times New Roman" w:hAnsi="Times New Roman" w:cs="Times New Roman"/>
                <w:bCs/>
                <w:highlight w:val="none"/>
              </w:rPr>
            </w:pPr>
            <w:r>
              <w:rPr>
                <w:rFonts w:hint="default" w:ascii="Times New Roman" w:hAnsi="Times New Roman" w:cs="Times New Roman"/>
                <w:bCs/>
              </w:rPr>
              <w:t>本项目劳动</w:t>
            </w:r>
            <w:r>
              <w:rPr>
                <w:rFonts w:hint="default" w:ascii="Times New Roman" w:hAnsi="Times New Roman" w:cs="Times New Roman"/>
                <w:bCs/>
                <w:lang w:eastAsia="zh-CN"/>
              </w:rPr>
              <w:t>人</w:t>
            </w:r>
            <w:r>
              <w:rPr>
                <w:rFonts w:hint="default" w:ascii="Times New Roman" w:hAnsi="Times New Roman" w:cs="Times New Roman"/>
                <w:bCs/>
              </w:rPr>
              <w:t>员</w:t>
            </w:r>
            <w:r>
              <w:rPr>
                <w:rFonts w:hint="eastAsia" w:cs="Times New Roman"/>
                <w:bCs/>
                <w:lang w:val="en-US" w:eastAsia="zh-CN"/>
              </w:rPr>
              <w:t>1</w:t>
            </w:r>
            <w:r>
              <w:rPr>
                <w:rFonts w:hint="default" w:ascii="Times New Roman" w:hAnsi="Times New Roman" w:cs="Times New Roman"/>
                <w:bCs/>
                <w:lang w:val="en-US" w:eastAsia="zh-CN"/>
              </w:rPr>
              <w:t>0</w:t>
            </w:r>
            <w:r>
              <w:rPr>
                <w:rFonts w:hint="default" w:ascii="Times New Roman" w:hAnsi="Times New Roman" w:cs="Times New Roman"/>
                <w:bCs/>
              </w:rPr>
              <w:t>人，均不在厂区食宿。结合项目实际情况，参照《河南省地方标准 工业与城镇生活用水定额》（DB41/T 385-2020），生活用水定额按照</w:t>
            </w:r>
            <w:r>
              <w:rPr>
                <w:rFonts w:hint="default" w:ascii="Times New Roman" w:hAnsi="Times New Roman" w:cs="Times New Roman"/>
                <w:bCs/>
                <w:lang w:val="en-US" w:eastAsia="zh-CN"/>
              </w:rPr>
              <w:t>5</w:t>
            </w:r>
            <w:r>
              <w:rPr>
                <w:rFonts w:hint="default" w:ascii="Times New Roman" w:hAnsi="Times New Roman" w:cs="Times New Roman"/>
                <w:bCs/>
              </w:rPr>
              <w:t>0m</w:t>
            </w:r>
            <w:r>
              <w:rPr>
                <w:rFonts w:hint="default" w:ascii="Times New Roman" w:hAnsi="Times New Roman" w:cs="Times New Roman"/>
                <w:bCs/>
                <w:vertAlign w:val="superscript"/>
              </w:rPr>
              <w:t>3</w:t>
            </w:r>
            <w:r>
              <w:rPr>
                <w:rFonts w:hint="default" w:ascii="Times New Roman" w:hAnsi="Times New Roman" w:cs="Times New Roman"/>
                <w:bCs/>
              </w:rPr>
              <w:t>/人·d计，则</w:t>
            </w:r>
            <w:r>
              <w:rPr>
                <w:rFonts w:hint="default" w:ascii="Times New Roman" w:hAnsi="Times New Roman" w:cs="Times New Roman"/>
                <w:bCs/>
                <w:highlight w:val="none"/>
              </w:rPr>
              <w:t>本项目生活用水量为</w:t>
            </w:r>
            <w:r>
              <w:rPr>
                <w:rFonts w:hint="eastAsia" w:cs="Times New Roman"/>
                <w:bCs/>
                <w:highlight w:val="none"/>
                <w:lang w:val="en-US" w:eastAsia="zh-CN"/>
              </w:rPr>
              <w:t>150</w:t>
            </w:r>
            <w:r>
              <w:rPr>
                <w:rFonts w:hint="default" w:ascii="Times New Roman" w:hAnsi="Times New Roman" w:cs="Times New Roman"/>
                <w:bCs/>
                <w:highlight w:val="none"/>
              </w:rPr>
              <w:t>m</w:t>
            </w:r>
            <w:r>
              <w:rPr>
                <w:rFonts w:hint="default" w:ascii="Times New Roman" w:hAnsi="Times New Roman" w:cs="Times New Roman"/>
                <w:bCs/>
                <w:highlight w:val="none"/>
                <w:vertAlign w:val="superscript"/>
              </w:rPr>
              <w:t>3</w:t>
            </w:r>
            <w:r>
              <w:rPr>
                <w:rFonts w:hint="default" w:ascii="Times New Roman" w:hAnsi="Times New Roman" w:cs="Times New Roman"/>
                <w:bCs/>
                <w:highlight w:val="none"/>
              </w:rPr>
              <w:t>/a。</w:t>
            </w:r>
          </w:p>
          <w:p w14:paraId="2EFC53F2">
            <w:pPr>
              <w:keepNext w:val="0"/>
              <w:keepLines w:val="0"/>
              <w:pageBreakBefore w:val="0"/>
              <w:widowControl w:val="0"/>
              <w:kinsoku/>
              <w:wordWrap/>
              <w:overflowPunct/>
              <w:topLinePunct w:val="0"/>
              <w:autoSpaceDE/>
              <w:autoSpaceDN/>
              <w:bidi w:val="0"/>
              <w:adjustRightInd w:val="0"/>
              <w:snapToGrid w:val="0"/>
              <w:spacing w:line="520" w:lineRule="exact"/>
              <w:ind w:firstLine="480"/>
              <w:textAlignment w:val="auto"/>
              <w:rPr>
                <w:rFonts w:hint="default" w:ascii="Times New Roman" w:hAnsi="Times New Roman" w:cs="Times New Roman"/>
                <w:bCs/>
                <w:highlight w:val="none"/>
              </w:rPr>
            </w:pPr>
            <w:r>
              <w:rPr>
                <w:rFonts w:hint="default" w:ascii="Times New Roman" w:hAnsi="Times New Roman" w:cs="Times New Roman"/>
                <w:bCs/>
                <w:highlight w:val="none"/>
              </w:rPr>
              <w:t>（2）排水</w:t>
            </w:r>
          </w:p>
          <w:p w14:paraId="77D25A4D">
            <w:pPr>
              <w:keepNext w:val="0"/>
              <w:keepLines w:val="0"/>
              <w:pageBreakBefore w:val="0"/>
              <w:widowControl w:val="0"/>
              <w:kinsoku/>
              <w:wordWrap/>
              <w:overflowPunct/>
              <w:topLinePunct w:val="0"/>
              <w:autoSpaceDE/>
              <w:autoSpaceDN/>
              <w:bidi w:val="0"/>
              <w:adjustRightInd w:val="0"/>
              <w:snapToGrid w:val="0"/>
              <w:spacing w:line="520" w:lineRule="exact"/>
              <w:ind w:firstLine="480"/>
              <w:textAlignment w:val="auto"/>
              <w:rPr>
                <w:rFonts w:hint="default" w:ascii="Times New Roman" w:hAnsi="Times New Roman" w:cs="Times New Roman"/>
                <w:bCs/>
              </w:rPr>
            </w:pPr>
            <w:r>
              <w:rPr>
                <w:rFonts w:hint="default" w:ascii="Times New Roman" w:hAnsi="Times New Roman" w:cs="Times New Roman"/>
                <w:bCs/>
              </w:rPr>
              <w:t>本项目采用雨污分流制。雨水经管网收集，排入市政雨水管网。</w:t>
            </w:r>
          </w:p>
          <w:p w14:paraId="0F04AD7B">
            <w:pPr>
              <w:pStyle w:val="26"/>
              <w:keepNext w:val="0"/>
              <w:keepLines w:val="0"/>
              <w:pageBreakBefore w:val="0"/>
              <w:widowControl w:val="0"/>
              <w:kinsoku/>
              <w:wordWrap/>
              <w:overflowPunct/>
              <w:topLinePunct w:val="0"/>
              <w:autoSpaceDE/>
              <w:autoSpaceDN/>
              <w:bidi w:val="0"/>
              <w:snapToGrid w:val="0"/>
              <w:spacing w:line="520" w:lineRule="exact"/>
              <w:ind w:firstLine="480"/>
              <w:textAlignment w:val="auto"/>
              <w:rPr>
                <w:rFonts w:hint="default" w:ascii="Times New Roman" w:hAnsi="Times New Roman" w:cs="Times New Roman"/>
                <w:bCs/>
                <w:iCs/>
              </w:rPr>
            </w:pPr>
            <w:r>
              <w:rPr>
                <w:rFonts w:hint="default" w:ascii="Times New Roman" w:hAnsi="Times New Roman" w:cs="Times New Roman"/>
                <w:bCs/>
              </w:rPr>
              <w:t>本项目生活污水排放系数按用水量的0.8计，则项目产生的生活污水量为</w:t>
            </w:r>
            <w:r>
              <w:rPr>
                <w:rFonts w:hint="eastAsia" w:cs="Times New Roman"/>
                <w:bCs/>
                <w:lang w:val="en-US" w:eastAsia="zh-CN"/>
              </w:rPr>
              <w:t>120</w:t>
            </w:r>
            <w:r>
              <w:rPr>
                <w:rFonts w:hint="default" w:ascii="Times New Roman" w:hAnsi="Times New Roman" w:cs="Times New Roman"/>
                <w:bCs/>
              </w:rPr>
              <w:t>m</w:t>
            </w:r>
            <w:r>
              <w:rPr>
                <w:rFonts w:hint="default" w:ascii="Times New Roman" w:hAnsi="Times New Roman" w:cs="Times New Roman"/>
                <w:bCs/>
                <w:vertAlign w:val="superscript"/>
              </w:rPr>
              <w:t>3</w:t>
            </w:r>
            <w:r>
              <w:rPr>
                <w:rFonts w:hint="default" w:ascii="Times New Roman" w:hAnsi="Times New Roman" w:cs="Times New Roman"/>
                <w:bCs/>
              </w:rPr>
              <w:t>/a，</w:t>
            </w:r>
            <w:r>
              <w:rPr>
                <w:rFonts w:hint="default" w:ascii="Times New Roman" w:hAnsi="Times New Roman" w:cs="Times New Roman"/>
                <w:sz w:val="24"/>
                <w:szCs w:val="24"/>
                <w:highlight w:val="none"/>
              </w:rPr>
              <w:t>生活污水</w:t>
            </w:r>
            <w:r>
              <w:rPr>
                <w:rFonts w:hint="eastAsia" w:cs="Times New Roman"/>
                <w:sz w:val="24"/>
                <w:szCs w:val="24"/>
                <w:highlight w:val="none"/>
                <w:lang w:eastAsia="zh-CN"/>
              </w:rPr>
              <w:t>经</w:t>
            </w:r>
            <w:r>
              <w:rPr>
                <w:rFonts w:hint="default" w:ascii="Times New Roman" w:hAnsi="Times New Roman" w:cs="Times New Roman"/>
                <w:sz w:val="24"/>
                <w:szCs w:val="24"/>
                <w:highlight w:val="none"/>
              </w:rPr>
              <w:t>化粪池处理后</w:t>
            </w:r>
            <w:r>
              <w:rPr>
                <w:rFonts w:hint="default" w:ascii="Times New Roman" w:hAnsi="Times New Roman" w:cs="Times New Roman"/>
                <w:bCs/>
                <w:color w:val="000000"/>
                <w:sz w:val="24"/>
                <w:szCs w:val="24"/>
                <w:highlight w:val="none"/>
              </w:rPr>
              <w:t>通过</w:t>
            </w:r>
            <w:r>
              <w:rPr>
                <w:rFonts w:hint="default" w:ascii="Times New Roman" w:hAnsi="Times New Roman" w:cs="Times New Roman"/>
                <w:bCs/>
                <w:color w:val="000000"/>
                <w:sz w:val="24"/>
                <w:szCs w:val="24"/>
                <w:highlight w:val="none"/>
                <w:lang w:eastAsia="zh-CN"/>
              </w:rPr>
              <w:t>产业园</w:t>
            </w:r>
            <w:r>
              <w:rPr>
                <w:rFonts w:hint="eastAsia" w:cs="Times New Roman"/>
                <w:bCs/>
                <w:color w:val="000000"/>
                <w:sz w:val="24"/>
                <w:szCs w:val="24"/>
                <w:highlight w:val="none"/>
                <w:lang w:eastAsia="zh-CN"/>
              </w:rPr>
              <w:t>区</w:t>
            </w:r>
            <w:r>
              <w:rPr>
                <w:rFonts w:hint="default" w:ascii="Times New Roman" w:hAnsi="Times New Roman" w:cs="Times New Roman"/>
                <w:bCs/>
                <w:color w:val="000000"/>
                <w:sz w:val="24"/>
                <w:szCs w:val="24"/>
                <w:highlight w:val="none"/>
              </w:rPr>
              <w:t>污水管网排入</w:t>
            </w:r>
            <w:r>
              <w:rPr>
                <w:rFonts w:hint="eastAsia" w:cs="Times New Roman"/>
                <w:bCs/>
                <w:color w:val="000000"/>
                <w:sz w:val="24"/>
                <w:szCs w:val="24"/>
                <w:highlight w:val="none"/>
                <w:lang w:eastAsia="zh-CN"/>
              </w:rPr>
              <w:t>詹店镇</w:t>
            </w:r>
            <w:r>
              <w:rPr>
                <w:rFonts w:hint="default" w:ascii="Times New Roman" w:hAnsi="Times New Roman" w:cs="Times New Roman"/>
                <w:sz w:val="24"/>
                <w:szCs w:val="24"/>
                <w:highlight w:val="none"/>
              </w:rPr>
              <w:t>污水处理厂进一</w:t>
            </w:r>
            <w:r>
              <w:rPr>
                <w:rFonts w:hint="default" w:ascii="Times New Roman" w:hAnsi="Times New Roman" w:cs="Times New Roman"/>
                <w:sz w:val="24"/>
                <w:szCs w:val="24"/>
              </w:rPr>
              <w:t>步处理</w:t>
            </w:r>
            <w:r>
              <w:rPr>
                <w:rFonts w:hint="default" w:ascii="Times New Roman" w:hAnsi="Times New Roman" w:cs="Times New Roman"/>
                <w:bCs/>
                <w:iCs/>
              </w:rPr>
              <w:t>。</w:t>
            </w:r>
          </w:p>
          <w:p w14:paraId="12249A37">
            <w:pPr>
              <w:pStyle w:val="26"/>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bCs/>
                <w:highlight w:val="none"/>
              </w:rPr>
            </w:pPr>
            <w:r>
              <w:rPr>
                <w:rFonts w:hint="eastAsia" w:cs="Times New Roman"/>
                <w:b/>
                <w:bCs/>
                <w:highlight w:val="none"/>
                <w:lang w:val="en-US" w:eastAsia="zh-CN"/>
              </w:rPr>
              <w:t>十</w:t>
            </w:r>
            <w:r>
              <w:rPr>
                <w:rFonts w:hint="default" w:ascii="Times New Roman" w:hAnsi="Times New Roman" w:cs="Times New Roman"/>
                <w:b/>
                <w:bCs/>
                <w:highlight w:val="none"/>
              </w:rPr>
              <w:t>、本项目总平面布局</w:t>
            </w:r>
          </w:p>
          <w:p w14:paraId="5A64DC7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lang w:val="en-US" w:eastAsia="zh-CN"/>
              </w:rPr>
            </w:pPr>
            <w:r>
              <w:rPr>
                <w:rFonts w:hint="eastAsia" w:cs="Times New Roman"/>
                <w:color w:val="000000"/>
                <w:sz w:val="24"/>
                <w:highlight w:val="none"/>
                <w:lang w:eastAsia="zh-CN"/>
              </w:rPr>
              <w:t>生产车间东</w:t>
            </w:r>
            <w:r>
              <w:rPr>
                <w:rFonts w:hint="default" w:ascii="Times New Roman" w:hAnsi="Times New Roman" w:cs="Times New Roman"/>
                <w:color w:val="000000"/>
                <w:sz w:val="24"/>
                <w:highlight w:val="none"/>
                <w:lang w:eastAsia="zh-CN"/>
              </w:rPr>
              <w:t>侧</w:t>
            </w:r>
            <w:r>
              <w:rPr>
                <w:rFonts w:hint="default" w:ascii="Times New Roman" w:hAnsi="Times New Roman" w:cs="Times New Roman"/>
                <w:color w:val="000000"/>
                <w:sz w:val="24"/>
                <w:highlight w:val="none"/>
              </w:rPr>
              <w:t>为出入口，</w:t>
            </w:r>
            <w:r>
              <w:rPr>
                <w:rFonts w:hint="default" w:ascii="Times New Roman" w:hAnsi="Times New Roman" w:cs="Times New Roman"/>
                <w:color w:val="000000"/>
                <w:sz w:val="24"/>
                <w:highlight w:val="none"/>
                <w:lang w:eastAsia="zh-CN"/>
              </w:rPr>
              <w:t>车间内部划分为原料区、成品区、生产加工区</w:t>
            </w:r>
            <w:r>
              <w:rPr>
                <w:rFonts w:hint="eastAsia" w:ascii="Times New Roman" w:hAnsi="Times New Roman" w:cs="Times New Roman"/>
                <w:color w:val="000000"/>
                <w:sz w:val="24"/>
                <w:highlight w:val="none"/>
                <w:lang w:eastAsia="zh-CN"/>
              </w:rPr>
              <w:t>、办公区</w:t>
            </w:r>
            <w:r>
              <w:rPr>
                <w:rFonts w:hint="default" w:ascii="Times New Roman" w:hAnsi="Times New Roman" w:cs="Times New Roman"/>
                <w:color w:val="000000"/>
                <w:sz w:val="24"/>
                <w:highlight w:val="none"/>
                <w:lang w:eastAsia="zh-CN"/>
              </w:rPr>
              <w:t>，</w:t>
            </w:r>
            <w:r>
              <w:rPr>
                <w:rFonts w:hint="eastAsia" w:cs="Times New Roman"/>
                <w:color w:val="000000"/>
                <w:sz w:val="24"/>
                <w:highlight w:val="none"/>
                <w:lang w:eastAsia="zh-CN"/>
              </w:rPr>
              <w:t>生产车间入口的左侧为成品区，右侧为办公区，车间中部两侧为原料区，车间的最里面为生产加工区域</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auto"/>
                <w:sz w:val="24"/>
                <w:szCs w:val="24"/>
                <w:highlight w:val="none"/>
                <w:lang w:eastAsia="zh-CN"/>
              </w:rPr>
              <w:t>生产物流</w:t>
            </w:r>
            <w:r>
              <w:rPr>
                <w:rFonts w:hint="default" w:ascii="Times New Roman" w:hAnsi="Times New Roman" w:cs="Times New Roman"/>
                <w:color w:val="auto"/>
                <w:sz w:val="24"/>
                <w:szCs w:val="24"/>
                <w:highlight w:val="none"/>
              </w:rPr>
              <w:t>与人流分离，生产区与办公区分离，供电、供水线路简捷，土地利用及投资合理，建筑物平面布局大方协调</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rPr>
              <w:t>各功能区分区明确，</w:t>
            </w:r>
            <w:r>
              <w:rPr>
                <w:rFonts w:hint="default" w:ascii="Times New Roman" w:hAnsi="Times New Roman" w:cs="Times New Roman"/>
                <w:color w:val="auto"/>
                <w:sz w:val="24"/>
                <w:szCs w:val="24"/>
                <w:highlight w:val="none"/>
              </w:rPr>
              <w:t>有利生产，方便管理</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rPr>
              <w:t>平面布置合理</w:t>
            </w:r>
            <w:r>
              <w:rPr>
                <w:rFonts w:hint="default" w:ascii="Times New Roman" w:hAnsi="Times New Roman" w:cs="Times New Roman"/>
                <w:lang w:eastAsia="zh-CN"/>
              </w:rPr>
              <w:t>。</w:t>
            </w:r>
            <w:r>
              <w:rPr>
                <w:rFonts w:hint="default" w:ascii="Times New Roman" w:hAnsi="Times New Roman" w:cs="Times New Roman"/>
                <w:color w:val="000000"/>
                <w:sz w:val="24"/>
              </w:rPr>
              <w:t>项目</w:t>
            </w:r>
            <w:r>
              <w:rPr>
                <w:rFonts w:hint="default" w:ascii="Times New Roman" w:hAnsi="Times New Roman" w:cs="Times New Roman"/>
                <w:color w:val="000000"/>
                <w:sz w:val="24"/>
                <w:lang w:eastAsia="zh-CN"/>
              </w:rPr>
              <w:t>平面布局</w:t>
            </w:r>
            <w:r>
              <w:rPr>
                <w:rFonts w:hint="default" w:ascii="Times New Roman" w:hAnsi="Times New Roman" w:cs="Times New Roman"/>
                <w:color w:val="000000"/>
                <w:sz w:val="24"/>
              </w:rPr>
              <w:t>图见附图</w:t>
            </w:r>
            <w:r>
              <w:rPr>
                <w:rFonts w:hint="default" w:ascii="Times New Roman" w:hAnsi="Times New Roman" w:cs="Times New Roman"/>
                <w:color w:val="000000"/>
                <w:sz w:val="24"/>
                <w:lang w:eastAsia="zh-CN"/>
              </w:rPr>
              <w:t>三</w:t>
            </w:r>
            <w:r>
              <w:rPr>
                <w:rFonts w:hint="default" w:ascii="Times New Roman" w:hAnsi="Times New Roman" w:cs="Times New Roman"/>
                <w:color w:val="000000"/>
                <w:sz w:val="24"/>
              </w:rPr>
              <w:t>。</w:t>
            </w:r>
          </w:p>
        </w:tc>
      </w:tr>
      <w:tr w14:paraId="3F79BC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6" w:type="dxa"/>
            <w:noWrap w:val="0"/>
            <w:vAlign w:val="center"/>
          </w:tcPr>
          <w:p w14:paraId="73FA08E2">
            <w:pPr>
              <w:pStyle w:val="12"/>
              <w:adjustRightInd w:val="0"/>
              <w:snapToGrid w:val="0"/>
              <w:spacing w:before="0" w:beforeAutospacing="0" w:after="0" w:afterAutospacing="0" w:line="240" w:lineRule="auto"/>
              <w:ind w:firstLine="0" w:firstLineChars="0"/>
              <w:jc w:val="center"/>
              <w:rPr>
                <w:rFonts w:hint="default" w:ascii="Times New Roman" w:hAnsi="Times New Roman" w:cs="Times New Roman"/>
                <w:szCs w:val="24"/>
                <w:highlight w:val="none"/>
              </w:rPr>
            </w:pPr>
            <w:r>
              <w:rPr>
                <w:rFonts w:hint="default" w:ascii="Times New Roman" w:hAnsi="Times New Roman" w:cs="Times New Roman"/>
                <w:szCs w:val="21"/>
                <w:highlight w:val="none"/>
              </w:rPr>
              <w:t>工艺流程和产排污环节</w:t>
            </w:r>
          </w:p>
        </w:tc>
        <w:tc>
          <w:tcPr>
            <w:tcW w:w="8990" w:type="dxa"/>
            <w:noWrap w:val="0"/>
            <w:vAlign w:val="top"/>
          </w:tcPr>
          <w:p w14:paraId="7423DC8C">
            <w:pPr>
              <w:pStyle w:val="26"/>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highlight w:val="none"/>
              </w:rPr>
            </w:pPr>
            <w:r>
              <w:rPr>
                <w:rFonts w:hint="eastAsia" w:cs="Times New Roman"/>
                <w:b/>
                <w:highlight w:val="none"/>
                <w:lang w:eastAsia="zh-CN"/>
              </w:rPr>
              <w:t>一</w:t>
            </w:r>
            <w:r>
              <w:rPr>
                <w:rFonts w:hint="default" w:ascii="Times New Roman" w:hAnsi="Times New Roman" w:cs="Times New Roman"/>
                <w:b/>
                <w:highlight w:val="none"/>
              </w:rPr>
              <w:t>、工艺流程简述</w:t>
            </w:r>
          </w:p>
          <w:p w14:paraId="0C08F83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b w:val="0"/>
                <w:bCs w:val="0"/>
                <w:highlight w:val="none"/>
              </w:rPr>
            </w:pPr>
            <w:r>
              <w:rPr>
                <w:rFonts w:hint="eastAsia" w:cs="Times New Roman"/>
                <w:b w:val="0"/>
                <w:bCs w:val="0"/>
                <w:highlight w:val="none"/>
                <w:lang w:eastAsia="zh-CN"/>
              </w:rPr>
              <w:t>本项目塑料食品餐盒</w:t>
            </w:r>
            <w:r>
              <w:rPr>
                <w:rFonts w:hint="default" w:ascii="Times New Roman" w:hAnsi="Times New Roman" w:cs="Times New Roman"/>
                <w:b w:val="0"/>
                <w:bCs w:val="0"/>
                <w:highlight w:val="none"/>
                <w:lang w:eastAsia="zh-CN"/>
              </w:rPr>
              <w:t>生产线工艺流程：</w:t>
            </w:r>
          </w:p>
          <w:p w14:paraId="2AC7360F">
            <w:pPr>
              <w:pStyle w:val="2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s="Times New Roman"/>
                <w:highlight w:val="none"/>
                <w:lang w:eastAsia="zh-CN"/>
              </w:rPr>
            </w:pPr>
            <w:r>
              <w:rPr>
                <w:rFonts w:hint="eastAsia" w:cs="Times New Roman"/>
                <w:highlight w:val="none"/>
                <w:lang w:eastAsia="zh-CN"/>
              </w:rPr>
              <w:t>（</w:t>
            </w:r>
            <w:r>
              <w:rPr>
                <w:rFonts w:hint="eastAsia" w:cs="Times New Roman"/>
                <w:highlight w:val="none"/>
                <w:lang w:val="en-US" w:eastAsia="zh-CN"/>
              </w:rPr>
              <w:t>1</w:t>
            </w:r>
            <w:r>
              <w:rPr>
                <w:rFonts w:hint="eastAsia" w:cs="Times New Roman"/>
                <w:highlight w:val="none"/>
                <w:lang w:eastAsia="zh-CN"/>
              </w:rPr>
              <w:t>）外购原材料</w:t>
            </w:r>
          </w:p>
          <w:p w14:paraId="7F3BAFAF">
            <w:pPr>
              <w:pStyle w:val="2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s="Times New Roman"/>
                <w:highlight w:val="none"/>
                <w:lang w:eastAsia="zh-CN"/>
              </w:rPr>
            </w:pPr>
            <w:r>
              <w:rPr>
                <w:rFonts w:hint="eastAsia" w:cs="Times New Roman"/>
                <w:highlight w:val="none"/>
                <w:lang w:val="en-US" w:eastAsia="zh-CN"/>
              </w:rPr>
              <w:t>BOPS片材、包装纸箱等原材料，由供货方运输至厂房内，在车间原料区暂存，供生产使用。</w:t>
            </w:r>
          </w:p>
          <w:p w14:paraId="2B71716D">
            <w:pPr>
              <w:pStyle w:val="2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s="Times New Roman"/>
                <w:highlight w:val="none"/>
                <w:lang w:eastAsia="zh-CN"/>
              </w:rPr>
            </w:pPr>
            <w:r>
              <w:rPr>
                <w:rFonts w:hint="eastAsia" w:cs="Times New Roman"/>
                <w:highlight w:val="none"/>
                <w:lang w:eastAsia="zh-CN"/>
              </w:rPr>
              <w:t>（</w:t>
            </w:r>
            <w:r>
              <w:rPr>
                <w:rFonts w:hint="eastAsia" w:cs="Times New Roman"/>
                <w:highlight w:val="none"/>
                <w:lang w:val="en-US" w:eastAsia="zh-CN"/>
              </w:rPr>
              <w:t>2</w:t>
            </w:r>
            <w:r>
              <w:rPr>
                <w:rFonts w:hint="eastAsia" w:cs="Times New Roman"/>
                <w:highlight w:val="none"/>
                <w:lang w:eastAsia="zh-CN"/>
              </w:rPr>
              <w:t>）上料</w:t>
            </w:r>
          </w:p>
          <w:p w14:paraId="45E54589">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eastAsia="宋体" w:cs="Times New Roman"/>
                <w:highlight w:val="none"/>
                <w:lang w:eastAsia="zh-CN"/>
              </w:rPr>
            </w:pPr>
            <w:r>
              <w:rPr>
                <w:rFonts w:hint="eastAsia" w:cs="Times New Roman"/>
                <w:highlight w:val="none"/>
                <w:lang w:eastAsia="zh-CN"/>
              </w:rPr>
              <w:t>成卷的</w:t>
            </w:r>
            <w:r>
              <w:rPr>
                <w:rFonts w:hint="eastAsia" w:cs="Times New Roman"/>
                <w:highlight w:val="none"/>
                <w:lang w:val="en-US" w:eastAsia="zh-CN"/>
              </w:rPr>
              <w:t>BOPS片材被安装在成型机前端的放卷架上，通过可转动的卷轴架，来带动成卷的BOPS片材转动，可以更快的供料，接着，BOPS片材</w:t>
            </w:r>
            <w:r>
              <w:rPr>
                <w:rFonts w:hint="eastAsia" w:cs="Times New Roman"/>
                <w:b w:val="0"/>
                <w:bCs w:val="0"/>
                <w:highlight w:val="none"/>
                <w:lang w:val="en-US" w:eastAsia="zh-CN"/>
              </w:rPr>
              <w:t>始端缠绕在成型机前端的一套辊筒上，通过辊筒的牵引，使BOPS片材平整</w:t>
            </w:r>
            <w:r>
              <w:rPr>
                <w:rFonts w:hint="eastAsia" w:cs="Times New Roman"/>
                <w:highlight w:val="none"/>
                <w:lang w:val="en-US" w:eastAsia="zh-CN"/>
              </w:rPr>
              <w:t>、连续地从卷轴上拉出，拉出的BOPS片材传递至成型机的传送带上，同时，传送带两侧有固定BOPS片材的夹子，夹子不仅可以固定BOPS片材，防止其收缩时移位，还可以决定BOPS片材的边角料范围，能够更快的进入下一工序。</w:t>
            </w:r>
            <w:r>
              <w:rPr>
                <w:rFonts w:hint="default" w:ascii="Times New Roman" w:hAnsi="Times New Roman" w:cs="Times New Roman"/>
                <w:highlight w:val="none"/>
                <w:lang w:eastAsia="zh-CN"/>
              </w:rPr>
              <w:t>该工序产生的主要污染为设备运行噪声</w:t>
            </w:r>
            <w:r>
              <w:rPr>
                <w:rFonts w:hint="default" w:ascii="Times New Roman" w:hAnsi="Times New Roman" w:cs="Times New Roman"/>
                <w:highlight w:val="none"/>
                <w:lang w:val="en-US" w:eastAsia="zh-CN"/>
              </w:rPr>
              <w:t>。</w:t>
            </w:r>
          </w:p>
          <w:p w14:paraId="756B4AB6">
            <w:pPr>
              <w:pStyle w:val="26"/>
              <w:keepNext w:val="0"/>
              <w:keepLines w:val="0"/>
              <w:pageBreakBefore w:val="0"/>
              <w:widowControl w:val="0"/>
              <w:kinsoku/>
              <w:wordWrap w:val="0"/>
              <w:overflowPunct/>
              <w:topLinePunct w:val="0"/>
              <w:autoSpaceDE/>
              <w:autoSpaceDN/>
              <w:bidi w:val="0"/>
              <w:adjustRightInd/>
              <w:snapToGrid/>
              <w:spacing w:line="520" w:lineRule="exact"/>
              <w:ind w:firstLine="480" w:firstLineChars="200"/>
              <w:textAlignment w:val="auto"/>
              <w:rPr>
                <w:rFonts w:hint="eastAsia" w:cs="Times New Roman"/>
                <w:highlight w:val="none"/>
                <w:lang w:val="en-US" w:eastAsia="zh-CN"/>
              </w:rPr>
            </w:pPr>
            <w:r>
              <w:rPr>
                <w:rFonts w:hint="eastAsia" w:cs="Times New Roman"/>
                <w:highlight w:val="none"/>
                <w:lang w:val="en-US" w:eastAsia="zh-CN"/>
              </w:rPr>
              <w:t>（2）加热成型</w:t>
            </w:r>
          </w:p>
          <w:p w14:paraId="5D7155D9">
            <w:pPr>
              <w:pStyle w:val="26"/>
              <w:keepNext w:val="0"/>
              <w:keepLines w:val="0"/>
              <w:pageBreakBefore w:val="0"/>
              <w:widowControl w:val="0"/>
              <w:kinsoku/>
              <w:wordWrap w:val="0"/>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highlight w:val="none"/>
                <w:lang w:eastAsia="zh-CN"/>
              </w:rPr>
            </w:pPr>
            <w:r>
              <w:rPr>
                <w:rFonts w:hint="eastAsia" w:cs="Times New Roman"/>
                <w:highlight w:val="none"/>
                <w:lang w:val="en-US" w:eastAsia="zh-CN"/>
              </w:rPr>
              <w:t>当BOPS片材经过传送带，向前输送至成型机的加热区域，成型机加热区</w:t>
            </w:r>
            <w:r>
              <w:rPr>
                <w:rFonts w:hint="eastAsia" w:cs="Times New Roman"/>
                <w:highlight w:val="none"/>
                <w:lang w:eastAsia="zh-CN"/>
              </w:rPr>
              <w:t>配备电热丝加热组，为上下两面加热，对</w:t>
            </w:r>
            <w:r>
              <w:rPr>
                <w:rFonts w:hint="eastAsia" w:cs="Times New Roman"/>
                <w:highlight w:val="none"/>
                <w:lang w:val="en-US" w:eastAsia="zh-CN"/>
              </w:rPr>
              <w:t>BOPS片材</w:t>
            </w:r>
            <w:r>
              <w:rPr>
                <w:rFonts w:hint="eastAsia" w:cs="Times New Roman"/>
                <w:highlight w:val="none"/>
                <w:lang w:eastAsia="zh-CN"/>
              </w:rPr>
              <w:t>进行均匀加热，</w:t>
            </w:r>
            <w:r>
              <w:rPr>
                <w:rFonts w:hint="eastAsia" w:cs="Times New Roman"/>
                <w:highlight w:val="none"/>
                <w:lang w:val="en-US" w:eastAsia="zh-CN"/>
              </w:rPr>
              <w:t>BOPS片材经过加热后会软化，</w:t>
            </w:r>
            <w:r>
              <w:rPr>
                <w:rFonts w:hint="eastAsia" w:cs="Times New Roman"/>
                <w:highlight w:val="none"/>
                <w:lang w:eastAsia="zh-CN"/>
              </w:rPr>
              <w:t>加热温度大约为</w:t>
            </w:r>
            <w:r>
              <w:rPr>
                <w:rFonts w:hint="eastAsia" w:cs="Times New Roman"/>
                <w:highlight w:val="none"/>
                <w:lang w:val="en-US" w:eastAsia="zh-CN"/>
              </w:rPr>
              <w:t>100</w:t>
            </w:r>
            <w:r>
              <w:rPr>
                <w:rFonts w:hint="default" w:ascii="Times New Roman" w:hAnsi="Times New Roman" w:cs="Times New Roman"/>
                <w:highlight w:val="none"/>
                <w:lang w:eastAsia="zh-CN"/>
              </w:rPr>
              <w:t>°C</w:t>
            </w:r>
            <w:r>
              <w:rPr>
                <w:rFonts w:hint="eastAsia" w:cs="Times New Roman"/>
                <w:highlight w:val="none"/>
                <w:lang w:val="en-US" w:eastAsia="zh-CN"/>
              </w:rPr>
              <w:t>-130</w:t>
            </w:r>
            <w:r>
              <w:rPr>
                <w:rFonts w:hint="default" w:ascii="Times New Roman" w:hAnsi="Times New Roman" w:cs="Times New Roman"/>
                <w:highlight w:val="none"/>
                <w:lang w:eastAsia="zh-CN"/>
              </w:rPr>
              <w:t>°C</w:t>
            </w:r>
            <w:r>
              <w:rPr>
                <w:rFonts w:hint="eastAsia" w:ascii="Times New Roman" w:hAnsi="Times New Roman" w:cs="Times New Roman"/>
                <w:highlight w:val="none"/>
                <w:lang w:eastAsia="zh-CN"/>
              </w:rPr>
              <w:t>。</w:t>
            </w:r>
            <w:r>
              <w:rPr>
                <w:rFonts w:hint="eastAsia" w:cs="Times New Roman"/>
                <w:highlight w:val="none"/>
                <w:lang w:val="en-US" w:eastAsia="zh-CN"/>
              </w:rPr>
              <w:t>加热后的BOPS片材迅速被转移到成型区，模具由模塞和型腔两部分组成（本项目生产两种形状的塑料食品餐盒，生产对应形状的餐盒，更换相应的模具），BOPS片材与型腔闭合形成一个密封的成型空间，模塞向上运动，将软化的片材压缩成型，同时，从BOPS片材下方通入压缩空气，BOPS</w:t>
            </w:r>
            <w:r>
              <w:rPr>
                <w:rFonts w:ascii="Segoe UI" w:hAnsi="Segoe UI" w:eastAsia="Segoe UI" w:cs="Segoe UI"/>
                <w:i w:val="0"/>
                <w:iCs w:val="0"/>
                <w:caps w:val="0"/>
                <w:color w:val="0F1115"/>
                <w:spacing w:val="0"/>
                <w:sz w:val="24"/>
                <w:szCs w:val="24"/>
                <w:shd w:val="clear" w:fill="FFFFFF"/>
              </w:rPr>
              <w:t>片材</w:t>
            </w:r>
            <w:r>
              <w:rPr>
                <w:rFonts w:hint="eastAsia" w:ascii="Segoe UI" w:hAnsi="Segoe UI" w:eastAsia="宋体" w:cs="Segoe UI"/>
                <w:i w:val="0"/>
                <w:iCs w:val="0"/>
                <w:caps w:val="0"/>
                <w:color w:val="0F1115"/>
                <w:spacing w:val="0"/>
                <w:sz w:val="24"/>
                <w:szCs w:val="24"/>
                <w:shd w:val="clear" w:fill="FFFFFF"/>
                <w:lang w:eastAsia="zh-CN"/>
              </w:rPr>
              <w:t>由于上下压力不同，软化的</w:t>
            </w:r>
            <w:r>
              <w:rPr>
                <w:rFonts w:hint="eastAsia" w:cs="Times New Roman"/>
                <w:highlight w:val="none"/>
                <w:lang w:val="en-US" w:eastAsia="zh-CN"/>
              </w:rPr>
              <w:t>BOPS</w:t>
            </w:r>
            <w:r>
              <w:rPr>
                <w:rFonts w:hint="eastAsia" w:ascii="Segoe UI" w:hAnsi="Segoe UI" w:eastAsia="宋体" w:cs="Segoe UI"/>
                <w:i w:val="0"/>
                <w:iCs w:val="0"/>
                <w:caps w:val="0"/>
                <w:color w:val="0F1115"/>
                <w:spacing w:val="0"/>
                <w:sz w:val="24"/>
                <w:szCs w:val="24"/>
                <w:shd w:val="clear" w:fill="FFFFFF"/>
                <w:lang w:eastAsia="zh-CN"/>
              </w:rPr>
              <w:t>片材紧紧地贴合在在模具上，</w:t>
            </w:r>
            <w:r>
              <w:rPr>
                <w:rFonts w:hint="eastAsia" w:cs="Times New Roman"/>
                <w:highlight w:val="none"/>
                <w:lang w:val="en-US" w:eastAsia="zh-CN"/>
              </w:rPr>
              <w:t>BOPS</w:t>
            </w:r>
            <w:r>
              <w:rPr>
                <w:rFonts w:ascii="Segoe UI" w:hAnsi="Segoe UI" w:eastAsia="Segoe UI" w:cs="Segoe UI"/>
                <w:i w:val="0"/>
                <w:iCs w:val="0"/>
                <w:caps w:val="0"/>
                <w:color w:val="0F1115"/>
                <w:spacing w:val="0"/>
                <w:sz w:val="24"/>
                <w:szCs w:val="24"/>
                <w:shd w:val="clear" w:fill="FFFFFF"/>
              </w:rPr>
              <w:t>片材一旦贴合模具，就会在此状态下保持一个短暂的</w:t>
            </w:r>
            <w:r>
              <w:rPr>
                <w:rStyle w:val="18"/>
                <w:rFonts w:hint="eastAsia" w:ascii="Segoe UI" w:hAnsi="Segoe UI" w:eastAsia="宋体" w:cs="Segoe UI"/>
                <w:b w:val="0"/>
                <w:bCs w:val="0"/>
                <w:i w:val="0"/>
                <w:iCs w:val="0"/>
                <w:caps w:val="0"/>
                <w:color w:val="0F1115"/>
                <w:spacing w:val="0"/>
                <w:sz w:val="24"/>
                <w:szCs w:val="24"/>
                <w:shd w:val="clear" w:fill="FFFFFF"/>
                <w:lang w:eastAsia="zh-CN"/>
              </w:rPr>
              <w:t>成型</w:t>
            </w:r>
            <w:r>
              <w:rPr>
                <w:rStyle w:val="18"/>
                <w:rFonts w:hint="default" w:ascii="Segoe UI" w:hAnsi="Segoe UI" w:eastAsia="Segoe UI" w:cs="Segoe UI"/>
                <w:b w:val="0"/>
                <w:bCs w:val="0"/>
                <w:i w:val="0"/>
                <w:iCs w:val="0"/>
                <w:caps w:val="0"/>
                <w:color w:val="0F1115"/>
                <w:spacing w:val="0"/>
                <w:sz w:val="24"/>
                <w:szCs w:val="24"/>
                <w:shd w:val="clear" w:fill="FFFFFF"/>
              </w:rPr>
              <w:t>时间</w:t>
            </w:r>
            <w:r>
              <w:rPr>
                <w:rFonts w:hint="default" w:ascii="Segoe UI" w:hAnsi="Segoe UI" w:eastAsia="Segoe UI" w:cs="Segoe UI"/>
                <w:b w:val="0"/>
                <w:bCs w:val="0"/>
                <w:i w:val="0"/>
                <w:iCs w:val="0"/>
                <w:caps w:val="0"/>
                <w:color w:val="0F1115"/>
                <w:spacing w:val="0"/>
                <w:sz w:val="24"/>
                <w:szCs w:val="24"/>
                <w:shd w:val="clear" w:fill="FFFFFF"/>
              </w:rPr>
              <w:t>。</w:t>
            </w:r>
            <w:r>
              <w:rPr>
                <w:rFonts w:hint="eastAsia" w:ascii="Segoe UI" w:hAnsi="Segoe UI" w:eastAsia="宋体" w:cs="Segoe UI"/>
                <w:i w:val="0"/>
                <w:iCs w:val="0"/>
                <w:caps w:val="0"/>
                <w:color w:val="0F1115"/>
                <w:spacing w:val="0"/>
                <w:sz w:val="24"/>
                <w:szCs w:val="24"/>
                <w:shd w:val="clear" w:fill="FFFFFF"/>
                <w:lang w:eastAsia="zh-CN"/>
              </w:rPr>
              <w:t>成型后，模具与片材之间</w:t>
            </w:r>
            <w:r>
              <w:rPr>
                <w:rFonts w:hint="default" w:ascii="Segoe UI" w:hAnsi="Segoe UI" w:eastAsia="Segoe UI" w:cs="Segoe UI"/>
                <w:i w:val="0"/>
                <w:iCs w:val="0"/>
                <w:caps w:val="0"/>
                <w:color w:val="0F1115"/>
                <w:spacing w:val="0"/>
                <w:sz w:val="24"/>
                <w:szCs w:val="24"/>
                <w:shd w:val="clear" w:fill="FFFFFF"/>
              </w:rPr>
              <w:t>会通入少量</w:t>
            </w:r>
            <w:r>
              <w:rPr>
                <w:rFonts w:hint="eastAsia" w:ascii="Segoe UI" w:hAnsi="Segoe UI" w:eastAsia="宋体" w:cs="Segoe UI"/>
                <w:i w:val="0"/>
                <w:iCs w:val="0"/>
                <w:caps w:val="0"/>
                <w:color w:val="0F1115"/>
                <w:spacing w:val="0"/>
                <w:sz w:val="24"/>
                <w:szCs w:val="24"/>
                <w:shd w:val="clear" w:fill="FFFFFF"/>
                <w:lang w:eastAsia="zh-CN"/>
              </w:rPr>
              <w:t>的</w:t>
            </w:r>
            <w:r>
              <w:rPr>
                <w:rFonts w:hint="default" w:ascii="Segoe UI" w:hAnsi="Segoe UI" w:eastAsia="Segoe UI" w:cs="Segoe UI"/>
                <w:i w:val="0"/>
                <w:iCs w:val="0"/>
                <w:caps w:val="0"/>
                <w:color w:val="0F1115"/>
                <w:spacing w:val="0"/>
                <w:sz w:val="24"/>
                <w:szCs w:val="24"/>
                <w:shd w:val="clear" w:fill="FFFFFF"/>
              </w:rPr>
              <w:t>压缩空气</w:t>
            </w:r>
            <w:r>
              <w:rPr>
                <w:rFonts w:hint="eastAsia" w:ascii="Segoe UI" w:hAnsi="Segoe UI" w:eastAsia="宋体" w:cs="Segoe UI"/>
                <w:i w:val="0"/>
                <w:iCs w:val="0"/>
                <w:caps w:val="0"/>
                <w:color w:val="0F1115"/>
                <w:spacing w:val="0"/>
                <w:sz w:val="24"/>
                <w:szCs w:val="24"/>
                <w:shd w:val="clear" w:fill="FFFFFF"/>
                <w:lang w:eastAsia="zh-CN"/>
              </w:rPr>
              <w:t>来</w:t>
            </w:r>
            <w:r>
              <w:rPr>
                <w:rFonts w:hint="default" w:ascii="Segoe UI" w:hAnsi="Segoe UI" w:eastAsia="Segoe UI" w:cs="Segoe UI"/>
                <w:i w:val="0"/>
                <w:iCs w:val="0"/>
                <w:caps w:val="0"/>
                <w:color w:val="0F1115"/>
                <w:spacing w:val="0"/>
                <w:sz w:val="24"/>
                <w:szCs w:val="24"/>
                <w:shd w:val="clear" w:fill="FFFFFF"/>
              </w:rPr>
              <w:t>辅助脱模</w:t>
            </w:r>
            <w:r>
              <w:rPr>
                <w:rFonts w:hint="eastAsia" w:ascii="Segoe UI" w:hAnsi="Segoe UI" w:eastAsia="宋体" w:cs="Segoe UI"/>
                <w:i w:val="0"/>
                <w:iCs w:val="0"/>
                <w:caps w:val="0"/>
                <w:color w:val="0F1115"/>
                <w:spacing w:val="0"/>
                <w:sz w:val="24"/>
                <w:szCs w:val="24"/>
                <w:shd w:val="clear" w:fill="FFFFFF"/>
                <w:lang w:eastAsia="zh-CN"/>
              </w:rPr>
              <w:t>，</w:t>
            </w:r>
            <w:r>
              <w:rPr>
                <w:rFonts w:hint="default" w:ascii="Segoe UI" w:hAnsi="Segoe UI" w:eastAsia="Segoe UI" w:cs="Segoe UI"/>
                <w:i w:val="0"/>
                <w:iCs w:val="0"/>
                <w:caps w:val="0"/>
                <w:color w:val="0F1115"/>
                <w:spacing w:val="0"/>
                <w:sz w:val="24"/>
                <w:szCs w:val="24"/>
                <w:shd w:val="clear" w:fill="FFFFFF"/>
              </w:rPr>
              <w:t>接着</w:t>
            </w:r>
            <w:r>
              <w:rPr>
                <w:rFonts w:hint="eastAsia" w:ascii="Segoe UI" w:hAnsi="Segoe UI" w:eastAsia="宋体" w:cs="Segoe UI"/>
                <w:i w:val="0"/>
                <w:iCs w:val="0"/>
                <w:caps w:val="0"/>
                <w:color w:val="0F1115"/>
                <w:spacing w:val="0"/>
                <w:sz w:val="24"/>
                <w:szCs w:val="24"/>
                <w:shd w:val="clear" w:fill="FFFFFF"/>
                <w:lang w:eastAsia="zh-CN"/>
              </w:rPr>
              <w:t>，</w:t>
            </w:r>
            <w:r>
              <w:rPr>
                <w:rFonts w:hint="default" w:ascii="Segoe UI" w:hAnsi="Segoe UI" w:eastAsia="Segoe UI" w:cs="Segoe UI"/>
                <w:i w:val="0"/>
                <w:iCs w:val="0"/>
                <w:caps w:val="0"/>
                <w:color w:val="0F1115"/>
                <w:spacing w:val="0"/>
                <w:sz w:val="24"/>
                <w:szCs w:val="24"/>
                <w:shd w:val="clear" w:fill="FFFFFF"/>
              </w:rPr>
              <w:t>模塞退回，模具打开</w:t>
            </w:r>
            <w:r>
              <w:rPr>
                <w:rFonts w:hint="eastAsia" w:ascii="Segoe UI" w:hAnsi="Segoe UI" w:eastAsia="宋体" w:cs="Segoe UI"/>
                <w:i w:val="0"/>
                <w:iCs w:val="0"/>
                <w:caps w:val="0"/>
                <w:color w:val="0F1115"/>
                <w:spacing w:val="0"/>
                <w:sz w:val="24"/>
                <w:szCs w:val="24"/>
                <w:shd w:val="clear" w:fill="FFFFFF"/>
                <w:lang w:eastAsia="zh-CN"/>
              </w:rPr>
              <w:t>，塑料食品餐盒成品掉落在成型机的传送带上。加热成型</w:t>
            </w:r>
            <w:r>
              <w:rPr>
                <w:rFonts w:ascii="Segoe UI" w:hAnsi="Segoe UI" w:eastAsia="Segoe UI" w:cs="Segoe UI"/>
                <w:i w:val="0"/>
                <w:iCs w:val="0"/>
                <w:caps w:val="0"/>
                <w:color w:val="0F1115"/>
                <w:spacing w:val="0"/>
                <w:sz w:val="24"/>
                <w:szCs w:val="24"/>
                <w:shd w:val="clear" w:fill="FFFFFF"/>
              </w:rPr>
              <w:t>这个过程在</w:t>
            </w:r>
            <w:r>
              <w:rPr>
                <w:rFonts w:hint="default" w:ascii="Times New Roman" w:hAnsi="Times New Roman" w:eastAsia="宋体" w:cs="Times New Roman"/>
                <w:i w:val="0"/>
                <w:iCs w:val="0"/>
                <w:caps w:val="0"/>
                <w:color w:val="0F1115"/>
                <w:spacing w:val="0"/>
                <w:sz w:val="24"/>
                <w:szCs w:val="24"/>
                <w:shd w:val="clear" w:fill="FFFFFF"/>
                <w:lang w:val="en-US" w:eastAsia="zh-CN"/>
              </w:rPr>
              <w:t>1-</w:t>
            </w:r>
            <w:r>
              <w:rPr>
                <w:rFonts w:hint="eastAsia" w:ascii="Times New Roman" w:hAnsi="Times New Roman" w:eastAsia="宋体" w:cs="Times New Roman"/>
                <w:i w:val="0"/>
                <w:iCs w:val="0"/>
                <w:caps w:val="0"/>
                <w:color w:val="0F1115"/>
                <w:spacing w:val="0"/>
                <w:sz w:val="24"/>
                <w:szCs w:val="24"/>
                <w:shd w:val="clear" w:fill="FFFFFF"/>
                <w:lang w:val="en-US" w:eastAsia="zh-CN"/>
              </w:rPr>
              <w:t>3</w:t>
            </w:r>
            <w:r>
              <w:rPr>
                <w:rFonts w:hint="default" w:ascii="Times New Roman" w:hAnsi="Times New Roman" w:eastAsia="Segoe UI" w:cs="Times New Roman"/>
                <w:i w:val="0"/>
                <w:iCs w:val="0"/>
                <w:caps w:val="0"/>
                <w:color w:val="0F1115"/>
                <w:spacing w:val="0"/>
                <w:sz w:val="24"/>
                <w:szCs w:val="24"/>
                <w:shd w:val="clear" w:fill="FFFFFF"/>
              </w:rPr>
              <w:t>秒钟内完成，</w:t>
            </w:r>
            <w:r>
              <w:rPr>
                <w:rFonts w:hint="default" w:ascii="Times New Roman" w:hAnsi="Times New Roman" w:cs="Times New Roman"/>
                <w:highlight w:val="none"/>
                <w:lang w:val="en-US" w:eastAsia="zh-CN"/>
              </w:rPr>
              <w:t>B</w:t>
            </w:r>
            <w:r>
              <w:rPr>
                <w:rFonts w:hint="eastAsia" w:cs="Times New Roman"/>
                <w:highlight w:val="none"/>
                <w:lang w:val="en-US" w:eastAsia="zh-CN"/>
              </w:rPr>
              <w:t>OPS</w:t>
            </w:r>
            <w:r>
              <w:rPr>
                <w:rFonts w:ascii="Segoe UI" w:hAnsi="Segoe UI" w:eastAsia="Segoe UI" w:cs="Segoe UI"/>
                <w:i w:val="0"/>
                <w:iCs w:val="0"/>
                <w:caps w:val="0"/>
                <w:color w:val="0F1115"/>
                <w:spacing w:val="0"/>
                <w:sz w:val="24"/>
                <w:szCs w:val="24"/>
                <w:shd w:val="clear" w:fill="FFFFFF"/>
              </w:rPr>
              <w:t>片材被</w:t>
            </w:r>
            <w:r>
              <w:rPr>
                <w:rFonts w:hint="eastAsia" w:ascii="Segoe UI" w:hAnsi="Segoe UI" w:eastAsia="宋体" w:cs="Segoe UI"/>
                <w:i w:val="0"/>
                <w:iCs w:val="0"/>
                <w:caps w:val="0"/>
                <w:color w:val="0F1115"/>
                <w:spacing w:val="0"/>
                <w:sz w:val="24"/>
                <w:szCs w:val="24"/>
                <w:shd w:val="clear" w:fill="FFFFFF"/>
                <w:lang w:eastAsia="zh-CN"/>
              </w:rPr>
              <w:t>制作</w:t>
            </w:r>
            <w:r>
              <w:rPr>
                <w:rFonts w:ascii="Segoe UI" w:hAnsi="Segoe UI" w:eastAsia="Segoe UI" w:cs="Segoe UI"/>
                <w:i w:val="0"/>
                <w:iCs w:val="0"/>
                <w:caps w:val="0"/>
                <w:color w:val="0F1115"/>
                <w:spacing w:val="0"/>
                <w:sz w:val="24"/>
                <w:szCs w:val="24"/>
                <w:shd w:val="clear" w:fill="FFFFFF"/>
              </w:rPr>
              <w:t>成</w:t>
            </w:r>
            <w:r>
              <w:rPr>
                <w:rFonts w:hint="eastAsia" w:ascii="Segoe UI" w:hAnsi="Segoe UI" w:eastAsia="宋体" w:cs="Segoe UI"/>
                <w:i w:val="0"/>
                <w:iCs w:val="0"/>
                <w:caps w:val="0"/>
                <w:color w:val="0F1115"/>
                <w:spacing w:val="0"/>
                <w:sz w:val="24"/>
                <w:szCs w:val="24"/>
                <w:shd w:val="clear" w:fill="FFFFFF"/>
                <w:lang w:eastAsia="zh-CN"/>
              </w:rPr>
              <w:t>塑料</w:t>
            </w:r>
            <w:r>
              <w:rPr>
                <w:rFonts w:ascii="Segoe UI" w:hAnsi="Segoe UI" w:eastAsia="Segoe UI" w:cs="Segoe UI"/>
                <w:i w:val="0"/>
                <w:iCs w:val="0"/>
                <w:caps w:val="0"/>
                <w:color w:val="0F1115"/>
                <w:spacing w:val="0"/>
                <w:sz w:val="24"/>
                <w:szCs w:val="24"/>
                <w:shd w:val="clear" w:fill="FFFFFF"/>
              </w:rPr>
              <w:t>餐盒的形状</w:t>
            </w:r>
            <w:r>
              <w:rPr>
                <w:rFonts w:hint="eastAsia" w:ascii="Segoe UI" w:hAnsi="Segoe UI" w:eastAsia="宋体" w:cs="Segoe UI"/>
                <w:i w:val="0"/>
                <w:iCs w:val="0"/>
                <w:caps w:val="0"/>
                <w:color w:val="0F1115"/>
                <w:spacing w:val="0"/>
                <w:sz w:val="24"/>
                <w:szCs w:val="24"/>
                <w:shd w:val="clear" w:fill="FFFFFF"/>
                <w:lang w:eastAsia="zh-CN"/>
              </w:rPr>
              <w:t>。</w:t>
            </w:r>
            <w:r>
              <w:rPr>
                <w:rFonts w:hint="default" w:ascii="Times New Roman" w:hAnsi="Times New Roman" w:cs="Times New Roman"/>
                <w:highlight w:val="none"/>
                <w:lang w:eastAsia="zh-CN"/>
              </w:rPr>
              <w:t>该工序产生的主要污染为</w:t>
            </w:r>
            <w:r>
              <w:rPr>
                <w:rFonts w:hint="eastAsia" w:ascii="Times New Roman" w:hAnsi="Times New Roman" w:cs="Times New Roman"/>
                <w:highlight w:val="none"/>
                <w:lang w:eastAsia="zh-CN"/>
              </w:rPr>
              <w:t>加热成型</w:t>
            </w:r>
            <w:r>
              <w:rPr>
                <w:rFonts w:hint="default" w:ascii="Times New Roman" w:hAnsi="Times New Roman" w:cs="Times New Roman"/>
                <w:highlight w:val="none"/>
                <w:lang w:eastAsia="zh-CN"/>
              </w:rPr>
              <w:t>废气</w:t>
            </w:r>
            <w:r>
              <w:rPr>
                <w:rFonts w:hint="eastAsia" w:ascii="Times New Roman" w:hAnsi="Times New Roman" w:cs="Times New Roman"/>
                <w:highlight w:val="none"/>
                <w:lang w:eastAsia="zh-CN"/>
              </w:rPr>
              <w:t>、</w:t>
            </w:r>
            <w:r>
              <w:rPr>
                <w:rFonts w:hint="eastAsia" w:ascii="Segoe UI" w:hAnsi="Segoe UI" w:eastAsia="宋体" w:cs="Segoe UI"/>
                <w:i w:val="0"/>
                <w:iCs w:val="0"/>
                <w:caps w:val="0"/>
                <w:color w:val="0F1115"/>
                <w:spacing w:val="0"/>
                <w:sz w:val="24"/>
                <w:szCs w:val="24"/>
                <w:shd w:val="clear" w:fill="FFFFFF"/>
                <w:lang w:eastAsia="zh-CN"/>
              </w:rPr>
              <w:t>废边角料</w:t>
            </w:r>
            <w:r>
              <w:rPr>
                <w:rFonts w:hint="default" w:ascii="Times New Roman" w:hAnsi="Times New Roman" w:cs="Times New Roman"/>
                <w:highlight w:val="none"/>
                <w:lang w:eastAsia="zh-CN"/>
              </w:rPr>
              <w:t>和设备运行噪声</w:t>
            </w:r>
            <w:r>
              <w:rPr>
                <w:rFonts w:hint="default" w:ascii="Times New Roman" w:hAnsi="Times New Roman" w:cs="Times New Roman"/>
                <w:highlight w:val="none"/>
                <w:lang w:val="en-US" w:eastAsia="zh-CN"/>
              </w:rPr>
              <w:t>。</w:t>
            </w:r>
          </w:p>
          <w:p w14:paraId="4F861655">
            <w:pPr>
              <w:pStyle w:val="12"/>
              <w:keepNext w:val="0"/>
              <w:keepLines w:val="0"/>
              <w:widowControl/>
              <w:suppressLineNumbers w:val="0"/>
              <w:spacing w:before="0" w:beforeAutospacing="0" w:after="0" w:afterAutospacing="0"/>
              <w:ind w:left="0" w:right="0"/>
              <w:rPr>
                <w:rFonts w:hint="default" w:ascii="Times New Roman" w:hAnsi="Times New Roman" w:eastAsia="宋体" w:cs="Times New Roman"/>
                <w:i w:val="0"/>
                <w:iCs w:val="0"/>
                <w:caps w:val="0"/>
                <w:color w:val="0F1115"/>
                <w:spacing w:val="0"/>
                <w:sz w:val="24"/>
                <w:szCs w:val="24"/>
                <w:shd w:val="clear" w:fill="FFFFFF"/>
                <w:lang w:eastAsia="zh-CN"/>
              </w:rPr>
            </w:pPr>
            <w:r>
              <w:rPr>
                <w:rFonts w:hint="default" w:ascii="Times New Roman" w:hAnsi="Times New Roman" w:eastAsia="宋体" w:cs="Times New Roman"/>
                <w:i w:val="0"/>
                <w:iCs w:val="0"/>
                <w:caps w:val="0"/>
                <w:color w:val="0F1115"/>
                <w:spacing w:val="0"/>
                <w:sz w:val="24"/>
                <w:szCs w:val="24"/>
                <w:shd w:val="clear" w:fill="FFFFFF"/>
                <w:lang w:eastAsia="zh-CN"/>
              </w:rPr>
              <w:t>（</w:t>
            </w:r>
            <w:r>
              <w:rPr>
                <w:rFonts w:hint="default" w:ascii="Times New Roman" w:hAnsi="Times New Roman" w:eastAsia="宋体" w:cs="Times New Roman"/>
                <w:i w:val="0"/>
                <w:iCs w:val="0"/>
                <w:caps w:val="0"/>
                <w:color w:val="0F1115"/>
                <w:spacing w:val="0"/>
                <w:sz w:val="24"/>
                <w:szCs w:val="24"/>
                <w:shd w:val="clear" w:fill="FFFFFF"/>
                <w:lang w:val="en-US" w:eastAsia="zh-CN"/>
              </w:rPr>
              <w:t>3</w:t>
            </w:r>
            <w:r>
              <w:rPr>
                <w:rFonts w:hint="default" w:ascii="Times New Roman" w:hAnsi="Times New Roman" w:eastAsia="宋体" w:cs="Times New Roman"/>
                <w:i w:val="0"/>
                <w:iCs w:val="0"/>
                <w:caps w:val="0"/>
                <w:color w:val="0F1115"/>
                <w:spacing w:val="0"/>
                <w:sz w:val="24"/>
                <w:szCs w:val="24"/>
                <w:shd w:val="clear" w:fill="FFFFFF"/>
                <w:lang w:eastAsia="zh-CN"/>
              </w:rPr>
              <w:t>）包装</w:t>
            </w:r>
          </w:p>
          <w:p w14:paraId="105B4DD3">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eastAsia="宋体" w:cs="Times New Roman"/>
                <w:highlight w:val="none"/>
                <w:lang w:eastAsia="zh-CN"/>
              </w:rPr>
            </w:pPr>
            <w:r>
              <w:rPr>
                <w:rFonts w:hint="eastAsia" w:ascii="Segoe UI" w:hAnsi="Segoe UI" w:eastAsia="宋体" w:cs="Segoe UI"/>
                <w:i w:val="0"/>
                <w:iCs w:val="0"/>
                <w:caps w:val="0"/>
                <w:color w:val="0F1115"/>
                <w:spacing w:val="0"/>
                <w:sz w:val="24"/>
                <w:szCs w:val="24"/>
                <w:shd w:val="clear" w:fill="FFFFFF"/>
                <w:lang w:eastAsia="zh-CN"/>
              </w:rPr>
              <w:t>成型后的塑料食品餐盒经传送带送出，经过人工检验塑料食品餐盒无破损情况视为合格，人工将合格的塑料食品餐盒堆叠收集，再包装到纸箱内封口，最终进行外售。</w:t>
            </w:r>
            <w:r>
              <w:rPr>
                <w:rFonts w:hint="default" w:ascii="Times New Roman" w:hAnsi="Times New Roman" w:cs="Times New Roman"/>
                <w:highlight w:val="none"/>
                <w:lang w:eastAsia="zh-CN"/>
              </w:rPr>
              <w:t>该工序产生的主要污染为</w:t>
            </w:r>
            <w:r>
              <w:rPr>
                <w:rFonts w:hint="eastAsia" w:ascii="Times New Roman" w:hAnsi="Times New Roman" w:cs="Times New Roman"/>
                <w:highlight w:val="none"/>
                <w:lang w:eastAsia="zh-CN"/>
              </w:rPr>
              <w:t>不合格产品。</w:t>
            </w:r>
          </w:p>
          <w:p w14:paraId="7B8B2532">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kern w:val="0"/>
                <w:sz w:val="24"/>
                <w:szCs w:val="24"/>
                <w:highlight w:val="none"/>
                <w:lang w:eastAsia="zh-CN" w:bidi="ar"/>
              </w:rPr>
            </w:pPr>
            <w:r>
              <w:rPr>
                <w:rFonts w:hint="default" w:ascii="Times New Roman" w:hAnsi="Times New Roman" w:cs="Times New Roman"/>
                <w:highlight w:val="none"/>
                <w:lang w:eastAsia="zh-CN"/>
              </w:rPr>
              <w:object>
                <v:shape id="_x0000_i1026" o:spt="75" type="#_x0000_t75" style="height:217.2pt;width:288.05pt;" o:ole="t" filled="f" o:preferrelative="t" stroked="f" coordsize="21600,21600">
                  <v:path/>
                  <v:fill on="f" focussize="0,0"/>
                  <v:stroke on="f"/>
                  <v:imagedata r:id="rId18" croptop="2170f" cropbottom="28632f" o:title=""/>
                  <o:lock v:ext="edit" aspectratio="f"/>
                  <w10:wrap type="none"/>
                  <w10:anchorlock/>
                </v:shape>
                <o:OLEObject Type="Embed" ProgID="Visio.Drawing.11" ShapeID="_x0000_i1026" DrawAspect="Content" ObjectID="_1468075726" r:id="rId17">
                  <o:LockedField>false</o:LockedField>
                </o:OLEObject>
              </w:object>
            </w:r>
          </w:p>
          <w:p w14:paraId="58070B5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图</w:t>
            </w:r>
            <w:r>
              <w:rPr>
                <w:rFonts w:hint="eastAsia" w:cs="Times New Roman"/>
                <w:b/>
                <w:bCs/>
                <w:sz w:val="24"/>
                <w:szCs w:val="24"/>
                <w:highlight w:val="none"/>
                <w:lang w:val="en-US" w:eastAsia="zh-CN"/>
              </w:rPr>
              <w:t>2</w:t>
            </w:r>
            <w:r>
              <w:rPr>
                <w:rFonts w:hint="default" w:ascii="Times New Roman" w:hAnsi="Times New Roman" w:eastAsia="宋体" w:cs="Times New Roman"/>
                <w:b/>
                <w:bCs/>
                <w:sz w:val="24"/>
                <w:szCs w:val="24"/>
                <w:highlight w:val="none"/>
              </w:rPr>
              <w:t xml:space="preserve">  </w:t>
            </w:r>
            <w:r>
              <w:rPr>
                <w:rFonts w:hint="default" w:ascii="Times New Roman" w:hAnsi="Times New Roman" w:eastAsia="宋体" w:cs="Times New Roman"/>
                <w:b/>
                <w:bCs/>
                <w:sz w:val="24"/>
                <w:szCs w:val="24"/>
                <w:highlight w:val="none"/>
                <w:lang w:eastAsia="zh-CN"/>
              </w:rPr>
              <w:t>塑料食品餐盒</w:t>
            </w:r>
            <w:r>
              <w:rPr>
                <w:rFonts w:hint="default" w:ascii="Times New Roman" w:hAnsi="Times New Roman" w:eastAsia="宋体" w:cs="Times New Roman"/>
                <w:b/>
                <w:bCs/>
                <w:sz w:val="24"/>
                <w:szCs w:val="24"/>
                <w:highlight w:val="none"/>
              </w:rPr>
              <w:t>工艺流程</w:t>
            </w:r>
            <w:r>
              <w:rPr>
                <w:rFonts w:hint="default" w:ascii="Times New Roman" w:hAnsi="Times New Roman" w:eastAsia="宋体" w:cs="Times New Roman"/>
                <w:b/>
                <w:bCs/>
                <w:sz w:val="24"/>
                <w:szCs w:val="24"/>
                <w:highlight w:val="none"/>
                <w:lang w:val="en-US" w:eastAsia="zh-CN"/>
              </w:rPr>
              <w:t>及产污环节示意</w:t>
            </w:r>
            <w:r>
              <w:rPr>
                <w:rFonts w:hint="default" w:ascii="Times New Roman" w:hAnsi="Times New Roman" w:eastAsia="宋体" w:cs="Times New Roman"/>
                <w:b/>
                <w:bCs/>
                <w:sz w:val="24"/>
                <w:szCs w:val="24"/>
                <w:highlight w:val="none"/>
              </w:rPr>
              <w:t>图</w:t>
            </w:r>
          </w:p>
          <w:p w14:paraId="2F5DF7AA">
            <w:pPr>
              <w:pStyle w:val="26"/>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szCs w:val="20"/>
                <w:highlight w:val="none"/>
              </w:rPr>
            </w:pPr>
            <w:r>
              <w:rPr>
                <w:rFonts w:hint="eastAsia" w:cs="Times New Roman"/>
                <w:b/>
                <w:szCs w:val="20"/>
                <w:highlight w:val="none"/>
                <w:lang w:eastAsia="zh-CN"/>
              </w:rPr>
              <w:t>二</w:t>
            </w:r>
            <w:r>
              <w:rPr>
                <w:rFonts w:hint="default" w:ascii="Times New Roman" w:hAnsi="Times New Roman" w:cs="Times New Roman"/>
                <w:b/>
                <w:szCs w:val="20"/>
                <w:highlight w:val="none"/>
              </w:rPr>
              <w:t>、产污环节分析</w:t>
            </w:r>
          </w:p>
          <w:p w14:paraId="0A68445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highlight w:val="none"/>
              </w:rPr>
            </w:pPr>
            <w:r>
              <w:rPr>
                <w:rFonts w:hint="default" w:ascii="Times New Roman" w:hAnsi="Times New Roman" w:cs="Times New Roman"/>
                <w:highlight w:val="none"/>
              </w:rPr>
              <w:t>根据本项目生产工艺及产污环节分析，项目产生的污染物包括废气、废水、固废和噪声，具体类型及产生来源情况见下表。</w:t>
            </w:r>
          </w:p>
          <w:p w14:paraId="37A3070E">
            <w:pPr>
              <w:pStyle w:val="28"/>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highlight w:val="none"/>
              </w:rPr>
            </w:pPr>
            <w:r>
              <w:rPr>
                <w:rFonts w:hint="default" w:ascii="Times New Roman" w:hAnsi="Times New Roman" w:cs="Times New Roman"/>
                <w:highlight w:val="none"/>
              </w:rPr>
              <w:t>表2-</w:t>
            </w:r>
            <w:r>
              <w:rPr>
                <w:rFonts w:hint="eastAsia" w:cs="Times New Roman"/>
                <w:highlight w:val="none"/>
                <w:lang w:val="en-US" w:eastAsia="zh-CN"/>
              </w:rPr>
              <w:t>8</w:t>
            </w:r>
            <w:r>
              <w:rPr>
                <w:rFonts w:hint="default" w:ascii="Times New Roman" w:hAnsi="Times New Roman" w:cs="Times New Roman"/>
                <w:highlight w:val="none"/>
              </w:rPr>
              <w:t xml:space="preserve">  </w:t>
            </w:r>
            <w:r>
              <w:rPr>
                <w:b/>
                <w:bCs/>
                <w:sz w:val="24"/>
              </w:rPr>
              <w:t>项目主要污染物类型及其产生来源一览表</w:t>
            </w:r>
          </w:p>
          <w:tbl>
            <w:tblPr>
              <w:tblStyle w:val="15"/>
              <w:tblW w:w="49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321"/>
              <w:gridCol w:w="1728"/>
              <w:gridCol w:w="1771"/>
              <w:gridCol w:w="3126"/>
            </w:tblGrid>
            <w:tr w14:paraId="27E80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190" w:type="pct"/>
                  <w:gridSpan w:val="2"/>
                  <w:noWrap w:val="0"/>
                  <w:vAlign w:val="center"/>
                </w:tcPr>
                <w:p w14:paraId="61600ECF">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类别</w:t>
                  </w:r>
                </w:p>
              </w:tc>
              <w:tc>
                <w:tcPr>
                  <w:tcW w:w="2011" w:type="pct"/>
                  <w:gridSpan w:val="2"/>
                  <w:noWrap w:val="0"/>
                  <w:vAlign w:val="center"/>
                </w:tcPr>
                <w:p w14:paraId="438D113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产污环节</w:t>
                  </w:r>
                </w:p>
              </w:tc>
              <w:tc>
                <w:tcPr>
                  <w:tcW w:w="1797" w:type="pct"/>
                  <w:noWrap w:val="0"/>
                  <w:vAlign w:val="center"/>
                </w:tcPr>
                <w:p w14:paraId="0D7E5F3F">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主要污染物</w:t>
                  </w:r>
                </w:p>
              </w:tc>
            </w:tr>
            <w:tr w14:paraId="75305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31" w:type="pct"/>
                  <w:vMerge w:val="restart"/>
                  <w:noWrap w:val="0"/>
                  <w:vAlign w:val="center"/>
                </w:tcPr>
                <w:p w14:paraId="6289F6FF">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废气</w:t>
                  </w:r>
                </w:p>
              </w:tc>
              <w:tc>
                <w:tcPr>
                  <w:tcW w:w="759" w:type="pct"/>
                  <w:vMerge w:val="restart"/>
                  <w:noWrap w:val="0"/>
                  <w:vAlign w:val="center"/>
                </w:tcPr>
                <w:p w14:paraId="2B593ED1">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有组织废气</w:t>
                  </w:r>
                </w:p>
              </w:tc>
              <w:tc>
                <w:tcPr>
                  <w:tcW w:w="993" w:type="pct"/>
                  <w:noWrap w:val="0"/>
                  <w:vAlign w:val="center"/>
                </w:tcPr>
                <w:p w14:paraId="1DD3C9F7">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eastAsia="zh-CN"/>
                    </w:rPr>
                    <w:t>加热成型工序</w:t>
                  </w:r>
                </w:p>
              </w:tc>
              <w:tc>
                <w:tcPr>
                  <w:tcW w:w="1018" w:type="pct"/>
                  <w:noWrap w:val="0"/>
                  <w:vAlign w:val="center"/>
                </w:tcPr>
                <w:p w14:paraId="646CF22E">
                  <w:pPr>
                    <w:pStyle w:val="21"/>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eastAsia" w:cs="Times New Roman"/>
                      <w:sz w:val="21"/>
                      <w:szCs w:val="21"/>
                      <w:highlight w:val="none"/>
                      <w:lang w:eastAsia="zh-CN"/>
                    </w:rPr>
                    <w:t>加热成型</w:t>
                  </w:r>
                  <w:r>
                    <w:rPr>
                      <w:rFonts w:hint="default" w:ascii="Times New Roman" w:hAnsi="Times New Roman" w:cs="Times New Roman"/>
                      <w:sz w:val="21"/>
                      <w:szCs w:val="21"/>
                      <w:highlight w:val="none"/>
                      <w:lang w:eastAsia="zh-CN"/>
                    </w:rPr>
                    <w:t>废气</w:t>
                  </w:r>
                </w:p>
              </w:tc>
              <w:tc>
                <w:tcPr>
                  <w:tcW w:w="1797" w:type="pct"/>
                  <w:noWrap w:val="0"/>
                  <w:vAlign w:val="center"/>
                </w:tcPr>
                <w:p w14:paraId="09226779">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eastAsia="zh-CN"/>
                    </w:rPr>
                    <w:t>非甲烷总烃、苯乙烯</w:t>
                  </w:r>
                </w:p>
              </w:tc>
            </w:tr>
            <w:tr w14:paraId="24B6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31" w:type="pct"/>
                  <w:vMerge w:val="continue"/>
                  <w:noWrap w:val="0"/>
                  <w:vAlign w:val="center"/>
                </w:tcPr>
                <w:p w14:paraId="5114C002">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759" w:type="pct"/>
                  <w:vMerge w:val="continue"/>
                  <w:noWrap w:val="0"/>
                  <w:vAlign w:val="center"/>
                </w:tcPr>
                <w:p w14:paraId="1D54B291">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993" w:type="pct"/>
                  <w:noWrap w:val="0"/>
                  <w:vAlign w:val="center"/>
                </w:tcPr>
                <w:p w14:paraId="2843EBC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cs="Times New Roman"/>
                      <w:sz w:val="21"/>
                      <w:szCs w:val="21"/>
                      <w:highlight w:val="none"/>
                      <w:lang w:eastAsia="zh-CN"/>
                    </w:rPr>
                  </w:pPr>
                  <w:r>
                    <w:rPr>
                      <w:rFonts w:hint="eastAsia" w:cs="Times New Roman"/>
                      <w:sz w:val="21"/>
                      <w:szCs w:val="21"/>
                      <w:highlight w:val="none"/>
                      <w:lang w:eastAsia="zh-CN"/>
                    </w:rPr>
                    <w:t>危废间</w:t>
                  </w:r>
                </w:p>
              </w:tc>
              <w:tc>
                <w:tcPr>
                  <w:tcW w:w="1018" w:type="pct"/>
                  <w:noWrap w:val="0"/>
                  <w:vAlign w:val="center"/>
                </w:tcPr>
                <w:p w14:paraId="6B214B13">
                  <w:pPr>
                    <w:pStyle w:val="21"/>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cs="Times New Roman"/>
                      <w:sz w:val="21"/>
                      <w:szCs w:val="21"/>
                      <w:highlight w:val="none"/>
                      <w:lang w:eastAsia="zh-CN"/>
                    </w:rPr>
                  </w:pPr>
                  <w:r>
                    <w:rPr>
                      <w:rFonts w:hint="eastAsia" w:cs="Times New Roman"/>
                      <w:sz w:val="21"/>
                      <w:szCs w:val="21"/>
                      <w:highlight w:val="none"/>
                      <w:lang w:eastAsia="zh-CN"/>
                    </w:rPr>
                    <w:t>危废间废气</w:t>
                  </w:r>
                </w:p>
              </w:tc>
              <w:tc>
                <w:tcPr>
                  <w:tcW w:w="1797" w:type="pct"/>
                  <w:noWrap w:val="0"/>
                  <w:vAlign w:val="center"/>
                </w:tcPr>
                <w:p w14:paraId="619A0239">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VOCs</w:t>
                  </w:r>
                </w:p>
              </w:tc>
            </w:tr>
            <w:tr w14:paraId="68526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31" w:type="pct"/>
                  <w:vMerge w:val="continue"/>
                  <w:noWrap w:val="0"/>
                  <w:vAlign w:val="center"/>
                </w:tcPr>
                <w:p w14:paraId="730E3A6F">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759" w:type="pct"/>
                  <w:noWrap w:val="0"/>
                  <w:vAlign w:val="center"/>
                </w:tcPr>
                <w:p w14:paraId="34BBF4FB">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无组织废气</w:t>
                  </w:r>
                </w:p>
              </w:tc>
              <w:tc>
                <w:tcPr>
                  <w:tcW w:w="2011" w:type="pct"/>
                  <w:gridSpan w:val="2"/>
                  <w:noWrap w:val="0"/>
                  <w:vAlign w:val="center"/>
                </w:tcPr>
                <w:p w14:paraId="430D0832">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集气系统未收集到的废气</w:t>
                  </w:r>
                </w:p>
              </w:tc>
              <w:tc>
                <w:tcPr>
                  <w:tcW w:w="1797" w:type="pct"/>
                  <w:noWrap w:val="0"/>
                  <w:vAlign w:val="center"/>
                </w:tcPr>
                <w:p w14:paraId="04F826F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eastAsia="zh-CN"/>
                    </w:rPr>
                    <w:t>非甲烷总烃、苯乙烯</w:t>
                  </w:r>
                </w:p>
              </w:tc>
            </w:tr>
            <w:tr w14:paraId="7FB6E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431" w:type="pct"/>
                  <w:noWrap w:val="0"/>
                  <w:vAlign w:val="center"/>
                </w:tcPr>
                <w:p w14:paraId="7115A1F4">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废水</w:t>
                  </w:r>
                </w:p>
              </w:tc>
              <w:tc>
                <w:tcPr>
                  <w:tcW w:w="759" w:type="pct"/>
                  <w:noWrap w:val="0"/>
                  <w:vAlign w:val="center"/>
                </w:tcPr>
                <w:p w14:paraId="7121E1FB">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员工生活</w:t>
                  </w:r>
                </w:p>
              </w:tc>
              <w:tc>
                <w:tcPr>
                  <w:tcW w:w="2011" w:type="pct"/>
                  <w:gridSpan w:val="2"/>
                  <w:noWrap w:val="0"/>
                  <w:vAlign w:val="center"/>
                </w:tcPr>
                <w:p w14:paraId="4DA42CA2">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生活污水</w:t>
                  </w:r>
                </w:p>
              </w:tc>
              <w:tc>
                <w:tcPr>
                  <w:tcW w:w="1797" w:type="pct"/>
                  <w:noWrap w:val="0"/>
                  <w:vAlign w:val="center"/>
                </w:tcPr>
                <w:p w14:paraId="72E939A6">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COD、SS、NH</w:t>
                  </w:r>
                  <w:r>
                    <w:rPr>
                      <w:rFonts w:hint="default" w:ascii="Times New Roman" w:hAnsi="Times New Roman" w:cs="Times New Roman"/>
                      <w:sz w:val="21"/>
                      <w:szCs w:val="21"/>
                      <w:highlight w:val="none"/>
                      <w:vertAlign w:val="subscript"/>
                    </w:rPr>
                    <w:t>3-</w:t>
                  </w:r>
                  <w:r>
                    <w:rPr>
                      <w:rFonts w:hint="default" w:ascii="Times New Roman" w:hAnsi="Times New Roman" w:cs="Times New Roman"/>
                      <w:sz w:val="21"/>
                      <w:szCs w:val="21"/>
                      <w:highlight w:val="none"/>
                    </w:rPr>
                    <w:t>N、总磷</w:t>
                  </w:r>
                </w:p>
              </w:tc>
            </w:tr>
            <w:tr w14:paraId="47765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31" w:type="pct"/>
                  <w:vMerge w:val="restart"/>
                  <w:noWrap w:val="0"/>
                  <w:vAlign w:val="center"/>
                </w:tcPr>
                <w:p w14:paraId="7B82AEF4">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固废</w:t>
                  </w:r>
                </w:p>
              </w:tc>
              <w:tc>
                <w:tcPr>
                  <w:tcW w:w="759" w:type="pct"/>
                  <w:vMerge w:val="restart"/>
                  <w:noWrap w:val="0"/>
                  <w:vAlign w:val="center"/>
                </w:tcPr>
                <w:p w14:paraId="19B9BC72">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一般</w:t>
                  </w:r>
                </w:p>
                <w:p w14:paraId="17498ABC">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固废</w:t>
                  </w:r>
                </w:p>
              </w:tc>
              <w:tc>
                <w:tcPr>
                  <w:tcW w:w="2011" w:type="pct"/>
                  <w:gridSpan w:val="2"/>
                  <w:noWrap w:val="0"/>
                  <w:vAlign w:val="center"/>
                </w:tcPr>
                <w:p w14:paraId="62FCCFF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eastAsia="zh-CN"/>
                    </w:rPr>
                    <w:t>生产加工</w:t>
                  </w:r>
                </w:p>
              </w:tc>
              <w:tc>
                <w:tcPr>
                  <w:tcW w:w="1797" w:type="pct"/>
                  <w:noWrap w:val="0"/>
                  <w:vAlign w:val="center"/>
                </w:tcPr>
                <w:p w14:paraId="1E0C593A">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eastAsia="zh-CN"/>
                    </w:rPr>
                    <w:t>废边角料</w:t>
                  </w:r>
                </w:p>
              </w:tc>
            </w:tr>
            <w:tr w14:paraId="61FB4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31" w:type="pct"/>
                  <w:vMerge w:val="continue"/>
                  <w:noWrap w:val="0"/>
                  <w:vAlign w:val="center"/>
                </w:tcPr>
                <w:p w14:paraId="0130F4A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759" w:type="pct"/>
                  <w:vMerge w:val="continue"/>
                  <w:noWrap w:val="0"/>
                  <w:vAlign w:val="center"/>
                </w:tcPr>
                <w:p w14:paraId="61FF9073">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2011" w:type="pct"/>
                  <w:gridSpan w:val="2"/>
                  <w:noWrap w:val="0"/>
                  <w:vAlign w:val="center"/>
                </w:tcPr>
                <w:p w14:paraId="3E70626E">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不合格产品</w:t>
                  </w:r>
                </w:p>
              </w:tc>
              <w:tc>
                <w:tcPr>
                  <w:tcW w:w="1797" w:type="pct"/>
                  <w:noWrap w:val="0"/>
                  <w:vAlign w:val="center"/>
                </w:tcPr>
                <w:p w14:paraId="0B68F754">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残次品</w:t>
                  </w:r>
                </w:p>
              </w:tc>
            </w:tr>
            <w:tr w14:paraId="3471A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431" w:type="pct"/>
                  <w:vMerge w:val="continue"/>
                  <w:noWrap w:val="0"/>
                  <w:vAlign w:val="center"/>
                </w:tcPr>
                <w:p w14:paraId="11785294">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759" w:type="pct"/>
                  <w:vMerge w:val="restart"/>
                  <w:noWrap w:val="0"/>
                  <w:vAlign w:val="center"/>
                </w:tcPr>
                <w:p w14:paraId="318E4B4B">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危险</w:t>
                  </w:r>
                </w:p>
                <w:p w14:paraId="0970CD1B">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废物</w:t>
                  </w:r>
                </w:p>
              </w:tc>
              <w:tc>
                <w:tcPr>
                  <w:tcW w:w="2011" w:type="pct"/>
                  <w:gridSpan w:val="2"/>
                  <w:noWrap w:val="0"/>
                  <w:vAlign w:val="center"/>
                </w:tcPr>
                <w:p w14:paraId="6DD82792">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宋体" w:cs="Times New Roman"/>
                      <w:sz w:val="21"/>
                      <w:szCs w:val="21"/>
                      <w:highlight w:val="none"/>
                      <w:lang w:eastAsia="zh-CN"/>
                    </w:rPr>
                  </w:pPr>
                  <w:r>
                    <w:rPr>
                      <w:rFonts w:hint="eastAsia" w:cs="Times New Roman"/>
                      <w:sz w:val="21"/>
                      <w:szCs w:val="21"/>
                      <w:highlight w:val="none"/>
                      <w:lang w:eastAsia="zh-CN"/>
                    </w:rPr>
                    <w:t>废气治理</w:t>
                  </w:r>
                </w:p>
              </w:tc>
              <w:tc>
                <w:tcPr>
                  <w:tcW w:w="1797" w:type="pct"/>
                  <w:noWrap w:val="0"/>
                  <w:vAlign w:val="center"/>
                </w:tcPr>
                <w:p w14:paraId="34950D57">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宋体" w:cs="Times New Roman"/>
                      <w:sz w:val="21"/>
                      <w:szCs w:val="21"/>
                      <w:highlight w:val="none"/>
                      <w:lang w:eastAsia="zh-CN"/>
                    </w:rPr>
                  </w:pPr>
                  <w:r>
                    <w:rPr>
                      <w:rFonts w:hint="eastAsia" w:cs="Times New Roman"/>
                      <w:sz w:val="21"/>
                      <w:szCs w:val="21"/>
                      <w:highlight w:val="none"/>
                      <w:lang w:eastAsia="zh-CN"/>
                    </w:rPr>
                    <w:t>废活性炭</w:t>
                  </w:r>
                </w:p>
              </w:tc>
            </w:tr>
            <w:tr w14:paraId="518FB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431" w:type="pct"/>
                  <w:vMerge w:val="continue"/>
                  <w:noWrap w:val="0"/>
                  <w:vAlign w:val="center"/>
                </w:tcPr>
                <w:p w14:paraId="4CDCFFA2">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759" w:type="pct"/>
                  <w:vMerge w:val="continue"/>
                  <w:noWrap w:val="0"/>
                  <w:vAlign w:val="center"/>
                </w:tcPr>
                <w:p w14:paraId="69EB3DB8">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p>
              </w:tc>
              <w:tc>
                <w:tcPr>
                  <w:tcW w:w="2011" w:type="pct"/>
                  <w:gridSpan w:val="2"/>
                  <w:vMerge w:val="restart"/>
                  <w:noWrap w:val="0"/>
                  <w:vAlign w:val="center"/>
                </w:tcPr>
                <w:p w14:paraId="6421D150">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设备维护</w:t>
                  </w:r>
                </w:p>
              </w:tc>
              <w:tc>
                <w:tcPr>
                  <w:tcW w:w="1797" w:type="pct"/>
                  <w:noWrap w:val="0"/>
                  <w:vAlign w:val="center"/>
                </w:tcPr>
                <w:p w14:paraId="1D2BDCB4">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废润滑油</w:t>
                  </w:r>
                </w:p>
              </w:tc>
            </w:tr>
            <w:tr w14:paraId="72216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431" w:type="pct"/>
                  <w:vMerge w:val="continue"/>
                  <w:noWrap w:val="0"/>
                  <w:vAlign w:val="center"/>
                </w:tcPr>
                <w:p w14:paraId="1C7FBE7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759" w:type="pct"/>
                  <w:vMerge w:val="continue"/>
                  <w:noWrap w:val="0"/>
                  <w:vAlign w:val="center"/>
                </w:tcPr>
                <w:p w14:paraId="6981BAC2">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2011" w:type="pct"/>
                  <w:gridSpan w:val="2"/>
                  <w:vMerge w:val="continue"/>
                  <w:noWrap w:val="0"/>
                  <w:vAlign w:val="center"/>
                </w:tcPr>
                <w:p w14:paraId="71DE03F9">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1797" w:type="pct"/>
                  <w:noWrap w:val="0"/>
                  <w:vAlign w:val="center"/>
                </w:tcPr>
                <w:p w14:paraId="1596180B">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废润滑油桶</w:t>
                  </w:r>
                </w:p>
              </w:tc>
            </w:tr>
            <w:tr w14:paraId="12D52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431" w:type="pct"/>
                  <w:vMerge w:val="continue"/>
                  <w:noWrap w:val="0"/>
                  <w:vAlign w:val="center"/>
                </w:tcPr>
                <w:p w14:paraId="5F6BD1AA">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759" w:type="pct"/>
                  <w:noWrap w:val="0"/>
                  <w:vAlign w:val="center"/>
                </w:tcPr>
                <w:p w14:paraId="70EAA8C6">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其它</w:t>
                  </w:r>
                </w:p>
              </w:tc>
              <w:tc>
                <w:tcPr>
                  <w:tcW w:w="2011" w:type="pct"/>
                  <w:gridSpan w:val="2"/>
                  <w:noWrap w:val="0"/>
                  <w:vAlign w:val="center"/>
                </w:tcPr>
                <w:p w14:paraId="20381550">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人员办公生活</w:t>
                  </w:r>
                </w:p>
              </w:tc>
              <w:tc>
                <w:tcPr>
                  <w:tcW w:w="1797" w:type="pct"/>
                  <w:noWrap w:val="0"/>
                  <w:vAlign w:val="center"/>
                </w:tcPr>
                <w:p w14:paraId="71DED5A7">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生活垃圾</w:t>
                  </w:r>
                </w:p>
              </w:tc>
            </w:tr>
            <w:tr w14:paraId="5AF37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190" w:type="pct"/>
                  <w:gridSpan w:val="2"/>
                  <w:vMerge w:val="restart"/>
                  <w:noWrap w:val="0"/>
                  <w:vAlign w:val="center"/>
                </w:tcPr>
                <w:p w14:paraId="663B8809">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噪声</w:t>
                  </w:r>
                </w:p>
              </w:tc>
              <w:tc>
                <w:tcPr>
                  <w:tcW w:w="2011" w:type="pct"/>
                  <w:gridSpan w:val="2"/>
                  <w:noWrap w:val="0"/>
                  <w:vAlign w:val="center"/>
                </w:tcPr>
                <w:p w14:paraId="0BA0F2BE">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生产设备</w:t>
                  </w:r>
                </w:p>
              </w:tc>
              <w:tc>
                <w:tcPr>
                  <w:tcW w:w="1797" w:type="pct"/>
                  <w:noWrap w:val="0"/>
                  <w:vAlign w:val="center"/>
                </w:tcPr>
                <w:p w14:paraId="02092E3A">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机械噪声</w:t>
                  </w:r>
                </w:p>
              </w:tc>
            </w:tr>
            <w:tr w14:paraId="708BC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90" w:type="pct"/>
                  <w:gridSpan w:val="2"/>
                  <w:vMerge w:val="continue"/>
                  <w:noWrap w:val="0"/>
                  <w:vAlign w:val="center"/>
                </w:tcPr>
                <w:p w14:paraId="7A2E8DBC">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p>
              </w:tc>
              <w:tc>
                <w:tcPr>
                  <w:tcW w:w="2011" w:type="pct"/>
                  <w:gridSpan w:val="2"/>
                  <w:noWrap w:val="0"/>
                  <w:vAlign w:val="center"/>
                </w:tcPr>
                <w:p w14:paraId="476574E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风机</w:t>
                  </w:r>
                </w:p>
              </w:tc>
              <w:tc>
                <w:tcPr>
                  <w:tcW w:w="1797" w:type="pct"/>
                  <w:noWrap w:val="0"/>
                  <w:vAlign w:val="center"/>
                </w:tcPr>
                <w:p w14:paraId="34C91D35">
                  <w:pPr>
                    <w:pStyle w:val="21"/>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空气动力性噪声</w:t>
                  </w:r>
                </w:p>
              </w:tc>
            </w:tr>
          </w:tbl>
          <w:p w14:paraId="2639F15D">
            <w:pPr>
              <w:pStyle w:val="26"/>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highlight w:val="none"/>
              </w:rPr>
            </w:pPr>
          </w:p>
        </w:tc>
      </w:tr>
      <w:tr w14:paraId="74A7B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57" w:hRule="atLeast"/>
          <w:jc w:val="center"/>
        </w:trPr>
        <w:tc>
          <w:tcPr>
            <w:tcW w:w="776" w:type="dxa"/>
            <w:noWrap w:val="0"/>
            <w:vAlign w:val="center"/>
          </w:tcPr>
          <w:p w14:paraId="45CBE314">
            <w:pPr>
              <w:pStyle w:val="1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与项目有关的原有环境污染问题</w:t>
            </w:r>
          </w:p>
        </w:tc>
        <w:tc>
          <w:tcPr>
            <w:tcW w:w="8990" w:type="dxa"/>
            <w:noWrap w:val="0"/>
            <w:vAlign w:val="center"/>
          </w:tcPr>
          <w:p w14:paraId="11F96560">
            <w:pPr>
              <w:widowControl/>
              <w:ind w:left="0" w:leftChars="0" w:firstLine="480" w:firstLineChars="200"/>
              <w:jc w:val="left"/>
              <w:rPr>
                <w:rFonts w:hint="default" w:ascii="Times New Roman" w:hAnsi="Times New Roman" w:cs="Times New Roman"/>
              </w:rPr>
            </w:pPr>
            <w:r>
              <w:rPr>
                <w:rFonts w:hint="eastAsia"/>
                <w:lang w:val="en-US" w:eastAsia="zh-CN"/>
              </w:rPr>
              <w:t>本项目建设性质为新建，根据现场</w:t>
            </w:r>
            <w:r>
              <w:rPr>
                <w:rFonts w:hint="eastAsia"/>
                <w:highlight w:val="none"/>
                <w:lang w:val="en-US" w:eastAsia="zh-CN"/>
              </w:rPr>
              <w:t>勘察，</w:t>
            </w:r>
            <w:r>
              <w:rPr>
                <w:rFonts w:hint="eastAsia" w:ascii="宋体" w:hAnsi="宋体" w:eastAsia="宋体" w:cs="宋体"/>
                <w:color w:val="000000"/>
                <w:kern w:val="0"/>
                <w:sz w:val="24"/>
                <w:szCs w:val="24"/>
                <w:highlight w:val="none"/>
                <w:lang w:val="en-US" w:eastAsia="zh-CN" w:bidi="ar"/>
              </w:rPr>
              <w:t>厂址</w:t>
            </w:r>
            <w:r>
              <w:rPr>
                <w:rFonts w:hint="eastAsia" w:ascii="宋体" w:hAnsi="宋体" w:eastAsia="宋体" w:cs="宋体"/>
                <w:color w:val="000000"/>
                <w:kern w:val="0"/>
                <w:sz w:val="24"/>
                <w:szCs w:val="24"/>
                <w:lang w:val="en-US" w:eastAsia="zh-CN" w:bidi="ar"/>
              </w:rPr>
              <w:t>位于</w:t>
            </w:r>
            <w:r>
              <w:rPr>
                <w:rFonts w:hint="default" w:ascii="Times New Roman" w:hAnsi="Times New Roman" w:cs="Times New Roman"/>
                <w:sz w:val="24"/>
                <w:highlight w:val="none"/>
                <w:lang w:eastAsia="zh-CN"/>
              </w:rPr>
              <w:t>焦作市</w:t>
            </w:r>
            <w:r>
              <w:rPr>
                <w:rFonts w:hint="eastAsia" w:ascii="Times New Roman" w:hAnsi="Times New Roman" w:cs="Times New Roman"/>
                <w:sz w:val="24"/>
                <w:highlight w:val="none"/>
                <w:lang w:eastAsia="zh-CN"/>
              </w:rPr>
              <w:t>武陟县</w:t>
            </w:r>
            <w:r>
              <w:rPr>
                <w:rFonts w:hint="default" w:ascii="Times New Roman" w:hAnsi="Times New Roman" w:eastAsia="宋体" w:cs="Times New Roman"/>
                <w:highlight w:val="none"/>
                <w:lang w:eastAsia="zh-CN"/>
              </w:rPr>
              <w:t>经开区东部园区昌武路与鸿源路交叉口路西200米路南01号</w:t>
            </w:r>
            <w:r>
              <w:rPr>
                <w:rFonts w:hint="eastAsia" w:ascii="Times New Roman" w:hAnsi="Times New Roman" w:eastAsia="宋体" w:cs="Times New Roman"/>
                <w:highlight w:val="none"/>
                <w:lang w:eastAsia="zh-CN"/>
              </w:rPr>
              <w:t>，</w:t>
            </w:r>
            <w:r>
              <w:rPr>
                <w:rFonts w:hint="eastAsia" w:ascii="宋体" w:hAnsi="宋体" w:eastAsia="宋体" w:cs="宋体"/>
                <w:color w:val="000000"/>
                <w:kern w:val="0"/>
                <w:sz w:val="24"/>
                <w:szCs w:val="24"/>
                <w:lang w:val="en-US" w:eastAsia="zh-CN" w:bidi="ar"/>
              </w:rPr>
              <w:t>租赁</w:t>
            </w:r>
            <w:r>
              <w:rPr>
                <w:rFonts w:hint="eastAsia" w:ascii="Times New Roman" w:hAnsi="Times New Roman" w:cs="Times New Roman"/>
                <w:highlight w:val="none"/>
                <w:lang w:eastAsia="zh-CN"/>
              </w:rPr>
              <w:t>建能智慧科技（河南）有限公司</w:t>
            </w:r>
            <w:r>
              <w:rPr>
                <w:rFonts w:hint="eastAsia" w:ascii="宋体" w:hAnsi="宋体" w:eastAsia="宋体" w:cs="宋体"/>
                <w:color w:val="000000"/>
                <w:kern w:val="0"/>
                <w:sz w:val="24"/>
                <w:szCs w:val="24"/>
                <w:lang w:val="en-US" w:eastAsia="zh-CN" w:bidi="ar"/>
              </w:rPr>
              <w:t>的现有空厂房，厂区内无生产设施摆放，不存在原有污染情况</w:t>
            </w:r>
            <w:r>
              <w:rPr>
                <w:rFonts w:hint="eastAsia"/>
                <w:lang w:val="en-US" w:eastAsia="zh-CN"/>
              </w:rPr>
              <w:t>。</w:t>
            </w:r>
          </w:p>
        </w:tc>
      </w:tr>
    </w:tbl>
    <w:p w14:paraId="6EF3CCA3">
      <w:pPr>
        <w:pStyle w:val="12"/>
        <w:jc w:val="center"/>
        <w:rPr>
          <w:rFonts w:hint="default" w:ascii="Times New Roman" w:hAnsi="Times New Roman" w:eastAsia="黑体" w:cs="Times New Roman"/>
          <w:snapToGrid w:val="0"/>
          <w:sz w:val="36"/>
          <w:szCs w:val="36"/>
        </w:rPr>
        <w:sectPr>
          <w:footerReference r:id="rId7" w:type="default"/>
          <w:pgSz w:w="11906" w:h="16838"/>
          <w:pgMar w:top="1440" w:right="1080" w:bottom="1440" w:left="1080" w:header="851" w:footer="851" w:gutter="0"/>
          <w:pgBorders>
            <w:top w:val="none" w:sz="0" w:space="0"/>
            <w:left w:val="none" w:sz="0" w:space="0"/>
            <w:bottom w:val="none" w:sz="0" w:space="0"/>
            <w:right w:val="none" w:sz="0" w:space="0"/>
          </w:pgBorders>
          <w:pgNumType w:start="1"/>
          <w:cols w:space="720" w:num="1"/>
          <w:docGrid w:linePitch="312" w:charSpace="0"/>
        </w:sectPr>
      </w:pPr>
    </w:p>
    <w:p w14:paraId="19D3799D">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default" w:ascii="Times New Roman" w:hAnsi="Times New Roman" w:eastAsia="黑体" w:cs="Times New Roman"/>
          <w:snapToGrid w:val="0"/>
          <w:sz w:val="30"/>
          <w:szCs w:val="30"/>
        </w:rPr>
      </w:pPr>
      <w:r>
        <w:rPr>
          <w:rFonts w:hint="default" w:ascii="Times New Roman" w:hAnsi="Times New Roman" w:eastAsia="黑体" w:cs="Times New Roman"/>
          <w:snapToGrid w:val="0"/>
          <w:sz w:val="30"/>
          <w:szCs w:val="30"/>
        </w:rPr>
        <w:t>三、区域环境质量现状、环境保护目标及评价标准</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2"/>
        <w:gridCol w:w="8349"/>
      </w:tblGrid>
      <w:tr w14:paraId="566323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67" w:hRule="atLeast"/>
          <w:jc w:val="center"/>
        </w:trPr>
        <w:tc>
          <w:tcPr>
            <w:tcW w:w="712" w:type="dxa"/>
            <w:noWrap w:val="0"/>
            <w:vAlign w:val="center"/>
          </w:tcPr>
          <w:p w14:paraId="6429924F">
            <w:pPr>
              <w:adjustRightInd w:val="0"/>
              <w:snapToGrid w:val="0"/>
              <w:spacing w:line="240" w:lineRule="auto"/>
              <w:ind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区域环境质量现状</w:t>
            </w:r>
          </w:p>
        </w:tc>
        <w:tc>
          <w:tcPr>
            <w:tcW w:w="8349" w:type="dxa"/>
            <w:noWrap w:val="0"/>
            <w:vAlign w:val="center"/>
          </w:tcPr>
          <w:p w14:paraId="08D9DED0">
            <w:pPr>
              <w:pStyle w:val="2"/>
              <w:pageBreakBefore w:val="0"/>
              <w:widowControl w:val="0"/>
              <w:kinsoku/>
              <w:wordWrap/>
              <w:topLinePunct w:val="0"/>
              <w:autoSpaceDE/>
              <w:autoSpaceDN/>
              <w:bidi w:val="0"/>
              <w:snapToGrid/>
              <w:spacing w:line="520" w:lineRule="exact"/>
              <w:ind w:firstLine="0" w:firstLineChars="0"/>
              <w:textAlignment w:val="auto"/>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szCs w:val="24"/>
              </w:rPr>
              <w:t>一、环境空气质量现状</w:t>
            </w:r>
          </w:p>
          <w:p w14:paraId="39F74C2E">
            <w:pPr>
              <w:pStyle w:val="3"/>
              <w:pageBreakBefore w:val="0"/>
              <w:widowControl w:val="0"/>
              <w:kinsoku/>
              <w:wordWrap/>
              <w:topLinePunct w:val="0"/>
              <w:autoSpaceDE/>
              <w:autoSpaceDN/>
              <w:bidi w:val="0"/>
              <w:snapToGrid/>
              <w:spacing w:line="520" w:lineRule="exact"/>
              <w:ind w:firstLine="482" w:firstLineChars="200"/>
              <w:textAlignment w:val="auto"/>
              <w:rPr>
                <w:rFonts w:hint="default" w:ascii="Times New Roman" w:hAnsi="Times New Roman" w:cs="Times New Roman"/>
              </w:rPr>
            </w:pPr>
            <w:r>
              <w:rPr>
                <w:rFonts w:hint="default" w:ascii="Times New Roman" w:hAnsi="Times New Roman" w:cs="Times New Roman"/>
              </w:rPr>
              <w:t>1</w:t>
            </w:r>
            <w:r>
              <w:rPr>
                <w:rFonts w:hint="eastAsia" w:cs="Times New Roman"/>
                <w:lang w:eastAsia="zh-CN"/>
              </w:rPr>
              <w:t>.</w:t>
            </w:r>
            <w:r>
              <w:rPr>
                <w:rFonts w:hint="default" w:ascii="Times New Roman" w:hAnsi="Times New Roman" w:cs="Times New Roman"/>
              </w:rPr>
              <w:t>达标区判定</w:t>
            </w:r>
          </w:p>
          <w:p w14:paraId="15D2D5D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color w:val="auto"/>
              </w:rPr>
            </w:pPr>
            <w:r>
              <w:rPr>
                <w:rFonts w:hint="default" w:ascii="Times New Roman" w:hAnsi="Times New Roman" w:eastAsia="宋体" w:cs="Times New Roman"/>
                <w:b w:val="0"/>
                <w:bCs/>
                <w:color w:val="auto"/>
                <w:kern w:val="2"/>
                <w:sz w:val="24"/>
                <w:szCs w:val="24"/>
                <w:lang w:val="en-US" w:eastAsia="zh-CN" w:bidi="ar"/>
              </w:rPr>
              <w:t>城市环境空气质量达标情况评价指标为SO</w:t>
            </w:r>
            <w:r>
              <w:rPr>
                <w:rFonts w:hint="default" w:ascii="Times New Roman" w:hAnsi="Times New Roman" w:eastAsia="宋体" w:cs="Times New Roman"/>
                <w:b w:val="0"/>
                <w:bCs/>
                <w:color w:val="auto"/>
                <w:kern w:val="2"/>
                <w:sz w:val="24"/>
                <w:szCs w:val="24"/>
                <w:vertAlign w:val="subscript"/>
                <w:lang w:val="en-US" w:eastAsia="zh-CN" w:bidi="ar"/>
              </w:rPr>
              <w:t>2</w:t>
            </w:r>
            <w:r>
              <w:rPr>
                <w:rFonts w:hint="default" w:ascii="Times New Roman" w:hAnsi="Times New Roman" w:eastAsia="宋体" w:cs="Times New Roman"/>
                <w:b w:val="0"/>
                <w:bCs/>
                <w:color w:val="auto"/>
                <w:kern w:val="2"/>
                <w:sz w:val="24"/>
                <w:szCs w:val="24"/>
                <w:lang w:val="en-US" w:eastAsia="zh-CN" w:bidi="ar"/>
              </w:rPr>
              <w:t>、NO</w:t>
            </w:r>
            <w:r>
              <w:rPr>
                <w:rFonts w:hint="default" w:ascii="Times New Roman" w:hAnsi="Times New Roman" w:eastAsia="宋体" w:cs="Times New Roman"/>
                <w:b w:val="0"/>
                <w:bCs/>
                <w:color w:val="auto"/>
                <w:kern w:val="2"/>
                <w:sz w:val="24"/>
                <w:szCs w:val="24"/>
                <w:vertAlign w:val="subscript"/>
                <w:lang w:val="en-US" w:eastAsia="zh-CN" w:bidi="ar"/>
              </w:rPr>
              <w:t>2</w:t>
            </w:r>
            <w:r>
              <w:rPr>
                <w:rFonts w:hint="default" w:ascii="Times New Roman" w:hAnsi="Times New Roman" w:eastAsia="宋体" w:cs="Times New Roman"/>
                <w:b w:val="0"/>
                <w:bCs/>
                <w:color w:val="auto"/>
                <w:kern w:val="2"/>
                <w:sz w:val="24"/>
                <w:szCs w:val="24"/>
                <w:lang w:val="en-US" w:eastAsia="zh-CN" w:bidi="ar"/>
              </w:rPr>
              <w:t>、PM</w:t>
            </w:r>
            <w:r>
              <w:rPr>
                <w:rFonts w:hint="default" w:ascii="Times New Roman" w:hAnsi="Times New Roman" w:eastAsia="宋体" w:cs="Times New Roman"/>
                <w:b w:val="0"/>
                <w:bCs/>
                <w:color w:val="auto"/>
                <w:kern w:val="2"/>
                <w:sz w:val="24"/>
                <w:szCs w:val="24"/>
                <w:vertAlign w:val="subscript"/>
                <w:lang w:val="en-US" w:eastAsia="zh-CN" w:bidi="ar"/>
              </w:rPr>
              <w:t>10</w:t>
            </w:r>
            <w:r>
              <w:rPr>
                <w:rFonts w:hint="default" w:ascii="Times New Roman" w:hAnsi="Times New Roman" w:eastAsia="宋体" w:cs="Times New Roman"/>
                <w:b w:val="0"/>
                <w:bCs/>
                <w:color w:val="auto"/>
                <w:kern w:val="2"/>
                <w:sz w:val="24"/>
                <w:szCs w:val="24"/>
                <w:lang w:val="en-US" w:eastAsia="zh-CN" w:bidi="ar"/>
              </w:rPr>
              <w:t>、PM</w:t>
            </w:r>
            <w:r>
              <w:rPr>
                <w:rFonts w:hint="default" w:ascii="Times New Roman" w:hAnsi="Times New Roman" w:eastAsia="宋体" w:cs="Times New Roman"/>
                <w:b w:val="0"/>
                <w:bCs/>
                <w:color w:val="auto"/>
                <w:kern w:val="2"/>
                <w:sz w:val="24"/>
                <w:szCs w:val="24"/>
                <w:vertAlign w:val="subscript"/>
                <w:lang w:val="en-US" w:eastAsia="zh-CN" w:bidi="ar"/>
              </w:rPr>
              <w:t>2</w:t>
            </w:r>
            <w:r>
              <w:rPr>
                <w:rFonts w:hint="default" w:ascii="Times New Roman" w:hAnsi="Times New Roman" w:cs="Times New Roman"/>
                <w:b w:val="0"/>
                <w:bCs/>
                <w:color w:val="auto"/>
                <w:kern w:val="2"/>
                <w:sz w:val="24"/>
                <w:szCs w:val="24"/>
                <w:vertAlign w:val="subscript"/>
                <w:lang w:val="en-US" w:eastAsia="zh-CN" w:bidi="ar"/>
              </w:rPr>
              <w:t>.</w:t>
            </w:r>
            <w:r>
              <w:rPr>
                <w:rFonts w:hint="default" w:ascii="Times New Roman" w:hAnsi="Times New Roman" w:eastAsia="宋体" w:cs="Times New Roman"/>
                <w:b w:val="0"/>
                <w:bCs/>
                <w:color w:val="auto"/>
                <w:kern w:val="2"/>
                <w:sz w:val="24"/>
                <w:szCs w:val="24"/>
                <w:vertAlign w:val="subscript"/>
                <w:lang w:val="en-US" w:eastAsia="zh-CN" w:bidi="ar"/>
              </w:rPr>
              <w:t>5</w:t>
            </w:r>
            <w:r>
              <w:rPr>
                <w:rFonts w:hint="default" w:ascii="Times New Roman" w:hAnsi="Times New Roman" w:eastAsia="宋体" w:cs="Times New Roman"/>
                <w:b w:val="0"/>
                <w:bCs/>
                <w:color w:val="auto"/>
                <w:kern w:val="2"/>
                <w:sz w:val="24"/>
                <w:szCs w:val="24"/>
                <w:lang w:val="en-US" w:eastAsia="zh-CN" w:bidi="ar"/>
              </w:rPr>
              <w:t>、CO和O</w:t>
            </w:r>
            <w:r>
              <w:rPr>
                <w:rFonts w:hint="default" w:ascii="Times New Roman" w:hAnsi="Times New Roman" w:cs="Times New Roman"/>
                <w:b w:val="0"/>
                <w:bCs/>
                <w:color w:val="auto"/>
                <w:kern w:val="2"/>
                <w:sz w:val="24"/>
                <w:szCs w:val="24"/>
                <w:vertAlign w:val="subscript"/>
                <w:lang w:val="en-US" w:eastAsia="zh-CN" w:bidi="ar"/>
              </w:rPr>
              <w:t>3</w:t>
            </w:r>
            <w:r>
              <w:rPr>
                <w:rFonts w:hint="default" w:ascii="Times New Roman" w:hAnsi="Times New Roman" w:eastAsia="宋体" w:cs="Times New Roman"/>
                <w:b w:val="0"/>
                <w:bCs/>
                <w:color w:val="auto"/>
                <w:kern w:val="2"/>
                <w:sz w:val="24"/>
                <w:szCs w:val="24"/>
                <w:lang w:val="en-US" w:eastAsia="zh-CN" w:bidi="ar"/>
              </w:rPr>
              <w:t>，六项污染物全部达标即为城市环境空气质量达标</w:t>
            </w:r>
            <w:r>
              <w:rPr>
                <w:rFonts w:hint="default" w:ascii="Times New Roman" w:hAnsi="Times New Roman" w:cs="Times New Roman"/>
                <w:b w:val="0"/>
                <w:bCs/>
                <w:color w:val="auto"/>
                <w:kern w:val="2"/>
                <w:sz w:val="24"/>
                <w:szCs w:val="24"/>
                <w:lang w:val="en-US" w:eastAsia="zh-CN" w:bidi="ar"/>
              </w:rPr>
              <w:t>。</w:t>
            </w:r>
            <w:r>
              <w:rPr>
                <w:rFonts w:hint="default" w:ascii="Times New Roman" w:hAnsi="Times New Roman" w:eastAsia="宋体" w:cs="Times New Roman"/>
                <w:b w:val="0"/>
                <w:bCs/>
                <w:color w:val="auto"/>
                <w:kern w:val="2"/>
                <w:sz w:val="24"/>
                <w:szCs w:val="24"/>
                <w:lang w:val="en-US" w:eastAsia="zh-CN" w:bidi="ar"/>
              </w:rPr>
              <w:t>根据</w:t>
            </w:r>
            <w:r>
              <w:rPr>
                <w:rFonts w:hint="eastAsia" w:cs="Times New Roman"/>
                <w:b w:val="0"/>
                <w:bCs/>
                <w:color w:val="auto"/>
                <w:kern w:val="2"/>
                <w:sz w:val="24"/>
                <w:szCs w:val="24"/>
                <w:lang w:val="en-US" w:eastAsia="zh-CN" w:bidi="ar"/>
              </w:rPr>
              <w:t>2024年</w:t>
            </w:r>
            <w:r>
              <w:rPr>
                <w:rFonts w:hint="default" w:ascii="Times New Roman" w:hAnsi="Times New Roman" w:eastAsia="宋体" w:cs="Times New Roman"/>
                <w:b w:val="0"/>
                <w:bCs/>
                <w:color w:val="auto"/>
                <w:kern w:val="2"/>
                <w:sz w:val="24"/>
                <w:szCs w:val="24"/>
                <w:lang w:val="en-US" w:eastAsia="zh-CN" w:bidi="ar"/>
              </w:rPr>
              <w:t>河南省空气质量实况与预报系统</w:t>
            </w:r>
            <w:r>
              <w:rPr>
                <w:rFonts w:hint="eastAsia" w:cs="Times New Roman"/>
                <w:b w:val="0"/>
                <w:bCs/>
                <w:color w:val="auto"/>
                <w:kern w:val="2"/>
                <w:sz w:val="24"/>
                <w:szCs w:val="24"/>
                <w:lang w:val="en-US" w:eastAsia="zh-CN" w:bidi="ar"/>
              </w:rPr>
              <w:t>中监测数据</w:t>
            </w:r>
            <w:r>
              <w:rPr>
                <w:rFonts w:hint="default" w:ascii="Times New Roman" w:hAnsi="Times New Roman" w:eastAsia="宋体" w:cs="Times New Roman"/>
                <w:b w:val="0"/>
                <w:bCs/>
                <w:color w:val="auto"/>
                <w:kern w:val="2"/>
                <w:sz w:val="24"/>
                <w:szCs w:val="24"/>
                <w:lang w:val="en-US" w:eastAsia="zh-CN" w:bidi="ar"/>
              </w:rPr>
              <w:t>，焦作市区域环境空气质量属于不达标区</w:t>
            </w:r>
            <w:r>
              <w:rPr>
                <w:rFonts w:hint="default" w:ascii="Times New Roman" w:hAnsi="Times New Roman" w:cs="Times New Roman"/>
                <w:color w:val="auto"/>
              </w:rPr>
              <w:t>。</w:t>
            </w:r>
          </w:p>
          <w:p w14:paraId="3FCD16D4">
            <w:pPr>
              <w:pageBreakBefore w:val="0"/>
              <w:widowControl w:val="0"/>
              <w:kinsoku/>
              <w:wordWrap/>
              <w:topLinePunct w:val="0"/>
              <w:autoSpaceDE/>
              <w:autoSpaceDN/>
              <w:bidi w:val="0"/>
              <w:adjustRightInd w:val="0"/>
              <w:snapToGrid/>
              <w:spacing w:line="520" w:lineRule="exact"/>
              <w:ind w:firstLine="482" w:firstLineChars="200"/>
              <w:textAlignment w:val="auto"/>
              <w:rPr>
                <w:rFonts w:hint="default" w:ascii="Times New Roman" w:hAnsi="Times New Roman" w:cs="Times New Roman"/>
                <w:b/>
                <w:bCs/>
                <w:kern w:val="0"/>
                <w:szCs w:val="36"/>
                <w:lang w:bidi="ar"/>
              </w:rPr>
            </w:pPr>
            <w:r>
              <w:rPr>
                <w:rFonts w:hint="eastAsia" w:cs="Times New Roman"/>
                <w:b/>
                <w:bCs/>
                <w:kern w:val="0"/>
                <w:szCs w:val="36"/>
                <w:lang w:val="en-US" w:eastAsia="zh-CN" w:bidi="ar"/>
              </w:rPr>
              <w:t>2.</w:t>
            </w:r>
            <w:r>
              <w:rPr>
                <w:rFonts w:hint="default" w:ascii="Times New Roman" w:hAnsi="Times New Roman" w:cs="Times New Roman"/>
                <w:b/>
                <w:bCs/>
                <w:kern w:val="0"/>
                <w:szCs w:val="36"/>
                <w:lang w:bidi="ar"/>
              </w:rPr>
              <w:t>项目所在区域环境质量现状</w:t>
            </w:r>
          </w:p>
          <w:p w14:paraId="44E02D53">
            <w:pPr>
              <w:pageBreakBefore w:val="0"/>
              <w:widowControl w:val="0"/>
              <w:kinsoku/>
              <w:wordWrap/>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000000"/>
                <w:sz w:val="24"/>
                <w:szCs w:val="24"/>
                <w:lang w:bidi="ar-SA"/>
              </w:rPr>
            </w:pPr>
            <w:r>
              <w:rPr>
                <w:rFonts w:hint="default" w:ascii="Times New Roman" w:hAnsi="Times New Roman" w:cs="Times New Roman"/>
              </w:rPr>
              <w:t>项</w:t>
            </w:r>
            <w:r>
              <w:rPr>
                <w:rFonts w:hint="default" w:ascii="Times New Roman" w:hAnsi="Times New Roman" w:cs="Times New Roman"/>
                <w:highlight w:val="none"/>
              </w:rPr>
              <w:t>目厂址位于</w:t>
            </w:r>
            <w:r>
              <w:rPr>
                <w:rFonts w:hint="default" w:ascii="Times New Roman" w:hAnsi="Times New Roman" w:eastAsia="宋体" w:cs="Times New Roman"/>
                <w:highlight w:val="none"/>
                <w:lang w:eastAsia="zh-CN"/>
              </w:rPr>
              <w:t>焦作</w:t>
            </w:r>
            <w:r>
              <w:rPr>
                <w:rFonts w:hint="default" w:ascii="Times New Roman" w:hAnsi="Times New Roman" w:eastAsia="宋体" w:cs="Times New Roman"/>
                <w:lang w:eastAsia="zh-CN"/>
              </w:rPr>
              <w:t>市武陟县经开区东部园区昌武路与鸿源路交叉口路西200米路南01号</w:t>
            </w:r>
            <w:r>
              <w:rPr>
                <w:rFonts w:hint="default" w:ascii="Times New Roman" w:hAnsi="Times New Roman" w:cs="Times New Roman"/>
              </w:rPr>
              <w:t>。</w:t>
            </w:r>
            <w:r>
              <w:rPr>
                <w:rFonts w:hint="default" w:ascii="Times New Roman" w:hAnsi="Times New Roman" w:eastAsia="宋体" w:cs="Times New Roman"/>
                <w:sz w:val="24"/>
                <w:szCs w:val="24"/>
                <w:lang w:bidi="ar-SA"/>
              </w:rPr>
              <w:t>根据《环境影响评价技术导则大气环境》（HJ2.2-2018）规定，选址区域属于《环境</w:t>
            </w:r>
            <w:r>
              <w:rPr>
                <w:rFonts w:hint="default" w:ascii="Times New Roman" w:hAnsi="Times New Roman" w:eastAsia="宋体" w:cs="Times New Roman"/>
                <w:color w:val="000000"/>
                <w:sz w:val="24"/>
                <w:szCs w:val="24"/>
                <w:lang w:bidi="ar-SA"/>
              </w:rPr>
              <w:t>空气质量标准》（GB3095-2012）</w:t>
            </w:r>
            <w:r>
              <w:rPr>
                <w:rFonts w:hint="default" w:ascii="Times New Roman" w:hAnsi="Times New Roman" w:eastAsia="宋体" w:cs="Times New Roman"/>
                <w:sz w:val="24"/>
                <w:szCs w:val="24"/>
                <w:lang w:bidi="ar-SA"/>
              </w:rPr>
              <w:t>划定的二类环境空气质量功能区。本次评价环境空气基本污染物选取SO</w:t>
            </w:r>
            <w:r>
              <w:rPr>
                <w:rFonts w:hint="default" w:ascii="Times New Roman" w:hAnsi="Times New Roman" w:eastAsia="宋体" w:cs="Times New Roman"/>
                <w:sz w:val="24"/>
                <w:szCs w:val="24"/>
                <w:vertAlign w:val="subscript"/>
                <w:lang w:bidi="ar-SA"/>
              </w:rPr>
              <w:t>2</w:t>
            </w:r>
            <w:r>
              <w:rPr>
                <w:rFonts w:hint="default" w:ascii="Times New Roman" w:hAnsi="Times New Roman" w:eastAsia="宋体" w:cs="Times New Roman"/>
                <w:sz w:val="24"/>
                <w:szCs w:val="24"/>
                <w:lang w:bidi="ar-SA"/>
              </w:rPr>
              <w:t>、NO</w:t>
            </w:r>
            <w:r>
              <w:rPr>
                <w:rFonts w:hint="default" w:ascii="Times New Roman" w:hAnsi="Times New Roman" w:eastAsia="宋体" w:cs="Times New Roman"/>
                <w:sz w:val="24"/>
                <w:szCs w:val="24"/>
                <w:vertAlign w:val="subscript"/>
                <w:lang w:bidi="ar-SA"/>
              </w:rPr>
              <w:t>2</w:t>
            </w:r>
            <w:r>
              <w:rPr>
                <w:rFonts w:hint="default" w:ascii="Times New Roman" w:hAnsi="Times New Roman" w:eastAsia="宋体" w:cs="Times New Roman"/>
                <w:sz w:val="24"/>
                <w:szCs w:val="24"/>
                <w:lang w:bidi="ar-SA"/>
              </w:rPr>
              <w:t>、可吸入颗粒物（PM</w:t>
            </w:r>
            <w:r>
              <w:rPr>
                <w:rFonts w:hint="default" w:ascii="Times New Roman" w:hAnsi="Times New Roman" w:eastAsia="宋体" w:cs="Times New Roman"/>
                <w:sz w:val="24"/>
                <w:szCs w:val="24"/>
                <w:vertAlign w:val="subscript"/>
                <w:lang w:bidi="ar-SA"/>
              </w:rPr>
              <w:t>10</w:t>
            </w:r>
            <w:r>
              <w:rPr>
                <w:rFonts w:hint="default" w:ascii="Times New Roman" w:hAnsi="Times New Roman" w:eastAsia="宋体" w:cs="Times New Roman"/>
                <w:sz w:val="24"/>
                <w:szCs w:val="24"/>
                <w:lang w:bidi="ar-SA"/>
              </w:rPr>
              <w:t>）、细颗粒物（PM</w:t>
            </w:r>
            <w:r>
              <w:rPr>
                <w:rFonts w:hint="default" w:ascii="Times New Roman" w:hAnsi="Times New Roman" w:eastAsia="宋体" w:cs="Times New Roman"/>
                <w:sz w:val="24"/>
                <w:szCs w:val="24"/>
                <w:vertAlign w:val="subscript"/>
                <w:lang w:bidi="ar-SA"/>
              </w:rPr>
              <w:t>2.5</w:t>
            </w:r>
            <w:r>
              <w:rPr>
                <w:rFonts w:hint="default" w:ascii="Times New Roman" w:hAnsi="Times New Roman" w:eastAsia="宋体" w:cs="Times New Roman"/>
                <w:sz w:val="24"/>
                <w:szCs w:val="24"/>
                <w:lang w:bidi="ar-SA"/>
              </w:rPr>
              <w:t>）、CO和O</w:t>
            </w:r>
            <w:r>
              <w:rPr>
                <w:rFonts w:hint="default" w:ascii="Times New Roman" w:hAnsi="Times New Roman" w:eastAsia="宋体" w:cs="Times New Roman"/>
                <w:sz w:val="24"/>
                <w:szCs w:val="24"/>
                <w:vertAlign w:val="subscript"/>
                <w:lang w:bidi="ar-SA"/>
              </w:rPr>
              <w:t>3</w:t>
            </w:r>
            <w:r>
              <w:rPr>
                <w:rFonts w:hint="default" w:ascii="Times New Roman" w:hAnsi="Times New Roman" w:eastAsia="宋体" w:cs="Times New Roman"/>
                <w:sz w:val="24"/>
                <w:szCs w:val="24"/>
                <w:lang w:bidi="ar-SA"/>
              </w:rPr>
              <w:t>为评价因子。现状监测数据采用</w:t>
            </w:r>
            <w:r>
              <w:rPr>
                <w:rFonts w:hint="eastAsia"/>
                <w:color w:val="000000"/>
              </w:rPr>
              <w:t>河南省空气质量实况与预报</w:t>
            </w:r>
            <w:r>
              <w:rPr>
                <w:color w:val="000000"/>
              </w:rPr>
              <w:t>系统</w:t>
            </w:r>
            <w:r>
              <w:rPr>
                <w:rFonts w:hint="eastAsia"/>
                <w:color w:val="000000"/>
              </w:rPr>
              <w:t>中</w:t>
            </w:r>
            <w:r>
              <w:rPr>
                <w:color w:val="000000"/>
              </w:rPr>
              <w:t>对</w:t>
            </w:r>
            <w:r>
              <w:rPr>
                <w:rFonts w:hint="eastAsia"/>
                <w:color w:val="000000"/>
              </w:rPr>
              <w:t>焦作</w:t>
            </w:r>
            <w:r>
              <w:rPr>
                <w:color w:val="000000"/>
              </w:rPr>
              <w:t>市</w:t>
            </w:r>
            <w:r>
              <w:rPr>
                <w:rFonts w:hint="eastAsia"/>
                <w:color w:val="000000"/>
              </w:rPr>
              <w:t>武陟县</w:t>
            </w:r>
            <w:r>
              <w:rPr>
                <w:color w:val="000000"/>
              </w:rPr>
              <w:t>20</w:t>
            </w:r>
            <w:r>
              <w:rPr>
                <w:rFonts w:hint="eastAsia"/>
                <w:color w:val="000000"/>
              </w:rPr>
              <w:t>24</w:t>
            </w:r>
            <w:r>
              <w:rPr>
                <w:color w:val="000000"/>
              </w:rPr>
              <w:t>年的平均监测数据</w:t>
            </w:r>
            <w:r>
              <w:rPr>
                <w:rFonts w:hint="default" w:ascii="Times New Roman" w:hAnsi="Times New Roman" w:eastAsia="宋体" w:cs="Times New Roman"/>
                <w:color w:val="000000"/>
                <w:sz w:val="24"/>
                <w:szCs w:val="24"/>
                <w:lang w:bidi="ar-SA"/>
              </w:rPr>
              <w:t>。具体监测数据详见表3</w:t>
            </w:r>
            <w:r>
              <w:rPr>
                <w:rFonts w:hint="default" w:ascii="Times New Roman" w:hAnsi="Times New Roman" w:cs="Times New Roman"/>
                <w:color w:val="000000"/>
                <w:sz w:val="24"/>
                <w:szCs w:val="24"/>
                <w:lang w:val="en-US" w:eastAsia="zh-CN" w:bidi="ar-SA"/>
              </w:rPr>
              <w:t>-</w:t>
            </w:r>
            <w:r>
              <w:rPr>
                <w:rFonts w:hint="default" w:ascii="Times New Roman" w:hAnsi="Times New Roman" w:eastAsia="宋体" w:cs="Times New Roman"/>
                <w:color w:val="000000"/>
                <w:sz w:val="24"/>
                <w:szCs w:val="24"/>
                <w:lang w:bidi="ar-SA"/>
              </w:rPr>
              <w:t>1。</w:t>
            </w:r>
          </w:p>
          <w:p w14:paraId="07C3898D">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hint="default" w:ascii="Times New Roman" w:hAnsi="Times New Roman" w:eastAsia="宋体" w:cs="Times New Roman"/>
                <w:b/>
                <w:bCs/>
                <w:sz w:val="24"/>
                <w:szCs w:val="24"/>
                <w:lang w:bidi="ar-SA"/>
              </w:rPr>
            </w:pPr>
            <w:r>
              <w:rPr>
                <w:rFonts w:hint="default" w:ascii="Times New Roman" w:hAnsi="Times New Roman" w:eastAsia="宋体" w:cs="Times New Roman"/>
                <w:b/>
                <w:bCs/>
                <w:sz w:val="24"/>
                <w:szCs w:val="24"/>
                <w:lang w:bidi="ar-SA"/>
              </w:rPr>
              <w:t>表3</w:t>
            </w:r>
            <w:r>
              <w:rPr>
                <w:rFonts w:hint="default" w:ascii="Times New Roman" w:hAnsi="Times New Roman" w:eastAsia="宋体" w:cs="Times New Roman"/>
                <w:b/>
                <w:bCs/>
                <w:sz w:val="24"/>
                <w:szCs w:val="24"/>
                <w:lang w:val="en-US" w:eastAsia="zh-CN" w:bidi="ar-SA"/>
              </w:rPr>
              <w:t>-</w:t>
            </w:r>
            <w:r>
              <w:rPr>
                <w:rFonts w:hint="default" w:ascii="Times New Roman" w:hAnsi="Times New Roman" w:eastAsia="宋体" w:cs="Times New Roman"/>
                <w:b/>
                <w:bCs/>
                <w:sz w:val="24"/>
                <w:szCs w:val="24"/>
                <w:lang w:bidi="ar-SA"/>
              </w:rPr>
              <w:t xml:space="preserve">1  </w:t>
            </w:r>
            <w:r>
              <w:rPr>
                <w:rFonts w:hint="default" w:ascii="Times New Roman" w:hAnsi="Times New Roman" w:eastAsia="宋体" w:cs="Times New Roman"/>
                <w:b/>
                <w:bCs/>
                <w:sz w:val="24"/>
                <w:szCs w:val="24"/>
                <w:lang w:val="en-US" w:eastAsia="zh-CN" w:bidi="ar-SA"/>
              </w:rPr>
              <w:t xml:space="preserve"> </w:t>
            </w:r>
            <w:r>
              <w:rPr>
                <w:rFonts w:hint="eastAsia"/>
                <w:b/>
                <w:bCs/>
                <w:color w:val="000000"/>
              </w:rPr>
              <w:t>2024年武陟县</w:t>
            </w:r>
            <w:r>
              <w:rPr>
                <w:rFonts w:hint="default" w:ascii="Times New Roman" w:hAnsi="Times New Roman" w:eastAsia="宋体" w:cs="Times New Roman"/>
                <w:b/>
                <w:bCs/>
                <w:sz w:val="24"/>
                <w:szCs w:val="24"/>
                <w:lang w:bidi="ar-SA"/>
              </w:rPr>
              <w:t>环境空气现状监测结果</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74"/>
              <w:gridCol w:w="2025"/>
              <w:gridCol w:w="1380"/>
              <w:gridCol w:w="1275"/>
              <w:gridCol w:w="1241"/>
              <w:gridCol w:w="860"/>
            </w:tblGrid>
            <w:tr w14:paraId="057BA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072" w:type="pct"/>
                  <w:gridSpan w:val="3"/>
                  <w:tcBorders>
                    <w:tl2br w:val="single" w:color="auto" w:sz="4" w:space="0"/>
                  </w:tcBorders>
                  <w:noWrap w:val="0"/>
                  <w:vAlign w:val="center"/>
                </w:tcPr>
                <w:p w14:paraId="52B0803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right"/>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统计内容</w:t>
                  </w:r>
                </w:p>
                <w:p w14:paraId="7C8F2A0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监测点位及项目</w:t>
                  </w:r>
                </w:p>
              </w:tc>
              <w:tc>
                <w:tcPr>
                  <w:tcW w:w="849" w:type="pct"/>
                  <w:noWrap w:val="0"/>
                  <w:vAlign w:val="center"/>
                </w:tcPr>
                <w:p w14:paraId="4FFD98E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平均值</w:t>
                  </w:r>
                </w:p>
              </w:tc>
              <w:tc>
                <w:tcPr>
                  <w:tcW w:w="784" w:type="pct"/>
                  <w:noWrap w:val="0"/>
                  <w:vAlign w:val="center"/>
                </w:tcPr>
                <w:p w14:paraId="08E01E2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pacing w:val="-26"/>
                      <w:sz w:val="21"/>
                      <w:szCs w:val="21"/>
                      <w:lang w:bidi="ar-SA"/>
                    </w:rPr>
                  </w:pPr>
                  <w:r>
                    <w:rPr>
                      <w:rFonts w:hint="default" w:ascii="Times New Roman" w:hAnsi="Times New Roman" w:eastAsia="宋体" w:cs="Times New Roman"/>
                      <w:sz w:val="21"/>
                      <w:szCs w:val="21"/>
                      <w:lang w:bidi="ar-SA"/>
                    </w:rPr>
                    <w:t>标准值</w:t>
                  </w:r>
                </w:p>
              </w:tc>
              <w:tc>
                <w:tcPr>
                  <w:tcW w:w="763" w:type="pct"/>
                  <w:noWrap w:val="0"/>
                  <w:vAlign w:val="center"/>
                </w:tcPr>
                <w:p w14:paraId="1361F41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标准指数</w:t>
                  </w:r>
                </w:p>
              </w:tc>
              <w:tc>
                <w:tcPr>
                  <w:tcW w:w="529" w:type="pct"/>
                  <w:noWrap w:val="0"/>
                  <w:vAlign w:val="center"/>
                </w:tcPr>
                <w:p w14:paraId="7D735A6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000000"/>
                      <w:sz w:val="21"/>
                      <w:szCs w:val="21"/>
                      <w:lang w:bidi="ar-SA"/>
                    </w:rPr>
                  </w:pPr>
                  <w:r>
                    <w:rPr>
                      <w:rFonts w:hint="default" w:ascii="Times New Roman" w:hAnsi="Times New Roman" w:eastAsia="宋体" w:cs="Times New Roman"/>
                      <w:color w:val="000000"/>
                      <w:sz w:val="21"/>
                      <w:szCs w:val="21"/>
                      <w:lang w:bidi="ar-SA"/>
                    </w:rPr>
                    <w:t>达标</w:t>
                  </w:r>
                </w:p>
                <w:p w14:paraId="1118697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color w:val="000000"/>
                      <w:sz w:val="21"/>
                      <w:szCs w:val="21"/>
                      <w:lang w:bidi="ar-SA"/>
                    </w:rPr>
                    <w:t>情况</w:t>
                  </w:r>
                </w:p>
              </w:tc>
            </w:tr>
            <w:tr w14:paraId="36DB5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88" w:type="pct"/>
                  <w:vMerge w:val="restart"/>
                  <w:noWrap w:val="0"/>
                  <w:vAlign w:val="center"/>
                </w:tcPr>
                <w:p w14:paraId="4C9295A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武陟县</w:t>
                  </w:r>
                </w:p>
              </w:tc>
              <w:tc>
                <w:tcPr>
                  <w:tcW w:w="537" w:type="pct"/>
                  <w:noWrap w:val="0"/>
                  <w:vAlign w:val="center"/>
                </w:tcPr>
                <w:p w14:paraId="02263F3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SO</w:t>
                  </w:r>
                  <w:r>
                    <w:rPr>
                      <w:rFonts w:hint="default" w:ascii="Times New Roman" w:hAnsi="Times New Roman" w:eastAsia="宋体" w:cs="Times New Roman"/>
                      <w:sz w:val="21"/>
                      <w:szCs w:val="21"/>
                      <w:vertAlign w:val="subscript"/>
                      <w:lang w:bidi="ar-SA"/>
                    </w:rPr>
                    <w:t>2</w:t>
                  </w:r>
                </w:p>
              </w:tc>
              <w:tc>
                <w:tcPr>
                  <w:tcW w:w="1246" w:type="pct"/>
                  <w:noWrap w:val="0"/>
                  <w:vAlign w:val="center"/>
                </w:tcPr>
                <w:p w14:paraId="3944BAB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年均值</w:t>
                  </w:r>
                </w:p>
              </w:tc>
              <w:tc>
                <w:tcPr>
                  <w:tcW w:w="849" w:type="pct"/>
                  <w:noWrap w:val="0"/>
                  <w:vAlign w:val="center"/>
                </w:tcPr>
                <w:p w14:paraId="0F18F4B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10μg/m</w:t>
                  </w:r>
                  <w:r>
                    <w:rPr>
                      <w:rFonts w:hint="default" w:ascii="Times New Roman" w:hAnsi="Times New Roman" w:eastAsia="宋体" w:cs="Times New Roman"/>
                      <w:sz w:val="21"/>
                      <w:szCs w:val="21"/>
                      <w:vertAlign w:val="superscript"/>
                      <w:lang w:bidi="ar-SA"/>
                    </w:rPr>
                    <w:t>3</w:t>
                  </w:r>
                </w:p>
              </w:tc>
              <w:tc>
                <w:tcPr>
                  <w:tcW w:w="784" w:type="pct"/>
                  <w:noWrap w:val="0"/>
                  <w:vAlign w:val="center"/>
                </w:tcPr>
                <w:p w14:paraId="7153D2E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60μg/m</w:t>
                  </w:r>
                  <w:r>
                    <w:rPr>
                      <w:rFonts w:hint="default" w:ascii="Times New Roman" w:hAnsi="Times New Roman" w:eastAsia="宋体" w:cs="Times New Roman"/>
                      <w:sz w:val="21"/>
                      <w:szCs w:val="21"/>
                      <w:vertAlign w:val="superscript"/>
                      <w:lang w:bidi="ar-SA"/>
                    </w:rPr>
                    <w:t>3</w:t>
                  </w:r>
                </w:p>
              </w:tc>
              <w:tc>
                <w:tcPr>
                  <w:tcW w:w="763" w:type="pct"/>
                  <w:noWrap w:val="0"/>
                  <w:vAlign w:val="center"/>
                </w:tcPr>
                <w:p w14:paraId="1237AA5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0.17</w:t>
                  </w:r>
                </w:p>
              </w:tc>
              <w:tc>
                <w:tcPr>
                  <w:tcW w:w="529" w:type="pct"/>
                  <w:noWrap w:val="0"/>
                  <w:vAlign w:val="center"/>
                </w:tcPr>
                <w:p w14:paraId="37E3958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达标</w:t>
                  </w:r>
                </w:p>
              </w:tc>
            </w:tr>
            <w:tr w14:paraId="7569E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88" w:type="pct"/>
                  <w:vMerge w:val="continue"/>
                  <w:noWrap w:val="0"/>
                  <w:vAlign w:val="center"/>
                </w:tcPr>
                <w:p w14:paraId="14780CC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p>
              </w:tc>
              <w:tc>
                <w:tcPr>
                  <w:tcW w:w="537" w:type="pct"/>
                  <w:noWrap w:val="0"/>
                  <w:vAlign w:val="center"/>
                </w:tcPr>
                <w:p w14:paraId="1A2A3F1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NO</w:t>
                  </w:r>
                  <w:r>
                    <w:rPr>
                      <w:rFonts w:hint="default" w:ascii="Times New Roman" w:hAnsi="Times New Roman" w:eastAsia="宋体" w:cs="Times New Roman"/>
                      <w:sz w:val="21"/>
                      <w:szCs w:val="21"/>
                      <w:vertAlign w:val="subscript"/>
                      <w:lang w:bidi="ar-SA"/>
                    </w:rPr>
                    <w:t>2</w:t>
                  </w:r>
                </w:p>
              </w:tc>
              <w:tc>
                <w:tcPr>
                  <w:tcW w:w="1246" w:type="pct"/>
                  <w:noWrap w:val="0"/>
                  <w:vAlign w:val="center"/>
                </w:tcPr>
                <w:p w14:paraId="7D66721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年均值</w:t>
                  </w:r>
                </w:p>
              </w:tc>
              <w:tc>
                <w:tcPr>
                  <w:tcW w:w="849" w:type="pct"/>
                  <w:noWrap w:val="0"/>
                  <w:vAlign w:val="center"/>
                </w:tcPr>
                <w:p w14:paraId="15E28B5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w:t>
                  </w:r>
                  <w:r>
                    <w:rPr>
                      <w:rFonts w:hint="eastAsia" w:cs="Times New Roman"/>
                      <w:sz w:val="21"/>
                      <w:szCs w:val="21"/>
                      <w:lang w:val="en-US" w:eastAsia="zh-CN" w:bidi="ar-SA"/>
                    </w:rPr>
                    <w:t>5</w:t>
                  </w:r>
                  <w:r>
                    <w:rPr>
                      <w:rFonts w:hint="default" w:ascii="Times New Roman" w:hAnsi="Times New Roman" w:eastAsia="宋体" w:cs="Times New Roman"/>
                      <w:sz w:val="21"/>
                      <w:szCs w:val="21"/>
                      <w:lang w:bidi="ar-SA"/>
                    </w:rPr>
                    <w:t>μg/m</w:t>
                  </w:r>
                  <w:r>
                    <w:rPr>
                      <w:rFonts w:hint="default" w:ascii="Times New Roman" w:hAnsi="Times New Roman" w:eastAsia="宋体" w:cs="Times New Roman"/>
                      <w:sz w:val="21"/>
                      <w:szCs w:val="21"/>
                      <w:vertAlign w:val="superscript"/>
                      <w:lang w:bidi="ar-SA"/>
                    </w:rPr>
                    <w:t>3</w:t>
                  </w:r>
                </w:p>
              </w:tc>
              <w:tc>
                <w:tcPr>
                  <w:tcW w:w="784" w:type="pct"/>
                  <w:noWrap w:val="0"/>
                  <w:vAlign w:val="center"/>
                </w:tcPr>
                <w:p w14:paraId="5429719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40μg/m</w:t>
                  </w:r>
                  <w:r>
                    <w:rPr>
                      <w:rFonts w:hint="default" w:ascii="Times New Roman" w:hAnsi="Times New Roman" w:eastAsia="宋体" w:cs="Times New Roman"/>
                      <w:sz w:val="21"/>
                      <w:szCs w:val="21"/>
                      <w:vertAlign w:val="superscript"/>
                      <w:lang w:bidi="ar-SA"/>
                    </w:rPr>
                    <w:t>3</w:t>
                  </w:r>
                </w:p>
              </w:tc>
              <w:tc>
                <w:tcPr>
                  <w:tcW w:w="763" w:type="pct"/>
                  <w:noWrap w:val="0"/>
                  <w:vAlign w:val="center"/>
                </w:tcPr>
                <w:p w14:paraId="76FBE38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bidi="ar-SA"/>
                    </w:rPr>
                    <w:t>0.6</w:t>
                  </w:r>
                  <w:r>
                    <w:rPr>
                      <w:rFonts w:hint="eastAsia" w:cs="Times New Roman"/>
                      <w:sz w:val="21"/>
                      <w:szCs w:val="21"/>
                      <w:lang w:val="en-US" w:eastAsia="zh-CN" w:bidi="ar-SA"/>
                    </w:rPr>
                    <w:t>3</w:t>
                  </w:r>
                </w:p>
              </w:tc>
              <w:tc>
                <w:tcPr>
                  <w:tcW w:w="529" w:type="pct"/>
                  <w:noWrap w:val="0"/>
                  <w:vAlign w:val="center"/>
                </w:tcPr>
                <w:p w14:paraId="270F4B2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达标</w:t>
                  </w:r>
                </w:p>
              </w:tc>
            </w:tr>
            <w:tr w14:paraId="03224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88" w:type="pct"/>
                  <w:vMerge w:val="continue"/>
                  <w:noWrap w:val="0"/>
                  <w:vAlign w:val="center"/>
                </w:tcPr>
                <w:p w14:paraId="2E3ED12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p>
              </w:tc>
              <w:tc>
                <w:tcPr>
                  <w:tcW w:w="537" w:type="pct"/>
                  <w:noWrap w:val="0"/>
                  <w:vAlign w:val="center"/>
                </w:tcPr>
                <w:p w14:paraId="6B69677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PM</w:t>
                  </w:r>
                  <w:r>
                    <w:rPr>
                      <w:rFonts w:hint="default" w:ascii="Times New Roman" w:hAnsi="Times New Roman" w:eastAsia="宋体" w:cs="Times New Roman"/>
                      <w:sz w:val="21"/>
                      <w:szCs w:val="21"/>
                      <w:vertAlign w:val="subscript"/>
                      <w:lang w:bidi="ar-SA"/>
                    </w:rPr>
                    <w:t>10</w:t>
                  </w:r>
                </w:p>
              </w:tc>
              <w:tc>
                <w:tcPr>
                  <w:tcW w:w="1246" w:type="pct"/>
                  <w:noWrap w:val="0"/>
                  <w:vAlign w:val="center"/>
                </w:tcPr>
                <w:p w14:paraId="38E3FBC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年均值</w:t>
                  </w:r>
                </w:p>
              </w:tc>
              <w:tc>
                <w:tcPr>
                  <w:tcW w:w="849" w:type="pct"/>
                  <w:noWrap w:val="0"/>
                  <w:vAlign w:val="center"/>
                </w:tcPr>
                <w:p w14:paraId="1864CDE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eastAsia" w:cs="Times New Roman"/>
                      <w:sz w:val="21"/>
                      <w:szCs w:val="21"/>
                      <w:lang w:val="en-US" w:eastAsia="zh-CN" w:bidi="ar-SA"/>
                    </w:rPr>
                    <w:t>83</w:t>
                  </w:r>
                  <w:r>
                    <w:rPr>
                      <w:rFonts w:hint="default" w:ascii="Times New Roman" w:hAnsi="Times New Roman" w:eastAsia="宋体" w:cs="Times New Roman"/>
                      <w:sz w:val="21"/>
                      <w:szCs w:val="21"/>
                      <w:lang w:bidi="ar-SA"/>
                    </w:rPr>
                    <w:t>μg/m</w:t>
                  </w:r>
                  <w:r>
                    <w:rPr>
                      <w:rFonts w:hint="default" w:ascii="Times New Roman" w:hAnsi="Times New Roman" w:eastAsia="宋体" w:cs="Times New Roman"/>
                      <w:sz w:val="21"/>
                      <w:szCs w:val="21"/>
                      <w:vertAlign w:val="superscript"/>
                      <w:lang w:bidi="ar-SA"/>
                    </w:rPr>
                    <w:t>3</w:t>
                  </w:r>
                </w:p>
              </w:tc>
              <w:tc>
                <w:tcPr>
                  <w:tcW w:w="784" w:type="pct"/>
                  <w:noWrap w:val="0"/>
                  <w:vAlign w:val="center"/>
                </w:tcPr>
                <w:p w14:paraId="564C712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70μg/m</w:t>
                  </w:r>
                  <w:r>
                    <w:rPr>
                      <w:rFonts w:hint="default" w:ascii="Times New Roman" w:hAnsi="Times New Roman" w:eastAsia="宋体" w:cs="Times New Roman"/>
                      <w:sz w:val="21"/>
                      <w:szCs w:val="21"/>
                      <w:vertAlign w:val="superscript"/>
                      <w:lang w:bidi="ar-SA"/>
                    </w:rPr>
                    <w:t>3</w:t>
                  </w:r>
                </w:p>
              </w:tc>
              <w:tc>
                <w:tcPr>
                  <w:tcW w:w="763" w:type="pct"/>
                  <w:noWrap w:val="0"/>
                  <w:vAlign w:val="center"/>
                </w:tcPr>
                <w:p w14:paraId="31B17CE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sz w:val="21"/>
                      <w:szCs w:val="21"/>
                      <w:lang w:eastAsia="zh-CN" w:bidi="ar-SA"/>
                    </w:rPr>
                  </w:pPr>
                  <w:r>
                    <w:rPr>
                      <w:rFonts w:hint="default" w:ascii="Times New Roman" w:hAnsi="Times New Roman" w:eastAsia="宋体" w:cs="Times New Roman"/>
                      <w:sz w:val="21"/>
                      <w:szCs w:val="21"/>
                      <w:lang w:bidi="ar-SA"/>
                    </w:rPr>
                    <w:t>1.1</w:t>
                  </w:r>
                  <w:r>
                    <w:rPr>
                      <w:rFonts w:hint="eastAsia" w:cs="Times New Roman"/>
                      <w:sz w:val="21"/>
                      <w:szCs w:val="21"/>
                      <w:lang w:val="en-US" w:eastAsia="zh-CN" w:bidi="ar-SA"/>
                    </w:rPr>
                    <w:t>9</w:t>
                  </w:r>
                </w:p>
              </w:tc>
              <w:tc>
                <w:tcPr>
                  <w:tcW w:w="529" w:type="pct"/>
                  <w:noWrap w:val="0"/>
                  <w:vAlign w:val="center"/>
                </w:tcPr>
                <w:p w14:paraId="6D80968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超标</w:t>
                  </w:r>
                </w:p>
              </w:tc>
            </w:tr>
            <w:tr w14:paraId="3DA6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88" w:type="pct"/>
                  <w:vMerge w:val="continue"/>
                  <w:noWrap w:val="0"/>
                  <w:vAlign w:val="center"/>
                </w:tcPr>
                <w:p w14:paraId="6BF2CF3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p>
              </w:tc>
              <w:tc>
                <w:tcPr>
                  <w:tcW w:w="537" w:type="pct"/>
                  <w:noWrap w:val="0"/>
                  <w:vAlign w:val="center"/>
                </w:tcPr>
                <w:p w14:paraId="1C77BFF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PM</w:t>
                  </w:r>
                  <w:r>
                    <w:rPr>
                      <w:rFonts w:hint="default" w:ascii="Times New Roman" w:hAnsi="Times New Roman" w:eastAsia="宋体" w:cs="Times New Roman"/>
                      <w:sz w:val="21"/>
                      <w:szCs w:val="21"/>
                      <w:vertAlign w:val="subscript"/>
                      <w:lang w:bidi="ar-SA"/>
                    </w:rPr>
                    <w:t>2.5</w:t>
                  </w:r>
                </w:p>
              </w:tc>
              <w:tc>
                <w:tcPr>
                  <w:tcW w:w="1246" w:type="pct"/>
                  <w:noWrap w:val="0"/>
                  <w:vAlign w:val="center"/>
                </w:tcPr>
                <w:p w14:paraId="4F12753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年均值</w:t>
                  </w:r>
                </w:p>
              </w:tc>
              <w:tc>
                <w:tcPr>
                  <w:tcW w:w="849" w:type="pct"/>
                  <w:noWrap w:val="0"/>
                  <w:vAlign w:val="center"/>
                </w:tcPr>
                <w:p w14:paraId="1967AFF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eastAsia" w:cs="Times New Roman"/>
                      <w:sz w:val="21"/>
                      <w:szCs w:val="21"/>
                      <w:lang w:val="en-US" w:eastAsia="zh-CN" w:bidi="ar-SA"/>
                    </w:rPr>
                    <w:t>51</w:t>
                  </w:r>
                  <w:r>
                    <w:rPr>
                      <w:rFonts w:hint="default" w:ascii="Times New Roman" w:hAnsi="Times New Roman" w:eastAsia="宋体" w:cs="Times New Roman"/>
                      <w:sz w:val="21"/>
                      <w:szCs w:val="21"/>
                      <w:lang w:bidi="ar-SA"/>
                    </w:rPr>
                    <w:t>μg/m</w:t>
                  </w:r>
                  <w:r>
                    <w:rPr>
                      <w:rFonts w:hint="default" w:ascii="Times New Roman" w:hAnsi="Times New Roman" w:eastAsia="宋体" w:cs="Times New Roman"/>
                      <w:sz w:val="21"/>
                      <w:szCs w:val="21"/>
                      <w:vertAlign w:val="superscript"/>
                      <w:lang w:bidi="ar-SA"/>
                    </w:rPr>
                    <w:t>3</w:t>
                  </w:r>
                </w:p>
              </w:tc>
              <w:tc>
                <w:tcPr>
                  <w:tcW w:w="784" w:type="pct"/>
                  <w:noWrap w:val="0"/>
                  <w:vAlign w:val="center"/>
                </w:tcPr>
                <w:p w14:paraId="5F28F49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35μg/m</w:t>
                  </w:r>
                  <w:r>
                    <w:rPr>
                      <w:rFonts w:hint="default" w:ascii="Times New Roman" w:hAnsi="Times New Roman" w:eastAsia="宋体" w:cs="Times New Roman"/>
                      <w:sz w:val="21"/>
                      <w:szCs w:val="21"/>
                      <w:vertAlign w:val="superscript"/>
                      <w:lang w:bidi="ar-SA"/>
                    </w:rPr>
                    <w:t>3</w:t>
                  </w:r>
                </w:p>
              </w:tc>
              <w:tc>
                <w:tcPr>
                  <w:tcW w:w="763" w:type="pct"/>
                  <w:noWrap w:val="0"/>
                  <w:vAlign w:val="center"/>
                </w:tcPr>
                <w:p w14:paraId="0ADEAEE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bidi="ar-SA"/>
                    </w:rPr>
                    <w:t>1.</w:t>
                  </w:r>
                  <w:r>
                    <w:rPr>
                      <w:rFonts w:hint="eastAsia" w:cs="Times New Roman"/>
                      <w:sz w:val="21"/>
                      <w:szCs w:val="21"/>
                      <w:lang w:val="en-US" w:eastAsia="zh-CN" w:bidi="ar-SA"/>
                    </w:rPr>
                    <w:t>41</w:t>
                  </w:r>
                </w:p>
              </w:tc>
              <w:tc>
                <w:tcPr>
                  <w:tcW w:w="529" w:type="pct"/>
                  <w:noWrap w:val="0"/>
                  <w:vAlign w:val="center"/>
                </w:tcPr>
                <w:p w14:paraId="5108239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超标</w:t>
                  </w:r>
                </w:p>
              </w:tc>
            </w:tr>
            <w:tr w14:paraId="27855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88" w:type="pct"/>
                  <w:vMerge w:val="continue"/>
                  <w:noWrap w:val="0"/>
                  <w:vAlign w:val="center"/>
                </w:tcPr>
                <w:p w14:paraId="6F9D232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p>
              </w:tc>
              <w:tc>
                <w:tcPr>
                  <w:tcW w:w="537" w:type="pct"/>
                  <w:noWrap w:val="0"/>
                  <w:vAlign w:val="center"/>
                </w:tcPr>
                <w:p w14:paraId="2192FD3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CO</w:t>
                  </w:r>
                </w:p>
              </w:tc>
              <w:tc>
                <w:tcPr>
                  <w:tcW w:w="1246" w:type="pct"/>
                  <w:noWrap w:val="0"/>
                  <w:vAlign w:val="center"/>
                </w:tcPr>
                <w:p w14:paraId="64E25DA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24小时平均</w:t>
                  </w:r>
                </w:p>
              </w:tc>
              <w:tc>
                <w:tcPr>
                  <w:tcW w:w="849" w:type="pct"/>
                  <w:noWrap w:val="0"/>
                  <w:vAlign w:val="center"/>
                </w:tcPr>
                <w:p w14:paraId="2B4E515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1</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mg/m</w:t>
                  </w:r>
                  <w:r>
                    <w:rPr>
                      <w:rFonts w:hint="default" w:ascii="Times New Roman" w:hAnsi="Times New Roman" w:eastAsia="宋体" w:cs="Times New Roman"/>
                      <w:sz w:val="21"/>
                      <w:szCs w:val="21"/>
                      <w:vertAlign w:val="superscript"/>
                      <w:lang w:bidi="ar-SA"/>
                    </w:rPr>
                    <w:t>3</w:t>
                  </w:r>
                </w:p>
              </w:tc>
              <w:tc>
                <w:tcPr>
                  <w:tcW w:w="784" w:type="pct"/>
                  <w:noWrap w:val="0"/>
                  <w:vAlign w:val="center"/>
                </w:tcPr>
                <w:p w14:paraId="5DDEAD6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4 mg/m</w:t>
                  </w:r>
                  <w:r>
                    <w:rPr>
                      <w:rFonts w:hint="default" w:ascii="Times New Roman" w:hAnsi="Times New Roman" w:eastAsia="宋体" w:cs="Times New Roman"/>
                      <w:sz w:val="21"/>
                      <w:szCs w:val="21"/>
                      <w:vertAlign w:val="superscript"/>
                      <w:lang w:bidi="ar-SA"/>
                    </w:rPr>
                    <w:t>3</w:t>
                  </w:r>
                </w:p>
              </w:tc>
              <w:tc>
                <w:tcPr>
                  <w:tcW w:w="763" w:type="pct"/>
                  <w:noWrap w:val="0"/>
                  <w:vAlign w:val="center"/>
                </w:tcPr>
                <w:p w14:paraId="223A70E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bidi="ar-SA"/>
                    </w:rPr>
                    <w:t>0.</w:t>
                  </w:r>
                  <w:r>
                    <w:rPr>
                      <w:rFonts w:hint="eastAsia" w:cs="Times New Roman"/>
                      <w:sz w:val="21"/>
                      <w:szCs w:val="21"/>
                      <w:lang w:val="en-US" w:eastAsia="zh-CN" w:bidi="ar-SA"/>
                    </w:rPr>
                    <w:t>35</w:t>
                  </w:r>
                </w:p>
              </w:tc>
              <w:tc>
                <w:tcPr>
                  <w:tcW w:w="529" w:type="pct"/>
                  <w:noWrap w:val="0"/>
                  <w:vAlign w:val="center"/>
                </w:tcPr>
                <w:p w14:paraId="3045F3D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达标</w:t>
                  </w:r>
                </w:p>
              </w:tc>
            </w:tr>
            <w:tr w14:paraId="5BB0B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88" w:type="pct"/>
                  <w:vMerge w:val="continue"/>
                  <w:noWrap w:val="0"/>
                  <w:vAlign w:val="center"/>
                </w:tcPr>
                <w:p w14:paraId="21174B4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p>
              </w:tc>
              <w:tc>
                <w:tcPr>
                  <w:tcW w:w="537" w:type="pct"/>
                  <w:noWrap w:val="0"/>
                  <w:vAlign w:val="center"/>
                </w:tcPr>
                <w:p w14:paraId="07D8900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O</w:t>
                  </w:r>
                  <w:r>
                    <w:rPr>
                      <w:rFonts w:hint="default" w:ascii="Times New Roman" w:hAnsi="Times New Roman" w:eastAsia="宋体" w:cs="Times New Roman"/>
                      <w:sz w:val="21"/>
                      <w:szCs w:val="21"/>
                      <w:vertAlign w:val="subscript"/>
                      <w:lang w:bidi="ar-SA"/>
                    </w:rPr>
                    <w:t>3</w:t>
                  </w:r>
                </w:p>
              </w:tc>
              <w:tc>
                <w:tcPr>
                  <w:tcW w:w="1246" w:type="pct"/>
                  <w:noWrap w:val="0"/>
                  <w:vAlign w:val="center"/>
                </w:tcPr>
                <w:p w14:paraId="1EEAEFE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日最大8小时平均</w:t>
                  </w:r>
                </w:p>
              </w:tc>
              <w:tc>
                <w:tcPr>
                  <w:tcW w:w="849" w:type="pct"/>
                  <w:noWrap w:val="0"/>
                  <w:vAlign w:val="center"/>
                </w:tcPr>
                <w:p w14:paraId="156B3A2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1</w:t>
                  </w:r>
                  <w:r>
                    <w:rPr>
                      <w:rFonts w:hint="eastAsia" w:cs="Times New Roman"/>
                      <w:sz w:val="21"/>
                      <w:szCs w:val="21"/>
                      <w:lang w:val="en-US" w:eastAsia="zh-CN" w:bidi="ar-SA"/>
                    </w:rPr>
                    <w:t>72</w:t>
                  </w:r>
                  <w:r>
                    <w:rPr>
                      <w:rFonts w:hint="default" w:ascii="Times New Roman" w:hAnsi="Times New Roman" w:eastAsia="宋体" w:cs="Times New Roman"/>
                      <w:sz w:val="21"/>
                      <w:szCs w:val="21"/>
                      <w:lang w:bidi="ar-SA"/>
                    </w:rPr>
                    <w:t>mg/m</w:t>
                  </w:r>
                  <w:r>
                    <w:rPr>
                      <w:rFonts w:hint="default" w:ascii="Times New Roman" w:hAnsi="Times New Roman" w:eastAsia="宋体" w:cs="Times New Roman"/>
                      <w:sz w:val="21"/>
                      <w:szCs w:val="21"/>
                      <w:vertAlign w:val="superscript"/>
                      <w:lang w:bidi="ar-SA"/>
                    </w:rPr>
                    <w:t>3</w:t>
                  </w:r>
                </w:p>
              </w:tc>
              <w:tc>
                <w:tcPr>
                  <w:tcW w:w="784" w:type="pct"/>
                  <w:noWrap w:val="0"/>
                  <w:vAlign w:val="center"/>
                </w:tcPr>
                <w:p w14:paraId="431B481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160μg/m</w:t>
                  </w:r>
                  <w:r>
                    <w:rPr>
                      <w:rFonts w:hint="default" w:ascii="Times New Roman" w:hAnsi="Times New Roman" w:eastAsia="宋体" w:cs="Times New Roman"/>
                      <w:sz w:val="21"/>
                      <w:szCs w:val="21"/>
                      <w:vertAlign w:val="superscript"/>
                      <w:lang w:bidi="ar-SA"/>
                    </w:rPr>
                    <w:t>3</w:t>
                  </w:r>
                </w:p>
              </w:tc>
              <w:tc>
                <w:tcPr>
                  <w:tcW w:w="763" w:type="pct"/>
                  <w:noWrap w:val="0"/>
                  <w:vAlign w:val="center"/>
                </w:tcPr>
                <w:p w14:paraId="17BE802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val="en-US" w:eastAsia="zh-CN" w:bidi="ar-SA"/>
                    </w:rPr>
                  </w:pPr>
                  <w:r>
                    <w:rPr>
                      <w:rFonts w:hint="eastAsia" w:cs="Times New Roman"/>
                      <w:sz w:val="21"/>
                      <w:szCs w:val="21"/>
                      <w:lang w:val="en-US" w:eastAsia="zh-CN" w:bidi="ar-SA"/>
                    </w:rPr>
                    <w:t>1.08</w:t>
                  </w:r>
                </w:p>
              </w:tc>
              <w:tc>
                <w:tcPr>
                  <w:tcW w:w="529" w:type="pct"/>
                  <w:noWrap w:val="0"/>
                  <w:vAlign w:val="center"/>
                </w:tcPr>
                <w:p w14:paraId="426DF1B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超标</w:t>
                  </w:r>
                </w:p>
              </w:tc>
            </w:tr>
          </w:tbl>
          <w:p w14:paraId="3A294F79">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auto"/>
              </w:rPr>
              <w:t>监测数据表明</w:t>
            </w:r>
            <w:r>
              <w:rPr>
                <w:rFonts w:hint="default" w:ascii="Times New Roman" w:hAnsi="Times New Roman" w:eastAsia="宋体" w:cs="Times New Roman"/>
                <w:color w:val="auto"/>
                <w:kern w:val="0"/>
                <w:sz w:val="24"/>
                <w:szCs w:val="24"/>
                <w:lang w:val="en-US" w:eastAsia="zh-CN"/>
              </w:rPr>
              <w:t>，</w:t>
            </w:r>
            <w:r>
              <w:rPr>
                <w:rFonts w:hint="default" w:ascii="Times New Roman" w:hAnsi="Times New Roman" w:cs="Times New Roman"/>
                <w:color w:val="auto"/>
              </w:rPr>
              <w:t>监测期间区域</w:t>
            </w:r>
            <w:r>
              <w:rPr>
                <w:rFonts w:hint="default" w:ascii="Times New Roman" w:hAnsi="Times New Roman" w:eastAsia="宋体" w:cs="Times New Roman"/>
                <w:color w:val="auto"/>
                <w:kern w:val="0"/>
                <w:sz w:val="24"/>
                <w:szCs w:val="24"/>
                <w:lang w:val="en-US" w:eastAsia="zh-CN"/>
              </w:rPr>
              <w:t>环境空气质量6项基本污染物中的SO</w:t>
            </w:r>
            <w:r>
              <w:rPr>
                <w:rFonts w:hint="default" w:ascii="Times New Roman" w:hAnsi="Times New Roman" w:eastAsia="宋体" w:cs="Times New Roman"/>
                <w:color w:val="auto"/>
                <w:kern w:val="0"/>
                <w:sz w:val="15"/>
                <w:szCs w:val="15"/>
                <w:lang w:val="en-US" w:eastAsia="zh-CN"/>
              </w:rPr>
              <w:t>2</w:t>
            </w:r>
            <w:r>
              <w:rPr>
                <w:rFonts w:hint="default" w:ascii="Times New Roman" w:hAnsi="Times New Roman" w:eastAsia="宋体" w:cs="Times New Roman"/>
                <w:color w:val="auto"/>
                <w:kern w:val="0"/>
                <w:sz w:val="24"/>
                <w:szCs w:val="24"/>
                <w:lang w:val="en-US" w:eastAsia="zh-CN"/>
              </w:rPr>
              <w:t>、NO</w:t>
            </w:r>
            <w:r>
              <w:rPr>
                <w:rFonts w:hint="default" w:ascii="Times New Roman" w:hAnsi="Times New Roman" w:eastAsia="宋体" w:cs="Times New Roman"/>
                <w:color w:val="auto"/>
                <w:kern w:val="0"/>
                <w:sz w:val="15"/>
                <w:szCs w:val="15"/>
                <w:lang w:val="en-US" w:eastAsia="zh-CN"/>
              </w:rPr>
              <w:t>2</w:t>
            </w:r>
            <w:r>
              <w:rPr>
                <w:rFonts w:hint="default" w:ascii="Times New Roman" w:hAnsi="Times New Roman" w:eastAsia="宋体" w:cs="Times New Roman"/>
                <w:color w:val="auto"/>
                <w:kern w:val="0"/>
                <w:sz w:val="24"/>
                <w:szCs w:val="24"/>
                <w:lang w:val="en-US" w:eastAsia="zh-CN"/>
              </w:rPr>
              <w:t>和CO浓度均能满足《环境空气质量标准》（GB3095-2012）二级标准，PM</w:t>
            </w:r>
            <w:r>
              <w:rPr>
                <w:rFonts w:hint="default" w:ascii="Times New Roman" w:hAnsi="Times New Roman" w:eastAsia="宋体" w:cs="Times New Roman"/>
                <w:color w:val="auto"/>
                <w:kern w:val="0"/>
                <w:sz w:val="15"/>
                <w:szCs w:val="15"/>
                <w:lang w:val="en-US" w:eastAsia="zh-CN"/>
              </w:rPr>
              <w:t>2.5</w:t>
            </w:r>
            <w:r>
              <w:rPr>
                <w:rFonts w:hint="default" w:ascii="Times New Roman" w:hAnsi="Times New Roman" w:eastAsia="宋体" w:cs="Times New Roman"/>
                <w:color w:val="auto"/>
                <w:kern w:val="0"/>
                <w:sz w:val="24"/>
                <w:szCs w:val="24"/>
                <w:lang w:val="en-US" w:eastAsia="zh-CN"/>
              </w:rPr>
              <w:t>、PM</w:t>
            </w:r>
            <w:r>
              <w:rPr>
                <w:rFonts w:hint="default" w:ascii="Times New Roman" w:hAnsi="Times New Roman" w:eastAsia="宋体" w:cs="Times New Roman"/>
                <w:color w:val="auto"/>
                <w:kern w:val="0"/>
                <w:sz w:val="15"/>
                <w:szCs w:val="15"/>
                <w:lang w:val="en-US" w:eastAsia="zh-CN"/>
              </w:rPr>
              <w:t>10</w:t>
            </w:r>
            <w:r>
              <w:rPr>
                <w:rFonts w:hint="default" w:ascii="Times New Roman" w:hAnsi="Times New Roman" w:eastAsia="宋体" w:cs="Times New Roman"/>
                <w:color w:val="auto"/>
                <w:kern w:val="0"/>
                <w:sz w:val="24"/>
                <w:szCs w:val="24"/>
                <w:lang w:val="en-US" w:eastAsia="zh-CN"/>
              </w:rPr>
              <w:t>、O</w:t>
            </w:r>
            <w:r>
              <w:rPr>
                <w:rFonts w:hint="default" w:ascii="Times New Roman" w:hAnsi="Times New Roman" w:eastAsia="宋体" w:cs="Times New Roman"/>
                <w:color w:val="auto"/>
                <w:kern w:val="0"/>
                <w:sz w:val="15"/>
                <w:szCs w:val="15"/>
                <w:lang w:val="en-US" w:eastAsia="zh-CN"/>
              </w:rPr>
              <w:t>3</w:t>
            </w:r>
            <w:r>
              <w:rPr>
                <w:rFonts w:hint="default" w:ascii="Times New Roman" w:hAnsi="Times New Roman" w:eastAsia="宋体" w:cs="Times New Roman"/>
                <w:color w:val="auto"/>
                <w:kern w:val="0"/>
                <w:sz w:val="24"/>
                <w:szCs w:val="24"/>
                <w:lang w:val="en-US" w:eastAsia="zh-CN"/>
              </w:rPr>
              <w:t>浓度均不能满足《环境空气质量标准》（GB3095-2012）二级标准要求。</w:t>
            </w:r>
            <w:r>
              <w:rPr>
                <w:rFonts w:hint="default" w:ascii="Times New Roman" w:hAnsi="Times New Roman" w:cs="Times New Roman"/>
                <w:color w:val="000000"/>
                <w:sz w:val="24"/>
              </w:rPr>
              <w:t>选址区域为环境空气质量现状不达标区域。</w:t>
            </w:r>
          </w:p>
          <w:p w14:paraId="16B49308">
            <w:pPr>
              <w:pStyle w:val="3"/>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cs="Times New Roman"/>
              </w:rPr>
            </w:pPr>
            <w:r>
              <w:rPr>
                <w:rFonts w:hint="default" w:ascii="Times New Roman" w:hAnsi="Times New Roman" w:cs="Times New Roman"/>
              </w:rPr>
              <w:t>3</w:t>
            </w:r>
            <w:r>
              <w:rPr>
                <w:rFonts w:hint="eastAsia" w:cs="Times New Roman"/>
                <w:lang w:eastAsia="zh-CN"/>
              </w:rPr>
              <w:t>.</w:t>
            </w:r>
            <w:r>
              <w:rPr>
                <w:rFonts w:hint="default" w:ascii="Times New Roman" w:hAnsi="Times New Roman" w:cs="Times New Roman"/>
              </w:rPr>
              <w:t>特征污染物质量现状</w:t>
            </w:r>
          </w:p>
          <w:p w14:paraId="077F724D">
            <w:pPr>
              <w:pStyle w:val="3"/>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rPr>
            </w:pPr>
            <w:r>
              <w:rPr>
                <w:rFonts w:hint="default" w:ascii="Times New Roman" w:hAnsi="Times New Roman" w:cs="Times New Roman"/>
                <w:b w:val="0"/>
                <w:bCs/>
              </w:rPr>
              <w:t>根据《建设项目环境影响报告表编制技术指南（污染影响类）》（试行）（环办环评[2020]33号）及关于印发《建设项目环境影响报告表》内容、格式及编制技术指南的通知和常见问题解答可知：排放国家、地方环境空气质量标准中有标准限值要求的特征污染物时，可引用区域现有监测数据或补充监测。本项目排放的特征污染物非甲烷总烃</w:t>
            </w:r>
            <w:r>
              <w:rPr>
                <w:rFonts w:hint="eastAsia" w:cs="Times New Roman"/>
                <w:b w:val="0"/>
                <w:bCs/>
                <w:lang w:eastAsia="zh-CN"/>
              </w:rPr>
              <w:t>、苯乙烯</w:t>
            </w:r>
            <w:r>
              <w:rPr>
                <w:rFonts w:hint="default" w:ascii="Times New Roman" w:hAnsi="Times New Roman" w:cs="Times New Roman"/>
                <w:b w:val="0"/>
                <w:bCs/>
              </w:rPr>
              <w:t>，不属于《环境空气质量标准》（GB3095-2012）中的污染物，因此本项目不再对特征污染物进行现状监测和评价。</w:t>
            </w:r>
          </w:p>
          <w:p w14:paraId="3687957B">
            <w:pPr>
              <w:pStyle w:val="3"/>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cs="Times New Roman"/>
              </w:rPr>
            </w:pPr>
            <w:r>
              <w:rPr>
                <w:rFonts w:hint="eastAsia" w:cs="Times New Roman"/>
                <w:lang w:val="en-US" w:eastAsia="zh-CN"/>
              </w:rPr>
              <w:t>4.</w:t>
            </w:r>
            <w:r>
              <w:rPr>
                <w:rFonts w:hint="default" w:ascii="Times New Roman" w:hAnsi="Times New Roman" w:cs="Times New Roman"/>
              </w:rPr>
              <w:t>污染物削减措施及目标</w:t>
            </w:r>
          </w:p>
          <w:p w14:paraId="1A5C35E1">
            <w:pPr>
              <w:pageBreakBefore w:val="0"/>
              <w:widowControl w:val="0"/>
              <w:kinsoku/>
              <w:wordWrap/>
              <w:overflowPunct/>
              <w:topLinePunct w:val="0"/>
              <w:autoSpaceDE/>
              <w:autoSpaceDN/>
              <w:bidi w:val="0"/>
              <w:adjustRightInd/>
              <w:snapToGrid/>
              <w:spacing w:line="520" w:lineRule="exact"/>
              <w:ind w:firstLine="508" w:firstLineChars="212"/>
              <w:textAlignment w:val="auto"/>
              <w:rPr>
                <w:rFonts w:hint="default" w:ascii="Times New Roman" w:hAnsi="Times New Roman" w:cs="Times New Roman"/>
              </w:rPr>
            </w:pPr>
            <w:r>
              <w:rPr>
                <w:rFonts w:hint="default" w:ascii="Times New Roman" w:hAnsi="Times New Roman" w:cs="Times New Roman"/>
                <w:highlight w:val="none"/>
                <w:lang w:eastAsia="zh-CN"/>
              </w:rPr>
              <w:t>根据</w:t>
            </w:r>
            <w:r>
              <w:rPr>
                <w:rFonts w:hint="default" w:ascii="Times New Roman" w:hAnsi="Times New Roman" w:cs="Times New Roman"/>
                <w:highlight w:val="none"/>
              </w:rPr>
              <w:t>《焦作市</w:t>
            </w:r>
            <w:r>
              <w:rPr>
                <w:rFonts w:hint="default" w:ascii="Times New Roman" w:hAnsi="Times New Roman" w:cs="Times New Roman"/>
                <w:highlight w:val="none"/>
                <w:lang w:eastAsia="zh-CN"/>
              </w:rPr>
              <w:t>生态环境保护委员会</w:t>
            </w:r>
            <w:r>
              <w:rPr>
                <w:rFonts w:hint="default" w:ascii="Times New Roman" w:hAnsi="Times New Roman" w:cs="Times New Roman"/>
                <w:highlight w:val="none"/>
              </w:rPr>
              <w:t>办公室关于印发焦作市202</w:t>
            </w:r>
            <w:r>
              <w:rPr>
                <w:rFonts w:hint="default" w:ascii="Times New Roman" w:hAnsi="Times New Roman" w:cs="Times New Roman"/>
                <w:highlight w:val="none"/>
                <w:lang w:val="en-US" w:eastAsia="zh-CN"/>
              </w:rPr>
              <w:t>5</w:t>
            </w:r>
            <w:r>
              <w:rPr>
                <w:rFonts w:hint="default" w:ascii="Times New Roman" w:hAnsi="Times New Roman" w:cs="Times New Roman"/>
                <w:highlight w:val="none"/>
              </w:rPr>
              <w:t>年蓝天保卫战实施方案的通知》（焦环</w:t>
            </w:r>
            <w:r>
              <w:rPr>
                <w:rFonts w:hint="default" w:ascii="Times New Roman" w:hAnsi="Times New Roman" w:cs="Times New Roman"/>
                <w:highlight w:val="none"/>
                <w:lang w:eastAsia="zh-CN"/>
              </w:rPr>
              <w:t>委</w:t>
            </w:r>
            <w:r>
              <w:rPr>
                <w:rFonts w:hint="default" w:ascii="Times New Roman" w:hAnsi="Times New Roman" w:cs="Times New Roman"/>
                <w:highlight w:val="none"/>
              </w:rPr>
              <w:t>办〔202</w:t>
            </w:r>
            <w:r>
              <w:rPr>
                <w:rFonts w:hint="default" w:ascii="Times New Roman" w:hAnsi="Times New Roman" w:cs="Times New Roman"/>
                <w:highlight w:val="none"/>
                <w:lang w:val="en-US" w:eastAsia="zh-CN"/>
              </w:rPr>
              <w:t>5</w:t>
            </w:r>
            <w:r>
              <w:rPr>
                <w:rFonts w:hint="default" w:ascii="Times New Roman" w:hAnsi="Times New Roman" w:cs="Times New Roman"/>
                <w:highlight w:val="none"/>
              </w:rPr>
              <w:t>〕</w:t>
            </w:r>
            <w:r>
              <w:rPr>
                <w:rFonts w:hint="default" w:ascii="Times New Roman" w:hAnsi="Times New Roman" w:cs="Times New Roman"/>
                <w:highlight w:val="none"/>
                <w:lang w:val="en-US" w:eastAsia="zh-CN"/>
              </w:rPr>
              <w:t>11</w:t>
            </w:r>
            <w:r>
              <w:rPr>
                <w:rFonts w:hint="default" w:ascii="Times New Roman" w:hAnsi="Times New Roman" w:cs="Times New Roman"/>
                <w:highlight w:val="none"/>
              </w:rPr>
              <w:t>号）等文件：方案期间坚决遏制高能耗、高排放项目盲目发展，依法依规淘汰落后</w:t>
            </w:r>
            <w:r>
              <w:rPr>
                <w:rFonts w:hint="default" w:ascii="Times New Roman" w:hAnsi="Times New Roman" w:cs="Times New Roman"/>
                <w:highlight w:val="none"/>
                <w:lang w:eastAsia="zh-CN"/>
              </w:rPr>
              <w:t>过剩</w:t>
            </w:r>
            <w:r>
              <w:rPr>
                <w:rFonts w:hint="default" w:ascii="Times New Roman" w:hAnsi="Times New Roman" w:cs="Times New Roman"/>
                <w:highlight w:val="none"/>
              </w:rPr>
              <w:t>产能，</w:t>
            </w:r>
            <w:r>
              <w:rPr>
                <w:rFonts w:hint="default" w:ascii="Times New Roman" w:hAnsi="Times New Roman" w:cs="Times New Roman"/>
                <w:highlight w:val="none"/>
                <w:lang w:eastAsia="zh-CN"/>
              </w:rPr>
              <w:t>推进产业集群综合整治，全面完成重点行业超低排放改造，深入开展低效失效治理设施排查整治，实施挥发性有机物综合治理，加快工业企业深度治理，大力推进绿色化、清洁化改造，科学开展国土绿化，深化扬尘污染综合治理，深化物料堆场扬尘污染综合治理，强化秸秆露天焚烧管控，加强餐饮油烟污染治理，持续加强烟花爆竹污染管控，加快提升清洁运输比例，大力推广新能源汽车，强化非道路移动源综合治理，大力发展清洁能源，严格合理控制煤炭消费总量，加快煤电结构优化调整，持续推进集中供热与清洁取暖，深入推进农业领域清洁能源替代，有效应对重污染天气，强化应急减排措施落实，开展环境绩效等级提升行动，提升环境监测能力，强化污染源监控能力，严格执法监督帮扶等。</w:t>
            </w:r>
            <w:r>
              <w:rPr>
                <w:rFonts w:hint="default" w:ascii="Times New Roman" w:hAnsi="Times New Roman" w:eastAsia="宋体" w:cs="Times New Roman"/>
                <w:color w:val="auto"/>
                <w:lang w:val="en-US" w:eastAsia="zh-CN"/>
              </w:rPr>
              <w:t>综上所述，在采取各项区域削减措施后，能够进一步改善区域环境空气质量。</w:t>
            </w:r>
          </w:p>
          <w:p w14:paraId="16A101D1">
            <w:pPr>
              <w:pageBreakBefore w:val="0"/>
              <w:kinsoku/>
              <w:wordWrap/>
              <w:overflowPunct/>
              <w:topLinePunct w:val="0"/>
              <w:autoSpaceDE/>
              <w:autoSpaceDN/>
              <w:bidi w:val="0"/>
              <w:adjustRightInd w:val="0"/>
              <w:snapToGrid/>
              <w:spacing w:line="520" w:lineRule="exact"/>
              <w:ind w:firstLine="0" w:firstLineChars="0"/>
              <w:textAlignment w:val="auto"/>
              <w:rPr>
                <w:rFonts w:hint="default" w:ascii="Times New Roman" w:hAnsi="Times New Roman" w:cs="Times New Roman"/>
                <w:b/>
                <w:bCs/>
              </w:rPr>
            </w:pPr>
          </w:p>
          <w:p w14:paraId="6DA10FCA">
            <w:pPr>
              <w:pageBreakBefore w:val="0"/>
              <w:kinsoku/>
              <w:wordWrap/>
              <w:overflowPunct/>
              <w:topLinePunct w:val="0"/>
              <w:autoSpaceDE/>
              <w:autoSpaceDN/>
              <w:bidi w:val="0"/>
              <w:adjustRightInd w:val="0"/>
              <w:snapToGrid/>
              <w:spacing w:line="520" w:lineRule="exact"/>
              <w:ind w:firstLine="0" w:firstLineChars="0"/>
              <w:textAlignment w:val="auto"/>
              <w:rPr>
                <w:rFonts w:hint="default" w:ascii="Times New Roman" w:hAnsi="Times New Roman" w:cs="Times New Roman"/>
                <w:b/>
                <w:bCs/>
              </w:rPr>
            </w:pPr>
            <w:r>
              <w:rPr>
                <w:rFonts w:hint="default" w:ascii="Times New Roman" w:hAnsi="Times New Roman" w:cs="Times New Roman"/>
                <w:b/>
                <w:bCs/>
              </w:rPr>
              <w:t>二、地表水环境质量现状</w:t>
            </w:r>
          </w:p>
          <w:p w14:paraId="33201280">
            <w:pPr>
              <w:adjustRightInd w:val="0"/>
              <w:snapToGrid w:val="0"/>
              <w:spacing w:line="520" w:lineRule="exact"/>
              <w:ind w:firstLine="480" w:firstLineChars="200"/>
              <w:rPr>
                <w:rFonts w:hint="default" w:ascii="Times New Roman" w:hAnsi="Times New Roman" w:eastAsia="黑体" w:cs="Times New Roman"/>
                <w:szCs w:val="21"/>
                <w:lang w:val="en-US" w:bidi="ar-SA"/>
              </w:rPr>
            </w:pPr>
            <w:r>
              <w:rPr>
                <w:rFonts w:hint="default" w:ascii="Times New Roman" w:hAnsi="Times New Roman" w:cs="Times New Roman"/>
              </w:rPr>
              <w:t>项目厂址位于</w:t>
            </w:r>
            <w:r>
              <w:rPr>
                <w:rFonts w:hint="default" w:ascii="Times New Roman" w:hAnsi="Times New Roman" w:eastAsia="宋体" w:cs="Times New Roman"/>
                <w:highlight w:val="none"/>
                <w:lang w:eastAsia="zh-CN"/>
              </w:rPr>
              <w:t>焦作</w:t>
            </w:r>
            <w:r>
              <w:rPr>
                <w:rFonts w:hint="default" w:ascii="Times New Roman" w:hAnsi="Times New Roman" w:eastAsia="宋体" w:cs="Times New Roman"/>
                <w:lang w:eastAsia="zh-CN"/>
              </w:rPr>
              <w:t>市武陟县经开区东部园区昌武路与鸿源路交叉口路西200米路南01号</w:t>
            </w:r>
            <w:r>
              <w:rPr>
                <w:rFonts w:hint="default" w:ascii="Times New Roman" w:hAnsi="Times New Roman" w:cs="Times New Roman"/>
                <w:lang w:val="en-US" w:eastAsia="zh-CN"/>
              </w:rPr>
              <w:t>，</w:t>
            </w:r>
            <w:r>
              <w:rPr>
                <w:rFonts w:hint="eastAsia" w:ascii="Times New Roman" w:hAnsi="Times New Roman" w:eastAsia="宋体" w:cs="Times New Roman"/>
                <w:b w:val="0"/>
                <w:bCs w:val="0"/>
                <w:color w:val="auto"/>
                <w:sz w:val="24"/>
                <w:u w:val="none"/>
                <w:lang w:val="en-US" w:eastAsia="zh-CN"/>
              </w:rPr>
              <w:t>本项目所在区域受纳水体为共产主义渠</w:t>
            </w:r>
            <w:r>
              <w:rPr>
                <w:rFonts w:hint="default" w:ascii="Times New Roman" w:hAnsi="Times New Roman" w:cs="Times New Roman"/>
                <w:kern w:val="0"/>
                <w:lang w:bidi="ar"/>
              </w:rPr>
              <w:t>。</w:t>
            </w:r>
            <w:r>
              <w:rPr>
                <w:rFonts w:hint="default" w:ascii="Times New Roman" w:hAnsi="Times New Roman" w:eastAsia="宋体" w:cs="Times New Roman"/>
                <w:sz w:val="24"/>
                <w:szCs w:val="24"/>
                <w:lang w:bidi="ar-SA"/>
              </w:rPr>
              <w:t>本次评价收集了焦作市生态环境局</w:t>
            </w:r>
            <w:r>
              <w:rPr>
                <w:rFonts w:hint="eastAsia" w:cs="Times New Roman"/>
                <w:sz w:val="24"/>
                <w:szCs w:val="24"/>
                <w:lang w:eastAsia="zh-CN" w:bidi="ar-SA"/>
              </w:rPr>
              <w:t>网站</w:t>
            </w:r>
            <w:r>
              <w:rPr>
                <w:rFonts w:hint="default" w:ascii="Times New Roman" w:hAnsi="Times New Roman" w:eastAsia="宋体" w:cs="Times New Roman"/>
                <w:sz w:val="24"/>
                <w:szCs w:val="24"/>
                <w:lang w:bidi="ar-SA"/>
              </w:rPr>
              <w:t>公布的202</w:t>
            </w:r>
            <w:r>
              <w:rPr>
                <w:rFonts w:hint="eastAsia" w:cs="Times New Roman"/>
                <w:sz w:val="24"/>
                <w:szCs w:val="24"/>
                <w:lang w:val="en-US" w:eastAsia="zh-CN" w:bidi="ar-SA"/>
              </w:rPr>
              <w:t>4</w:t>
            </w:r>
            <w:r>
              <w:rPr>
                <w:rFonts w:hint="default" w:ascii="Times New Roman" w:hAnsi="Times New Roman" w:eastAsia="宋体" w:cs="Times New Roman"/>
                <w:sz w:val="24"/>
                <w:szCs w:val="24"/>
                <w:lang w:bidi="ar-SA"/>
              </w:rPr>
              <w:t>年1月~12月《焦作市地表水环境责任目标断面水质月报》对共产主义渠获嘉东碑村断面的常规监测结果数据。数据统计见表3</w:t>
            </w:r>
            <w:r>
              <w:rPr>
                <w:rFonts w:hint="default" w:ascii="Times New Roman" w:hAnsi="Times New Roman" w:cs="Times New Roman"/>
                <w:sz w:val="24"/>
                <w:szCs w:val="24"/>
                <w:lang w:val="en-US" w:eastAsia="zh-CN" w:bidi="ar-SA"/>
              </w:rPr>
              <w:t>-</w:t>
            </w:r>
            <w:r>
              <w:rPr>
                <w:rFonts w:hint="eastAsia" w:cs="Times New Roman"/>
                <w:sz w:val="24"/>
                <w:szCs w:val="24"/>
                <w:lang w:val="en-US" w:eastAsia="zh-CN" w:bidi="ar-SA"/>
              </w:rPr>
              <w:t>32</w:t>
            </w:r>
          </w:p>
          <w:p w14:paraId="2E870977">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表3-</w:t>
            </w:r>
            <w:r>
              <w:rPr>
                <w:rFonts w:hint="eastAsia"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 xml:space="preserve">  </w:t>
            </w:r>
            <w:r>
              <w:rPr>
                <w:rFonts w:hint="eastAsia" w:cs="Times New Roman"/>
                <w:b/>
                <w:bCs/>
                <w:color w:val="auto"/>
                <w:kern w:val="2"/>
                <w:sz w:val="24"/>
                <w:szCs w:val="24"/>
                <w:lang w:val="en-US" w:eastAsia="zh-CN" w:bidi="ar-SA"/>
              </w:rPr>
              <w:t>区域</w:t>
            </w:r>
            <w:r>
              <w:rPr>
                <w:rFonts w:hint="default" w:ascii="Times New Roman" w:hAnsi="Times New Roman" w:eastAsia="宋体" w:cs="Times New Roman"/>
                <w:b/>
                <w:bCs/>
                <w:color w:val="auto"/>
                <w:kern w:val="2"/>
                <w:sz w:val="24"/>
                <w:szCs w:val="24"/>
                <w:lang w:val="en-US" w:eastAsia="zh-CN" w:bidi="ar-SA"/>
              </w:rPr>
              <w:t>地表水环境质量现状监测数据结果一览表  单位：mg/L</w:t>
            </w:r>
          </w:p>
          <w:tbl>
            <w:tblPr>
              <w:tblStyle w:val="1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042"/>
              <w:gridCol w:w="1429"/>
              <w:gridCol w:w="1598"/>
              <w:gridCol w:w="1555"/>
              <w:gridCol w:w="1554"/>
            </w:tblGrid>
            <w:tr w14:paraId="5F009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noWrap w:val="0"/>
                  <w:vAlign w:val="center"/>
                </w:tcPr>
                <w:p w14:paraId="4E4FC819">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监测</w:t>
                  </w:r>
                </w:p>
                <w:p w14:paraId="31154E1F">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断面</w:t>
                  </w:r>
                </w:p>
              </w:tc>
              <w:tc>
                <w:tcPr>
                  <w:tcW w:w="1521" w:type="pct"/>
                  <w:gridSpan w:val="2"/>
                  <w:noWrap w:val="0"/>
                  <w:vAlign w:val="center"/>
                </w:tcPr>
                <w:p w14:paraId="7E3DF85A">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项目</w:t>
                  </w:r>
                </w:p>
              </w:tc>
              <w:tc>
                <w:tcPr>
                  <w:tcW w:w="984" w:type="pct"/>
                  <w:noWrap w:val="0"/>
                  <w:vAlign w:val="center"/>
                </w:tcPr>
                <w:p w14:paraId="2557F75F">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高锰酸盐指数</w:t>
                  </w:r>
                </w:p>
              </w:tc>
              <w:tc>
                <w:tcPr>
                  <w:tcW w:w="957" w:type="pct"/>
                  <w:noWrap w:val="0"/>
                  <w:vAlign w:val="center"/>
                </w:tcPr>
                <w:p w14:paraId="471C54A3">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kern w:val="0"/>
                      <w:sz w:val="21"/>
                      <w:szCs w:val="21"/>
                      <w:lang w:bidi="ar-SA"/>
                    </w:rPr>
                    <w:t>NH</w:t>
                  </w:r>
                  <w:r>
                    <w:rPr>
                      <w:rFonts w:hint="default" w:ascii="Times New Roman" w:hAnsi="Times New Roman" w:eastAsia="宋体" w:cs="Times New Roman"/>
                      <w:kern w:val="0"/>
                      <w:sz w:val="21"/>
                      <w:szCs w:val="21"/>
                      <w:vertAlign w:val="subscript"/>
                      <w:lang w:bidi="ar-SA"/>
                    </w:rPr>
                    <w:t>3</w:t>
                  </w:r>
                  <w:r>
                    <w:rPr>
                      <w:rFonts w:hint="default" w:ascii="Times New Roman" w:hAnsi="Times New Roman" w:eastAsia="宋体" w:cs="Times New Roman"/>
                      <w:kern w:val="0"/>
                      <w:sz w:val="21"/>
                      <w:szCs w:val="21"/>
                      <w:lang w:bidi="ar-SA"/>
                    </w:rPr>
                    <w:t>-N</w:t>
                  </w:r>
                </w:p>
              </w:tc>
              <w:tc>
                <w:tcPr>
                  <w:tcW w:w="957" w:type="pct"/>
                  <w:noWrap w:val="0"/>
                  <w:vAlign w:val="center"/>
                </w:tcPr>
                <w:p w14:paraId="0F2D61F2">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kern w:val="0"/>
                      <w:sz w:val="21"/>
                      <w:szCs w:val="21"/>
                      <w:lang w:bidi="ar-SA"/>
                    </w:rPr>
                  </w:pPr>
                  <w:r>
                    <w:rPr>
                      <w:rFonts w:hint="default" w:ascii="Times New Roman" w:hAnsi="Times New Roman" w:eastAsia="宋体" w:cs="Times New Roman"/>
                      <w:kern w:val="0"/>
                      <w:sz w:val="21"/>
                      <w:szCs w:val="21"/>
                      <w:lang w:bidi="ar-SA"/>
                    </w:rPr>
                    <w:t>总磷</w:t>
                  </w:r>
                </w:p>
              </w:tc>
            </w:tr>
            <w:tr w14:paraId="6F5F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restart"/>
                  <w:noWrap w:val="0"/>
                  <w:vAlign w:val="center"/>
                </w:tcPr>
                <w:p w14:paraId="1675997B">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共产主义渠获嘉东碑村断面</w:t>
                  </w:r>
                </w:p>
              </w:tc>
              <w:tc>
                <w:tcPr>
                  <w:tcW w:w="641" w:type="pct"/>
                  <w:vMerge w:val="restart"/>
                  <w:noWrap w:val="0"/>
                  <w:vAlign w:val="center"/>
                </w:tcPr>
                <w:p w14:paraId="0B29005B">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监测结果统计</w:t>
                  </w:r>
                </w:p>
              </w:tc>
              <w:tc>
                <w:tcPr>
                  <w:tcW w:w="880" w:type="pct"/>
                  <w:noWrap w:val="0"/>
                  <w:vAlign w:val="center"/>
                </w:tcPr>
                <w:p w14:paraId="043DC9DB">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年1月</w:t>
                  </w:r>
                </w:p>
              </w:tc>
              <w:tc>
                <w:tcPr>
                  <w:tcW w:w="984" w:type="pct"/>
                  <w:shd w:val="clear" w:color="auto" w:fill="auto"/>
                  <w:noWrap w:val="0"/>
                  <w:vAlign w:val="center"/>
                </w:tcPr>
                <w:p w14:paraId="6E2BAA76">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5.5</w:t>
                  </w:r>
                </w:p>
              </w:tc>
              <w:tc>
                <w:tcPr>
                  <w:tcW w:w="957" w:type="pct"/>
                  <w:shd w:val="clear" w:color="auto" w:fill="auto"/>
                  <w:noWrap w:val="0"/>
                  <w:vAlign w:val="center"/>
                </w:tcPr>
                <w:p w14:paraId="334D82EF">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1.28</w:t>
                  </w:r>
                </w:p>
              </w:tc>
              <w:tc>
                <w:tcPr>
                  <w:tcW w:w="957" w:type="pct"/>
                  <w:shd w:val="clear" w:color="auto" w:fill="auto"/>
                  <w:noWrap w:val="0"/>
                  <w:vAlign w:val="center"/>
                </w:tcPr>
                <w:p w14:paraId="1AC438DD">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0.126</w:t>
                  </w:r>
                </w:p>
              </w:tc>
            </w:tr>
            <w:tr w14:paraId="738E9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0FEFFC74">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641" w:type="pct"/>
                  <w:vMerge w:val="continue"/>
                  <w:noWrap w:val="0"/>
                  <w:vAlign w:val="center"/>
                </w:tcPr>
                <w:p w14:paraId="4254E65D">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880" w:type="pct"/>
                  <w:noWrap w:val="0"/>
                  <w:vAlign w:val="center"/>
                </w:tcPr>
                <w:p w14:paraId="66B02D12">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年2月</w:t>
                  </w:r>
                </w:p>
              </w:tc>
              <w:tc>
                <w:tcPr>
                  <w:tcW w:w="984" w:type="pct"/>
                  <w:shd w:val="clear" w:color="auto" w:fill="auto"/>
                  <w:noWrap w:val="0"/>
                  <w:vAlign w:val="center"/>
                </w:tcPr>
                <w:p w14:paraId="56DDBFF9">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4</w:t>
                  </w:r>
                </w:p>
              </w:tc>
              <w:tc>
                <w:tcPr>
                  <w:tcW w:w="957" w:type="pct"/>
                  <w:shd w:val="clear" w:color="auto" w:fill="auto"/>
                  <w:noWrap w:val="0"/>
                  <w:vAlign w:val="center"/>
                </w:tcPr>
                <w:p w14:paraId="08A214A8">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1.07</w:t>
                  </w:r>
                </w:p>
              </w:tc>
              <w:tc>
                <w:tcPr>
                  <w:tcW w:w="957" w:type="pct"/>
                  <w:shd w:val="clear" w:color="auto" w:fill="auto"/>
                  <w:noWrap w:val="0"/>
                  <w:vAlign w:val="center"/>
                </w:tcPr>
                <w:p w14:paraId="45630731">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0.21</w:t>
                  </w:r>
                </w:p>
              </w:tc>
            </w:tr>
            <w:tr w14:paraId="7C3AB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15572E65">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641" w:type="pct"/>
                  <w:vMerge w:val="continue"/>
                  <w:noWrap w:val="0"/>
                  <w:vAlign w:val="center"/>
                </w:tcPr>
                <w:p w14:paraId="16613574">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880" w:type="pct"/>
                  <w:noWrap w:val="0"/>
                  <w:vAlign w:val="center"/>
                </w:tcPr>
                <w:p w14:paraId="51269922">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年3月</w:t>
                  </w:r>
                </w:p>
              </w:tc>
              <w:tc>
                <w:tcPr>
                  <w:tcW w:w="984" w:type="pct"/>
                  <w:shd w:val="clear" w:color="auto" w:fill="auto"/>
                  <w:noWrap w:val="0"/>
                  <w:vAlign w:val="center"/>
                </w:tcPr>
                <w:p w14:paraId="018B54BB">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4.4</w:t>
                  </w:r>
                </w:p>
              </w:tc>
              <w:tc>
                <w:tcPr>
                  <w:tcW w:w="957" w:type="pct"/>
                  <w:shd w:val="clear" w:color="auto" w:fill="auto"/>
                  <w:noWrap w:val="0"/>
                  <w:vAlign w:val="center"/>
                </w:tcPr>
                <w:p w14:paraId="7797FB3F">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0.57</w:t>
                  </w:r>
                </w:p>
              </w:tc>
              <w:tc>
                <w:tcPr>
                  <w:tcW w:w="957" w:type="pct"/>
                  <w:shd w:val="clear" w:color="auto" w:fill="auto"/>
                  <w:noWrap w:val="0"/>
                  <w:vAlign w:val="center"/>
                </w:tcPr>
                <w:p w14:paraId="6CED25F5">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0.147</w:t>
                  </w:r>
                </w:p>
              </w:tc>
            </w:tr>
            <w:tr w14:paraId="5A446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1328ECC5">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641" w:type="pct"/>
                  <w:vMerge w:val="continue"/>
                  <w:noWrap w:val="0"/>
                  <w:vAlign w:val="center"/>
                </w:tcPr>
                <w:p w14:paraId="78C48484">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880" w:type="pct"/>
                  <w:noWrap w:val="0"/>
                  <w:vAlign w:val="center"/>
                </w:tcPr>
                <w:p w14:paraId="42817CA7">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年4月</w:t>
                  </w:r>
                </w:p>
              </w:tc>
              <w:tc>
                <w:tcPr>
                  <w:tcW w:w="984" w:type="pct"/>
                  <w:shd w:val="clear" w:color="auto" w:fill="auto"/>
                  <w:noWrap w:val="0"/>
                  <w:vAlign w:val="center"/>
                </w:tcPr>
                <w:p w14:paraId="5930DFAC">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6.4</w:t>
                  </w:r>
                </w:p>
              </w:tc>
              <w:tc>
                <w:tcPr>
                  <w:tcW w:w="957" w:type="pct"/>
                  <w:shd w:val="clear" w:color="auto" w:fill="auto"/>
                  <w:noWrap w:val="0"/>
                  <w:vAlign w:val="center"/>
                </w:tcPr>
                <w:p w14:paraId="347AFFB7">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0.39</w:t>
                  </w:r>
                </w:p>
              </w:tc>
              <w:tc>
                <w:tcPr>
                  <w:tcW w:w="957" w:type="pct"/>
                  <w:shd w:val="clear" w:color="auto" w:fill="auto"/>
                  <w:noWrap w:val="0"/>
                  <w:vAlign w:val="center"/>
                </w:tcPr>
                <w:p w14:paraId="7C823DC6">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0.216</w:t>
                  </w:r>
                </w:p>
              </w:tc>
            </w:tr>
            <w:tr w14:paraId="09285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00DDD45E">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641" w:type="pct"/>
                  <w:vMerge w:val="continue"/>
                  <w:noWrap w:val="0"/>
                  <w:vAlign w:val="center"/>
                </w:tcPr>
                <w:p w14:paraId="7BE8F2F4">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880" w:type="pct"/>
                  <w:noWrap w:val="0"/>
                  <w:vAlign w:val="center"/>
                </w:tcPr>
                <w:p w14:paraId="7F681C68">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年5月</w:t>
                  </w:r>
                </w:p>
              </w:tc>
              <w:tc>
                <w:tcPr>
                  <w:tcW w:w="984" w:type="pct"/>
                  <w:shd w:val="clear" w:color="auto" w:fill="auto"/>
                  <w:noWrap w:val="0"/>
                  <w:vAlign w:val="center"/>
                </w:tcPr>
                <w:p w14:paraId="744BB1F5">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5.9</w:t>
                  </w:r>
                </w:p>
              </w:tc>
              <w:tc>
                <w:tcPr>
                  <w:tcW w:w="957" w:type="pct"/>
                  <w:shd w:val="clear" w:color="auto" w:fill="auto"/>
                  <w:noWrap w:val="0"/>
                  <w:vAlign w:val="center"/>
                </w:tcPr>
                <w:p w14:paraId="2D8998D6">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0.82</w:t>
                  </w:r>
                </w:p>
              </w:tc>
              <w:tc>
                <w:tcPr>
                  <w:tcW w:w="957" w:type="pct"/>
                  <w:shd w:val="clear" w:color="auto" w:fill="auto"/>
                  <w:noWrap w:val="0"/>
                  <w:vAlign w:val="center"/>
                </w:tcPr>
                <w:p w14:paraId="6DDB7D20">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0.21</w:t>
                  </w:r>
                </w:p>
              </w:tc>
            </w:tr>
            <w:tr w14:paraId="03717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0293F8EC">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641" w:type="pct"/>
                  <w:vMerge w:val="continue"/>
                  <w:noWrap w:val="0"/>
                  <w:vAlign w:val="center"/>
                </w:tcPr>
                <w:p w14:paraId="4E0176BB">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880" w:type="pct"/>
                  <w:noWrap w:val="0"/>
                  <w:vAlign w:val="center"/>
                </w:tcPr>
                <w:p w14:paraId="4F8AC08A">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年6月</w:t>
                  </w:r>
                </w:p>
              </w:tc>
              <w:tc>
                <w:tcPr>
                  <w:tcW w:w="984" w:type="pct"/>
                  <w:shd w:val="clear" w:color="auto" w:fill="auto"/>
                  <w:noWrap w:val="0"/>
                  <w:vAlign w:val="center"/>
                </w:tcPr>
                <w:p w14:paraId="5EA6DBF4">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6.4</w:t>
                  </w:r>
                </w:p>
              </w:tc>
              <w:tc>
                <w:tcPr>
                  <w:tcW w:w="957" w:type="pct"/>
                  <w:shd w:val="clear" w:color="auto" w:fill="auto"/>
                  <w:noWrap w:val="0"/>
                  <w:vAlign w:val="center"/>
                </w:tcPr>
                <w:p w14:paraId="5B18DA34">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0.74</w:t>
                  </w:r>
                </w:p>
              </w:tc>
              <w:tc>
                <w:tcPr>
                  <w:tcW w:w="957" w:type="pct"/>
                  <w:shd w:val="clear" w:color="auto" w:fill="auto"/>
                  <w:noWrap w:val="0"/>
                  <w:vAlign w:val="center"/>
                </w:tcPr>
                <w:p w14:paraId="3FAD94B7">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0.202</w:t>
                  </w:r>
                </w:p>
              </w:tc>
            </w:tr>
            <w:tr w14:paraId="16328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6E697F5E">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641" w:type="pct"/>
                  <w:vMerge w:val="continue"/>
                  <w:noWrap w:val="0"/>
                  <w:vAlign w:val="center"/>
                </w:tcPr>
                <w:p w14:paraId="36F0ECA8">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p>
              </w:tc>
              <w:tc>
                <w:tcPr>
                  <w:tcW w:w="880" w:type="pct"/>
                  <w:noWrap w:val="0"/>
                  <w:vAlign w:val="center"/>
                </w:tcPr>
                <w:p w14:paraId="39B75C93">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年7月</w:t>
                  </w:r>
                </w:p>
              </w:tc>
              <w:tc>
                <w:tcPr>
                  <w:tcW w:w="984" w:type="pct"/>
                  <w:shd w:val="clear" w:color="auto" w:fill="auto"/>
                  <w:noWrap w:val="0"/>
                  <w:vAlign w:val="center"/>
                </w:tcPr>
                <w:p w14:paraId="6C0F4497">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6.1</w:t>
                  </w:r>
                </w:p>
              </w:tc>
              <w:tc>
                <w:tcPr>
                  <w:tcW w:w="957" w:type="pct"/>
                  <w:shd w:val="clear" w:color="auto" w:fill="auto"/>
                  <w:noWrap w:val="0"/>
                  <w:vAlign w:val="center"/>
                </w:tcPr>
                <w:p w14:paraId="6860F6A8">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1.61</w:t>
                  </w:r>
                </w:p>
              </w:tc>
              <w:tc>
                <w:tcPr>
                  <w:tcW w:w="957" w:type="pct"/>
                  <w:shd w:val="clear" w:color="auto" w:fill="auto"/>
                  <w:noWrap w:val="0"/>
                  <w:vAlign w:val="center"/>
                </w:tcPr>
                <w:p w14:paraId="234ADFF9">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0.341</w:t>
                  </w:r>
                </w:p>
              </w:tc>
            </w:tr>
            <w:tr w14:paraId="4F001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78C22D81">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641" w:type="pct"/>
                  <w:vMerge w:val="continue"/>
                  <w:noWrap w:val="0"/>
                  <w:vAlign w:val="center"/>
                </w:tcPr>
                <w:p w14:paraId="33C72AC2">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880" w:type="pct"/>
                  <w:noWrap w:val="0"/>
                  <w:vAlign w:val="center"/>
                </w:tcPr>
                <w:p w14:paraId="3731B791">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年8月</w:t>
                  </w:r>
                </w:p>
              </w:tc>
              <w:tc>
                <w:tcPr>
                  <w:tcW w:w="984" w:type="pct"/>
                  <w:shd w:val="clear" w:color="auto" w:fill="auto"/>
                  <w:noWrap w:val="0"/>
                  <w:vAlign w:val="center"/>
                </w:tcPr>
                <w:p w14:paraId="7F1C1CDB">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4.9</w:t>
                  </w:r>
                </w:p>
              </w:tc>
              <w:tc>
                <w:tcPr>
                  <w:tcW w:w="957" w:type="pct"/>
                  <w:shd w:val="clear" w:color="auto" w:fill="auto"/>
                  <w:noWrap w:val="0"/>
                  <w:vAlign w:val="center"/>
                </w:tcPr>
                <w:p w14:paraId="7F9A4403">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0.96</w:t>
                  </w:r>
                </w:p>
              </w:tc>
              <w:tc>
                <w:tcPr>
                  <w:tcW w:w="957" w:type="pct"/>
                  <w:shd w:val="clear" w:color="auto" w:fill="auto"/>
                  <w:noWrap w:val="0"/>
                  <w:vAlign w:val="center"/>
                </w:tcPr>
                <w:p w14:paraId="7AA6F2C2">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0.24</w:t>
                  </w:r>
                </w:p>
              </w:tc>
            </w:tr>
            <w:tr w14:paraId="1FF20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5203593B">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641" w:type="pct"/>
                  <w:vMerge w:val="continue"/>
                  <w:noWrap w:val="0"/>
                  <w:vAlign w:val="center"/>
                </w:tcPr>
                <w:p w14:paraId="5BC1E148">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880" w:type="pct"/>
                  <w:noWrap w:val="0"/>
                  <w:vAlign w:val="center"/>
                </w:tcPr>
                <w:p w14:paraId="6C09021D">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年9月</w:t>
                  </w:r>
                </w:p>
              </w:tc>
              <w:tc>
                <w:tcPr>
                  <w:tcW w:w="984" w:type="pct"/>
                  <w:shd w:val="clear" w:color="auto" w:fill="auto"/>
                  <w:noWrap w:val="0"/>
                  <w:vAlign w:val="center"/>
                </w:tcPr>
                <w:p w14:paraId="7031E225">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5.7</w:t>
                  </w:r>
                </w:p>
              </w:tc>
              <w:tc>
                <w:tcPr>
                  <w:tcW w:w="957" w:type="pct"/>
                  <w:shd w:val="clear" w:color="auto" w:fill="auto"/>
                  <w:noWrap w:val="0"/>
                  <w:vAlign w:val="center"/>
                </w:tcPr>
                <w:p w14:paraId="31BB25E4">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0.55</w:t>
                  </w:r>
                </w:p>
              </w:tc>
              <w:tc>
                <w:tcPr>
                  <w:tcW w:w="957" w:type="pct"/>
                  <w:shd w:val="clear" w:color="auto" w:fill="auto"/>
                  <w:noWrap w:val="0"/>
                  <w:vAlign w:val="center"/>
                </w:tcPr>
                <w:p w14:paraId="4915E216">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0.165</w:t>
                  </w:r>
                </w:p>
              </w:tc>
            </w:tr>
            <w:tr w14:paraId="6922C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16362166">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641" w:type="pct"/>
                  <w:vMerge w:val="continue"/>
                  <w:noWrap w:val="0"/>
                  <w:vAlign w:val="center"/>
                </w:tcPr>
                <w:p w14:paraId="17CD4F9D">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880" w:type="pct"/>
                  <w:noWrap w:val="0"/>
                  <w:vAlign w:val="center"/>
                </w:tcPr>
                <w:p w14:paraId="5629188E">
                  <w:pPr>
                    <w:keepNext w:val="0"/>
                    <w:keepLines w:val="0"/>
                    <w:pageBreakBefore w:val="0"/>
                    <w:kinsoku/>
                    <w:wordWrap/>
                    <w:overflowPunct/>
                    <w:topLinePunct w:val="0"/>
                    <w:autoSpaceDE/>
                    <w:autoSpaceDN/>
                    <w:bidi w:val="0"/>
                    <w:spacing w:line="360" w:lineRule="exact"/>
                    <w:ind w:firstLine="0" w:firstLineChars="0"/>
                    <w:jc w:val="both"/>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年10月</w:t>
                  </w:r>
                </w:p>
              </w:tc>
              <w:tc>
                <w:tcPr>
                  <w:tcW w:w="984" w:type="pct"/>
                  <w:shd w:val="clear" w:color="auto" w:fill="auto"/>
                  <w:noWrap w:val="0"/>
                  <w:vAlign w:val="center"/>
                </w:tcPr>
                <w:p w14:paraId="66B78A40">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5.4</w:t>
                  </w:r>
                </w:p>
              </w:tc>
              <w:tc>
                <w:tcPr>
                  <w:tcW w:w="957" w:type="pct"/>
                  <w:shd w:val="clear" w:color="auto" w:fill="auto"/>
                  <w:noWrap w:val="0"/>
                  <w:vAlign w:val="center"/>
                </w:tcPr>
                <w:p w14:paraId="550C0584">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1.17</w:t>
                  </w:r>
                </w:p>
              </w:tc>
              <w:tc>
                <w:tcPr>
                  <w:tcW w:w="957" w:type="pct"/>
                  <w:shd w:val="clear" w:color="auto" w:fill="auto"/>
                  <w:noWrap w:val="0"/>
                  <w:vAlign w:val="center"/>
                </w:tcPr>
                <w:p w14:paraId="17FE2533">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0.204</w:t>
                  </w:r>
                </w:p>
              </w:tc>
            </w:tr>
            <w:tr w14:paraId="5BA5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0A84C130">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641" w:type="pct"/>
                  <w:vMerge w:val="continue"/>
                  <w:noWrap w:val="0"/>
                  <w:vAlign w:val="center"/>
                </w:tcPr>
                <w:p w14:paraId="5B90650B">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880" w:type="pct"/>
                  <w:noWrap w:val="0"/>
                  <w:vAlign w:val="center"/>
                </w:tcPr>
                <w:p w14:paraId="7432A223">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年11月</w:t>
                  </w:r>
                </w:p>
              </w:tc>
              <w:tc>
                <w:tcPr>
                  <w:tcW w:w="984" w:type="pct"/>
                  <w:shd w:val="clear" w:color="auto" w:fill="auto"/>
                  <w:noWrap w:val="0"/>
                  <w:vAlign w:val="center"/>
                </w:tcPr>
                <w:p w14:paraId="77456E48">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5.8</w:t>
                  </w:r>
                </w:p>
              </w:tc>
              <w:tc>
                <w:tcPr>
                  <w:tcW w:w="957" w:type="pct"/>
                  <w:shd w:val="clear" w:color="auto" w:fill="auto"/>
                  <w:noWrap w:val="0"/>
                  <w:vAlign w:val="center"/>
                </w:tcPr>
                <w:p w14:paraId="524BCCE1">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0.90</w:t>
                  </w:r>
                </w:p>
              </w:tc>
              <w:tc>
                <w:tcPr>
                  <w:tcW w:w="957" w:type="pct"/>
                  <w:shd w:val="clear" w:color="auto" w:fill="auto"/>
                  <w:noWrap w:val="0"/>
                  <w:vAlign w:val="center"/>
                </w:tcPr>
                <w:p w14:paraId="411E5DC9">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0.261</w:t>
                  </w:r>
                </w:p>
              </w:tc>
            </w:tr>
            <w:tr w14:paraId="079D1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1BAB367E">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641" w:type="pct"/>
                  <w:vMerge w:val="continue"/>
                  <w:noWrap w:val="0"/>
                  <w:vAlign w:val="center"/>
                </w:tcPr>
                <w:p w14:paraId="022F78D0">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880" w:type="pct"/>
                  <w:noWrap w:val="0"/>
                  <w:vAlign w:val="center"/>
                </w:tcPr>
                <w:p w14:paraId="58AC74B8">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202</w:t>
                  </w:r>
                  <w:r>
                    <w:rPr>
                      <w:rFonts w:hint="eastAsia" w:cs="Times New Roman"/>
                      <w:sz w:val="21"/>
                      <w:szCs w:val="21"/>
                      <w:lang w:val="en-US" w:eastAsia="zh-CN" w:bidi="ar-SA"/>
                    </w:rPr>
                    <w:t>4</w:t>
                  </w:r>
                  <w:r>
                    <w:rPr>
                      <w:rFonts w:hint="default" w:ascii="Times New Roman" w:hAnsi="Times New Roman" w:eastAsia="宋体" w:cs="Times New Roman"/>
                      <w:sz w:val="21"/>
                      <w:szCs w:val="21"/>
                      <w:lang w:bidi="ar-SA"/>
                    </w:rPr>
                    <w:t>年12月</w:t>
                  </w:r>
                </w:p>
              </w:tc>
              <w:tc>
                <w:tcPr>
                  <w:tcW w:w="984" w:type="pct"/>
                  <w:shd w:val="clear" w:color="auto" w:fill="auto"/>
                  <w:noWrap w:val="0"/>
                  <w:vAlign w:val="center"/>
                </w:tcPr>
                <w:p w14:paraId="4748D7EE">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5.3</w:t>
                  </w:r>
                </w:p>
              </w:tc>
              <w:tc>
                <w:tcPr>
                  <w:tcW w:w="957" w:type="pct"/>
                  <w:shd w:val="clear" w:color="auto" w:fill="auto"/>
                  <w:noWrap w:val="0"/>
                  <w:vAlign w:val="center"/>
                </w:tcPr>
                <w:p w14:paraId="1B22745F">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0.57</w:t>
                  </w:r>
                </w:p>
              </w:tc>
              <w:tc>
                <w:tcPr>
                  <w:tcW w:w="957" w:type="pct"/>
                  <w:shd w:val="clear" w:color="auto" w:fill="auto"/>
                  <w:noWrap w:val="0"/>
                  <w:vAlign w:val="center"/>
                </w:tcPr>
                <w:p w14:paraId="2A4319A4">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0.236</w:t>
                  </w:r>
                </w:p>
              </w:tc>
            </w:tr>
            <w:tr w14:paraId="570DE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578" w:type="pct"/>
                  <w:vMerge w:val="continue"/>
                  <w:noWrap w:val="0"/>
                  <w:vAlign w:val="center"/>
                </w:tcPr>
                <w:p w14:paraId="672378DB">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641" w:type="pct"/>
                  <w:vMerge w:val="restart"/>
                  <w:noWrap w:val="0"/>
                  <w:vAlign w:val="center"/>
                </w:tcPr>
                <w:p w14:paraId="4D736A2A">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监测数据分析</w:t>
                  </w:r>
                </w:p>
              </w:tc>
              <w:tc>
                <w:tcPr>
                  <w:tcW w:w="880" w:type="pct"/>
                  <w:noWrap w:val="0"/>
                  <w:vAlign w:val="center"/>
                </w:tcPr>
                <w:p w14:paraId="4B8BCAA2">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标准指数</w:t>
                  </w:r>
                </w:p>
              </w:tc>
              <w:tc>
                <w:tcPr>
                  <w:tcW w:w="984" w:type="pct"/>
                  <w:shd w:val="clear" w:color="auto" w:fill="auto"/>
                  <w:noWrap w:val="0"/>
                  <w:vAlign w:val="center"/>
                </w:tcPr>
                <w:p w14:paraId="2891179D">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4~6.4</w:t>
                  </w:r>
                </w:p>
              </w:tc>
              <w:tc>
                <w:tcPr>
                  <w:tcW w:w="957" w:type="pct"/>
                  <w:shd w:val="clear" w:color="auto" w:fill="auto"/>
                  <w:noWrap w:val="0"/>
                  <w:vAlign w:val="center"/>
                </w:tcPr>
                <w:p w14:paraId="6298C872">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0.39~1.61</w:t>
                  </w:r>
                </w:p>
              </w:tc>
              <w:tc>
                <w:tcPr>
                  <w:tcW w:w="957" w:type="pct"/>
                  <w:shd w:val="clear" w:color="auto" w:fill="auto"/>
                  <w:noWrap w:val="0"/>
                  <w:vAlign w:val="center"/>
                </w:tcPr>
                <w:p w14:paraId="6FFF4786">
                  <w:pPr>
                    <w:pStyle w:val="24"/>
                    <w:ind w:firstLine="0" w:firstLineChars="0"/>
                    <w:rPr>
                      <w:rFonts w:hint="default" w:ascii="Times New Roman" w:hAnsi="Times New Roman" w:eastAsia="宋体" w:cs="Times New Roman"/>
                      <w:bCs/>
                      <w:color w:val="000000"/>
                      <w:kern w:val="0"/>
                      <w:sz w:val="21"/>
                      <w:szCs w:val="18"/>
                      <w:lang w:val="en-US" w:eastAsia="zh-CN" w:bidi="ar-SA"/>
                    </w:rPr>
                  </w:pPr>
                  <w:r>
                    <w:rPr>
                      <w:rFonts w:hint="default" w:ascii="Times New Roman" w:hAnsi="Times New Roman" w:cs="Times New Roman"/>
                    </w:rPr>
                    <w:t>0.126~0.341</w:t>
                  </w:r>
                </w:p>
              </w:tc>
            </w:tr>
            <w:tr w14:paraId="6395F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78" w:type="pct"/>
                  <w:vMerge w:val="continue"/>
                  <w:noWrap w:val="0"/>
                  <w:vAlign w:val="center"/>
                </w:tcPr>
                <w:p w14:paraId="21516DED">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641" w:type="pct"/>
                  <w:vMerge w:val="continue"/>
                  <w:noWrap w:val="0"/>
                  <w:vAlign w:val="center"/>
                </w:tcPr>
                <w:p w14:paraId="4A15F40F">
                  <w:pPr>
                    <w:keepNext w:val="0"/>
                    <w:keepLines w:val="0"/>
                    <w:pageBreakBefore w:val="0"/>
                    <w:widowControl/>
                    <w:kinsoku/>
                    <w:wordWrap/>
                    <w:overflowPunct/>
                    <w:topLinePunct w:val="0"/>
                    <w:autoSpaceDE/>
                    <w:autoSpaceDN/>
                    <w:bidi w:val="0"/>
                    <w:spacing w:line="360" w:lineRule="exact"/>
                    <w:ind w:firstLine="0" w:firstLineChars="0"/>
                    <w:jc w:val="left"/>
                    <w:rPr>
                      <w:rFonts w:hint="default" w:ascii="Times New Roman" w:hAnsi="Times New Roman" w:eastAsia="宋体" w:cs="Times New Roman"/>
                      <w:sz w:val="21"/>
                      <w:szCs w:val="21"/>
                      <w:lang w:bidi="ar-SA"/>
                    </w:rPr>
                  </w:pPr>
                </w:p>
              </w:tc>
              <w:tc>
                <w:tcPr>
                  <w:tcW w:w="880" w:type="pct"/>
                  <w:noWrap w:val="0"/>
                  <w:vAlign w:val="center"/>
                </w:tcPr>
                <w:p w14:paraId="2EF70059">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最大超标</w:t>
                  </w:r>
                </w:p>
                <w:p w14:paraId="530699EF">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倍数</w:t>
                  </w:r>
                </w:p>
              </w:tc>
              <w:tc>
                <w:tcPr>
                  <w:tcW w:w="984" w:type="pct"/>
                  <w:noWrap w:val="0"/>
                  <w:vAlign w:val="center"/>
                </w:tcPr>
                <w:p w14:paraId="3A3B2E06">
                  <w:pPr>
                    <w:keepNext w:val="0"/>
                    <w:keepLines w:val="0"/>
                    <w:pageBreakBefore w:val="0"/>
                    <w:kinsoku/>
                    <w:wordWrap/>
                    <w:overflowPunct/>
                    <w:topLinePunct w:val="0"/>
                    <w:autoSpaceDE/>
                    <w:autoSpaceDN/>
                    <w:bidi w:val="0"/>
                    <w:adjustRightInd w:val="0"/>
                    <w:snapToGrid w:val="0"/>
                    <w:spacing w:line="360" w:lineRule="exact"/>
                    <w:ind w:firstLine="0" w:firstLineChars="0"/>
                    <w:jc w:val="center"/>
                    <w:rPr>
                      <w:rFonts w:hint="default" w:ascii="Times New Roman" w:hAnsi="Times New Roman" w:eastAsia="宋体" w:cs="Times New Roman"/>
                      <w:sz w:val="21"/>
                      <w:szCs w:val="21"/>
                      <w:lang w:val="en-US" w:eastAsia="zh-CN" w:bidi="ar-SA"/>
                    </w:rPr>
                  </w:pPr>
                  <w:r>
                    <w:rPr>
                      <w:rFonts w:hint="eastAsia" w:cs="Times New Roman"/>
                      <w:sz w:val="21"/>
                      <w:szCs w:val="21"/>
                      <w:lang w:val="en-US" w:eastAsia="zh-CN" w:bidi="ar-SA"/>
                    </w:rPr>
                    <w:t>0.64</w:t>
                  </w:r>
                </w:p>
              </w:tc>
              <w:tc>
                <w:tcPr>
                  <w:tcW w:w="957" w:type="pct"/>
                  <w:noWrap w:val="0"/>
                  <w:vAlign w:val="center"/>
                </w:tcPr>
                <w:p w14:paraId="1B05EBF5">
                  <w:pPr>
                    <w:keepNext w:val="0"/>
                    <w:keepLines w:val="0"/>
                    <w:pageBreakBefore w:val="0"/>
                    <w:kinsoku/>
                    <w:wordWrap/>
                    <w:overflowPunct/>
                    <w:topLinePunct w:val="0"/>
                    <w:autoSpaceDE/>
                    <w:autoSpaceDN/>
                    <w:bidi w:val="0"/>
                    <w:adjustRightInd w:val="0"/>
                    <w:snapToGrid w:val="0"/>
                    <w:spacing w:line="360" w:lineRule="exact"/>
                    <w:ind w:firstLine="0" w:firstLineChars="0"/>
                    <w:jc w:val="center"/>
                    <w:rPr>
                      <w:rFonts w:hint="default" w:ascii="Times New Roman" w:hAnsi="Times New Roman" w:eastAsia="宋体" w:cs="Times New Roman"/>
                      <w:sz w:val="21"/>
                      <w:szCs w:val="21"/>
                      <w:lang w:val="en-US" w:eastAsia="zh-CN" w:bidi="ar-SA"/>
                    </w:rPr>
                  </w:pPr>
                  <w:r>
                    <w:rPr>
                      <w:rFonts w:hint="eastAsia" w:cs="Times New Roman"/>
                      <w:sz w:val="21"/>
                      <w:szCs w:val="21"/>
                      <w:lang w:val="en-US" w:eastAsia="zh-CN" w:bidi="ar-SA"/>
                    </w:rPr>
                    <w:t>1.07</w:t>
                  </w:r>
                </w:p>
              </w:tc>
              <w:tc>
                <w:tcPr>
                  <w:tcW w:w="957" w:type="pct"/>
                  <w:noWrap w:val="0"/>
                  <w:vAlign w:val="center"/>
                </w:tcPr>
                <w:p w14:paraId="09418030">
                  <w:pPr>
                    <w:keepNext w:val="0"/>
                    <w:keepLines w:val="0"/>
                    <w:pageBreakBefore w:val="0"/>
                    <w:kinsoku/>
                    <w:wordWrap/>
                    <w:overflowPunct/>
                    <w:topLinePunct w:val="0"/>
                    <w:autoSpaceDE/>
                    <w:autoSpaceDN/>
                    <w:bidi w:val="0"/>
                    <w:adjustRightInd w:val="0"/>
                    <w:snapToGrid w:val="0"/>
                    <w:spacing w:line="360" w:lineRule="exact"/>
                    <w:ind w:firstLine="0" w:firstLineChars="0"/>
                    <w:jc w:val="center"/>
                    <w:rPr>
                      <w:rFonts w:hint="default" w:ascii="Times New Roman" w:hAnsi="Times New Roman" w:eastAsia="宋体" w:cs="Times New Roman"/>
                      <w:sz w:val="21"/>
                      <w:szCs w:val="21"/>
                      <w:lang w:val="en-US" w:eastAsia="zh-CN" w:bidi="ar-SA"/>
                    </w:rPr>
                  </w:pPr>
                  <w:r>
                    <w:rPr>
                      <w:rFonts w:hint="eastAsia" w:cs="Times New Roman"/>
                      <w:sz w:val="21"/>
                      <w:szCs w:val="21"/>
                      <w:lang w:val="en-US" w:eastAsia="zh-CN" w:bidi="ar-SA"/>
                    </w:rPr>
                    <w:t>1.14</w:t>
                  </w:r>
                </w:p>
              </w:tc>
            </w:tr>
            <w:tr w14:paraId="58ED9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00" w:type="pct"/>
                  <w:gridSpan w:val="3"/>
                  <w:noWrap w:val="0"/>
                  <w:vAlign w:val="center"/>
                </w:tcPr>
                <w:p w14:paraId="3C64A188">
                  <w:pPr>
                    <w:keepNext w:val="0"/>
                    <w:keepLines w:val="0"/>
                    <w:pageBreakBefore w:val="0"/>
                    <w:kinsoku/>
                    <w:wordWrap/>
                    <w:overflowPunct/>
                    <w:topLinePunct w:val="0"/>
                    <w:autoSpaceDE/>
                    <w:autoSpaceDN/>
                    <w:bidi w:val="0"/>
                    <w:spacing w:line="360" w:lineRule="exact"/>
                    <w:ind w:firstLine="0" w:firstLineChars="0"/>
                    <w:jc w:val="center"/>
                    <w:rPr>
                      <w:rFonts w:hint="default" w:ascii="Times New Roman" w:hAnsi="Times New Roman" w:eastAsia="宋体" w:cs="Times New Roman"/>
                      <w:sz w:val="21"/>
                      <w:szCs w:val="21"/>
                      <w:lang w:bidi="ar-SA"/>
                    </w:rPr>
                  </w:pPr>
                  <w:r>
                    <w:rPr>
                      <w:rFonts w:hint="default" w:ascii="Times New Roman" w:hAnsi="Times New Roman" w:eastAsia="宋体" w:cs="Times New Roman"/>
                      <w:sz w:val="21"/>
                      <w:szCs w:val="21"/>
                      <w:lang w:bidi="ar-SA"/>
                    </w:rPr>
                    <w:t>标准限值</w:t>
                  </w:r>
                </w:p>
              </w:tc>
              <w:tc>
                <w:tcPr>
                  <w:tcW w:w="984" w:type="pct"/>
                  <w:noWrap w:val="0"/>
                  <w:vAlign w:val="center"/>
                </w:tcPr>
                <w:p w14:paraId="486233EA">
                  <w:pPr>
                    <w:keepNext w:val="0"/>
                    <w:keepLines w:val="0"/>
                    <w:pageBreakBefore w:val="0"/>
                    <w:widowControl/>
                    <w:kinsoku/>
                    <w:wordWrap/>
                    <w:overflowPunct/>
                    <w:topLinePunct w:val="0"/>
                    <w:autoSpaceDE/>
                    <w:autoSpaceDN/>
                    <w:bidi w:val="0"/>
                    <w:spacing w:line="360" w:lineRule="exact"/>
                    <w:ind w:firstLine="0" w:firstLineChars="0"/>
                    <w:jc w:val="center"/>
                    <w:textAlignment w:val="center"/>
                    <w:rPr>
                      <w:rFonts w:hint="default" w:ascii="Times New Roman" w:hAnsi="Times New Roman" w:eastAsia="宋体" w:cs="Times New Roman"/>
                      <w:color w:val="000000"/>
                      <w:kern w:val="0"/>
                      <w:sz w:val="21"/>
                      <w:szCs w:val="21"/>
                      <w:lang w:bidi="ar-SA"/>
                    </w:rPr>
                  </w:pPr>
                  <w:r>
                    <w:rPr>
                      <w:rFonts w:hint="default" w:ascii="Times New Roman" w:hAnsi="Times New Roman" w:eastAsia="宋体" w:cs="Times New Roman"/>
                      <w:color w:val="000000"/>
                      <w:kern w:val="0"/>
                      <w:sz w:val="21"/>
                      <w:szCs w:val="21"/>
                      <w:lang w:bidi="ar-SA"/>
                    </w:rPr>
                    <w:t>10</w:t>
                  </w:r>
                </w:p>
              </w:tc>
              <w:tc>
                <w:tcPr>
                  <w:tcW w:w="957" w:type="pct"/>
                  <w:noWrap w:val="0"/>
                  <w:vAlign w:val="center"/>
                </w:tcPr>
                <w:p w14:paraId="0794F516">
                  <w:pPr>
                    <w:keepNext w:val="0"/>
                    <w:keepLines w:val="0"/>
                    <w:pageBreakBefore w:val="0"/>
                    <w:widowControl/>
                    <w:kinsoku/>
                    <w:wordWrap/>
                    <w:overflowPunct/>
                    <w:topLinePunct w:val="0"/>
                    <w:autoSpaceDE/>
                    <w:autoSpaceDN/>
                    <w:bidi w:val="0"/>
                    <w:spacing w:line="360" w:lineRule="exact"/>
                    <w:ind w:firstLine="0" w:firstLineChars="0"/>
                    <w:jc w:val="center"/>
                    <w:textAlignment w:val="center"/>
                    <w:rPr>
                      <w:rFonts w:hint="default" w:ascii="Times New Roman" w:hAnsi="Times New Roman" w:eastAsia="宋体" w:cs="Times New Roman"/>
                      <w:color w:val="000000"/>
                      <w:kern w:val="0"/>
                      <w:sz w:val="21"/>
                      <w:szCs w:val="21"/>
                      <w:lang w:bidi="ar-SA"/>
                    </w:rPr>
                  </w:pPr>
                  <w:r>
                    <w:rPr>
                      <w:rFonts w:hint="default" w:ascii="Times New Roman" w:hAnsi="Times New Roman" w:eastAsia="宋体" w:cs="Times New Roman"/>
                      <w:color w:val="000000"/>
                      <w:kern w:val="0"/>
                      <w:sz w:val="21"/>
                      <w:szCs w:val="21"/>
                      <w:lang w:bidi="ar-SA"/>
                    </w:rPr>
                    <w:t>1.5</w:t>
                  </w:r>
                </w:p>
              </w:tc>
              <w:tc>
                <w:tcPr>
                  <w:tcW w:w="957" w:type="pct"/>
                  <w:noWrap w:val="0"/>
                  <w:vAlign w:val="center"/>
                </w:tcPr>
                <w:p w14:paraId="3670A1D3">
                  <w:pPr>
                    <w:keepNext w:val="0"/>
                    <w:keepLines w:val="0"/>
                    <w:pageBreakBefore w:val="0"/>
                    <w:widowControl/>
                    <w:kinsoku/>
                    <w:wordWrap/>
                    <w:overflowPunct/>
                    <w:topLinePunct w:val="0"/>
                    <w:autoSpaceDE/>
                    <w:autoSpaceDN/>
                    <w:bidi w:val="0"/>
                    <w:spacing w:line="360" w:lineRule="exact"/>
                    <w:ind w:firstLine="0" w:firstLineChars="0"/>
                    <w:jc w:val="center"/>
                    <w:textAlignment w:val="center"/>
                    <w:rPr>
                      <w:rFonts w:hint="default" w:ascii="Times New Roman" w:hAnsi="Times New Roman" w:eastAsia="宋体" w:cs="Times New Roman"/>
                      <w:color w:val="000000"/>
                      <w:kern w:val="0"/>
                      <w:sz w:val="21"/>
                      <w:szCs w:val="21"/>
                      <w:lang w:bidi="ar-SA"/>
                    </w:rPr>
                  </w:pPr>
                  <w:r>
                    <w:rPr>
                      <w:rFonts w:hint="default" w:ascii="Times New Roman" w:hAnsi="Times New Roman" w:eastAsia="宋体" w:cs="Times New Roman"/>
                      <w:sz w:val="21"/>
                      <w:szCs w:val="21"/>
                      <w:lang w:bidi="ar-SA"/>
                    </w:rPr>
                    <w:t>0.3</w:t>
                  </w:r>
                </w:p>
              </w:tc>
            </w:tr>
          </w:tbl>
          <w:p w14:paraId="194ECA28">
            <w:pPr>
              <w:spacing w:line="520" w:lineRule="exact"/>
              <w:ind w:firstLine="480" w:firstLineChars="200"/>
              <w:rPr>
                <w:rFonts w:hint="default" w:ascii="Times New Roman" w:hAnsi="Times New Roman" w:eastAsia="宋体" w:cs="Times New Roman"/>
                <w:sz w:val="24"/>
                <w:szCs w:val="24"/>
                <w:lang w:bidi="ar-SA"/>
              </w:rPr>
            </w:pPr>
            <w:r>
              <w:rPr>
                <w:rFonts w:hint="default" w:ascii="Times New Roman" w:hAnsi="Times New Roman" w:eastAsia="宋体" w:cs="Times New Roman"/>
                <w:sz w:val="24"/>
                <w:szCs w:val="24"/>
                <w:lang w:bidi="ar-SA"/>
              </w:rPr>
              <w:t>由</w:t>
            </w:r>
            <w:r>
              <w:rPr>
                <w:rFonts w:hint="default" w:ascii="Times New Roman" w:hAnsi="Times New Roman" w:eastAsia="宋体" w:cs="Times New Roman"/>
                <w:sz w:val="24"/>
                <w:szCs w:val="24"/>
                <w:lang w:eastAsia="zh-CN" w:bidi="ar-SA"/>
              </w:rPr>
              <w:t>上表</w:t>
            </w:r>
            <w:r>
              <w:rPr>
                <w:rFonts w:hint="default" w:ascii="Times New Roman" w:hAnsi="Times New Roman" w:eastAsia="宋体" w:cs="Times New Roman"/>
                <w:sz w:val="24"/>
                <w:szCs w:val="24"/>
                <w:lang w:bidi="ar-SA"/>
              </w:rPr>
              <w:t>可知，共产主义渠获嘉东碑村断面高锰酸盐指数能够满足《地表水环境质量标准》（GB3838-2002）</w:t>
            </w:r>
            <w:r>
              <w:rPr>
                <w:rFonts w:hint="eastAsia" w:ascii="Times New Roman" w:hAnsi="Times New Roman" w:eastAsia="宋体" w:cs="Times New Roman"/>
                <w:sz w:val="24"/>
                <w:szCs w:val="24"/>
                <w:lang w:val="en-US" w:eastAsia="zh-CN" w:bidi="ar-SA"/>
              </w:rPr>
              <w:t>IV</w:t>
            </w:r>
            <w:r>
              <w:rPr>
                <w:rFonts w:hint="default" w:ascii="Times New Roman" w:hAnsi="Times New Roman" w:eastAsia="宋体" w:cs="Times New Roman"/>
                <w:sz w:val="24"/>
                <w:szCs w:val="24"/>
                <w:lang w:bidi="ar-SA"/>
              </w:rPr>
              <w:t>类标准要求，</w:t>
            </w:r>
            <w:r>
              <w:rPr>
                <w:rFonts w:hint="default" w:ascii="Times New Roman" w:hAnsi="Times New Roman" w:eastAsia="宋体" w:cs="Times New Roman"/>
                <w:kern w:val="0"/>
                <w:sz w:val="24"/>
                <w:szCs w:val="24"/>
                <w:lang w:bidi="ar-SA"/>
              </w:rPr>
              <w:t>NH</w:t>
            </w:r>
            <w:r>
              <w:rPr>
                <w:rFonts w:hint="default" w:ascii="Times New Roman" w:hAnsi="Times New Roman" w:eastAsia="宋体" w:cs="Times New Roman"/>
                <w:kern w:val="0"/>
                <w:sz w:val="24"/>
                <w:szCs w:val="24"/>
                <w:vertAlign w:val="subscript"/>
                <w:lang w:bidi="ar-SA"/>
              </w:rPr>
              <w:t>3</w:t>
            </w:r>
            <w:r>
              <w:rPr>
                <w:rFonts w:hint="default" w:ascii="Times New Roman" w:hAnsi="Times New Roman" w:eastAsia="宋体" w:cs="Times New Roman"/>
                <w:kern w:val="0"/>
                <w:sz w:val="24"/>
                <w:szCs w:val="24"/>
                <w:lang w:bidi="ar-SA"/>
              </w:rPr>
              <w:t>-N、总磷</w:t>
            </w:r>
            <w:r>
              <w:rPr>
                <w:rFonts w:hint="default" w:ascii="Times New Roman" w:hAnsi="Times New Roman" w:eastAsia="宋体" w:cs="Times New Roman"/>
                <w:sz w:val="24"/>
                <w:szCs w:val="24"/>
                <w:lang w:bidi="ar-SA"/>
              </w:rPr>
              <w:t>均有不同程度超标。超标的主要原因在于沿河农村生活污水、雨季地表径流等直接汇入河流造成。目前，武陟县政府加大河道整治力度，深入开展农村环境综合整治、黑臭水体截污纳管及配套管网建设等工程，减少对地表水体的污染。采取以上措施后能够有效改善水质超标现象。</w:t>
            </w:r>
          </w:p>
          <w:p w14:paraId="3E677231">
            <w:pPr>
              <w:adjustRightInd w:val="0"/>
              <w:snapToGrid w:val="0"/>
              <w:ind w:firstLine="0" w:firstLineChars="0"/>
              <w:rPr>
                <w:rFonts w:hint="default" w:ascii="Times New Roman" w:hAnsi="Times New Roman" w:cs="Times New Roman"/>
                <w:b/>
                <w:bCs/>
              </w:rPr>
            </w:pPr>
            <w:r>
              <w:rPr>
                <w:rFonts w:hint="default" w:ascii="Times New Roman" w:hAnsi="Times New Roman" w:cs="Times New Roman"/>
                <w:b/>
                <w:bCs/>
              </w:rPr>
              <w:t>三、声环境质量现状</w:t>
            </w:r>
          </w:p>
          <w:p w14:paraId="17B4F920">
            <w:pPr>
              <w:ind w:firstLine="480"/>
              <w:rPr>
                <w:rFonts w:hint="default" w:ascii="Times New Roman" w:hAnsi="Times New Roman" w:cs="Times New Roman"/>
              </w:rPr>
            </w:pPr>
            <w:r>
              <w:rPr>
                <w:rFonts w:hint="default" w:ascii="Times New Roman" w:hAnsi="Times New Roman" w:cs="Times New Roman"/>
              </w:rPr>
              <w:t>根据现场调研，项目厂址位于</w:t>
            </w:r>
            <w:r>
              <w:rPr>
                <w:rFonts w:hint="default" w:ascii="Times New Roman" w:hAnsi="Times New Roman" w:eastAsia="宋体" w:cs="Times New Roman"/>
                <w:highlight w:val="none"/>
                <w:lang w:eastAsia="zh-CN"/>
              </w:rPr>
              <w:t>焦作</w:t>
            </w:r>
            <w:r>
              <w:rPr>
                <w:rFonts w:hint="default" w:ascii="Times New Roman" w:hAnsi="Times New Roman" w:eastAsia="宋体" w:cs="Times New Roman"/>
                <w:lang w:eastAsia="zh-CN"/>
              </w:rPr>
              <w:t>市武陟县经开区东部园区昌武路与鸿源路交叉口路西200米路南01号</w:t>
            </w:r>
            <w:r>
              <w:rPr>
                <w:rFonts w:hint="default" w:ascii="Times New Roman" w:hAnsi="Times New Roman" w:cs="Times New Roman"/>
              </w:rPr>
              <w:t>，项目东侧、</w:t>
            </w:r>
            <w:r>
              <w:rPr>
                <w:rFonts w:hint="eastAsia" w:cs="Times New Roman"/>
                <w:lang w:eastAsia="zh-CN"/>
              </w:rPr>
              <w:t>南</w:t>
            </w:r>
            <w:r>
              <w:rPr>
                <w:rFonts w:hint="default" w:ascii="Times New Roman" w:hAnsi="Times New Roman" w:cs="Times New Roman"/>
              </w:rPr>
              <w:t>侧、西侧和</w:t>
            </w:r>
            <w:r>
              <w:rPr>
                <w:rFonts w:hint="eastAsia" w:cs="Times New Roman"/>
                <w:lang w:eastAsia="zh-CN"/>
              </w:rPr>
              <w:t>北</w:t>
            </w:r>
            <w:r>
              <w:rPr>
                <w:rFonts w:hint="default" w:ascii="Times New Roman" w:hAnsi="Times New Roman" w:cs="Times New Roman"/>
              </w:rPr>
              <w:t>侧为其他企业厂房</w:t>
            </w:r>
            <w:r>
              <w:rPr>
                <w:rFonts w:hint="eastAsia" w:cs="Times New Roman"/>
                <w:lang w:eastAsia="zh-CN"/>
              </w:rPr>
              <w:t>或空厂房</w:t>
            </w:r>
            <w:r>
              <w:rPr>
                <w:rFonts w:hint="default" w:ascii="Times New Roman" w:hAnsi="Times New Roman" w:cs="Times New Roman"/>
              </w:rPr>
              <w:t>，周围均为工业企业厂区，50m范围内不存在声环境敏感点，根据环办环评[2020]33号附件2建设项目环境影响报告表编制技术指南，项目不需要开展声环境质量监测。</w:t>
            </w:r>
          </w:p>
          <w:p w14:paraId="5ECEB8AA">
            <w:pPr>
              <w:adjustRightInd w:val="0"/>
              <w:snapToGrid w:val="0"/>
              <w:ind w:firstLine="0" w:firstLineChars="0"/>
              <w:rPr>
                <w:rFonts w:hint="default" w:ascii="Times New Roman" w:hAnsi="Times New Roman" w:cs="Times New Roman"/>
                <w:b/>
                <w:bCs/>
              </w:rPr>
            </w:pPr>
            <w:r>
              <w:rPr>
                <w:rFonts w:hint="default" w:ascii="Times New Roman" w:hAnsi="Times New Roman" w:cs="Times New Roman"/>
                <w:b/>
                <w:bCs/>
              </w:rPr>
              <w:t>四、生态环境现状</w:t>
            </w:r>
          </w:p>
          <w:p w14:paraId="3F64873F">
            <w:pPr>
              <w:pStyle w:val="26"/>
              <w:ind w:firstLine="480"/>
              <w:rPr>
                <w:rFonts w:hint="default" w:ascii="Times New Roman" w:hAnsi="Times New Roman" w:cs="Times New Roman"/>
                <w:highlight w:val="yellow"/>
              </w:rPr>
            </w:pPr>
            <w:r>
              <w:rPr>
                <w:rFonts w:hint="default" w:ascii="Times New Roman" w:hAnsi="Times New Roman" w:cs="Times New Roman"/>
              </w:rPr>
              <w:t>根据现场勘察，项目位于</w:t>
            </w:r>
            <w:r>
              <w:rPr>
                <w:rFonts w:hint="default" w:ascii="Times New Roman" w:hAnsi="Times New Roman" w:eastAsia="宋体" w:cs="Times New Roman"/>
                <w:highlight w:val="none"/>
                <w:lang w:eastAsia="zh-CN"/>
              </w:rPr>
              <w:t>焦作</w:t>
            </w:r>
            <w:r>
              <w:rPr>
                <w:rFonts w:hint="default" w:ascii="Times New Roman" w:hAnsi="Times New Roman" w:eastAsia="宋体" w:cs="Times New Roman"/>
                <w:lang w:eastAsia="zh-CN"/>
              </w:rPr>
              <w:t>市武陟县经开区东部园区昌武路与鸿源路交叉口路西200米路南01号</w:t>
            </w:r>
            <w:r>
              <w:rPr>
                <w:rFonts w:hint="default" w:ascii="Times New Roman" w:hAnsi="Times New Roman" w:cs="Times New Roman"/>
              </w:rPr>
              <w:t>，周边主要为工业企业，植被以人工植被为主，无重点保护的野生动植物，不涉及自然保护区、饮用水源保护区、风景名胜区、生态功能保护区等环境敏感区。</w:t>
            </w:r>
          </w:p>
        </w:tc>
      </w:tr>
      <w:tr w14:paraId="73DCAA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34" w:hRule="atLeast"/>
          <w:jc w:val="center"/>
        </w:trPr>
        <w:tc>
          <w:tcPr>
            <w:tcW w:w="712" w:type="dxa"/>
            <w:noWrap w:val="0"/>
            <w:vAlign w:val="center"/>
          </w:tcPr>
          <w:p w14:paraId="2F698F52">
            <w:pPr>
              <w:adjustRightInd w:val="0"/>
              <w:snapToGrid w:val="0"/>
              <w:spacing w:line="240" w:lineRule="auto"/>
              <w:ind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环境保护目标</w:t>
            </w:r>
          </w:p>
        </w:tc>
        <w:tc>
          <w:tcPr>
            <w:tcW w:w="8349" w:type="dxa"/>
            <w:noWrap w:val="0"/>
            <w:vAlign w:val="center"/>
          </w:tcPr>
          <w:p w14:paraId="33469CC3">
            <w:pPr>
              <w:ind w:firstLine="480"/>
              <w:rPr>
                <w:rFonts w:hint="default" w:ascii="Times New Roman" w:hAnsi="Times New Roman" w:cs="Times New Roman"/>
              </w:rPr>
            </w:pPr>
            <w:r>
              <w:rPr>
                <w:rFonts w:hint="default" w:ascii="Times New Roman" w:hAnsi="Times New Roman" w:cs="Times New Roman"/>
              </w:rPr>
              <w:t>本项目主要环境保护目标见下表。</w:t>
            </w:r>
          </w:p>
          <w:p w14:paraId="4506FA0B">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default" w:ascii="Times New Roman" w:hAnsi="Times New Roman" w:cs="Times New Roman"/>
                <w:b/>
                <w:color w:val="auto"/>
                <w:sz w:val="24"/>
                <w:lang w:val="en-US" w:eastAsia="zh-CN"/>
              </w:rPr>
              <w:t>3-</w:t>
            </w:r>
            <w:r>
              <w:rPr>
                <w:rFonts w:hint="eastAsia" w:cs="Times New Roman"/>
                <w:b/>
                <w:color w:val="auto"/>
                <w:sz w:val="24"/>
                <w:lang w:val="en-US" w:eastAsia="zh-CN"/>
              </w:rPr>
              <w:t>3</w:t>
            </w:r>
            <w:r>
              <w:rPr>
                <w:rFonts w:hint="default" w:ascii="Times New Roman" w:hAnsi="Times New Roman" w:cs="Times New Roman"/>
                <w:b/>
                <w:color w:val="auto"/>
                <w:sz w:val="24"/>
              </w:rPr>
              <w:t xml:space="preserve">  项目主要环境保护目标情况表</w:t>
            </w:r>
          </w:p>
          <w:tbl>
            <w:tblPr>
              <w:tblStyle w:val="15"/>
              <w:tblW w:w="82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339"/>
              <w:gridCol w:w="1245"/>
              <w:gridCol w:w="1035"/>
              <w:gridCol w:w="870"/>
              <w:gridCol w:w="915"/>
              <w:gridCol w:w="930"/>
              <w:gridCol w:w="962"/>
            </w:tblGrid>
            <w:tr w14:paraId="45D92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07" w:type="dxa"/>
                  <w:vMerge w:val="restart"/>
                  <w:tcBorders>
                    <w:top w:val="single" w:color="auto" w:sz="4" w:space="0"/>
                    <w:left w:val="single" w:color="auto" w:sz="4" w:space="0"/>
                    <w:bottom w:val="single" w:color="auto" w:sz="4" w:space="0"/>
                    <w:right w:val="single" w:color="auto" w:sz="4" w:space="0"/>
                  </w:tcBorders>
                  <w:noWrap w:val="0"/>
                  <w:vAlign w:val="center"/>
                </w:tcPr>
                <w:p w14:paraId="1B691110">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名称</w:t>
                  </w:r>
                </w:p>
              </w:tc>
              <w:tc>
                <w:tcPr>
                  <w:tcW w:w="2584" w:type="dxa"/>
                  <w:gridSpan w:val="2"/>
                  <w:tcBorders>
                    <w:top w:val="single" w:color="auto" w:sz="4" w:space="0"/>
                    <w:left w:val="single" w:color="auto" w:sz="4" w:space="0"/>
                    <w:bottom w:val="single" w:color="auto" w:sz="4" w:space="0"/>
                    <w:right w:val="single" w:color="auto" w:sz="4" w:space="0"/>
                  </w:tcBorders>
                  <w:noWrap w:val="0"/>
                  <w:vAlign w:val="center"/>
                </w:tcPr>
                <w:p w14:paraId="35DD7606">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坐标</w:t>
                  </w:r>
                </w:p>
              </w:tc>
              <w:tc>
                <w:tcPr>
                  <w:tcW w:w="1035" w:type="dxa"/>
                  <w:vMerge w:val="restart"/>
                  <w:tcBorders>
                    <w:top w:val="single" w:color="auto" w:sz="4" w:space="0"/>
                    <w:left w:val="single" w:color="auto" w:sz="4" w:space="0"/>
                    <w:bottom w:val="single" w:color="auto" w:sz="4" w:space="0"/>
                    <w:right w:val="single" w:color="auto" w:sz="4" w:space="0"/>
                  </w:tcBorders>
                  <w:noWrap w:val="0"/>
                  <w:vAlign w:val="center"/>
                </w:tcPr>
                <w:p w14:paraId="723011D7">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保护</w:t>
                  </w:r>
                </w:p>
                <w:p w14:paraId="16B3AC28">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对象</w:t>
                  </w:r>
                </w:p>
              </w:tc>
              <w:tc>
                <w:tcPr>
                  <w:tcW w:w="870" w:type="dxa"/>
                  <w:vMerge w:val="restart"/>
                  <w:tcBorders>
                    <w:top w:val="single" w:color="auto" w:sz="4" w:space="0"/>
                    <w:left w:val="single" w:color="auto" w:sz="4" w:space="0"/>
                    <w:bottom w:val="single" w:color="auto" w:sz="4" w:space="0"/>
                    <w:right w:val="single" w:color="auto" w:sz="4" w:space="0"/>
                  </w:tcBorders>
                  <w:noWrap w:val="0"/>
                  <w:vAlign w:val="center"/>
                </w:tcPr>
                <w:p w14:paraId="12C11BAB">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保护</w:t>
                  </w:r>
                </w:p>
                <w:p w14:paraId="4CC0CC58">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内容</w:t>
                  </w:r>
                </w:p>
              </w:tc>
              <w:tc>
                <w:tcPr>
                  <w:tcW w:w="915" w:type="dxa"/>
                  <w:vMerge w:val="restart"/>
                  <w:tcBorders>
                    <w:top w:val="single" w:color="auto" w:sz="4" w:space="0"/>
                    <w:left w:val="single" w:color="auto" w:sz="4" w:space="0"/>
                    <w:bottom w:val="single" w:color="auto" w:sz="4" w:space="0"/>
                    <w:right w:val="single" w:color="auto" w:sz="4" w:space="0"/>
                  </w:tcBorders>
                  <w:noWrap w:val="0"/>
                  <w:vAlign w:val="center"/>
                </w:tcPr>
                <w:p w14:paraId="012A8D49">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w:t>
                  </w:r>
                </w:p>
                <w:p w14:paraId="2691E0D8">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功能区</w:t>
                  </w:r>
                </w:p>
              </w:tc>
              <w:tc>
                <w:tcPr>
                  <w:tcW w:w="930" w:type="dxa"/>
                  <w:vMerge w:val="restart"/>
                  <w:tcBorders>
                    <w:top w:val="single" w:color="auto" w:sz="4" w:space="0"/>
                    <w:left w:val="single" w:color="auto" w:sz="4" w:space="0"/>
                    <w:bottom w:val="single" w:color="auto" w:sz="4" w:space="0"/>
                    <w:right w:val="single" w:color="auto" w:sz="4" w:space="0"/>
                  </w:tcBorders>
                  <w:noWrap w:val="0"/>
                  <w:vAlign w:val="center"/>
                </w:tcPr>
                <w:p w14:paraId="216F030F">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相对厂址方位</w:t>
                  </w:r>
                </w:p>
              </w:tc>
              <w:tc>
                <w:tcPr>
                  <w:tcW w:w="962" w:type="dxa"/>
                  <w:vMerge w:val="restart"/>
                  <w:tcBorders>
                    <w:top w:val="single" w:color="auto" w:sz="4" w:space="0"/>
                    <w:left w:val="single" w:color="auto" w:sz="4" w:space="0"/>
                    <w:bottom w:val="single" w:color="auto" w:sz="4" w:space="0"/>
                    <w:right w:val="single" w:color="auto" w:sz="4" w:space="0"/>
                  </w:tcBorders>
                  <w:noWrap w:val="0"/>
                  <w:vAlign w:val="center"/>
                </w:tcPr>
                <w:p w14:paraId="60DB8D16">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相对厂界距离</w:t>
                  </w:r>
                </w:p>
              </w:tc>
            </w:tr>
            <w:tr w14:paraId="5E54D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07" w:type="dxa"/>
                  <w:vMerge w:val="continue"/>
                  <w:tcBorders>
                    <w:top w:val="single" w:color="auto" w:sz="4" w:space="0"/>
                    <w:left w:val="single" w:color="auto" w:sz="4" w:space="0"/>
                    <w:bottom w:val="single" w:color="auto" w:sz="4" w:space="0"/>
                    <w:right w:val="single" w:color="auto" w:sz="4" w:space="0"/>
                  </w:tcBorders>
                  <w:noWrap w:val="0"/>
                  <w:vAlign w:val="center"/>
                </w:tcPr>
                <w:p w14:paraId="44892456">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39" w:type="dxa"/>
                  <w:tcBorders>
                    <w:top w:val="single" w:color="auto" w:sz="4" w:space="0"/>
                    <w:left w:val="single" w:color="auto" w:sz="4" w:space="0"/>
                    <w:bottom w:val="single" w:color="auto" w:sz="4" w:space="0"/>
                    <w:right w:val="single" w:color="auto" w:sz="4" w:space="0"/>
                  </w:tcBorders>
                  <w:noWrap w:val="0"/>
                  <w:vAlign w:val="center"/>
                </w:tcPr>
                <w:p w14:paraId="0F934E59">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67039F5B">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Y（°）</w:t>
                  </w:r>
                </w:p>
              </w:tc>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14:paraId="1CE7EE9E">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14:paraId="73508676">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915" w:type="dxa"/>
                  <w:vMerge w:val="continue"/>
                  <w:tcBorders>
                    <w:top w:val="single" w:color="auto" w:sz="4" w:space="0"/>
                    <w:left w:val="single" w:color="auto" w:sz="4" w:space="0"/>
                    <w:bottom w:val="single" w:color="auto" w:sz="4" w:space="0"/>
                    <w:right w:val="single" w:color="auto" w:sz="4" w:space="0"/>
                  </w:tcBorders>
                  <w:noWrap w:val="0"/>
                  <w:vAlign w:val="center"/>
                </w:tcPr>
                <w:p w14:paraId="160F9ACA">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930" w:type="dxa"/>
                  <w:vMerge w:val="continue"/>
                  <w:tcBorders>
                    <w:top w:val="single" w:color="auto" w:sz="4" w:space="0"/>
                    <w:left w:val="single" w:color="auto" w:sz="4" w:space="0"/>
                    <w:bottom w:val="single" w:color="auto" w:sz="4" w:space="0"/>
                    <w:right w:val="single" w:color="auto" w:sz="4" w:space="0"/>
                  </w:tcBorders>
                  <w:noWrap w:val="0"/>
                  <w:vAlign w:val="center"/>
                </w:tcPr>
                <w:p w14:paraId="417BFB80">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962" w:type="dxa"/>
                  <w:vMerge w:val="continue"/>
                  <w:tcBorders>
                    <w:top w:val="single" w:color="auto" w:sz="4" w:space="0"/>
                    <w:left w:val="single" w:color="auto" w:sz="4" w:space="0"/>
                    <w:bottom w:val="single" w:color="auto" w:sz="4" w:space="0"/>
                    <w:right w:val="single" w:color="auto" w:sz="4" w:space="0"/>
                  </w:tcBorders>
                  <w:noWrap w:val="0"/>
                  <w:vAlign w:val="center"/>
                </w:tcPr>
                <w:p w14:paraId="6902A146">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4F081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7" w:type="dxa"/>
                  <w:tcBorders>
                    <w:top w:val="single" w:color="auto" w:sz="4" w:space="0"/>
                    <w:left w:val="single" w:color="auto" w:sz="4" w:space="0"/>
                    <w:right w:val="single" w:color="auto" w:sz="4" w:space="0"/>
                  </w:tcBorders>
                  <w:noWrap w:val="0"/>
                  <w:vAlign w:val="center"/>
                </w:tcPr>
                <w:p w14:paraId="63CD04AE">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大气</w:t>
                  </w:r>
                </w:p>
                <w:p w14:paraId="3CD74CB8">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w:t>
                  </w:r>
                </w:p>
              </w:tc>
              <w:tc>
                <w:tcPr>
                  <w:tcW w:w="1339" w:type="dxa"/>
                  <w:tcBorders>
                    <w:top w:val="single" w:color="auto" w:sz="4" w:space="0"/>
                    <w:left w:val="single" w:color="auto" w:sz="4" w:space="0"/>
                    <w:bottom w:val="single" w:color="auto" w:sz="4" w:space="0"/>
                    <w:right w:val="single" w:color="auto" w:sz="4" w:space="0"/>
                  </w:tcBorders>
                  <w:noWrap w:val="0"/>
                  <w:vAlign w:val="center"/>
                </w:tcPr>
                <w:p w14:paraId="1C7DAC75">
                  <w:pPr>
                    <w:pStyle w:val="24"/>
                    <w:keepNext w:val="0"/>
                    <w:keepLines w:val="0"/>
                    <w:pageBreakBefore w:val="0"/>
                    <w:widowControl w:val="0"/>
                    <w:kinsoku/>
                    <w:wordWrap w:val="0"/>
                    <w:overflowPunct/>
                    <w:topLinePunct w:val="0"/>
                    <w:bidi w:val="0"/>
                    <w:snapToGrid/>
                    <w:spacing w:line="360" w:lineRule="exact"/>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113.</w:t>
                  </w:r>
                  <w:r>
                    <w:rPr>
                      <w:rFonts w:hint="eastAsia" w:ascii="Times New Roman" w:hAnsi="Times New Roman" w:cs="Times New Roman"/>
                      <w:color w:val="auto"/>
                      <w:sz w:val="21"/>
                      <w:szCs w:val="21"/>
                      <w:highlight w:val="none"/>
                      <w:lang w:val="en-US" w:eastAsia="zh-CN"/>
                    </w:rPr>
                    <w:t>557966</w:t>
                  </w:r>
                  <w:r>
                    <w:rPr>
                      <w:rFonts w:hint="default" w:ascii="Times New Roman" w:hAnsi="Times New Roman" w:eastAsia="宋体" w:cs="Times New Roman"/>
                      <w:color w:val="auto"/>
                      <w:sz w:val="21"/>
                      <w:szCs w:val="21"/>
                      <w:highlight w:val="none"/>
                      <w:lang w:val="en-US" w:eastAsia="zh-CN"/>
                    </w:rPr>
                    <w:t>°</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2E1299B5">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35.</w:t>
                  </w:r>
                  <w:r>
                    <w:rPr>
                      <w:rFonts w:hint="eastAsia" w:ascii="Times New Roman" w:hAnsi="Times New Roman" w:cs="Times New Roman"/>
                      <w:color w:val="auto"/>
                      <w:sz w:val="21"/>
                      <w:szCs w:val="21"/>
                      <w:highlight w:val="none"/>
                      <w:lang w:val="en-US" w:eastAsia="zh-CN"/>
                    </w:rPr>
                    <w:t>048348</w:t>
                  </w:r>
                  <w:r>
                    <w:rPr>
                      <w:rFonts w:hint="default" w:ascii="Times New Roman" w:hAnsi="Times New Roman" w:eastAsia="宋体" w:cs="Times New Roman"/>
                      <w:color w:val="auto"/>
                      <w:sz w:val="21"/>
                      <w:szCs w:val="21"/>
                      <w:highlight w:val="none"/>
                      <w:lang w:val="en-US" w:eastAsia="zh-CN"/>
                    </w:rPr>
                    <w:t>°</w:t>
                  </w:r>
                </w:p>
              </w:tc>
              <w:tc>
                <w:tcPr>
                  <w:tcW w:w="1035" w:type="dxa"/>
                  <w:tcBorders>
                    <w:top w:val="single" w:color="auto" w:sz="4" w:space="0"/>
                    <w:left w:val="single" w:color="auto" w:sz="4" w:space="0"/>
                    <w:bottom w:val="single" w:color="auto" w:sz="4" w:space="0"/>
                    <w:right w:val="single" w:color="auto" w:sz="4" w:space="0"/>
                  </w:tcBorders>
                  <w:noWrap w:val="0"/>
                  <w:vAlign w:val="center"/>
                </w:tcPr>
                <w:p w14:paraId="2A51D5E1">
                  <w:pPr>
                    <w:pStyle w:val="24"/>
                    <w:keepNext w:val="0"/>
                    <w:keepLines w:val="0"/>
                    <w:pageBreakBefore w:val="0"/>
                    <w:widowControl w:val="0"/>
                    <w:kinsoku/>
                    <w:wordWrap w:val="0"/>
                    <w:overflowPunct/>
                    <w:topLinePunct w:val="0"/>
                    <w:bidi w:val="0"/>
                    <w:snapToGrid/>
                    <w:spacing w:line="360" w:lineRule="exact"/>
                    <w:ind w:firstLine="0" w:firstLineChars="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东马</w:t>
                  </w:r>
                  <w:r>
                    <w:rPr>
                      <w:rFonts w:hint="default" w:ascii="Times New Roman" w:hAnsi="Times New Roman" w:cs="Times New Roman"/>
                      <w:color w:val="auto"/>
                      <w:sz w:val="21"/>
                      <w:szCs w:val="21"/>
                      <w:lang w:val="en-US" w:eastAsia="zh-CN"/>
                    </w:rPr>
                    <w:t>村</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4FBF5002">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居民区</w:t>
                  </w:r>
                </w:p>
              </w:tc>
              <w:tc>
                <w:tcPr>
                  <w:tcW w:w="915" w:type="dxa"/>
                  <w:tcBorders>
                    <w:top w:val="single" w:color="auto" w:sz="4" w:space="0"/>
                    <w:left w:val="single" w:color="auto" w:sz="4" w:space="0"/>
                    <w:bottom w:val="single" w:color="auto" w:sz="4" w:space="0"/>
                    <w:right w:val="single" w:color="auto" w:sz="4" w:space="0"/>
                  </w:tcBorders>
                  <w:noWrap w:val="0"/>
                  <w:vAlign w:val="center"/>
                </w:tcPr>
                <w:p w14:paraId="2799CBED">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二类区</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35AC823E">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西</w:t>
                  </w:r>
                </w:p>
              </w:tc>
              <w:tc>
                <w:tcPr>
                  <w:tcW w:w="962" w:type="dxa"/>
                  <w:tcBorders>
                    <w:top w:val="single" w:color="auto" w:sz="4" w:space="0"/>
                    <w:left w:val="single" w:color="auto" w:sz="4" w:space="0"/>
                    <w:bottom w:val="single" w:color="auto" w:sz="4" w:space="0"/>
                    <w:right w:val="single" w:color="auto" w:sz="4" w:space="0"/>
                  </w:tcBorders>
                  <w:noWrap w:val="0"/>
                  <w:vAlign w:val="center"/>
                </w:tcPr>
                <w:p w14:paraId="70CE3E05">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295</w:t>
                  </w:r>
                  <w:r>
                    <w:rPr>
                      <w:rFonts w:hint="default" w:ascii="Times New Roman" w:hAnsi="Times New Roman" w:eastAsia="宋体" w:cs="Times New Roman"/>
                      <w:color w:val="auto"/>
                      <w:sz w:val="21"/>
                      <w:szCs w:val="21"/>
                      <w:lang w:val="en-US" w:eastAsia="zh-CN"/>
                    </w:rPr>
                    <w:t>m</w:t>
                  </w:r>
                </w:p>
              </w:tc>
            </w:tr>
            <w:tr w14:paraId="078B2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07" w:type="dxa"/>
                  <w:tcBorders>
                    <w:left w:val="single" w:color="auto" w:sz="4" w:space="0"/>
                    <w:bottom w:val="single" w:color="auto" w:sz="4" w:space="0"/>
                    <w:right w:val="single" w:color="auto" w:sz="4" w:space="0"/>
                  </w:tcBorders>
                  <w:noWrap w:val="0"/>
                  <w:vAlign w:val="center"/>
                </w:tcPr>
                <w:p w14:paraId="75C2E4D4">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声环境</w:t>
                  </w:r>
                </w:p>
              </w:tc>
              <w:tc>
                <w:tcPr>
                  <w:tcW w:w="7296" w:type="dxa"/>
                  <w:gridSpan w:val="7"/>
                  <w:tcBorders>
                    <w:top w:val="single" w:color="auto" w:sz="4" w:space="0"/>
                    <w:left w:val="single" w:color="auto" w:sz="4" w:space="0"/>
                    <w:bottom w:val="single" w:color="auto" w:sz="4" w:space="0"/>
                    <w:right w:val="single" w:color="auto" w:sz="4" w:space="0"/>
                  </w:tcBorders>
                  <w:noWrap w:val="0"/>
                  <w:vAlign w:val="center"/>
                </w:tcPr>
                <w:p w14:paraId="6FEEB1C2">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项目50m范围内不存在声环境敏感点</w:t>
                  </w:r>
                </w:p>
              </w:tc>
            </w:tr>
            <w:tr w14:paraId="2F32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907" w:type="dxa"/>
                  <w:tcBorders>
                    <w:left w:val="single" w:color="auto" w:sz="4" w:space="0"/>
                    <w:bottom w:val="single" w:color="auto" w:sz="4" w:space="0"/>
                    <w:right w:val="single" w:color="auto" w:sz="4" w:space="0"/>
                  </w:tcBorders>
                  <w:noWrap w:val="0"/>
                  <w:vAlign w:val="center"/>
                </w:tcPr>
                <w:p w14:paraId="22D077BB">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地下水</w:t>
                  </w:r>
                </w:p>
              </w:tc>
              <w:tc>
                <w:tcPr>
                  <w:tcW w:w="7296" w:type="dxa"/>
                  <w:gridSpan w:val="7"/>
                  <w:tcBorders>
                    <w:top w:val="single" w:color="auto" w:sz="4" w:space="0"/>
                    <w:left w:val="single" w:color="auto" w:sz="4" w:space="0"/>
                    <w:bottom w:val="single" w:color="auto" w:sz="4" w:space="0"/>
                    <w:right w:val="single" w:color="auto" w:sz="4" w:space="0"/>
                  </w:tcBorders>
                  <w:noWrap w:val="0"/>
                  <w:vAlign w:val="center"/>
                </w:tcPr>
                <w:p w14:paraId="45435DB4">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项目厂界500米范围内无地下水集中式饮用水水源和热水、矿泉水、温泉等特殊地下水资源。</w:t>
                  </w:r>
                </w:p>
              </w:tc>
            </w:tr>
            <w:tr w14:paraId="6AC70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907" w:type="dxa"/>
                  <w:tcBorders>
                    <w:left w:val="single" w:color="auto" w:sz="4" w:space="0"/>
                    <w:bottom w:val="single" w:color="auto" w:sz="4" w:space="0"/>
                    <w:right w:val="single" w:color="auto" w:sz="4" w:space="0"/>
                  </w:tcBorders>
                  <w:noWrap w:val="0"/>
                  <w:vAlign w:val="center"/>
                </w:tcPr>
                <w:p w14:paraId="289EC5D9">
                  <w:pPr>
                    <w:keepNext w:val="0"/>
                    <w:keepLines w:val="0"/>
                    <w:pageBreakBefore w:val="0"/>
                    <w:widowControl w:val="0"/>
                    <w:kinsoku/>
                    <w:wordWrap w:val="0"/>
                    <w:overflowPunct/>
                    <w:topLinePunct w:val="0"/>
                    <w:bidi w:val="0"/>
                    <w:snapToGrid/>
                    <w:spacing w:line="360" w:lineRule="exact"/>
                    <w:ind w:firstLine="0" w:firstLineChars="0"/>
                    <w:jc w:val="center"/>
                    <w:textAlignment w:val="auto"/>
                    <w:outlineLvl w:val="1"/>
                    <w:rPr>
                      <w:rFonts w:hint="default" w:ascii="Times New Roman" w:hAnsi="Times New Roman" w:eastAsia="宋体" w:cs="Times New Roman"/>
                      <w:bCs/>
                      <w:color w:val="auto"/>
                      <w:kern w:val="28"/>
                      <w:sz w:val="21"/>
                      <w:szCs w:val="21"/>
                      <w:lang w:val="en-US" w:eastAsia="zh-CN" w:bidi="ar-SA"/>
                    </w:rPr>
                  </w:pPr>
                  <w:r>
                    <w:rPr>
                      <w:rFonts w:hint="default" w:ascii="Times New Roman" w:hAnsi="Times New Roman" w:eastAsia="宋体" w:cs="Times New Roman"/>
                      <w:bCs/>
                      <w:color w:val="auto"/>
                      <w:kern w:val="28"/>
                      <w:sz w:val="21"/>
                      <w:szCs w:val="21"/>
                      <w:lang w:val="en-US" w:eastAsia="zh-CN" w:bidi="ar-SA"/>
                    </w:rPr>
                    <w:t>特殊保护目标</w:t>
                  </w:r>
                </w:p>
              </w:tc>
              <w:tc>
                <w:tcPr>
                  <w:tcW w:w="1339" w:type="dxa"/>
                  <w:tcBorders>
                    <w:top w:val="single" w:color="auto" w:sz="4" w:space="0"/>
                    <w:left w:val="single" w:color="auto" w:sz="4" w:space="0"/>
                    <w:bottom w:val="single" w:color="auto" w:sz="4" w:space="0"/>
                    <w:right w:val="single" w:color="auto" w:sz="4" w:space="0"/>
                  </w:tcBorders>
                  <w:noWrap w:val="0"/>
                  <w:vAlign w:val="center"/>
                </w:tcPr>
                <w:p w14:paraId="5BB0A0B6">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00AD1CAE">
                  <w:pPr>
                    <w:pStyle w:val="24"/>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1035" w:type="dxa"/>
                  <w:tcBorders>
                    <w:top w:val="single" w:color="auto" w:sz="4" w:space="0"/>
                    <w:left w:val="single" w:color="auto" w:sz="4" w:space="0"/>
                    <w:bottom w:val="single" w:color="auto" w:sz="4" w:space="0"/>
                    <w:right w:val="single" w:color="auto" w:sz="4" w:space="0"/>
                  </w:tcBorders>
                  <w:noWrap w:val="0"/>
                  <w:vAlign w:val="center"/>
                </w:tcPr>
                <w:p w14:paraId="5D282772">
                  <w:pPr>
                    <w:pStyle w:val="24"/>
                    <w:keepNext w:val="0"/>
                    <w:keepLines w:val="0"/>
                    <w:pageBreakBefore w:val="0"/>
                    <w:widowControl w:val="0"/>
                    <w:kinsoku/>
                    <w:wordWrap w:val="0"/>
                    <w:overflowPunct/>
                    <w:topLinePunct w:val="0"/>
                    <w:bidi w:val="0"/>
                    <w:snapToGrid/>
                    <w:spacing w:line="360" w:lineRule="exact"/>
                    <w:ind w:firstLine="0" w:firstLineChars="0"/>
                    <w:textAlignment w:val="auto"/>
                    <w:rPr>
                      <w:rFonts w:hint="eastAsia" w:ascii="Times New Roman" w:hAnsi="Times New Roman" w:eastAsia="宋体" w:cs="Times New Roman"/>
                      <w:lang w:val="en-US" w:eastAsia="zh-CN"/>
                    </w:rPr>
                  </w:pPr>
                  <w:r>
                    <w:rPr>
                      <w:rFonts w:hint="eastAsia" w:ascii="Times New Roman" w:hAnsi="Times New Roman" w:cs="Times New Roman"/>
                      <w:lang w:val="en-US" w:eastAsia="zh-CN"/>
                    </w:rPr>
                    <w:t>武陟县詹店镇集中</w:t>
                  </w:r>
                  <w:r>
                    <w:rPr>
                      <w:rFonts w:hint="eastAsia" w:ascii="Times New Roman" w:hAnsi="Times New Roman" w:eastAsia="宋体" w:cs="Times New Roman"/>
                      <w:lang w:val="en-US" w:eastAsia="zh-CN"/>
                    </w:rPr>
                    <w:t>饮用水水源地</w:t>
                  </w:r>
                </w:p>
              </w:tc>
              <w:tc>
                <w:tcPr>
                  <w:tcW w:w="8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EB720B">
                  <w:pPr>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水源地保护区</w:t>
                  </w:r>
                </w:p>
              </w:tc>
              <w:tc>
                <w:tcPr>
                  <w:tcW w:w="91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87E8ED">
                  <w:pPr>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fldChar w:fldCharType="begin"/>
                  </w:r>
                  <w:r>
                    <w:rPr>
                      <w:rFonts w:hint="default" w:ascii="Times New Roman" w:hAnsi="Times New Roman" w:eastAsia="宋体" w:cs="Times New Roman"/>
                      <w:color w:val="auto"/>
                      <w:kern w:val="0"/>
                      <w:sz w:val="21"/>
                      <w:szCs w:val="21"/>
                      <w:lang w:val="en-US" w:eastAsia="zh-CN"/>
                    </w:rPr>
                    <w:instrText xml:space="preserve"> = 3 \* ROMAN \* MERGEFORMAT </w:instrText>
                  </w:r>
                  <w:r>
                    <w:rPr>
                      <w:rFonts w:hint="default" w:ascii="Times New Roman" w:hAnsi="Times New Roman" w:eastAsia="宋体" w:cs="Times New Roman"/>
                      <w:color w:val="auto"/>
                      <w:kern w:val="0"/>
                      <w:sz w:val="21"/>
                      <w:szCs w:val="21"/>
                      <w:lang w:val="en-US" w:eastAsia="zh-CN"/>
                    </w:rPr>
                    <w:fldChar w:fldCharType="separate"/>
                  </w:r>
                  <w:r>
                    <w:rPr>
                      <w:rFonts w:hint="default" w:ascii="Times New Roman" w:hAnsi="Times New Roman" w:cs="Times New Roman"/>
                      <w:color w:val="auto"/>
                      <w:sz w:val="21"/>
                      <w:szCs w:val="21"/>
                    </w:rPr>
                    <w:t>III</w:t>
                  </w:r>
                  <w:r>
                    <w:rPr>
                      <w:rFonts w:hint="default" w:ascii="Times New Roman" w:hAnsi="Times New Roman" w:eastAsia="宋体" w:cs="Times New Roman"/>
                      <w:color w:val="auto"/>
                      <w:kern w:val="0"/>
                      <w:sz w:val="21"/>
                      <w:szCs w:val="21"/>
                      <w:lang w:val="en-US" w:eastAsia="zh-CN"/>
                    </w:rPr>
                    <w:fldChar w:fldCharType="end"/>
                  </w:r>
                  <w:r>
                    <w:rPr>
                      <w:rFonts w:hint="default" w:ascii="Times New Roman" w:hAnsi="Times New Roman" w:eastAsia="宋体" w:cs="Times New Roman"/>
                      <w:color w:val="auto"/>
                      <w:kern w:val="0"/>
                      <w:sz w:val="21"/>
                      <w:szCs w:val="21"/>
                      <w:lang w:val="en-US" w:eastAsia="zh-CN"/>
                    </w:rPr>
                    <w:t>类</w:t>
                  </w:r>
                </w:p>
              </w:tc>
              <w:tc>
                <w:tcPr>
                  <w:tcW w:w="9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1410B8">
                  <w:pPr>
                    <w:keepNext w:val="0"/>
                    <w:keepLines w:val="0"/>
                    <w:pageBreakBefore w:val="0"/>
                    <w:widowControl w:val="0"/>
                    <w:kinsoku/>
                    <w:wordWrap w:val="0"/>
                    <w:overflowPunct/>
                    <w:topLinePunct w:val="0"/>
                    <w:bidi w:val="0"/>
                    <w:snapToGrid/>
                    <w:spacing w:line="360" w:lineRule="exact"/>
                    <w:ind w:firstLine="0" w:firstLineChars="0"/>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东南</w:t>
                  </w:r>
                </w:p>
              </w:tc>
              <w:tc>
                <w:tcPr>
                  <w:tcW w:w="9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4855EC">
                  <w:pPr>
                    <w:keepNext w:val="0"/>
                    <w:keepLines w:val="0"/>
                    <w:pageBreakBefore w:val="0"/>
                    <w:widowControl w:val="0"/>
                    <w:kinsoku/>
                    <w:wordWrap w:val="0"/>
                    <w:overflowPunct/>
                    <w:topLinePunct w:val="0"/>
                    <w:bidi w:val="0"/>
                    <w:snapToGrid/>
                    <w:spacing w:line="360" w:lineRule="exact"/>
                    <w:ind w:firstLine="0" w:firstLineChars="0"/>
                    <w:jc w:val="center"/>
                    <w:textAlignment w:val="auto"/>
                    <w:outlineLvl w:val="1"/>
                    <w:rPr>
                      <w:rFonts w:hint="eastAsia" w:ascii="Times New Roman" w:hAnsi="Times New Roman" w:eastAsia="宋体" w:cs="Times New Roman"/>
                      <w:bCs/>
                      <w:color w:val="auto"/>
                      <w:kern w:val="28"/>
                      <w:sz w:val="21"/>
                      <w:szCs w:val="21"/>
                      <w:highlight w:val="none"/>
                      <w:lang w:val="en-US" w:eastAsia="zh-CN" w:bidi="ar-SA"/>
                    </w:rPr>
                  </w:pPr>
                  <w:r>
                    <w:rPr>
                      <w:rFonts w:hint="eastAsia" w:cs="Times New Roman"/>
                      <w:bCs/>
                      <w:color w:val="auto"/>
                      <w:kern w:val="28"/>
                      <w:sz w:val="21"/>
                      <w:szCs w:val="21"/>
                      <w:highlight w:val="none"/>
                      <w:lang w:val="en-US" w:eastAsia="zh-CN" w:bidi="ar-SA"/>
                    </w:rPr>
                    <w:t>4.3</w:t>
                  </w:r>
                  <w:r>
                    <w:rPr>
                      <w:rFonts w:hint="default" w:ascii="Times New Roman" w:hAnsi="Times New Roman" w:eastAsia="宋体" w:cs="Times New Roman"/>
                      <w:bCs/>
                      <w:color w:val="auto"/>
                      <w:kern w:val="28"/>
                      <w:sz w:val="21"/>
                      <w:szCs w:val="21"/>
                      <w:highlight w:val="none"/>
                      <w:lang w:val="en-US" w:eastAsia="zh-CN" w:bidi="ar-SA"/>
                    </w:rPr>
                    <w:t>km</w:t>
                  </w:r>
                </w:p>
              </w:tc>
            </w:tr>
          </w:tbl>
          <w:p w14:paraId="07991244">
            <w:pPr>
              <w:pStyle w:val="26"/>
              <w:ind w:left="0" w:leftChars="0" w:firstLine="0" w:firstLineChars="0"/>
              <w:rPr>
                <w:rFonts w:hint="default" w:ascii="Times New Roman" w:hAnsi="Times New Roman" w:cs="Times New Roman"/>
              </w:rPr>
            </w:pPr>
          </w:p>
        </w:tc>
      </w:tr>
      <w:tr w14:paraId="59A2AE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21" w:hRule="atLeast"/>
          <w:jc w:val="center"/>
        </w:trPr>
        <w:tc>
          <w:tcPr>
            <w:tcW w:w="712" w:type="dxa"/>
            <w:noWrap w:val="0"/>
            <w:vAlign w:val="center"/>
          </w:tcPr>
          <w:p w14:paraId="1ADB0110">
            <w:pPr>
              <w:adjustRightInd w:val="0"/>
              <w:snapToGrid w:val="0"/>
              <w:spacing w:line="240" w:lineRule="auto"/>
              <w:ind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污染物排放控制标准</w:t>
            </w:r>
          </w:p>
        </w:tc>
        <w:tc>
          <w:tcPr>
            <w:tcW w:w="8349" w:type="dxa"/>
            <w:noWrap w:val="0"/>
            <w:vAlign w:val="center"/>
          </w:tcPr>
          <w:p w14:paraId="58465364">
            <w:pPr>
              <w:pStyle w:val="5"/>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宋体" w:cs="Times New Roman"/>
                <w:b/>
                <w:bCs/>
                <w:color w:val="auto"/>
                <w:kern w:val="2"/>
                <w:sz w:val="24"/>
                <w:highlight w:val="none"/>
                <w:lang w:val="en-US" w:eastAsia="zh-CN" w:bidi="ar-SA"/>
              </w:rPr>
            </w:pPr>
            <w:r>
              <w:rPr>
                <w:rFonts w:hint="default" w:ascii="Times New Roman" w:hAnsi="Times New Roman" w:eastAsia="宋体" w:cs="Times New Roman"/>
                <w:b/>
                <w:bCs/>
                <w:color w:val="auto"/>
                <w:kern w:val="2"/>
                <w:sz w:val="24"/>
                <w:highlight w:val="none"/>
                <w:lang w:val="en-US" w:eastAsia="zh-CN" w:bidi="ar-SA"/>
              </w:rPr>
              <w:t>表3-</w:t>
            </w:r>
            <w:r>
              <w:rPr>
                <w:rFonts w:hint="eastAsia" w:cs="Times New Roman"/>
                <w:b/>
                <w:bCs/>
                <w:color w:val="auto"/>
                <w:kern w:val="2"/>
                <w:sz w:val="24"/>
                <w:highlight w:val="none"/>
                <w:lang w:val="en-US" w:eastAsia="zh-CN" w:bidi="ar-SA"/>
              </w:rPr>
              <w:t>4</w:t>
            </w:r>
            <w:r>
              <w:rPr>
                <w:rFonts w:hint="default" w:ascii="Times New Roman" w:hAnsi="Times New Roman" w:eastAsia="宋体" w:cs="Times New Roman"/>
                <w:b/>
                <w:bCs/>
                <w:color w:val="auto"/>
                <w:kern w:val="2"/>
                <w:sz w:val="24"/>
                <w:highlight w:val="none"/>
                <w:lang w:val="en-US" w:eastAsia="zh-CN" w:bidi="ar-SA"/>
              </w:rPr>
              <w:t xml:space="preserve">  污染物排放标准限值</w:t>
            </w:r>
          </w:p>
          <w:tbl>
            <w:tblPr>
              <w:tblStyle w:val="1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2817"/>
              <w:gridCol w:w="550"/>
              <w:gridCol w:w="549"/>
              <w:gridCol w:w="3333"/>
            </w:tblGrid>
            <w:tr w14:paraId="5AEEED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37" w:type="pct"/>
                  <w:noWrap w:val="0"/>
                  <w:vAlign w:val="center"/>
                </w:tcPr>
                <w:p w14:paraId="7B0A995C">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污染类型</w:t>
                  </w:r>
                </w:p>
              </w:tc>
              <w:tc>
                <w:tcPr>
                  <w:tcW w:w="1733" w:type="pct"/>
                  <w:noWrap w:val="0"/>
                  <w:vAlign w:val="center"/>
                </w:tcPr>
                <w:p w14:paraId="2B80A829">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标准名称</w:t>
                  </w:r>
                </w:p>
              </w:tc>
              <w:tc>
                <w:tcPr>
                  <w:tcW w:w="676" w:type="pct"/>
                  <w:gridSpan w:val="2"/>
                  <w:noWrap w:val="0"/>
                  <w:vAlign w:val="center"/>
                </w:tcPr>
                <w:p w14:paraId="11CEDB97">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污染因子</w:t>
                  </w:r>
                </w:p>
              </w:tc>
              <w:tc>
                <w:tcPr>
                  <w:tcW w:w="2051" w:type="pct"/>
                  <w:noWrap w:val="0"/>
                  <w:vAlign w:val="center"/>
                </w:tcPr>
                <w:p w14:paraId="2A136DD7">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标准值</w:t>
                  </w:r>
                </w:p>
              </w:tc>
            </w:tr>
            <w:tr w14:paraId="3FD616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537" w:type="pct"/>
                  <w:vMerge w:val="restart"/>
                  <w:noWrap w:val="0"/>
                  <w:vAlign w:val="center"/>
                </w:tcPr>
                <w:p w14:paraId="42B7A5F1">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废气</w:t>
                  </w:r>
                </w:p>
              </w:tc>
              <w:tc>
                <w:tcPr>
                  <w:tcW w:w="1733" w:type="pct"/>
                  <w:vMerge w:val="restart"/>
                  <w:noWrap w:val="0"/>
                  <w:tcMar>
                    <w:left w:w="57" w:type="dxa"/>
                    <w:right w:w="57" w:type="dxa"/>
                  </w:tcMar>
                  <w:vAlign w:val="center"/>
                </w:tcPr>
                <w:p w14:paraId="6B5CD935">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r>
                    <w:rPr>
                      <w:rFonts w:hint="eastAsia"/>
                      <w:b w:val="0"/>
                      <w:bCs w:val="0"/>
                      <w:color w:val="000000"/>
                      <w:sz w:val="21"/>
                      <w:highlight w:val="none"/>
                      <w:u w:val="none"/>
                      <w:lang w:eastAsia="zh-CN"/>
                    </w:rPr>
                    <w:t>《</w:t>
                  </w:r>
                  <w:r>
                    <w:rPr>
                      <w:rFonts w:hint="eastAsia" w:ascii="Times New Roman"/>
                      <w:b w:val="0"/>
                      <w:bCs w:val="0"/>
                      <w:color w:val="000000"/>
                      <w:sz w:val="21"/>
                      <w:highlight w:val="none"/>
                      <w:u w:val="none"/>
                    </w:rPr>
                    <w:t>合成树脂工业污染物排放标准</w:t>
                  </w:r>
                  <w:r>
                    <w:rPr>
                      <w:rFonts w:hint="eastAsia"/>
                      <w:b w:val="0"/>
                      <w:bCs w:val="0"/>
                      <w:color w:val="000000"/>
                      <w:sz w:val="21"/>
                      <w:highlight w:val="none"/>
                      <w:u w:val="none"/>
                      <w:lang w:eastAsia="zh-CN"/>
                    </w:rPr>
                    <w:t>》（</w:t>
                  </w:r>
                  <w:r>
                    <w:rPr>
                      <w:rFonts w:hint="eastAsia" w:ascii="Times New Roman"/>
                      <w:b w:val="0"/>
                      <w:bCs w:val="0"/>
                      <w:color w:val="000000"/>
                      <w:sz w:val="21"/>
                      <w:highlight w:val="none"/>
                      <w:u w:val="none"/>
                    </w:rPr>
                    <w:t>GB 31572-2015，含2024年修改单）</w:t>
                  </w:r>
                </w:p>
              </w:tc>
              <w:tc>
                <w:tcPr>
                  <w:tcW w:w="676" w:type="pct"/>
                  <w:gridSpan w:val="2"/>
                  <w:noWrap w:val="0"/>
                  <w:tcMar>
                    <w:left w:w="57" w:type="dxa"/>
                    <w:right w:w="57" w:type="dxa"/>
                  </w:tcMar>
                  <w:vAlign w:val="center"/>
                </w:tcPr>
                <w:p w14:paraId="6B5F5EE8">
                  <w:pPr>
                    <w:pStyle w:val="34"/>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eastAsia="宋体" w:cs="Times New Roman"/>
                      <w:color w:val="auto"/>
                      <w:szCs w:val="21"/>
                      <w:lang w:eastAsia="zh-CN"/>
                    </w:rPr>
                  </w:pPr>
                  <w:r>
                    <w:rPr>
                      <w:rFonts w:hint="eastAsia" w:cs="Times New Roman"/>
                      <w:color w:val="auto"/>
                      <w:szCs w:val="21"/>
                      <w:lang w:eastAsia="zh-CN"/>
                    </w:rPr>
                    <w:t>苯乙烯</w:t>
                  </w:r>
                </w:p>
              </w:tc>
              <w:tc>
                <w:tcPr>
                  <w:tcW w:w="2051" w:type="pct"/>
                  <w:noWrap w:val="0"/>
                  <w:tcMar>
                    <w:left w:w="57" w:type="dxa"/>
                    <w:right w:w="57" w:type="dxa"/>
                  </w:tcMar>
                  <w:vAlign w:val="center"/>
                </w:tcPr>
                <w:p w14:paraId="43DACA64">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sz w:val="21"/>
                      <w:szCs w:val="21"/>
                      <w:highlight w:val="none"/>
                      <w:lang w:eastAsia="zh-CN"/>
                    </w:rPr>
                    <w:t>特别排放限值</w:t>
                  </w:r>
                  <w:r>
                    <w:rPr>
                      <w:rFonts w:hint="default" w:ascii="Times New Roman" w:hAnsi="Times New Roman" w:cs="Times New Roman"/>
                      <w:b w:val="0"/>
                      <w:bCs w:val="0"/>
                      <w:color w:val="auto"/>
                      <w:sz w:val="21"/>
                      <w:szCs w:val="21"/>
                      <w:highlight w:val="none"/>
                    </w:rPr>
                    <w:t>20mg/m</w:t>
                  </w:r>
                  <w:r>
                    <w:rPr>
                      <w:rFonts w:hint="default" w:ascii="Times New Roman" w:hAnsi="Times New Roman" w:cs="Times New Roman"/>
                      <w:b w:val="0"/>
                      <w:bCs w:val="0"/>
                      <w:color w:val="auto"/>
                      <w:sz w:val="21"/>
                      <w:szCs w:val="21"/>
                      <w:highlight w:val="none"/>
                      <w:vertAlign w:val="superscript"/>
                    </w:rPr>
                    <w:t>3</w:t>
                  </w:r>
                </w:p>
              </w:tc>
            </w:tr>
            <w:tr w14:paraId="7D871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537" w:type="pct"/>
                  <w:vMerge w:val="continue"/>
                  <w:noWrap w:val="0"/>
                  <w:vAlign w:val="center"/>
                </w:tcPr>
                <w:p w14:paraId="2CB70B5A">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tcMar>
                    <w:left w:w="57" w:type="dxa"/>
                    <w:right w:w="57" w:type="dxa"/>
                  </w:tcMar>
                  <w:vAlign w:val="center"/>
                </w:tcPr>
                <w:p w14:paraId="738A34A4">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kern w:val="0"/>
                      <w:szCs w:val="21"/>
                      <w:lang w:val="zh-CN"/>
                    </w:rPr>
                  </w:pPr>
                </w:p>
              </w:tc>
              <w:tc>
                <w:tcPr>
                  <w:tcW w:w="676" w:type="pct"/>
                  <w:gridSpan w:val="2"/>
                  <w:vMerge w:val="restart"/>
                  <w:noWrap w:val="0"/>
                  <w:tcMar>
                    <w:left w:w="57" w:type="dxa"/>
                    <w:right w:w="57" w:type="dxa"/>
                  </w:tcMar>
                  <w:vAlign w:val="center"/>
                </w:tcPr>
                <w:p w14:paraId="1464148C">
                  <w:pPr>
                    <w:pStyle w:val="34"/>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default" w:ascii="Times New Roman" w:hAnsi="Times New Roman" w:eastAsia="宋体" w:cs="Times New Roman"/>
                      <w:b w:val="0"/>
                      <w:bCs w:val="0"/>
                      <w:color w:val="000000"/>
                      <w:kern w:val="2"/>
                      <w:sz w:val="21"/>
                      <w:szCs w:val="21"/>
                      <w:highlight w:val="none"/>
                      <w:u w:val="none"/>
                      <w:lang w:val="en-US" w:eastAsia="zh-CN" w:bidi="ar-SA"/>
                    </w:rPr>
                    <w:t>非甲烷</w:t>
                  </w:r>
                </w:p>
                <w:p w14:paraId="288FE396">
                  <w:pPr>
                    <w:pStyle w:val="34"/>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color w:val="auto"/>
                      <w:szCs w:val="21"/>
                      <w:lang w:val="en-US"/>
                    </w:rPr>
                  </w:pPr>
                  <w:r>
                    <w:rPr>
                      <w:rFonts w:hint="default" w:ascii="Times New Roman" w:hAnsi="Times New Roman" w:eastAsia="宋体" w:cs="Times New Roman"/>
                      <w:b w:val="0"/>
                      <w:bCs w:val="0"/>
                      <w:color w:val="000000"/>
                      <w:kern w:val="2"/>
                      <w:sz w:val="21"/>
                      <w:szCs w:val="21"/>
                      <w:highlight w:val="none"/>
                      <w:u w:val="none"/>
                      <w:lang w:val="en-US" w:eastAsia="zh-CN" w:bidi="ar-SA"/>
                    </w:rPr>
                    <w:t>总烃</w:t>
                  </w:r>
                </w:p>
              </w:tc>
              <w:tc>
                <w:tcPr>
                  <w:tcW w:w="2051" w:type="pct"/>
                  <w:noWrap w:val="0"/>
                  <w:tcMar>
                    <w:left w:w="57" w:type="dxa"/>
                    <w:right w:w="57" w:type="dxa"/>
                  </w:tcMar>
                  <w:vAlign w:val="center"/>
                </w:tcPr>
                <w:p w14:paraId="246FC905">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sz w:val="21"/>
                      <w:szCs w:val="21"/>
                      <w:highlight w:val="none"/>
                      <w:lang w:eastAsia="zh-CN"/>
                    </w:rPr>
                    <w:t>特别排放限值</w:t>
                  </w:r>
                  <w:r>
                    <w:rPr>
                      <w:rFonts w:hint="eastAsia" w:cs="Times New Roman"/>
                      <w:b w:val="0"/>
                      <w:bCs w:val="0"/>
                      <w:color w:val="auto"/>
                      <w:sz w:val="21"/>
                      <w:szCs w:val="21"/>
                      <w:highlight w:val="none"/>
                      <w:lang w:val="en-US" w:eastAsia="zh-CN"/>
                    </w:rPr>
                    <w:t>6</w:t>
                  </w:r>
                  <w:r>
                    <w:rPr>
                      <w:rFonts w:hint="default" w:ascii="Times New Roman" w:hAnsi="Times New Roman" w:cs="Times New Roman"/>
                      <w:b w:val="0"/>
                      <w:bCs w:val="0"/>
                      <w:color w:val="auto"/>
                      <w:sz w:val="21"/>
                      <w:szCs w:val="21"/>
                      <w:highlight w:val="none"/>
                    </w:rPr>
                    <w:t>0mg/m</w:t>
                  </w:r>
                  <w:r>
                    <w:rPr>
                      <w:rFonts w:hint="default" w:ascii="Times New Roman" w:hAnsi="Times New Roman" w:cs="Times New Roman"/>
                      <w:b w:val="0"/>
                      <w:bCs w:val="0"/>
                      <w:color w:val="auto"/>
                      <w:sz w:val="21"/>
                      <w:szCs w:val="21"/>
                      <w:highlight w:val="none"/>
                      <w:vertAlign w:val="superscript"/>
                    </w:rPr>
                    <w:t>3</w:t>
                  </w:r>
                </w:p>
              </w:tc>
            </w:tr>
            <w:tr w14:paraId="37ED1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37" w:type="pct"/>
                  <w:vMerge w:val="continue"/>
                  <w:noWrap w:val="0"/>
                  <w:vAlign w:val="center"/>
                </w:tcPr>
                <w:p w14:paraId="229EF4E0">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tcMar>
                    <w:left w:w="57" w:type="dxa"/>
                    <w:right w:w="57" w:type="dxa"/>
                  </w:tcMar>
                  <w:vAlign w:val="center"/>
                </w:tcPr>
                <w:p w14:paraId="030990F4">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p>
              </w:tc>
              <w:tc>
                <w:tcPr>
                  <w:tcW w:w="676" w:type="pct"/>
                  <w:gridSpan w:val="2"/>
                  <w:vMerge w:val="continue"/>
                  <w:noWrap w:val="0"/>
                  <w:tcMar>
                    <w:left w:w="57" w:type="dxa"/>
                    <w:right w:w="57" w:type="dxa"/>
                  </w:tcMar>
                  <w:vAlign w:val="center"/>
                </w:tcPr>
                <w:p w14:paraId="5C8E834A">
                  <w:pPr>
                    <w:pStyle w:val="34"/>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color w:val="auto"/>
                      <w:szCs w:val="21"/>
                    </w:rPr>
                  </w:pPr>
                </w:p>
              </w:tc>
              <w:tc>
                <w:tcPr>
                  <w:tcW w:w="2051" w:type="pct"/>
                  <w:noWrap w:val="0"/>
                  <w:tcMar>
                    <w:left w:w="57" w:type="dxa"/>
                    <w:right w:w="57" w:type="dxa"/>
                  </w:tcMar>
                  <w:vAlign w:val="center"/>
                </w:tcPr>
                <w:p w14:paraId="4CF38F91">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企业边界大气污染物浓度限值</w:t>
                  </w:r>
                  <w:r>
                    <w:rPr>
                      <w:rFonts w:hint="eastAsia" w:cs="Times New Roman"/>
                      <w:b w:val="0"/>
                      <w:bCs w:val="0"/>
                      <w:color w:val="auto"/>
                      <w:sz w:val="21"/>
                      <w:szCs w:val="21"/>
                      <w:highlight w:val="none"/>
                      <w:lang w:val="en-US" w:eastAsia="zh-CN"/>
                    </w:rPr>
                    <w:t>4</w:t>
                  </w:r>
                  <w:r>
                    <w:rPr>
                      <w:rFonts w:hint="default" w:ascii="Times New Roman" w:hAnsi="Times New Roman" w:cs="Times New Roman"/>
                      <w:b w:val="0"/>
                      <w:bCs w:val="0"/>
                      <w:color w:val="auto"/>
                      <w:sz w:val="21"/>
                      <w:szCs w:val="21"/>
                      <w:highlight w:val="none"/>
                    </w:rPr>
                    <w:t>.0mg/m</w:t>
                  </w:r>
                  <w:r>
                    <w:rPr>
                      <w:rFonts w:hint="default" w:ascii="Times New Roman" w:hAnsi="Times New Roman" w:cs="Times New Roman"/>
                      <w:b w:val="0"/>
                      <w:bCs w:val="0"/>
                      <w:color w:val="auto"/>
                      <w:sz w:val="21"/>
                      <w:szCs w:val="21"/>
                      <w:highlight w:val="none"/>
                      <w:vertAlign w:val="superscript"/>
                    </w:rPr>
                    <w:t>3</w:t>
                  </w:r>
                </w:p>
              </w:tc>
            </w:tr>
            <w:tr w14:paraId="409009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537" w:type="pct"/>
                  <w:vMerge w:val="continue"/>
                  <w:noWrap w:val="0"/>
                  <w:vAlign w:val="center"/>
                </w:tcPr>
                <w:p w14:paraId="07768B69">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restart"/>
                  <w:shd w:val="clear" w:color="auto" w:fill="auto"/>
                  <w:noWrap w:val="0"/>
                  <w:tcMar>
                    <w:left w:w="57" w:type="dxa"/>
                    <w:right w:w="57" w:type="dxa"/>
                  </w:tcMar>
                  <w:vAlign w:val="center"/>
                </w:tcPr>
                <w:p w14:paraId="5A9C09A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eastAsia="zh-CN"/>
                    </w:rPr>
                  </w:pPr>
                  <w:r>
                    <w:rPr>
                      <w:rFonts w:hint="eastAsia" w:ascii="Times New Roman" w:hAnsi="Times New Roman" w:eastAsia="宋体" w:cs="Times New Roman"/>
                      <w:sz w:val="21"/>
                      <w:lang w:eastAsia="zh-CN"/>
                    </w:rPr>
                    <w:t>《恶臭污染物排放标准》</w:t>
                  </w:r>
                </w:p>
                <w:p w14:paraId="6DFDAD8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eastAsia="zh-CN"/>
                    </w:rPr>
                  </w:pPr>
                  <w:r>
                    <w:rPr>
                      <w:rFonts w:hint="eastAsia" w:ascii="Times New Roman" w:hAnsi="Times New Roman" w:eastAsia="宋体" w:cs="Times New Roman"/>
                      <w:sz w:val="21"/>
                      <w:lang w:eastAsia="zh-CN"/>
                    </w:rPr>
                    <w:t>（GB 14554-93）</w:t>
                  </w:r>
                </w:p>
              </w:tc>
              <w:tc>
                <w:tcPr>
                  <w:tcW w:w="676" w:type="pct"/>
                  <w:gridSpan w:val="2"/>
                  <w:vMerge w:val="restart"/>
                  <w:shd w:val="clear" w:color="auto" w:fill="auto"/>
                  <w:noWrap w:val="0"/>
                  <w:tcMar>
                    <w:left w:w="57" w:type="dxa"/>
                    <w:right w:w="57" w:type="dxa"/>
                  </w:tcMar>
                  <w:vAlign w:val="center"/>
                </w:tcPr>
                <w:p w14:paraId="47C5CDF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cs="Times New Roman"/>
                      <w:b w:val="0"/>
                      <w:bCs w:val="0"/>
                      <w:color w:val="000000"/>
                      <w:kern w:val="2"/>
                      <w:sz w:val="21"/>
                      <w:szCs w:val="21"/>
                      <w:highlight w:val="none"/>
                      <w:u w:val="none"/>
                      <w:lang w:val="en-US" w:eastAsia="zh-CN" w:bidi="ar-SA"/>
                    </w:rPr>
                    <w:t>苯乙烯</w:t>
                  </w:r>
                </w:p>
              </w:tc>
              <w:tc>
                <w:tcPr>
                  <w:tcW w:w="2051" w:type="pct"/>
                  <w:shd w:val="clear" w:color="auto" w:fill="auto"/>
                  <w:noWrap w:val="0"/>
                  <w:tcMar>
                    <w:left w:w="57" w:type="dxa"/>
                    <w:right w:w="57" w:type="dxa"/>
                  </w:tcMar>
                  <w:vAlign w:val="center"/>
                </w:tcPr>
                <w:p w14:paraId="7608780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最高允许</w:t>
                  </w:r>
                  <w:r>
                    <w:rPr>
                      <w:rFonts w:hint="default" w:ascii="Times New Roman" w:hAnsi="Times New Roman" w:cs="Times New Roman"/>
                      <w:b w:val="0"/>
                      <w:bCs w:val="0"/>
                      <w:color w:val="auto"/>
                      <w:kern w:val="0"/>
                      <w:sz w:val="21"/>
                      <w:szCs w:val="21"/>
                      <w:highlight w:val="none"/>
                    </w:rPr>
                    <w:t>排放速率</w:t>
                  </w:r>
                  <w:r>
                    <w:rPr>
                      <w:rFonts w:hint="eastAsia" w:cs="Times New Roman"/>
                      <w:b w:val="0"/>
                      <w:bCs w:val="0"/>
                      <w:color w:val="auto"/>
                      <w:sz w:val="21"/>
                      <w:szCs w:val="21"/>
                      <w:highlight w:val="none"/>
                      <w:lang w:val="en-US" w:eastAsia="zh-CN"/>
                    </w:rPr>
                    <w:t>6.5</w:t>
                  </w:r>
                  <w:r>
                    <w:rPr>
                      <w:rFonts w:hint="default" w:ascii="Times New Roman" w:hAnsi="Times New Roman" w:cs="Times New Roman"/>
                      <w:b w:val="0"/>
                      <w:bCs w:val="0"/>
                      <w:color w:val="auto"/>
                      <w:sz w:val="21"/>
                      <w:szCs w:val="21"/>
                      <w:highlight w:val="none"/>
                    </w:rPr>
                    <w:t>kg/h</w:t>
                  </w:r>
                </w:p>
                <w:p w14:paraId="3094229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val="en-US" w:eastAsia="zh-CN"/>
                    </w:rPr>
                  </w:pPr>
                  <w:r>
                    <w:rPr>
                      <w:rFonts w:hint="eastAsia" w:ascii="Times New Roman" w:hAnsi="Times New Roman" w:cs="Times New Roman"/>
                      <w:b w:val="0"/>
                      <w:bCs w:val="0"/>
                      <w:color w:val="auto"/>
                      <w:sz w:val="21"/>
                      <w:szCs w:val="21"/>
                      <w:highlight w:val="none"/>
                      <w:lang w:eastAsia="zh-CN"/>
                    </w:rPr>
                    <w:t>（</w:t>
                  </w:r>
                  <w:r>
                    <w:rPr>
                      <w:rFonts w:hint="eastAsia" w:ascii="Times New Roman" w:hAnsi="Times New Roman" w:cs="Times New Roman"/>
                      <w:b w:val="0"/>
                      <w:bCs w:val="0"/>
                      <w:color w:val="auto"/>
                      <w:sz w:val="21"/>
                      <w:szCs w:val="21"/>
                      <w:highlight w:val="none"/>
                      <w:lang w:val="en-US" w:eastAsia="zh-CN"/>
                    </w:rPr>
                    <w:t>15m高排气筒</w:t>
                  </w:r>
                  <w:r>
                    <w:rPr>
                      <w:rFonts w:hint="eastAsia" w:ascii="Times New Roman" w:hAnsi="Times New Roman" w:cs="Times New Roman"/>
                      <w:b w:val="0"/>
                      <w:bCs w:val="0"/>
                      <w:color w:val="auto"/>
                      <w:sz w:val="21"/>
                      <w:szCs w:val="21"/>
                      <w:highlight w:val="none"/>
                      <w:lang w:eastAsia="zh-CN"/>
                    </w:rPr>
                    <w:t>）</w:t>
                  </w:r>
                </w:p>
              </w:tc>
            </w:tr>
            <w:tr w14:paraId="76B463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37" w:type="pct"/>
                  <w:vMerge w:val="continue"/>
                  <w:noWrap w:val="0"/>
                  <w:vAlign w:val="center"/>
                </w:tcPr>
                <w:p w14:paraId="467B0442">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shd w:val="clear" w:color="auto" w:fill="auto"/>
                  <w:noWrap w:val="0"/>
                  <w:tcMar>
                    <w:left w:w="57" w:type="dxa"/>
                    <w:right w:w="57" w:type="dxa"/>
                  </w:tcMar>
                  <w:vAlign w:val="center"/>
                </w:tcPr>
                <w:p w14:paraId="12970F7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eastAsia="zh-CN"/>
                    </w:rPr>
                  </w:pPr>
                </w:p>
              </w:tc>
              <w:tc>
                <w:tcPr>
                  <w:tcW w:w="676" w:type="pct"/>
                  <w:gridSpan w:val="2"/>
                  <w:vMerge w:val="continue"/>
                  <w:shd w:val="clear" w:color="auto" w:fill="auto"/>
                  <w:noWrap w:val="0"/>
                  <w:tcMar>
                    <w:left w:w="57" w:type="dxa"/>
                    <w:right w:w="57" w:type="dxa"/>
                  </w:tcMar>
                  <w:vAlign w:val="center"/>
                </w:tcPr>
                <w:p w14:paraId="576F2AA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p>
              </w:tc>
              <w:tc>
                <w:tcPr>
                  <w:tcW w:w="2051" w:type="pct"/>
                  <w:shd w:val="clear" w:color="auto" w:fill="auto"/>
                  <w:noWrap w:val="0"/>
                  <w:tcMar>
                    <w:left w:w="57" w:type="dxa"/>
                    <w:right w:w="57" w:type="dxa"/>
                  </w:tcMar>
                  <w:vAlign w:val="center"/>
                </w:tcPr>
                <w:p w14:paraId="2C2124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val="en-US" w:eastAsia="zh-CN"/>
                    </w:rPr>
                  </w:pPr>
                  <w:r>
                    <w:rPr>
                      <w:rFonts w:hint="eastAsia" w:cs="Times New Roman"/>
                      <w:sz w:val="21"/>
                      <w:lang w:val="en-US" w:eastAsia="zh-CN"/>
                    </w:rPr>
                    <w:t>厂界标准限值</w:t>
                  </w:r>
                  <w:r>
                    <w:rPr>
                      <w:rFonts w:hint="eastAsia" w:cs="Times New Roman"/>
                      <w:b w:val="0"/>
                      <w:bCs w:val="0"/>
                      <w:color w:val="auto"/>
                      <w:sz w:val="21"/>
                      <w:szCs w:val="21"/>
                      <w:highlight w:val="none"/>
                      <w:lang w:val="en-US" w:eastAsia="zh-CN"/>
                    </w:rPr>
                    <w:t>5</w:t>
                  </w:r>
                  <w:r>
                    <w:rPr>
                      <w:rFonts w:hint="default" w:ascii="Times New Roman" w:hAnsi="Times New Roman" w:cs="Times New Roman"/>
                      <w:b w:val="0"/>
                      <w:bCs w:val="0"/>
                      <w:color w:val="auto"/>
                      <w:sz w:val="21"/>
                      <w:szCs w:val="21"/>
                      <w:highlight w:val="none"/>
                    </w:rPr>
                    <w:t>.0mg/m</w:t>
                  </w:r>
                  <w:r>
                    <w:rPr>
                      <w:rFonts w:hint="default" w:ascii="Times New Roman" w:hAnsi="Times New Roman" w:cs="Times New Roman"/>
                      <w:b w:val="0"/>
                      <w:bCs w:val="0"/>
                      <w:color w:val="auto"/>
                      <w:sz w:val="21"/>
                      <w:szCs w:val="21"/>
                      <w:highlight w:val="none"/>
                      <w:vertAlign w:val="superscript"/>
                    </w:rPr>
                    <w:t>3</w:t>
                  </w:r>
                </w:p>
              </w:tc>
            </w:tr>
            <w:tr w14:paraId="560FD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537" w:type="pct"/>
                  <w:vMerge w:val="continue"/>
                  <w:noWrap w:val="0"/>
                  <w:vAlign w:val="center"/>
                </w:tcPr>
                <w:p w14:paraId="3BD5E9DA">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restart"/>
                  <w:noWrap w:val="0"/>
                  <w:tcMar>
                    <w:left w:w="57" w:type="dxa"/>
                    <w:right w:w="57" w:type="dxa"/>
                  </w:tcMar>
                  <w:vAlign w:val="center"/>
                </w:tcPr>
                <w:p w14:paraId="560C8E06">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eastAsia" w:ascii="Times New Roman" w:hAnsi="Times New Roman" w:eastAsia="宋体" w:cs="Times New Roman"/>
                      <w:lang w:val="en-US" w:eastAsia="zh-CN"/>
                    </w:rPr>
                  </w:pPr>
                  <w:r>
                    <w:rPr>
                      <w:rFonts w:hint="eastAsia" w:cs="Times New Roman"/>
                      <w:lang w:eastAsia="zh-CN"/>
                    </w:rPr>
                    <w:t>《河南省重污染天气重点行业应急减排措施制定技术指南》（2024年修订版）“塑料制品企业绩效分级指标”的要求</w:t>
                  </w:r>
                </w:p>
              </w:tc>
              <w:tc>
                <w:tcPr>
                  <w:tcW w:w="676" w:type="pct"/>
                  <w:gridSpan w:val="2"/>
                  <w:vMerge w:val="restart"/>
                  <w:noWrap w:val="0"/>
                  <w:tcMar>
                    <w:left w:w="57" w:type="dxa"/>
                    <w:right w:w="57" w:type="dxa"/>
                  </w:tcMar>
                  <w:vAlign w:val="center"/>
                </w:tcPr>
                <w:p w14:paraId="1B0C9CAA">
                  <w:pPr>
                    <w:pStyle w:val="34"/>
                    <w:keepNext w:val="0"/>
                    <w:keepLines w:val="0"/>
                    <w:pageBreakBefore w:val="0"/>
                    <w:kinsoku/>
                    <w:wordWrap/>
                    <w:overflowPunct/>
                    <w:topLinePunct w:val="0"/>
                    <w:autoSpaceDE/>
                    <w:autoSpaceDN/>
                    <w:bidi w:val="0"/>
                    <w:snapToGrid w:val="0"/>
                    <w:spacing w:line="360" w:lineRule="exact"/>
                    <w:ind w:firstLine="0" w:firstLineChars="0"/>
                    <w:textAlignment w:val="auto"/>
                    <w:rPr>
                      <w:rFonts w:hint="eastAsia" w:cs="Times New Roman"/>
                      <w:color w:val="auto"/>
                      <w:szCs w:val="21"/>
                      <w:lang w:eastAsia="zh-CN"/>
                    </w:rPr>
                  </w:pPr>
                  <w:r>
                    <w:rPr>
                      <w:rFonts w:hint="eastAsia" w:cs="Times New Roman"/>
                      <w:color w:val="auto"/>
                      <w:szCs w:val="21"/>
                      <w:lang w:eastAsia="zh-CN"/>
                    </w:rPr>
                    <w:t>非甲烷</w:t>
                  </w:r>
                </w:p>
                <w:p w14:paraId="24FDA442">
                  <w:pPr>
                    <w:pStyle w:val="34"/>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eastAsia="宋体" w:cs="Times New Roman"/>
                      <w:color w:val="auto"/>
                      <w:szCs w:val="21"/>
                      <w:lang w:eastAsia="zh-CN"/>
                    </w:rPr>
                  </w:pPr>
                  <w:r>
                    <w:rPr>
                      <w:rFonts w:hint="eastAsia" w:cs="Times New Roman"/>
                      <w:color w:val="auto"/>
                      <w:szCs w:val="21"/>
                      <w:lang w:eastAsia="zh-CN"/>
                    </w:rPr>
                    <w:t>总烃</w:t>
                  </w:r>
                </w:p>
              </w:tc>
              <w:tc>
                <w:tcPr>
                  <w:tcW w:w="2051" w:type="pct"/>
                  <w:noWrap w:val="0"/>
                  <w:tcMar>
                    <w:left w:w="57" w:type="dxa"/>
                    <w:right w:w="57" w:type="dxa"/>
                  </w:tcMar>
                  <w:vAlign w:val="center"/>
                </w:tcPr>
                <w:p w14:paraId="1E0974CB">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r>
                    <w:rPr>
                      <w:rFonts w:hint="default" w:ascii="Times New Roman" w:hAnsi="Times New Roman" w:cs="Times New Roman"/>
                    </w:rPr>
                    <w:t>有组织排放浓度不高于</w:t>
                  </w:r>
                  <w:r>
                    <w:rPr>
                      <w:rFonts w:hint="eastAsia" w:cs="Times New Roman"/>
                      <w:lang w:val="en-US" w:eastAsia="zh-CN"/>
                    </w:rPr>
                    <w:t>2</w:t>
                  </w:r>
                  <w:r>
                    <w:rPr>
                      <w:rFonts w:hint="default" w:ascii="Times New Roman" w:hAnsi="Times New Roman" w:cs="Times New Roman"/>
                    </w:rPr>
                    <w:t>0mg/m</w:t>
                  </w:r>
                  <w:r>
                    <w:rPr>
                      <w:rFonts w:hint="default" w:ascii="Times New Roman" w:hAnsi="Times New Roman" w:cs="Times New Roman"/>
                      <w:vertAlign w:val="superscript"/>
                    </w:rPr>
                    <w:t>3</w:t>
                  </w:r>
                </w:p>
              </w:tc>
            </w:tr>
            <w:tr w14:paraId="27C0B5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537" w:type="pct"/>
                  <w:vMerge w:val="continue"/>
                  <w:noWrap w:val="0"/>
                  <w:vAlign w:val="center"/>
                </w:tcPr>
                <w:p w14:paraId="2F72C76D">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1733" w:type="pct"/>
                  <w:vMerge w:val="continue"/>
                  <w:noWrap w:val="0"/>
                  <w:tcMar>
                    <w:left w:w="57" w:type="dxa"/>
                    <w:right w:w="57" w:type="dxa"/>
                  </w:tcMar>
                  <w:vAlign w:val="center"/>
                </w:tcPr>
                <w:p w14:paraId="745D09FF">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676" w:type="pct"/>
                  <w:gridSpan w:val="2"/>
                  <w:vMerge w:val="continue"/>
                  <w:noWrap w:val="0"/>
                  <w:tcMar>
                    <w:left w:w="57" w:type="dxa"/>
                    <w:right w:w="57" w:type="dxa"/>
                  </w:tcMar>
                  <w:vAlign w:val="center"/>
                </w:tcPr>
                <w:p w14:paraId="560FECF5">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2051" w:type="pct"/>
                  <w:noWrap w:val="0"/>
                  <w:tcMar>
                    <w:left w:w="57" w:type="dxa"/>
                    <w:right w:w="57" w:type="dxa"/>
                  </w:tcMar>
                  <w:vAlign w:val="center"/>
                </w:tcPr>
                <w:p w14:paraId="5C0BF9B2">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lang w:val="en-US" w:eastAsia="zh-CN"/>
                    </w:rPr>
                  </w:pPr>
                  <w:r>
                    <w:rPr>
                      <w:rFonts w:hint="eastAsia" w:cs="Times New Roman"/>
                      <w:lang w:eastAsia="zh-CN"/>
                    </w:rPr>
                    <w:t>去除效率≥</w:t>
                  </w:r>
                  <w:r>
                    <w:rPr>
                      <w:rFonts w:hint="eastAsia" w:cs="Times New Roman"/>
                      <w:lang w:val="en-US" w:eastAsia="zh-CN"/>
                    </w:rPr>
                    <w:t>80%</w:t>
                  </w:r>
                </w:p>
              </w:tc>
            </w:tr>
            <w:tr w14:paraId="4E8AC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537" w:type="pct"/>
                  <w:vMerge w:val="continue"/>
                  <w:noWrap w:val="0"/>
                  <w:vAlign w:val="center"/>
                </w:tcPr>
                <w:p w14:paraId="677BCB1B">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1733" w:type="pct"/>
                  <w:vMerge w:val="continue"/>
                  <w:noWrap w:val="0"/>
                  <w:tcMar>
                    <w:left w:w="57" w:type="dxa"/>
                    <w:right w:w="57" w:type="dxa"/>
                  </w:tcMar>
                  <w:vAlign w:val="center"/>
                </w:tcPr>
                <w:p w14:paraId="32EFCB1D">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676" w:type="pct"/>
                  <w:gridSpan w:val="2"/>
                  <w:vMerge w:val="continue"/>
                  <w:noWrap w:val="0"/>
                  <w:tcMar>
                    <w:left w:w="57" w:type="dxa"/>
                    <w:right w:w="57" w:type="dxa"/>
                  </w:tcMar>
                  <w:vAlign w:val="center"/>
                </w:tcPr>
                <w:p w14:paraId="1BEC3D10">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2051" w:type="pct"/>
                  <w:noWrap w:val="0"/>
                  <w:tcMar>
                    <w:left w:w="57" w:type="dxa"/>
                    <w:right w:w="57" w:type="dxa"/>
                  </w:tcMar>
                  <w:vAlign w:val="center"/>
                </w:tcPr>
                <w:p w14:paraId="0C005414">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eastAsia="zh-CN"/>
                    </w:rPr>
                    <w:t>生产设备的无组织排放监控点浓度限值4mg/m</w:t>
                  </w:r>
                  <w:r>
                    <w:rPr>
                      <w:rFonts w:hint="eastAsia" w:cs="Times New Roman"/>
                      <w:b w:val="0"/>
                      <w:bCs w:val="0"/>
                      <w:color w:val="auto"/>
                      <w:sz w:val="21"/>
                      <w:szCs w:val="21"/>
                      <w:highlight w:val="none"/>
                      <w:vertAlign w:val="superscript"/>
                      <w:lang w:val="en-US" w:eastAsia="zh-CN"/>
                    </w:rPr>
                    <w:t>3</w:t>
                  </w:r>
                </w:p>
              </w:tc>
            </w:tr>
            <w:tr w14:paraId="389A6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537" w:type="pct"/>
                  <w:vMerge w:val="continue"/>
                  <w:noWrap w:val="0"/>
                  <w:vAlign w:val="center"/>
                </w:tcPr>
                <w:p w14:paraId="10F0F6F7">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1733" w:type="pct"/>
                  <w:vMerge w:val="continue"/>
                  <w:noWrap w:val="0"/>
                  <w:tcMar>
                    <w:left w:w="57" w:type="dxa"/>
                    <w:right w:w="57" w:type="dxa"/>
                  </w:tcMar>
                  <w:vAlign w:val="center"/>
                </w:tcPr>
                <w:p w14:paraId="1FA2F898">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676" w:type="pct"/>
                  <w:gridSpan w:val="2"/>
                  <w:vMerge w:val="continue"/>
                  <w:noWrap w:val="0"/>
                  <w:tcMar>
                    <w:left w:w="57" w:type="dxa"/>
                    <w:right w:w="57" w:type="dxa"/>
                  </w:tcMar>
                  <w:vAlign w:val="center"/>
                </w:tcPr>
                <w:p w14:paraId="1D4E60C2">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pPr>
                </w:p>
              </w:tc>
              <w:tc>
                <w:tcPr>
                  <w:tcW w:w="2051" w:type="pct"/>
                  <w:noWrap w:val="0"/>
                  <w:tcMar>
                    <w:left w:w="57" w:type="dxa"/>
                    <w:right w:w="57" w:type="dxa"/>
                  </w:tcMar>
                  <w:vAlign w:val="center"/>
                </w:tcPr>
                <w:p w14:paraId="2567507C">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eastAsia" w:cs="Times New Roman"/>
                      <w:lang w:eastAsia="zh-CN"/>
                    </w:rPr>
                  </w:pPr>
                  <w:r>
                    <w:rPr>
                      <w:rFonts w:hint="eastAsia" w:ascii="Times New Roman" w:hAnsi="Times New Roman" w:eastAsia="宋体" w:cs="Times New Roman"/>
                      <w:sz w:val="21"/>
                      <w:lang w:val="en-US" w:eastAsia="zh-CN"/>
                    </w:rPr>
                    <w:t>企业边界监控点处</w:t>
                  </w:r>
                  <w:r>
                    <w:rPr>
                      <w:rFonts w:hint="eastAsia" w:ascii="Times New Roman" w:hAnsi="Times New Roman" w:eastAsia="宋体" w:cs="Times New Roman"/>
                      <w:sz w:val="21"/>
                    </w:rPr>
                    <w:t>1h</w:t>
                  </w:r>
                  <w:r>
                    <w:rPr>
                      <w:rFonts w:hint="eastAsia" w:ascii="Times New Roman" w:hAnsi="Times New Roman" w:eastAsia="宋体" w:cs="Times New Roman"/>
                      <w:sz w:val="21"/>
                      <w:lang w:eastAsia="zh-CN"/>
                    </w:rPr>
                    <w:t>平均</w:t>
                  </w:r>
                  <w:r>
                    <w:rPr>
                      <w:rFonts w:hint="eastAsia" w:ascii="Times New Roman" w:hAnsi="Times New Roman" w:eastAsia="宋体" w:cs="Times New Roman"/>
                      <w:sz w:val="21"/>
                      <w:lang w:val="en-US" w:eastAsia="zh-CN"/>
                    </w:rPr>
                    <w:t>2</w:t>
                  </w:r>
                  <w:r>
                    <w:rPr>
                      <w:rFonts w:hint="default" w:ascii="Times New Roman" w:hAnsi="Times New Roman" w:cs="Times New Roman"/>
                      <w:b w:val="0"/>
                      <w:bCs w:val="0"/>
                      <w:color w:val="000000"/>
                      <w:sz w:val="21"/>
                      <w:szCs w:val="21"/>
                      <w:highlight w:val="none"/>
                      <w:u w:val="none"/>
                    </w:rPr>
                    <w:t>mg/m</w:t>
                  </w:r>
                  <w:r>
                    <w:rPr>
                      <w:rFonts w:hint="default" w:ascii="Times New Roman" w:hAnsi="Times New Roman" w:cs="Times New Roman"/>
                      <w:b w:val="0"/>
                      <w:bCs w:val="0"/>
                      <w:color w:val="000000"/>
                      <w:sz w:val="21"/>
                      <w:szCs w:val="21"/>
                      <w:highlight w:val="none"/>
                      <w:u w:val="none"/>
                      <w:vertAlign w:val="superscript"/>
                    </w:rPr>
                    <w:t>3</w:t>
                  </w:r>
                </w:p>
              </w:tc>
            </w:tr>
            <w:tr w14:paraId="5B766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537" w:type="pct"/>
                  <w:vMerge w:val="continue"/>
                  <w:noWrap w:val="0"/>
                  <w:vAlign w:val="center"/>
                </w:tcPr>
                <w:p w14:paraId="509F6EE1">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restart"/>
                  <w:shd w:val="clear" w:color="auto" w:fill="auto"/>
                  <w:noWrap w:val="0"/>
                  <w:tcMar>
                    <w:left w:w="57" w:type="dxa"/>
                    <w:right w:w="57" w:type="dxa"/>
                  </w:tcMar>
                  <w:vAlign w:val="center"/>
                </w:tcPr>
                <w:p w14:paraId="39BC7D2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eastAsia="zh-CN"/>
                    </w:rPr>
                  </w:pPr>
                  <w:r>
                    <w:rPr>
                      <w:rFonts w:hint="eastAsia" w:ascii="Times New Roman" w:hAnsi="Times New Roman" w:eastAsia="宋体" w:cs="Times New Roman"/>
                      <w:sz w:val="21"/>
                      <w:lang w:eastAsia="zh-CN"/>
                    </w:rPr>
                    <w:t>《挥发性有机物无组织排放控制标准》（GB37822-2019）</w:t>
                  </w:r>
                </w:p>
              </w:tc>
              <w:tc>
                <w:tcPr>
                  <w:tcW w:w="676" w:type="pct"/>
                  <w:gridSpan w:val="2"/>
                  <w:vMerge w:val="restart"/>
                  <w:shd w:val="clear" w:color="auto" w:fill="auto"/>
                  <w:noWrap w:val="0"/>
                  <w:tcMar>
                    <w:left w:w="57" w:type="dxa"/>
                    <w:right w:w="57" w:type="dxa"/>
                  </w:tcMar>
                  <w:vAlign w:val="center"/>
                </w:tcPr>
                <w:p w14:paraId="3982BCC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default" w:ascii="Times New Roman" w:hAnsi="Times New Roman" w:eastAsia="宋体" w:cs="Times New Roman"/>
                      <w:b w:val="0"/>
                      <w:bCs w:val="0"/>
                      <w:color w:val="000000"/>
                      <w:kern w:val="2"/>
                      <w:sz w:val="21"/>
                      <w:szCs w:val="21"/>
                      <w:highlight w:val="none"/>
                      <w:u w:val="none"/>
                      <w:lang w:val="en-US" w:eastAsia="zh-CN" w:bidi="ar-SA"/>
                    </w:rPr>
                    <w:t>非甲烷</w:t>
                  </w:r>
                </w:p>
                <w:p w14:paraId="4AFCE66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cs="Times New Roman"/>
                      <w:color w:val="auto"/>
                      <w:sz w:val="21"/>
                      <w:szCs w:val="21"/>
                      <w:lang w:eastAsia="zh-CN"/>
                    </w:rPr>
                  </w:pPr>
                  <w:r>
                    <w:rPr>
                      <w:rFonts w:hint="default" w:ascii="Times New Roman" w:hAnsi="Times New Roman" w:eastAsia="宋体" w:cs="Times New Roman"/>
                      <w:b w:val="0"/>
                      <w:bCs w:val="0"/>
                      <w:color w:val="000000"/>
                      <w:kern w:val="2"/>
                      <w:sz w:val="21"/>
                      <w:szCs w:val="21"/>
                      <w:highlight w:val="none"/>
                      <w:u w:val="none"/>
                      <w:lang w:val="en-US" w:eastAsia="zh-CN" w:bidi="ar-SA"/>
                    </w:rPr>
                    <w:t>总烃</w:t>
                  </w:r>
                </w:p>
              </w:tc>
              <w:tc>
                <w:tcPr>
                  <w:tcW w:w="2051" w:type="pct"/>
                  <w:shd w:val="clear" w:color="auto" w:fill="auto"/>
                  <w:noWrap w:val="0"/>
                  <w:tcMar>
                    <w:left w:w="57" w:type="dxa"/>
                    <w:right w:w="57" w:type="dxa"/>
                  </w:tcMar>
                  <w:vAlign w:val="center"/>
                </w:tcPr>
                <w:p w14:paraId="524E76F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sz w:val="21"/>
                      <w:lang w:val="en-US" w:eastAsia="zh-CN"/>
                    </w:rPr>
                    <w:t>监控点处</w:t>
                  </w:r>
                  <w:r>
                    <w:rPr>
                      <w:rFonts w:hint="eastAsia" w:ascii="Times New Roman" w:hAnsi="Times New Roman" w:eastAsia="宋体" w:cs="Times New Roman"/>
                      <w:sz w:val="21"/>
                    </w:rPr>
                    <w:t>1h</w:t>
                  </w:r>
                  <w:r>
                    <w:rPr>
                      <w:rFonts w:hint="eastAsia" w:ascii="Times New Roman" w:hAnsi="Times New Roman" w:eastAsia="宋体" w:cs="Times New Roman"/>
                      <w:sz w:val="21"/>
                      <w:lang w:eastAsia="zh-CN"/>
                    </w:rPr>
                    <w:t>平均</w:t>
                  </w:r>
                  <w:r>
                    <w:rPr>
                      <w:rFonts w:hint="eastAsia" w:cs="Times New Roman"/>
                      <w:b w:val="0"/>
                      <w:bCs w:val="0"/>
                      <w:color w:val="000000"/>
                      <w:sz w:val="21"/>
                      <w:szCs w:val="21"/>
                      <w:highlight w:val="none"/>
                      <w:u w:val="none"/>
                      <w:lang w:val="en-US" w:eastAsia="zh-CN"/>
                    </w:rPr>
                    <w:t>6</w:t>
                  </w:r>
                  <w:r>
                    <w:rPr>
                      <w:rFonts w:hint="default" w:ascii="Times New Roman" w:hAnsi="Times New Roman" w:cs="Times New Roman"/>
                      <w:b w:val="0"/>
                      <w:bCs w:val="0"/>
                      <w:color w:val="000000"/>
                      <w:sz w:val="21"/>
                      <w:szCs w:val="21"/>
                      <w:highlight w:val="none"/>
                      <w:u w:val="none"/>
                    </w:rPr>
                    <w:t>mg/m</w:t>
                  </w:r>
                  <w:r>
                    <w:rPr>
                      <w:rFonts w:hint="default" w:ascii="Times New Roman" w:hAnsi="Times New Roman" w:cs="Times New Roman"/>
                      <w:b w:val="0"/>
                      <w:bCs w:val="0"/>
                      <w:color w:val="000000"/>
                      <w:sz w:val="21"/>
                      <w:szCs w:val="21"/>
                      <w:highlight w:val="none"/>
                      <w:u w:val="none"/>
                      <w:vertAlign w:val="superscript"/>
                    </w:rPr>
                    <w:t>3</w:t>
                  </w:r>
                </w:p>
              </w:tc>
            </w:tr>
            <w:tr w14:paraId="7DF67D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537" w:type="pct"/>
                  <w:vMerge w:val="continue"/>
                  <w:noWrap w:val="0"/>
                  <w:vAlign w:val="center"/>
                </w:tcPr>
                <w:p w14:paraId="45F1E76C">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tcMar>
                    <w:left w:w="57" w:type="dxa"/>
                    <w:right w:w="57" w:type="dxa"/>
                  </w:tcMar>
                  <w:vAlign w:val="center"/>
                </w:tcPr>
                <w:p w14:paraId="7B218F5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eastAsia="zh-CN"/>
                    </w:rPr>
                  </w:pPr>
                </w:p>
              </w:tc>
              <w:tc>
                <w:tcPr>
                  <w:tcW w:w="676" w:type="pct"/>
                  <w:gridSpan w:val="2"/>
                  <w:vMerge w:val="continue"/>
                  <w:noWrap w:val="0"/>
                  <w:tcMar>
                    <w:left w:w="57" w:type="dxa"/>
                    <w:right w:w="57" w:type="dxa"/>
                  </w:tcMar>
                  <w:vAlign w:val="center"/>
                </w:tcPr>
                <w:p w14:paraId="488F9A0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cs="Times New Roman"/>
                      <w:color w:val="auto"/>
                      <w:sz w:val="21"/>
                      <w:szCs w:val="21"/>
                      <w:lang w:eastAsia="zh-CN"/>
                    </w:rPr>
                  </w:pPr>
                </w:p>
              </w:tc>
              <w:tc>
                <w:tcPr>
                  <w:tcW w:w="2051" w:type="pct"/>
                  <w:shd w:val="clear" w:color="auto" w:fill="auto"/>
                  <w:noWrap w:val="0"/>
                  <w:tcMar>
                    <w:left w:w="57" w:type="dxa"/>
                    <w:right w:w="57" w:type="dxa"/>
                  </w:tcMar>
                  <w:vAlign w:val="center"/>
                </w:tcPr>
                <w:p w14:paraId="380A4E4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sz w:val="21"/>
                      <w:lang w:val="en-US" w:eastAsia="zh-CN"/>
                    </w:rPr>
                    <w:t>监控点处</w:t>
                  </w:r>
                  <w:r>
                    <w:rPr>
                      <w:rFonts w:hint="eastAsia" w:ascii="Times New Roman" w:hAnsi="Times New Roman" w:eastAsia="宋体" w:cs="Times New Roman"/>
                      <w:sz w:val="21"/>
                    </w:rPr>
                    <w:t>任意一次</w:t>
                  </w:r>
                  <w:r>
                    <w:rPr>
                      <w:rFonts w:hint="eastAsia" w:ascii="Times New Roman" w:hAnsi="Times New Roman" w:eastAsia="宋体" w:cs="Times New Roman"/>
                      <w:sz w:val="21"/>
                      <w:lang w:val="en-US" w:eastAsia="zh-CN"/>
                    </w:rPr>
                    <w:t>20</w:t>
                  </w:r>
                  <w:r>
                    <w:rPr>
                      <w:rFonts w:hint="default" w:ascii="Times New Roman" w:hAnsi="Times New Roman" w:cs="Times New Roman"/>
                      <w:b w:val="0"/>
                      <w:bCs w:val="0"/>
                      <w:color w:val="000000"/>
                      <w:sz w:val="21"/>
                      <w:szCs w:val="21"/>
                      <w:highlight w:val="none"/>
                      <w:u w:val="none"/>
                    </w:rPr>
                    <w:t>mg/m</w:t>
                  </w:r>
                  <w:r>
                    <w:rPr>
                      <w:rFonts w:hint="default" w:ascii="Times New Roman" w:hAnsi="Times New Roman" w:cs="Times New Roman"/>
                      <w:b w:val="0"/>
                      <w:bCs w:val="0"/>
                      <w:color w:val="000000"/>
                      <w:sz w:val="21"/>
                      <w:szCs w:val="21"/>
                      <w:highlight w:val="none"/>
                      <w:u w:val="none"/>
                      <w:vertAlign w:val="superscript"/>
                    </w:rPr>
                    <w:t>3</w:t>
                  </w:r>
                </w:p>
              </w:tc>
            </w:tr>
            <w:tr w14:paraId="1FD62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537" w:type="pct"/>
                  <w:vMerge w:val="continue"/>
                  <w:noWrap w:val="0"/>
                  <w:vAlign w:val="center"/>
                </w:tcPr>
                <w:p w14:paraId="262F1162">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restart"/>
                  <w:noWrap w:val="0"/>
                  <w:tcMar>
                    <w:left w:w="57" w:type="dxa"/>
                    <w:right w:w="57" w:type="dxa"/>
                  </w:tcMar>
                  <w:vAlign w:val="center"/>
                </w:tcPr>
                <w:p w14:paraId="59D1177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lang w:eastAsia="zh-CN"/>
                    </w:rPr>
                  </w:pPr>
                  <w:r>
                    <w:rPr>
                      <w:rFonts w:hint="eastAsia" w:ascii="Times New Roman" w:hAnsi="Times New Roman" w:eastAsia="宋体" w:cs="Times New Roman"/>
                      <w:sz w:val="21"/>
                      <w:lang w:eastAsia="zh-CN"/>
                    </w:rPr>
                    <w:t>《关于全省开展工业企业挥发性有机物专项治理工作中排放建议值的通知》（豫环攻坚办</w:t>
                  </w:r>
                  <w:r>
                    <w:rPr>
                      <w:rFonts w:hint="eastAsia" w:ascii="Times New Roman" w:hAnsi="Times New Roman" w:eastAsia="宋体" w:cs="Times New Roman"/>
                      <w:sz w:val="21"/>
                      <w:highlight w:val="none"/>
                      <w:lang w:eastAsia="zh-CN"/>
                    </w:rPr>
                    <w:t>[2017]162号）</w:t>
                  </w:r>
                </w:p>
              </w:tc>
              <w:tc>
                <w:tcPr>
                  <w:tcW w:w="676" w:type="pct"/>
                  <w:gridSpan w:val="2"/>
                  <w:vMerge w:val="restart"/>
                  <w:noWrap w:val="0"/>
                  <w:tcMar>
                    <w:left w:w="57" w:type="dxa"/>
                    <w:right w:w="57" w:type="dxa"/>
                  </w:tcMar>
                  <w:vAlign w:val="center"/>
                </w:tcPr>
                <w:p w14:paraId="36C8340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cs="Times New Roman"/>
                      <w:color w:val="auto"/>
                      <w:sz w:val="21"/>
                      <w:szCs w:val="21"/>
                      <w:lang w:eastAsia="zh-CN"/>
                    </w:rPr>
                  </w:pPr>
                  <w:r>
                    <w:rPr>
                      <w:rFonts w:hint="eastAsia" w:cs="Times New Roman"/>
                      <w:color w:val="auto"/>
                      <w:sz w:val="21"/>
                      <w:szCs w:val="21"/>
                      <w:lang w:eastAsia="zh-CN"/>
                    </w:rPr>
                    <w:t>非甲烷</w:t>
                  </w:r>
                </w:p>
                <w:p w14:paraId="2C0C415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color w:val="000000"/>
                      <w:sz w:val="21"/>
                      <w:szCs w:val="21"/>
                      <w:highlight w:val="none"/>
                      <w:u w:val="none"/>
                      <w:lang w:eastAsia="zh-CN"/>
                    </w:rPr>
                  </w:pPr>
                  <w:r>
                    <w:rPr>
                      <w:rFonts w:hint="eastAsia" w:cs="Times New Roman"/>
                      <w:color w:val="auto"/>
                      <w:sz w:val="21"/>
                      <w:szCs w:val="21"/>
                      <w:lang w:eastAsia="zh-CN"/>
                    </w:rPr>
                    <w:t>总烃</w:t>
                  </w:r>
                </w:p>
              </w:tc>
              <w:tc>
                <w:tcPr>
                  <w:tcW w:w="2051" w:type="pct"/>
                  <w:shd w:val="clear" w:color="auto" w:fill="auto"/>
                  <w:noWrap w:val="0"/>
                  <w:tcMar>
                    <w:left w:w="57" w:type="dxa"/>
                    <w:right w:w="57" w:type="dxa"/>
                  </w:tcMar>
                  <w:vAlign w:val="center"/>
                </w:tcPr>
                <w:p w14:paraId="6AB3448B">
                  <w:pPr>
                    <w:pStyle w:val="32"/>
                    <w:bidi w:val="0"/>
                    <w:spacing w:beforeLines="0" w:afterLines="0" w:line="240" w:lineRule="auto"/>
                    <w:ind w:firstLine="0" w:firstLineChars="0"/>
                    <w:rPr>
                      <w:rFonts w:hint="eastAsia" w:ascii="Times New Roman" w:hAnsi="Times New Roman" w:eastAsia="宋体" w:cs="Times New Roman"/>
                      <w:snapToGrid/>
                      <w:color w:val="000000"/>
                      <w:kern w:val="0"/>
                      <w:sz w:val="21"/>
                      <w:szCs w:val="20"/>
                      <w:lang w:val="en-US" w:eastAsia="zh-CN" w:bidi="ar-SA"/>
                    </w:rPr>
                  </w:pPr>
                  <w:r>
                    <w:rPr>
                      <w:rFonts w:hint="eastAsia" w:ascii="Times New Roman" w:hAnsi="Times New Roman" w:eastAsia="宋体" w:cs="Times New Roman"/>
                      <w:sz w:val="21"/>
                      <w:lang w:val="en-US" w:eastAsia="zh-CN"/>
                    </w:rPr>
                    <w:t>有组织排放浓度</w:t>
                  </w:r>
                  <w:r>
                    <w:rPr>
                      <w:rFonts w:hint="eastAsia" w:cs="Times New Roman"/>
                      <w:sz w:val="21"/>
                      <w:lang w:val="en-US" w:eastAsia="zh-CN"/>
                    </w:rPr>
                    <w:t>8</w:t>
                  </w:r>
                  <w:r>
                    <w:rPr>
                      <w:rFonts w:hint="default" w:ascii="Times New Roman" w:hAnsi="Times New Roman" w:cs="Times New Roman"/>
                    </w:rPr>
                    <w:t>0mg/m</w:t>
                  </w:r>
                  <w:r>
                    <w:rPr>
                      <w:rFonts w:hint="default" w:ascii="Times New Roman" w:hAnsi="Times New Roman" w:cs="Times New Roman"/>
                      <w:vertAlign w:val="superscript"/>
                    </w:rPr>
                    <w:t>3</w:t>
                  </w:r>
                </w:p>
              </w:tc>
            </w:tr>
            <w:tr w14:paraId="4C4DE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537" w:type="pct"/>
                  <w:vMerge w:val="continue"/>
                  <w:noWrap w:val="0"/>
                  <w:vAlign w:val="center"/>
                </w:tcPr>
                <w:p w14:paraId="3C873C5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pPr>
                </w:p>
              </w:tc>
              <w:tc>
                <w:tcPr>
                  <w:tcW w:w="1733" w:type="pct"/>
                  <w:vMerge w:val="continue"/>
                  <w:noWrap w:val="0"/>
                  <w:tcMar>
                    <w:left w:w="57" w:type="dxa"/>
                    <w:right w:w="57" w:type="dxa"/>
                  </w:tcMar>
                  <w:vAlign w:val="center"/>
                </w:tcPr>
                <w:p w14:paraId="63FDE63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pPr>
                </w:p>
              </w:tc>
              <w:tc>
                <w:tcPr>
                  <w:tcW w:w="676" w:type="pct"/>
                  <w:gridSpan w:val="2"/>
                  <w:vMerge w:val="continue"/>
                  <w:noWrap w:val="0"/>
                  <w:tcMar>
                    <w:left w:w="57" w:type="dxa"/>
                    <w:right w:w="57" w:type="dxa"/>
                  </w:tcMar>
                  <w:vAlign w:val="center"/>
                </w:tcPr>
                <w:p w14:paraId="3F787CE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pPr>
                </w:p>
              </w:tc>
              <w:tc>
                <w:tcPr>
                  <w:tcW w:w="2051" w:type="pct"/>
                  <w:shd w:val="clear" w:color="auto" w:fill="auto"/>
                  <w:noWrap w:val="0"/>
                  <w:tcMar>
                    <w:left w:w="57" w:type="dxa"/>
                    <w:right w:w="57" w:type="dxa"/>
                  </w:tcMar>
                  <w:vAlign w:val="center"/>
                </w:tcPr>
                <w:p w14:paraId="3899E5D6">
                  <w:pPr>
                    <w:pStyle w:val="32"/>
                    <w:bidi w:val="0"/>
                    <w:spacing w:beforeLines="0" w:afterLines="0" w:line="240" w:lineRule="auto"/>
                    <w:ind w:firstLine="0" w:firstLineChars="0"/>
                    <w:rPr>
                      <w:rFonts w:hint="eastAsia" w:ascii="Times New Roman" w:hAnsi="Times New Roman" w:eastAsia="宋体" w:cs="Times New Roman"/>
                      <w:snapToGrid/>
                      <w:color w:val="000000"/>
                      <w:kern w:val="0"/>
                      <w:sz w:val="21"/>
                      <w:szCs w:val="20"/>
                      <w:lang w:val="en-US" w:eastAsia="zh-CN" w:bidi="ar-SA"/>
                    </w:rPr>
                  </w:pPr>
                  <w:r>
                    <w:rPr>
                      <w:rFonts w:hint="eastAsia" w:ascii="Times New Roman" w:hAnsi="Times New Roman" w:eastAsia="宋体" w:cs="Times New Roman"/>
                      <w:sz w:val="21"/>
                    </w:rPr>
                    <w:t>工业企业边界建议排放值</w:t>
                  </w:r>
                  <w:r>
                    <w:rPr>
                      <w:rFonts w:hint="eastAsia" w:cs="Times New Roman"/>
                      <w:lang w:val="en-US" w:eastAsia="zh-CN"/>
                    </w:rPr>
                    <w:t>2.0</w:t>
                  </w:r>
                  <w:r>
                    <w:rPr>
                      <w:rFonts w:hint="default" w:ascii="Times New Roman" w:hAnsi="Times New Roman" w:cs="Times New Roman"/>
                    </w:rPr>
                    <w:t>mg/m</w:t>
                  </w:r>
                  <w:r>
                    <w:rPr>
                      <w:rFonts w:hint="default" w:ascii="Times New Roman" w:hAnsi="Times New Roman" w:cs="Times New Roman"/>
                      <w:vertAlign w:val="superscript"/>
                    </w:rPr>
                    <w:t>3</w:t>
                  </w:r>
                </w:p>
              </w:tc>
            </w:tr>
            <w:tr w14:paraId="3130FC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537" w:type="pct"/>
                  <w:vMerge w:val="continue"/>
                  <w:noWrap w:val="0"/>
                  <w:vAlign w:val="center"/>
                </w:tcPr>
                <w:p w14:paraId="6F0E77CA">
                  <w:pPr>
                    <w:pStyle w:val="32"/>
                    <w:bidi w:val="0"/>
                    <w:spacing w:beforeLines="0" w:afterLines="0" w:line="240" w:lineRule="auto"/>
                    <w:ind w:firstLine="0" w:firstLineChars="0"/>
                  </w:pPr>
                </w:p>
              </w:tc>
              <w:tc>
                <w:tcPr>
                  <w:tcW w:w="1733" w:type="pct"/>
                  <w:vMerge w:val="continue"/>
                  <w:noWrap w:val="0"/>
                  <w:tcMar>
                    <w:left w:w="57" w:type="dxa"/>
                    <w:right w:w="57" w:type="dxa"/>
                  </w:tcMar>
                  <w:vAlign w:val="center"/>
                </w:tcPr>
                <w:p w14:paraId="33E8E7AD">
                  <w:pPr>
                    <w:pStyle w:val="32"/>
                    <w:bidi w:val="0"/>
                    <w:spacing w:beforeLines="0" w:afterLines="0" w:line="240" w:lineRule="auto"/>
                    <w:ind w:firstLine="0" w:firstLineChars="0"/>
                  </w:pPr>
                </w:p>
              </w:tc>
              <w:tc>
                <w:tcPr>
                  <w:tcW w:w="676" w:type="pct"/>
                  <w:gridSpan w:val="2"/>
                  <w:vMerge w:val="continue"/>
                  <w:noWrap w:val="0"/>
                  <w:tcMar>
                    <w:left w:w="57" w:type="dxa"/>
                    <w:right w:w="57" w:type="dxa"/>
                  </w:tcMar>
                  <w:vAlign w:val="center"/>
                </w:tcPr>
                <w:p w14:paraId="0DB1C421">
                  <w:pPr>
                    <w:pStyle w:val="32"/>
                    <w:bidi w:val="0"/>
                    <w:spacing w:beforeLines="0" w:afterLines="0" w:line="240" w:lineRule="auto"/>
                    <w:ind w:firstLine="0" w:firstLineChars="0"/>
                  </w:pPr>
                </w:p>
              </w:tc>
              <w:tc>
                <w:tcPr>
                  <w:tcW w:w="2051" w:type="pct"/>
                  <w:shd w:val="clear" w:color="auto" w:fill="auto"/>
                  <w:noWrap w:val="0"/>
                  <w:tcMar>
                    <w:left w:w="57" w:type="dxa"/>
                    <w:right w:w="57" w:type="dxa"/>
                  </w:tcMar>
                  <w:vAlign w:val="center"/>
                </w:tcPr>
                <w:p w14:paraId="05307281">
                  <w:pPr>
                    <w:pStyle w:val="32"/>
                    <w:bidi w:val="0"/>
                    <w:spacing w:beforeLines="0" w:afterLines="0" w:line="240" w:lineRule="auto"/>
                    <w:ind w:firstLine="0" w:firstLineChars="0"/>
                    <w:rPr>
                      <w:rFonts w:hint="eastAsia" w:ascii="Times New Roman" w:hAnsi="Times New Roman" w:eastAsia="宋体" w:cs="Times New Roman"/>
                      <w:sz w:val="21"/>
                    </w:rPr>
                  </w:pPr>
                  <w:r>
                    <w:rPr>
                      <w:rFonts w:hint="eastAsia" w:ascii="Times New Roman" w:hAnsi="Times New Roman" w:eastAsia="宋体" w:cs="Times New Roman"/>
                      <w:sz w:val="21"/>
                      <w:lang w:val="en-US" w:eastAsia="zh-CN"/>
                    </w:rPr>
                    <w:t>生产车间或生产设备边界</w:t>
                  </w:r>
                  <w:r>
                    <w:rPr>
                      <w:rFonts w:hint="eastAsia" w:cs="Times New Roman"/>
                      <w:lang w:val="en-US" w:eastAsia="zh-CN"/>
                    </w:rPr>
                    <w:t>4.0</w:t>
                  </w:r>
                  <w:r>
                    <w:rPr>
                      <w:rFonts w:hint="default" w:ascii="Times New Roman" w:hAnsi="Times New Roman" w:cs="Times New Roman"/>
                    </w:rPr>
                    <w:t>mg/m</w:t>
                  </w:r>
                  <w:r>
                    <w:rPr>
                      <w:rFonts w:hint="default" w:ascii="Times New Roman" w:hAnsi="Times New Roman" w:cs="Times New Roman"/>
                      <w:vertAlign w:val="superscript"/>
                    </w:rPr>
                    <w:t>3</w:t>
                  </w:r>
                </w:p>
              </w:tc>
            </w:tr>
            <w:tr w14:paraId="169EE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37" w:type="pct"/>
                  <w:vMerge w:val="restart"/>
                  <w:noWrap w:val="0"/>
                  <w:vAlign w:val="center"/>
                </w:tcPr>
                <w:p w14:paraId="1912022E">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废水</w:t>
                  </w:r>
                </w:p>
              </w:tc>
              <w:tc>
                <w:tcPr>
                  <w:tcW w:w="1733" w:type="pct"/>
                  <w:vMerge w:val="restart"/>
                  <w:noWrap w:val="0"/>
                  <w:tcMar>
                    <w:left w:w="57" w:type="dxa"/>
                    <w:right w:w="57" w:type="dxa"/>
                  </w:tcMar>
                  <w:vAlign w:val="center"/>
                </w:tcPr>
                <w:p w14:paraId="2C964DD4">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r>
                    <w:rPr>
                      <w:rFonts w:hint="default" w:ascii="Times New Roman" w:hAnsi="Times New Roman" w:cs="Times New Roman"/>
                    </w:rPr>
                    <w:t>《污水综合排放标准》（GB8978-1996）表4 二级</w:t>
                  </w:r>
                </w:p>
              </w:tc>
              <w:tc>
                <w:tcPr>
                  <w:tcW w:w="676" w:type="pct"/>
                  <w:gridSpan w:val="2"/>
                  <w:noWrap w:val="0"/>
                  <w:tcMar>
                    <w:left w:w="57" w:type="dxa"/>
                    <w:right w:w="57" w:type="dxa"/>
                  </w:tcMar>
                  <w:vAlign w:val="center"/>
                </w:tcPr>
                <w:p w14:paraId="1309B581">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color w:val="auto"/>
                    </w:rPr>
                  </w:pPr>
                  <w:r>
                    <w:rPr>
                      <w:rFonts w:hint="default" w:ascii="Times New Roman" w:hAnsi="Times New Roman" w:cs="Times New Roman"/>
                      <w:bCs/>
                      <w:snapToGrid w:val="0"/>
                      <w:color w:val="auto"/>
                      <w:szCs w:val="21"/>
                    </w:rPr>
                    <w:t>COD</w:t>
                  </w:r>
                </w:p>
              </w:tc>
              <w:tc>
                <w:tcPr>
                  <w:tcW w:w="2051" w:type="pct"/>
                  <w:noWrap w:val="0"/>
                  <w:tcMar>
                    <w:left w:w="57" w:type="dxa"/>
                    <w:right w:w="57" w:type="dxa"/>
                  </w:tcMar>
                  <w:vAlign w:val="center"/>
                </w:tcPr>
                <w:p w14:paraId="7C160BA9">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color w:val="auto"/>
                    </w:rPr>
                  </w:pPr>
                  <w:r>
                    <w:rPr>
                      <w:rFonts w:hint="default" w:ascii="Times New Roman" w:hAnsi="Times New Roman" w:cs="Times New Roman"/>
                      <w:bCs/>
                      <w:snapToGrid w:val="0"/>
                      <w:color w:val="auto"/>
                      <w:szCs w:val="21"/>
                    </w:rPr>
                    <w:t>150mg/L</w:t>
                  </w:r>
                </w:p>
              </w:tc>
            </w:tr>
            <w:tr w14:paraId="1A4D3A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37" w:type="pct"/>
                  <w:vMerge w:val="continue"/>
                  <w:noWrap w:val="0"/>
                  <w:vAlign w:val="center"/>
                </w:tcPr>
                <w:p w14:paraId="658079CE">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tcMar>
                    <w:left w:w="57" w:type="dxa"/>
                    <w:right w:w="57" w:type="dxa"/>
                  </w:tcMar>
                  <w:vAlign w:val="center"/>
                </w:tcPr>
                <w:p w14:paraId="52AF7E21">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p>
              </w:tc>
              <w:tc>
                <w:tcPr>
                  <w:tcW w:w="676" w:type="pct"/>
                  <w:gridSpan w:val="2"/>
                  <w:noWrap w:val="0"/>
                  <w:tcMar>
                    <w:left w:w="57" w:type="dxa"/>
                    <w:right w:w="57" w:type="dxa"/>
                  </w:tcMar>
                  <w:vAlign w:val="center"/>
                </w:tcPr>
                <w:p w14:paraId="10708A52">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snapToGrid w:val="0"/>
                      <w:color w:val="auto"/>
                      <w:szCs w:val="21"/>
                    </w:rPr>
                  </w:pPr>
                  <w:r>
                    <w:rPr>
                      <w:rFonts w:hint="default" w:ascii="Times New Roman" w:hAnsi="Times New Roman" w:cs="Times New Roman"/>
                      <w:bCs/>
                      <w:color w:val="auto"/>
                      <w:szCs w:val="21"/>
                    </w:rPr>
                    <w:t>NH</w:t>
                  </w:r>
                  <w:r>
                    <w:rPr>
                      <w:rFonts w:hint="default" w:ascii="Times New Roman" w:hAnsi="Times New Roman" w:cs="Times New Roman"/>
                      <w:bCs/>
                      <w:color w:val="auto"/>
                      <w:szCs w:val="21"/>
                      <w:vertAlign w:val="subscript"/>
                    </w:rPr>
                    <w:t>3</w:t>
                  </w:r>
                  <w:r>
                    <w:rPr>
                      <w:rFonts w:hint="default" w:ascii="Times New Roman" w:hAnsi="Times New Roman" w:cs="Times New Roman"/>
                      <w:bCs/>
                      <w:color w:val="auto"/>
                      <w:szCs w:val="21"/>
                    </w:rPr>
                    <w:t>-N</w:t>
                  </w:r>
                </w:p>
              </w:tc>
              <w:tc>
                <w:tcPr>
                  <w:tcW w:w="2051" w:type="pct"/>
                  <w:noWrap w:val="0"/>
                  <w:tcMar>
                    <w:left w:w="57" w:type="dxa"/>
                    <w:right w:w="57" w:type="dxa"/>
                  </w:tcMar>
                  <w:vAlign w:val="center"/>
                </w:tcPr>
                <w:p w14:paraId="354F5C7C">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color w:val="auto"/>
                    </w:rPr>
                  </w:pPr>
                  <w:r>
                    <w:rPr>
                      <w:rFonts w:hint="default" w:ascii="Times New Roman" w:hAnsi="Times New Roman" w:cs="Times New Roman"/>
                      <w:bCs/>
                      <w:snapToGrid w:val="0"/>
                      <w:color w:val="auto"/>
                      <w:szCs w:val="21"/>
                    </w:rPr>
                    <w:t>25mg/L</w:t>
                  </w:r>
                </w:p>
              </w:tc>
            </w:tr>
            <w:tr w14:paraId="3A5C4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7" w:type="pct"/>
                  <w:vMerge w:val="continue"/>
                  <w:noWrap w:val="0"/>
                  <w:vAlign w:val="center"/>
                </w:tcPr>
                <w:p w14:paraId="54ECA01D">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tcMar>
                    <w:left w:w="57" w:type="dxa"/>
                    <w:right w:w="57" w:type="dxa"/>
                  </w:tcMar>
                  <w:vAlign w:val="center"/>
                </w:tcPr>
                <w:p w14:paraId="531D2820">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p>
              </w:tc>
              <w:tc>
                <w:tcPr>
                  <w:tcW w:w="676" w:type="pct"/>
                  <w:gridSpan w:val="2"/>
                  <w:noWrap w:val="0"/>
                  <w:tcMar>
                    <w:left w:w="57" w:type="dxa"/>
                    <w:right w:w="57" w:type="dxa"/>
                  </w:tcMar>
                  <w:vAlign w:val="center"/>
                </w:tcPr>
                <w:p w14:paraId="247509C7">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snapToGrid w:val="0"/>
                      <w:color w:val="auto"/>
                      <w:szCs w:val="21"/>
                    </w:rPr>
                  </w:pPr>
                  <w:r>
                    <w:rPr>
                      <w:rFonts w:hint="default" w:ascii="Times New Roman" w:hAnsi="Times New Roman" w:cs="Times New Roman"/>
                      <w:bCs/>
                      <w:snapToGrid w:val="0"/>
                      <w:color w:val="auto"/>
                      <w:szCs w:val="21"/>
                    </w:rPr>
                    <w:t>TP</w:t>
                  </w:r>
                </w:p>
              </w:tc>
              <w:tc>
                <w:tcPr>
                  <w:tcW w:w="2051" w:type="pct"/>
                  <w:noWrap w:val="0"/>
                  <w:tcMar>
                    <w:left w:w="57" w:type="dxa"/>
                    <w:right w:w="57" w:type="dxa"/>
                  </w:tcMar>
                  <w:vAlign w:val="center"/>
                </w:tcPr>
                <w:p w14:paraId="3BFB986B">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color w:val="auto"/>
                    </w:rPr>
                  </w:pPr>
                  <w:r>
                    <w:rPr>
                      <w:rFonts w:hint="default" w:ascii="Times New Roman" w:hAnsi="Times New Roman" w:cs="Times New Roman"/>
                      <w:bCs/>
                      <w:snapToGrid w:val="0"/>
                      <w:color w:val="auto"/>
                      <w:szCs w:val="21"/>
                    </w:rPr>
                    <w:t>1.0mg/L</w:t>
                  </w:r>
                </w:p>
              </w:tc>
            </w:tr>
            <w:tr w14:paraId="3232DE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7" w:type="pct"/>
                  <w:vMerge w:val="continue"/>
                  <w:noWrap w:val="0"/>
                  <w:vAlign w:val="center"/>
                </w:tcPr>
                <w:p w14:paraId="53A743F1">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restart"/>
                  <w:noWrap w:val="0"/>
                  <w:tcMar>
                    <w:left w:w="57" w:type="dxa"/>
                    <w:right w:w="57" w:type="dxa"/>
                  </w:tcMar>
                  <w:vAlign w:val="center"/>
                </w:tcPr>
                <w:p w14:paraId="14B29426">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highlight w:val="none"/>
                    </w:rPr>
                  </w:pPr>
                  <w:r>
                    <w:rPr>
                      <w:rFonts w:hint="eastAsia" w:cs="Times New Roman"/>
                      <w:highlight w:val="none"/>
                      <w:lang w:eastAsia="zh-CN"/>
                    </w:rPr>
                    <w:t>詹店镇</w:t>
                  </w:r>
                  <w:r>
                    <w:rPr>
                      <w:rFonts w:hint="default" w:ascii="Times New Roman" w:hAnsi="Times New Roman" w:cs="Times New Roman"/>
                      <w:highlight w:val="none"/>
                    </w:rPr>
                    <w:t>污水处理厂</w:t>
                  </w:r>
                </w:p>
                <w:p w14:paraId="484A3C20">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r>
                    <w:rPr>
                      <w:rFonts w:hint="default" w:ascii="Times New Roman" w:hAnsi="Times New Roman" w:cs="Times New Roman"/>
                      <w:highlight w:val="none"/>
                    </w:rPr>
                    <w:t>收水水质要求</w:t>
                  </w:r>
                </w:p>
              </w:tc>
              <w:tc>
                <w:tcPr>
                  <w:tcW w:w="676" w:type="pct"/>
                  <w:gridSpan w:val="2"/>
                  <w:noWrap w:val="0"/>
                  <w:tcMar>
                    <w:left w:w="57" w:type="dxa"/>
                    <w:right w:w="57" w:type="dxa"/>
                  </w:tcMar>
                  <w:vAlign w:val="center"/>
                </w:tcPr>
                <w:p w14:paraId="144FD676">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COD</w:t>
                  </w:r>
                </w:p>
              </w:tc>
              <w:tc>
                <w:tcPr>
                  <w:tcW w:w="2051" w:type="pct"/>
                  <w:noWrap w:val="0"/>
                  <w:tcMar>
                    <w:left w:w="57" w:type="dxa"/>
                    <w:right w:w="57" w:type="dxa"/>
                  </w:tcMar>
                  <w:vAlign w:val="center"/>
                </w:tcPr>
                <w:p w14:paraId="462DA347">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eastAsia" w:cs="Times New Roman"/>
                      <w:bCs/>
                      <w:sz w:val="21"/>
                      <w:szCs w:val="21"/>
                      <w:lang w:val="en-US" w:eastAsia="zh-CN"/>
                    </w:rPr>
                    <w:t>360</w:t>
                  </w:r>
                  <w:r>
                    <w:rPr>
                      <w:rFonts w:hint="default" w:ascii="Times New Roman" w:hAnsi="Times New Roman" w:cs="Times New Roman"/>
                      <w:bCs/>
                      <w:sz w:val="21"/>
                      <w:szCs w:val="21"/>
                    </w:rPr>
                    <w:t>mg/L</w:t>
                  </w:r>
                </w:p>
              </w:tc>
            </w:tr>
            <w:tr w14:paraId="2D175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7" w:type="pct"/>
                  <w:vMerge w:val="continue"/>
                  <w:noWrap w:val="0"/>
                  <w:vAlign w:val="center"/>
                </w:tcPr>
                <w:p w14:paraId="0BDE6F5D">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tcMar>
                    <w:left w:w="57" w:type="dxa"/>
                    <w:right w:w="57" w:type="dxa"/>
                  </w:tcMar>
                  <w:vAlign w:val="center"/>
                </w:tcPr>
                <w:p w14:paraId="342105D8">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p>
              </w:tc>
              <w:tc>
                <w:tcPr>
                  <w:tcW w:w="676" w:type="pct"/>
                  <w:gridSpan w:val="2"/>
                  <w:noWrap w:val="0"/>
                  <w:tcMar>
                    <w:left w:w="57" w:type="dxa"/>
                    <w:right w:w="57" w:type="dxa"/>
                  </w:tcMar>
                  <w:vAlign w:val="center"/>
                </w:tcPr>
                <w:p w14:paraId="7090C7E5">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NH</w:t>
                  </w:r>
                  <w:r>
                    <w:rPr>
                      <w:rFonts w:hint="default" w:ascii="Times New Roman" w:hAnsi="Times New Roman" w:cs="Times New Roman"/>
                      <w:bCs/>
                      <w:sz w:val="21"/>
                      <w:szCs w:val="21"/>
                      <w:vertAlign w:val="subscript"/>
                    </w:rPr>
                    <w:t>3</w:t>
                  </w:r>
                  <w:r>
                    <w:rPr>
                      <w:rFonts w:hint="default" w:ascii="Times New Roman" w:hAnsi="Times New Roman" w:cs="Times New Roman"/>
                      <w:bCs/>
                      <w:sz w:val="21"/>
                      <w:szCs w:val="21"/>
                    </w:rPr>
                    <w:t>-N</w:t>
                  </w:r>
                </w:p>
              </w:tc>
              <w:tc>
                <w:tcPr>
                  <w:tcW w:w="2051" w:type="pct"/>
                  <w:noWrap w:val="0"/>
                  <w:tcMar>
                    <w:left w:w="57" w:type="dxa"/>
                    <w:right w:w="57" w:type="dxa"/>
                  </w:tcMar>
                  <w:vAlign w:val="center"/>
                </w:tcPr>
                <w:p w14:paraId="44603657">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eastAsia" w:cs="Times New Roman"/>
                      <w:bCs/>
                      <w:sz w:val="21"/>
                      <w:szCs w:val="21"/>
                      <w:lang w:val="en-US" w:eastAsia="zh-CN"/>
                    </w:rPr>
                    <w:t>38</w:t>
                  </w:r>
                  <w:r>
                    <w:rPr>
                      <w:rFonts w:hint="default" w:ascii="Times New Roman" w:hAnsi="Times New Roman" w:cs="Times New Roman"/>
                      <w:bCs/>
                      <w:sz w:val="21"/>
                      <w:szCs w:val="21"/>
                    </w:rPr>
                    <w:t>mg/L</w:t>
                  </w:r>
                </w:p>
              </w:tc>
            </w:tr>
            <w:tr w14:paraId="267A2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7" w:type="pct"/>
                  <w:vMerge w:val="continue"/>
                  <w:noWrap w:val="0"/>
                  <w:vAlign w:val="center"/>
                </w:tcPr>
                <w:p w14:paraId="45546509">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tcMar>
                    <w:left w:w="57" w:type="dxa"/>
                    <w:right w:w="57" w:type="dxa"/>
                  </w:tcMar>
                  <w:vAlign w:val="center"/>
                </w:tcPr>
                <w:p w14:paraId="7915D30B">
                  <w:pPr>
                    <w:pStyle w:val="21"/>
                    <w:keepNext w:val="0"/>
                    <w:keepLines w:val="0"/>
                    <w:pageBreakBefore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rPr>
                  </w:pPr>
                </w:p>
              </w:tc>
              <w:tc>
                <w:tcPr>
                  <w:tcW w:w="676" w:type="pct"/>
                  <w:gridSpan w:val="2"/>
                  <w:noWrap w:val="0"/>
                  <w:tcMar>
                    <w:left w:w="57" w:type="dxa"/>
                    <w:right w:w="57" w:type="dxa"/>
                  </w:tcMar>
                  <w:vAlign w:val="center"/>
                </w:tcPr>
                <w:p w14:paraId="78841B8C">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snapToGrid w:val="0"/>
                      <w:color w:val="auto"/>
                      <w:szCs w:val="21"/>
                    </w:rPr>
                  </w:pPr>
                  <w:r>
                    <w:rPr>
                      <w:rFonts w:hint="default" w:ascii="Times New Roman" w:hAnsi="Times New Roman" w:cs="Times New Roman"/>
                      <w:bCs/>
                      <w:snapToGrid w:val="0"/>
                      <w:color w:val="auto"/>
                      <w:szCs w:val="21"/>
                    </w:rPr>
                    <w:t>TP</w:t>
                  </w:r>
                </w:p>
              </w:tc>
              <w:tc>
                <w:tcPr>
                  <w:tcW w:w="2051" w:type="pct"/>
                  <w:noWrap w:val="0"/>
                  <w:tcMar>
                    <w:left w:w="57" w:type="dxa"/>
                    <w:right w:w="57" w:type="dxa"/>
                  </w:tcMar>
                  <w:vAlign w:val="center"/>
                </w:tcPr>
                <w:p w14:paraId="091902B9">
                  <w:pPr>
                    <w:pStyle w:val="32"/>
                    <w:keepNext w:val="0"/>
                    <w:keepLines w:val="0"/>
                    <w:pageBreakBefore w:val="0"/>
                    <w:kinsoku/>
                    <w:wordWrap/>
                    <w:overflowPunct/>
                    <w:topLinePunct w:val="0"/>
                    <w:autoSpaceDE/>
                    <w:autoSpaceDN/>
                    <w:bidi w:val="0"/>
                    <w:snapToGrid w:val="0"/>
                    <w:spacing w:line="360" w:lineRule="exact"/>
                    <w:ind w:firstLine="0" w:firstLineChars="0"/>
                    <w:textAlignment w:val="auto"/>
                    <w:rPr>
                      <w:rFonts w:hint="default" w:ascii="Times New Roman" w:hAnsi="Times New Roman" w:cs="Times New Roman"/>
                      <w:bCs/>
                      <w:color w:val="auto"/>
                    </w:rPr>
                  </w:pPr>
                  <w:r>
                    <w:rPr>
                      <w:rFonts w:hint="eastAsia" w:cs="Times New Roman"/>
                      <w:bCs/>
                      <w:snapToGrid w:val="0"/>
                      <w:color w:val="auto"/>
                      <w:szCs w:val="21"/>
                      <w:lang w:val="en-US" w:eastAsia="zh-CN"/>
                    </w:rPr>
                    <w:t>4</w:t>
                  </w:r>
                  <w:r>
                    <w:rPr>
                      <w:rFonts w:hint="default" w:ascii="Times New Roman" w:hAnsi="Times New Roman" w:cs="Times New Roman"/>
                      <w:bCs/>
                      <w:snapToGrid w:val="0"/>
                      <w:color w:val="auto"/>
                      <w:szCs w:val="21"/>
                    </w:rPr>
                    <w:t>.0mg/L</w:t>
                  </w:r>
                </w:p>
              </w:tc>
            </w:tr>
            <w:tr w14:paraId="5440D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537" w:type="pct"/>
                  <w:vMerge w:val="restart"/>
                  <w:noWrap w:val="0"/>
                  <w:vAlign w:val="center"/>
                </w:tcPr>
                <w:p w14:paraId="015F99C5">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噪声</w:t>
                  </w:r>
                </w:p>
              </w:tc>
              <w:tc>
                <w:tcPr>
                  <w:tcW w:w="1733" w:type="pct"/>
                  <w:vMerge w:val="restart"/>
                  <w:noWrap w:val="0"/>
                  <w:vAlign w:val="center"/>
                </w:tcPr>
                <w:p w14:paraId="1B8D1786">
                  <w:pPr>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《工业企业厂界环境噪声排放标准》（GB12348-2008）3类</w:t>
                  </w:r>
                </w:p>
              </w:tc>
              <w:tc>
                <w:tcPr>
                  <w:tcW w:w="676" w:type="pct"/>
                  <w:gridSpan w:val="2"/>
                  <w:vMerge w:val="restart"/>
                  <w:noWrap w:val="0"/>
                  <w:vAlign w:val="center"/>
                </w:tcPr>
                <w:p w14:paraId="7637FE29">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连续等效</w:t>
                  </w:r>
                </w:p>
                <w:p w14:paraId="6464B39B">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A声级</w:t>
                  </w:r>
                </w:p>
              </w:tc>
              <w:tc>
                <w:tcPr>
                  <w:tcW w:w="2051" w:type="pct"/>
                  <w:noWrap w:val="0"/>
                  <w:vAlign w:val="center"/>
                </w:tcPr>
                <w:p w14:paraId="45DC9801">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昼间65dB(A)</w:t>
                  </w:r>
                </w:p>
              </w:tc>
            </w:tr>
            <w:tr w14:paraId="5F6DE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537" w:type="pct"/>
                  <w:vMerge w:val="continue"/>
                  <w:tcBorders>
                    <w:top w:val="nil"/>
                  </w:tcBorders>
                  <w:noWrap w:val="0"/>
                  <w:vAlign w:val="center"/>
                </w:tcPr>
                <w:p w14:paraId="48E892C9">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1733" w:type="pct"/>
                  <w:vMerge w:val="continue"/>
                  <w:noWrap w:val="0"/>
                  <w:vAlign w:val="center"/>
                </w:tcPr>
                <w:p w14:paraId="31245D8D">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676" w:type="pct"/>
                  <w:gridSpan w:val="2"/>
                  <w:vMerge w:val="continue"/>
                  <w:tcBorders>
                    <w:top w:val="nil"/>
                  </w:tcBorders>
                  <w:noWrap w:val="0"/>
                  <w:vAlign w:val="center"/>
                </w:tcPr>
                <w:p w14:paraId="1DFF737C">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p>
              </w:tc>
              <w:tc>
                <w:tcPr>
                  <w:tcW w:w="2051" w:type="pct"/>
                  <w:noWrap w:val="0"/>
                  <w:vAlign w:val="center"/>
                </w:tcPr>
                <w:p w14:paraId="32865D8A">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夜间55dB(A)</w:t>
                  </w:r>
                </w:p>
              </w:tc>
            </w:tr>
            <w:tr w14:paraId="5F222A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37" w:type="pct"/>
                  <w:vMerge w:val="restart"/>
                  <w:noWrap w:val="0"/>
                  <w:vAlign w:val="center"/>
                </w:tcPr>
                <w:p w14:paraId="756DBDF6">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固废</w:t>
                  </w:r>
                </w:p>
              </w:tc>
              <w:tc>
                <w:tcPr>
                  <w:tcW w:w="2072" w:type="pct"/>
                  <w:gridSpan w:val="2"/>
                  <w:noWrap w:val="0"/>
                  <w:vAlign w:val="center"/>
                </w:tcPr>
                <w:p w14:paraId="0BEE9831">
                  <w:pPr>
                    <w:keepNext w:val="0"/>
                    <w:keepLines w:val="0"/>
                    <w:pageBreakBefore w:val="0"/>
                    <w:widowControl/>
                    <w:kinsoku/>
                    <w:wordWrap/>
                    <w:overflowPunct/>
                    <w:topLinePunct w:val="0"/>
                    <w:autoSpaceDE/>
                    <w:autoSpaceDN/>
                    <w:bidi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kern w:val="0"/>
                      <w:sz w:val="21"/>
                      <w:szCs w:val="20"/>
                    </w:rPr>
                    <w:t>一般工业固体废物</w:t>
                  </w:r>
                </w:p>
              </w:tc>
              <w:tc>
                <w:tcPr>
                  <w:tcW w:w="2389" w:type="pct"/>
                  <w:gridSpan w:val="2"/>
                  <w:noWrap w:val="0"/>
                  <w:vAlign w:val="center"/>
                </w:tcPr>
                <w:p w14:paraId="5F5080D9">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《一般工业固体废物贮存和填埋污染控制标准》（GB18599-2020）</w:t>
                  </w:r>
                </w:p>
              </w:tc>
            </w:tr>
            <w:tr w14:paraId="69673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37" w:type="pct"/>
                  <w:vMerge w:val="continue"/>
                  <w:noWrap w:val="0"/>
                  <w:vAlign w:val="center"/>
                </w:tcPr>
                <w:p w14:paraId="489D03CB">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rPr>
                  </w:pPr>
                </w:p>
              </w:tc>
              <w:tc>
                <w:tcPr>
                  <w:tcW w:w="2072" w:type="pct"/>
                  <w:gridSpan w:val="2"/>
                  <w:noWrap w:val="0"/>
                  <w:vAlign w:val="center"/>
                </w:tcPr>
                <w:p w14:paraId="71849C78">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kern w:val="0"/>
                      <w:sz w:val="21"/>
                      <w:szCs w:val="20"/>
                    </w:rPr>
                  </w:pPr>
                  <w:r>
                    <w:rPr>
                      <w:rFonts w:hint="default" w:ascii="Times New Roman" w:hAnsi="Times New Roman" w:cs="Times New Roman"/>
                      <w:kern w:val="0"/>
                      <w:sz w:val="21"/>
                      <w:szCs w:val="20"/>
                    </w:rPr>
                    <w:t>危险废物</w:t>
                  </w:r>
                </w:p>
              </w:tc>
              <w:tc>
                <w:tcPr>
                  <w:tcW w:w="2389" w:type="pct"/>
                  <w:gridSpan w:val="2"/>
                  <w:noWrap w:val="0"/>
                  <w:vAlign w:val="center"/>
                </w:tcPr>
                <w:p w14:paraId="67865B27">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kern w:val="0"/>
                      <w:sz w:val="21"/>
                      <w:szCs w:val="20"/>
                    </w:rPr>
                  </w:pPr>
                  <w:r>
                    <w:rPr>
                      <w:rFonts w:hint="default" w:ascii="Times New Roman" w:hAnsi="Times New Roman" w:cs="Times New Roman"/>
                      <w:kern w:val="0"/>
                      <w:sz w:val="21"/>
                      <w:szCs w:val="20"/>
                    </w:rPr>
                    <w:t>《危险废物贮存污染控制标准》（GB18597-2023）</w:t>
                  </w:r>
                </w:p>
              </w:tc>
            </w:tr>
          </w:tbl>
          <w:p w14:paraId="334AE39D">
            <w:pPr>
              <w:pStyle w:val="26"/>
              <w:ind w:left="0" w:leftChars="0" w:firstLine="0" w:firstLineChars="0"/>
              <w:rPr>
                <w:rFonts w:hint="default" w:ascii="Times New Roman" w:hAnsi="Times New Roman" w:cs="Times New Roman"/>
                <w:b/>
              </w:rPr>
            </w:pPr>
          </w:p>
        </w:tc>
      </w:tr>
      <w:tr w14:paraId="2D0AC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54" w:hRule="atLeast"/>
          <w:jc w:val="center"/>
        </w:trPr>
        <w:tc>
          <w:tcPr>
            <w:tcW w:w="712" w:type="dxa"/>
            <w:noWrap w:val="0"/>
            <w:vAlign w:val="center"/>
          </w:tcPr>
          <w:p w14:paraId="64A2769B">
            <w:pPr>
              <w:adjustRightInd w:val="0"/>
              <w:snapToGrid w:val="0"/>
              <w:spacing w:line="240" w:lineRule="auto"/>
              <w:ind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总量控制指标</w:t>
            </w:r>
          </w:p>
        </w:tc>
        <w:tc>
          <w:tcPr>
            <w:tcW w:w="8349" w:type="dxa"/>
            <w:noWrap w:val="0"/>
            <w:vAlign w:val="center"/>
          </w:tcPr>
          <w:tbl>
            <w:tblPr>
              <w:tblStyle w:val="15"/>
              <w:tblW w:w="81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79"/>
              <w:gridCol w:w="1750"/>
              <w:gridCol w:w="960"/>
              <w:gridCol w:w="885"/>
              <w:gridCol w:w="945"/>
              <w:gridCol w:w="885"/>
              <w:gridCol w:w="945"/>
              <w:gridCol w:w="933"/>
            </w:tblGrid>
            <w:tr w14:paraId="397A6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537" w:type="pct"/>
                  <w:vMerge w:val="restart"/>
                  <w:tcBorders>
                    <w:top w:val="single" w:color="000000" w:sz="4" w:space="0"/>
                    <w:left w:val="single" w:color="000000" w:sz="4" w:space="0"/>
                    <w:right w:val="single" w:color="000000" w:sz="4" w:space="0"/>
                  </w:tcBorders>
                  <w:noWrap w:val="0"/>
                  <w:vAlign w:val="center"/>
                </w:tcPr>
                <w:p w14:paraId="180ED67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控制因子</w:t>
                  </w:r>
                </w:p>
              </w:tc>
              <w:tc>
                <w:tcPr>
                  <w:tcW w:w="1069" w:type="pct"/>
                  <w:tcBorders>
                    <w:top w:val="single" w:color="000000" w:sz="4" w:space="0"/>
                    <w:left w:val="single" w:color="000000" w:sz="4" w:space="0"/>
                    <w:right w:val="single" w:color="000000" w:sz="4" w:space="0"/>
                  </w:tcBorders>
                  <w:noWrap w:val="0"/>
                  <w:vAlign w:val="center"/>
                </w:tcPr>
                <w:p w14:paraId="09DB7F2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废气</w:t>
                  </w:r>
                </w:p>
              </w:tc>
              <w:tc>
                <w:tcPr>
                  <w:tcW w:w="3393" w:type="pct"/>
                  <w:gridSpan w:val="6"/>
                  <w:tcBorders>
                    <w:top w:val="single" w:color="000000" w:sz="4" w:space="0"/>
                    <w:left w:val="single" w:color="000000" w:sz="4" w:space="0"/>
                    <w:bottom w:val="single" w:color="000000" w:sz="4" w:space="0"/>
                    <w:right w:val="single" w:color="000000" w:sz="4" w:space="0"/>
                  </w:tcBorders>
                  <w:noWrap w:val="0"/>
                  <w:vAlign w:val="center"/>
                </w:tcPr>
                <w:p w14:paraId="500E563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废水</w:t>
                  </w:r>
                </w:p>
              </w:tc>
            </w:tr>
            <w:tr w14:paraId="16DB1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537" w:type="pct"/>
                  <w:vMerge w:val="continue"/>
                  <w:tcBorders>
                    <w:left w:val="single" w:color="000000" w:sz="4" w:space="0"/>
                    <w:right w:val="single" w:color="000000" w:sz="4" w:space="0"/>
                  </w:tcBorders>
                  <w:noWrap w:val="0"/>
                  <w:vAlign w:val="center"/>
                </w:tcPr>
                <w:p w14:paraId="7A6213D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1069" w:type="pct"/>
                  <w:vMerge w:val="restart"/>
                  <w:tcBorders>
                    <w:top w:val="single" w:color="000000" w:sz="4" w:space="0"/>
                    <w:left w:val="single" w:color="000000" w:sz="4" w:space="0"/>
                    <w:right w:val="single" w:color="000000" w:sz="4" w:space="0"/>
                  </w:tcBorders>
                  <w:noWrap w:val="0"/>
                  <w:vAlign w:val="center"/>
                </w:tcPr>
                <w:p w14:paraId="406DDF4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VOCs</w:t>
                  </w:r>
                </w:p>
              </w:tc>
              <w:tc>
                <w:tcPr>
                  <w:tcW w:w="1127" w:type="pct"/>
                  <w:gridSpan w:val="2"/>
                  <w:tcBorders>
                    <w:top w:val="single" w:color="000000" w:sz="4" w:space="0"/>
                    <w:left w:val="single" w:color="000000" w:sz="4" w:space="0"/>
                    <w:bottom w:val="single" w:color="000000" w:sz="4" w:space="0"/>
                    <w:right w:val="single" w:color="000000" w:sz="4" w:space="0"/>
                  </w:tcBorders>
                  <w:noWrap w:val="0"/>
                  <w:vAlign w:val="center"/>
                </w:tcPr>
                <w:p w14:paraId="56C2482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auto"/>
                      <w:sz w:val="21"/>
                      <w:szCs w:val="21"/>
                      <w:highlight w:val="none"/>
                    </w:rPr>
                    <w:t>COD</w:t>
                  </w:r>
                </w:p>
              </w:tc>
              <w:tc>
                <w:tcPr>
                  <w:tcW w:w="1118" w:type="pct"/>
                  <w:gridSpan w:val="2"/>
                  <w:tcBorders>
                    <w:top w:val="single" w:color="000000" w:sz="4" w:space="0"/>
                    <w:left w:val="single" w:color="000000" w:sz="4" w:space="0"/>
                    <w:bottom w:val="single" w:color="000000" w:sz="4" w:space="0"/>
                    <w:right w:val="single" w:color="000000" w:sz="4" w:space="0"/>
                  </w:tcBorders>
                  <w:noWrap w:val="0"/>
                  <w:vAlign w:val="center"/>
                </w:tcPr>
                <w:p w14:paraId="76C3315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color w:val="auto"/>
                      <w:sz w:val="21"/>
                      <w:szCs w:val="21"/>
                      <w:highlight w:val="none"/>
                    </w:rPr>
                    <w:t>NH</w:t>
                  </w:r>
                  <w:r>
                    <w:rPr>
                      <w:rFonts w:hint="eastAsia" w:ascii="Times New Roman" w:hAnsi="Times New Roman" w:eastAsia="宋体" w:cs="Times New Roman"/>
                      <w:color w:val="auto"/>
                      <w:sz w:val="21"/>
                      <w:szCs w:val="21"/>
                      <w:highlight w:val="none"/>
                      <w:vertAlign w:val="subscript"/>
                    </w:rPr>
                    <w:t>3</w:t>
                  </w:r>
                  <w:r>
                    <w:rPr>
                      <w:rFonts w:hint="eastAsia" w:ascii="Times New Roman" w:hAnsi="Times New Roman" w:eastAsia="宋体" w:cs="Times New Roman"/>
                      <w:color w:val="auto"/>
                      <w:sz w:val="21"/>
                      <w:szCs w:val="21"/>
                      <w:highlight w:val="none"/>
                    </w:rPr>
                    <w:t>-N</w:t>
                  </w:r>
                </w:p>
              </w:tc>
              <w:tc>
                <w:tcPr>
                  <w:tcW w:w="1147" w:type="pct"/>
                  <w:gridSpan w:val="2"/>
                  <w:tcBorders>
                    <w:top w:val="single" w:color="000000" w:sz="4" w:space="0"/>
                    <w:left w:val="single" w:color="000000" w:sz="4" w:space="0"/>
                    <w:bottom w:val="single" w:color="000000" w:sz="4" w:space="0"/>
                    <w:right w:val="single" w:color="000000" w:sz="4" w:space="0"/>
                  </w:tcBorders>
                  <w:noWrap w:val="0"/>
                  <w:vAlign w:val="center"/>
                </w:tcPr>
                <w:p w14:paraId="705CEA0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TP</w:t>
                  </w:r>
                </w:p>
              </w:tc>
            </w:tr>
            <w:tr w14:paraId="75318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537" w:type="pct"/>
                  <w:vMerge w:val="continue"/>
                  <w:tcBorders>
                    <w:left w:val="single" w:color="000000" w:sz="4" w:space="0"/>
                    <w:right w:val="single" w:color="000000" w:sz="4" w:space="0"/>
                  </w:tcBorders>
                  <w:noWrap w:val="0"/>
                  <w:vAlign w:val="center"/>
                </w:tcPr>
                <w:p w14:paraId="4203517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c>
                <w:tcPr>
                  <w:tcW w:w="1069" w:type="pct"/>
                  <w:vMerge w:val="continue"/>
                  <w:tcBorders>
                    <w:left w:val="single" w:color="000000" w:sz="4" w:space="0"/>
                    <w:right w:val="single" w:color="000000" w:sz="4" w:space="0"/>
                  </w:tcBorders>
                  <w:noWrap w:val="0"/>
                  <w:vAlign w:val="center"/>
                </w:tcPr>
                <w:p w14:paraId="135116A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sz w:val="21"/>
                      <w:szCs w:val="21"/>
                      <w:highlight w:val="none"/>
                      <w:lang w:val="en-US" w:eastAsia="zh-CN"/>
                    </w:rPr>
                  </w:pP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0DFA18D2">
                  <w:pPr>
                    <w:pStyle w:val="24"/>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bidi="zh-CN"/>
                    </w:rPr>
                    <w:t>出厂界</w:t>
                  </w:r>
                </w:p>
              </w:tc>
              <w:tc>
                <w:tcPr>
                  <w:tcW w:w="540" w:type="pct"/>
                  <w:tcBorders>
                    <w:top w:val="single" w:color="000000" w:sz="4" w:space="0"/>
                    <w:left w:val="single" w:color="000000" w:sz="4" w:space="0"/>
                    <w:bottom w:val="single" w:color="000000" w:sz="4" w:space="0"/>
                    <w:right w:val="single" w:color="000000" w:sz="4" w:space="0"/>
                  </w:tcBorders>
                  <w:noWrap w:val="0"/>
                  <w:vAlign w:val="center"/>
                </w:tcPr>
                <w:p w14:paraId="4F3EAAB1">
                  <w:pPr>
                    <w:pStyle w:val="24"/>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bidi="zh-CN"/>
                    </w:rPr>
                    <w:t>外环境</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6DF451D5">
                  <w:pPr>
                    <w:pStyle w:val="24"/>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Times New Roman" w:hAnsi="Times New Roman" w:eastAsia="宋体" w:cs="Times New Roman"/>
                      <w:color w:val="auto"/>
                      <w:kern w:val="0"/>
                      <w:sz w:val="21"/>
                      <w:szCs w:val="21"/>
                      <w:highlight w:val="none"/>
                      <w:lang w:val="en-US" w:eastAsia="zh-CN" w:bidi="zh-CN"/>
                    </w:rPr>
                  </w:pPr>
                  <w:r>
                    <w:rPr>
                      <w:rFonts w:hint="eastAsia" w:ascii="Times New Roman" w:hAnsi="Times New Roman" w:eastAsia="宋体" w:cs="Times New Roman"/>
                      <w:color w:val="auto"/>
                      <w:sz w:val="21"/>
                      <w:szCs w:val="21"/>
                      <w:highlight w:val="none"/>
                      <w:lang w:val="en-US" w:eastAsia="zh-CN" w:bidi="zh-CN"/>
                    </w:rPr>
                    <w:t>出厂界</w:t>
                  </w:r>
                </w:p>
              </w:tc>
              <w:tc>
                <w:tcPr>
                  <w:tcW w:w="540" w:type="pct"/>
                  <w:tcBorders>
                    <w:top w:val="single" w:color="000000" w:sz="4" w:space="0"/>
                    <w:left w:val="single" w:color="000000" w:sz="4" w:space="0"/>
                    <w:bottom w:val="single" w:color="000000" w:sz="4" w:space="0"/>
                    <w:right w:val="single" w:color="000000" w:sz="4" w:space="0"/>
                  </w:tcBorders>
                  <w:noWrap w:val="0"/>
                  <w:vAlign w:val="center"/>
                </w:tcPr>
                <w:p w14:paraId="2D65BFB1">
                  <w:pPr>
                    <w:pStyle w:val="24"/>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Times New Roman" w:hAnsi="Times New Roman" w:eastAsia="宋体" w:cs="Times New Roman"/>
                      <w:color w:val="auto"/>
                      <w:kern w:val="0"/>
                      <w:sz w:val="21"/>
                      <w:szCs w:val="21"/>
                      <w:highlight w:val="none"/>
                      <w:lang w:val="en-US" w:eastAsia="zh-CN" w:bidi="zh-CN"/>
                    </w:rPr>
                  </w:pPr>
                  <w:r>
                    <w:rPr>
                      <w:rFonts w:hint="eastAsia" w:ascii="Times New Roman" w:hAnsi="Times New Roman" w:eastAsia="宋体" w:cs="Times New Roman"/>
                      <w:color w:val="auto"/>
                      <w:sz w:val="21"/>
                      <w:szCs w:val="21"/>
                      <w:highlight w:val="none"/>
                      <w:lang w:val="en-US" w:eastAsia="zh-CN" w:bidi="zh-CN"/>
                    </w:rPr>
                    <w:t>外环境</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CD96BF2">
                  <w:pPr>
                    <w:pStyle w:val="24"/>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Times New Roman" w:hAnsi="Times New Roman" w:eastAsia="宋体" w:cs="Times New Roman"/>
                      <w:color w:val="auto"/>
                      <w:kern w:val="0"/>
                      <w:sz w:val="21"/>
                      <w:szCs w:val="21"/>
                      <w:highlight w:val="none"/>
                      <w:lang w:val="en-US" w:eastAsia="zh-CN" w:bidi="zh-CN"/>
                    </w:rPr>
                  </w:pPr>
                  <w:r>
                    <w:rPr>
                      <w:rFonts w:hint="eastAsia" w:ascii="Times New Roman" w:hAnsi="Times New Roman" w:eastAsia="宋体" w:cs="Times New Roman"/>
                      <w:color w:val="auto"/>
                      <w:sz w:val="21"/>
                      <w:szCs w:val="21"/>
                      <w:highlight w:val="none"/>
                      <w:lang w:val="en-US" w:eastAsia="zh-CN" w:bidi="zh-CN"/>
                    </w:rPr>
                    <w:t>出厂界</w:t>
                  </w:r>
                </w:p>
              </w:tc>
              <w:tc>
                <w:tcPr>
                  <w:tcW w:w="570" w:type="pct"/>
                  <w:tcBorders>
                    <w:top w:val="single" w:color="000000" w:sz="4" w:space="0"/>
                    <w:left w:val="single" w:color="000000" w:sz="4" w:space="0"/>
                    <w:bottom w:val="single" w:color="000000" w:sz="4" w:space="0"/>
                    <w:right w:val="single" w:color="000000" w:sz="4" w:space="0"/>
                  </w:tcBorders>
                  <w:noWrap w:val="0"/>
                  <w:vAlign w:val="center"/>
                </w:tcPr>
                <w:p w14:paraId="1824EC7C">
                  <w:pPr>
                    <w:pStyle w:val="24"/>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Times New Roman" w:hAnsi="Times New Roman" w:eastAsia="宋体" w:cs="Times New Roman"/>
                      <w:color w:val="auto"/>
                      <w:kern w:val="0"/>
                      <w:sz w:val="21"/>
                      <w:szCs w:val="21"/>
                      <w:highlight w:val="none"/>
                      <w:lang w:val="en-US" w:eastAsia="zh-CN" w:bidi="zh-CN"/>
                    </w:rPr>
                  </w:pPr>
                  <w:r>
                    <w:rPr>
                      <w:rFonts w:hint="eastAsia" w:ascii="Times New Roman" w:hAnsi="Times New Roman" w:eastAsia="宋体" w:cs="Times New Roman"/>
                      <w:color w:val="auto"/>
                      <w:sz w:val="21"/>
                      <w:szCs w:val="21"/>
                      <w:highlight w:val="none"/>
                      <w:lang w:val="en-US" w:eastAsia="zh-CN" w:bidi="zh-CN"/>
                    </w:rPr>
                    <w:t>外环境</w:t>
                  </w:r>
                </w:p>
              </w:tc>
            </w:tr>
            <w:tr w14:paraId="1100B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jc w:val="center"/>
              </w:trPr>
              <w:tc>
                <w:tcPr>
                  <w:tcW w:w="537" w:type="pct"/>
                  <w:tcBorders>
                    <w:top w:val="single" w:color="000000" w:sz="4" w:space="0"/>
                    <w:left w:val="single" w:color="000000" w:sz="4" w:space="0"/>
                    <w:bottom w:val="single" w:color="000000" w:sz="4" w:space="0"/>
                    <w:right w:val="single" w:color="000000" w:sz="4" w:space="0"/>
                  </w:tcBorders>
                  <w:noWrap w:val="0"/>
                  <w:vAlign w:val="center"/>
                </w:tcPr>
                <w:p w14:paraId="17C1C0B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总量控制指标（t/a)</w:t>
                  </w:r>
                </w:p>
              </w:tc>
              <w:tc>
                <w:tcPr>
                  <w:tcW w:w="1069" w:type="pct"/>
                  <w:tcBorders>
                    <w:top w:val="single" w:color="000000" w:sz="4" w:space="0"/>
                    <w:left w:val="single" w:color="000000" w:sz="4" w:space="0"/>
                    <w:bottom w:val="single" w:color="000000" w:sz="4" w:space="0"/>
                    <w:right w:val="single" w:color="000000" w:sz="4" w:space="0"/>
                  </w:tcBorders>
                  <w:noWrap w:val="0"/>
                  <w:vAlign w:val="center"/>
                </w:tcPr>
                <w:p w14:paraId="7A25083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0.1281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14:paraId="16CEB38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黑体" w:cs="Times New Roman"/>
                      <w:b w:val="0"/>
                      <w:bCs/>
                      <w:color w:val="auto"/>
                      <w:kern w:val="2"/>
                      <w:sz w:val="21"/>
                      <w:szCs w:val="21"/>
                      <w:highlight w:val="none"/>
                      <w:u w:val="none"/>
                      <w:lang w:val="en-US" w:eastAsia="zh-CN" w:bidi="ar-SA"/>
                    </w:rPr>
                  </w:pPr>
                  <w:r>
                    <w:rPr>
                      <w:rFonts w:hint="eastAsia" w:ascii="Times New Roman" w:hAnsi="Times New Roman" w:eastAsia="黑体" w:cs="Times New Roman"/>
                      <w:b w:val="0"/>
                      <w:bCs/>
                      <w:color w:val="auto"/>
                      <w:kern w:val="2"/>
                      <w:sz w:val="21"/>
                      <w:szCs w:val="21"/>
                      <w:highlight w:val="none"/>
                      <w:u w:val="none"/>
                      <w:lang w:val="en-US" w:eastAsia="zh-CN" w:bidi="ar-SA"/>
                    </w:rPr>
                    <w:t>0.01</w:t>
                  </w:r>
                  <w:r>
                    <w:rPr>
                      <w:rFonts w:hint="eastAsia" w:eastAsia="黑体" w:cs="Times New Roman"/>
                      <w:b w:val="0"/>
                      <w:bCs/>
                      <w:color w:val="auto"/>
                      <w:kern w:val="2"/>
                      <w:sz w:val="21"/>
                      <w:szCs w:val="21"/>
                      <w:highlight w:val="none"/>
                      <w:u w:val="none"/>
                      <w:lang w:val="en-US" w:eastAsia="zh-CN" w:bidi="ar-SA"/>
                    </w:rPr>
                    <w:t>8</w:t>
                  </w:r>
                </w:p>
              </w:tc>
              <w:tc>
                <w:tcPr>
                  <w:tcW w:w="540" w:type="pct"/>
                  <w:tcBorders>
                    <w:top w:val="single" w:color="000000" w:sz="4" w:space="0"/>
                    <w:left w:val="single" w:color="000000" w:sz="4" w:space="0"/>
                    <w:bottom w:val="single" w:color="000000" w:sz="4" w:space="0"/>
                    <w:right w:val="single" w:color="000000" w:sz="4" w:space="0"/>
                  </w:tcBorders>
                  <w:noWrap w:val="0"/>
                  <w:vAlign w:val="center"/>
                </w:tcPr>
                <w:p w14:paraId="7AB8419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0.006</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EF6478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w:t>
                  </w:r>
                  <w:r>
                    <w:rPr>
                      <w:rFonts w:hint="eastAsia" w:cs="Times New Roman"/>
                      <w:sz w:val="21"/>
                      <w:szCs w:val="21"/>
                      <w:highlight w:val="none"/>
                      <w:lang w:val="en-US" w:eastAsia="zh-CN"/>
                    </w:rPr>
                    <w:t>052</w:t>
                  </w:r>
                </w:p>
              </w:tc>
              <w:tc>
                <w:tcPr>
                  <w:tcW w:w="540" w:type="pct"/>
                  <w:tcBorders>
                    <w:top w:val="single" w:color="000000" w:sz="4" w:space="0"/>
                    <w:left w:val="single" w:color="000000" w:sz="4" w:space="0"/>
                    <w:bottom w:val="single" w:color="000000" w:sz="4" w:space="0"/>
                    <w:right w:val="single" w:color="000000" w:sz="4" w:space="0"/>
                  </w:tcBorders>
                  <w:noWrap w:val="0"/>
                  <w:vAlign w:val="center"/>
                </w:tcPr>
                <w:p w14:paraId="1EF20F5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w:t>
                  </w:r>
                  <w:r>
                    <w:rPr>
                      <w:rFonts w:hint="eastAsia" w:cs="Times New Roman"/>
                      <w:bCs/>
                      <w:color w:val="auto"/>
                      <w:kern w:val="2"/>
                      <w:sz w:val="21"/>
                      <w:szCs w:val="21"/>
                      <w:highlight w:val="none"/>
                      <w:lang w:val="en-US" w:eastAsia="zh-CN" w:bidi="ar-SA"/>
                    </w:rPr>
                    <w:t>06</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5447019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0.0001</w:t>
                  </w:r>
                </w:p>
              </w:tc>
              <w:tc>
                <w:tcPr>
                  <w:tcW w:w="570" w:type="pct"/>
                  <w:tcBorders>
                    <w:top w:val="single" w:color="000000" w:sz="4" w:space="0"/>
                    <w:left w:val="single" w:color="000000" w:sz="4" w:space="0"/>
                    <w:bottom w:val="single" w:color="000000" w:sz="4" w:space="0"/>
                    <w:right w:val="single" w:color="000000" w:sz="4" w:space="0"/>
                  </w:tcBorders>
                  <w:noWrap w:val="0"/>
                  <w:vAlign w:val="center"/>
                </w:tcPr>
                <w:p w14:paraId="2863B3D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0.00006</w:t>
                  </w:r>
                </w:p>
              </w:tc>
            </w:tr>
          </w:tbl>
          <w:p w14:paraId="1E41FF57">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jc w:val="both"/>
              <w:textAlignment w:val="auto"/>
              <w:rPr>
                <w:rFonts w:hint="eastAsia" w:ascii="Times New Roman" w:hAnsi="Times New Roman" w:eastAsia="宋体" w:cs="Times New Roman"/>
                <w:bCs/>
                <w:lang w:eastAsia="zh-CN"/>
              </w:rPr>
            </w:pPr>
            <w:r>
              <w:rPr>
                <w:rFonts w:hint="default" w:ascii="Times New Roman" w:hAnsi="Times New Roman" w:cs="Times New Roman"/>
                <w:sz w:val="24"/>
                <w:szCs w:val="24"/>
                <w:highlight w:val="none"/>
                <w:lang w:eastAsia="zh-CN"/>
              </w:rPr>
              <w:t>项目新增废水</w:t>
            </w:r>
            <w:r>
              <w:rPr>
                <w:rFonts w:hint="eastAsia" w:cs="Times New Roman"/>
                <w:sz w:val="24"/>
                <w:szCs w:val="24"/>
                <w:highlight w:val="none"/>
                <w:lang w:eastAsia="zh-CN"/>
              </w:rPr>
              <w:t>外排</w:t>
            </w:r>
            <w:r>
              <w:rPr>
                <w:rFonts w:hint="default" w:ascii="Times New Roman" w:hAnsi="Times New Roman" w:cs="Times New Roman"/>
                <w:sz w:val="24"/>
                <w:szCs w:val="24"/>
                <w:highlight w:val="none"/>
                <w:lang w:eastAsia="zh-CN"/>
              </w:rPr>
              <w:t>污染物COD、</w:t>
            </w:r>
            <w:r>
              <w:rPr>
                <w:rFonts w:hint="default" w:ascii="Times New Roman" w:hAnsi="Times New Roman" w:cs="Times New Roman"/>
                <w:sz w:val="24"/>
                <w:szCs w:val="24"/>
                <w:highlight w:val="none"/>
                <w:lang w:val="en-US" w:eastAsia="zh-CN"/>
              </w:rPr>
              <w:t>NH</w:t>
            </w:r>
            <w:r>
              <w:rPr>
                <w:rFonts w:hint="default" w:ascii="Times New Roman" w:hAnsi="Times New Roman" w:cs="Times New Roman"/>
                <w:sz w:val="24"/>
                <w:szCs w:val="24"/>
                <w:highlight w:val="none"/>
                <w:vertAlign w:val="subscript"/>
                <w:lang w:val="en-US" w:eastAsia="zh-CN"/>
              </w:rPr>
              <w:t>3</w:t>
            </w:r>
            <w:r>
              <w:rPr>
                <w:rFonts w:hint="default" w:ascii="Times New Roman" w:hAnsi="Times New Roman" w:cs="Times New Roman"/>
                <w:sz w:val="24"/>
                <w:szCs w:val="24"/>
                <w:highlight w:val="none"/>
                <w:lang w:val="en-US" w:eastAsia="zh-CN"/>
              </w:rPr>
              <w:t>-N</w:t>
            </w:r>
            <w:r>
              <w:rPr>
                <w:rFonts w:hint="default" w:ascii="Times New Roman" w:hAnsi="Times New Roman" w:cs="Times New Roman"/>
                <w:sz w:val="24"/>
                <w:szCs w:val="24"/>
                <w:highlight w:val="none"/>
                <w:lang w:eastAsia="zh-CN"/>
              </w:rPr>
              <w:t>分别为0.</w:t>
            </w:r>
            <w:r>
              <w:rPr>
                <w:rFonts w:hint="eastAsia" w:cs="Times New Roman"/>
                <w:sz w:val="24"/>
                <w:szCs w:val="24"/>
                <w:highlight w:val="none"/>
                <w:lang w:val="en-US" w:eastAsia="zh-CN"/>
              </w:rPr>
              <w:t>018</w:t>
            </w:r>
            <w:r>
              <w:rPr>
                <w:rFonts w:hint="default" w:ascii="Times New Roman" w:hAnsi="Times New Roman" w:cs="Times New Roman"/>
                <w:sz w:val="24"/>
                <w:szCs w:val="24"/>
                <w:highlight w:val="none"/>
                <w:lang w:eastAsia="zh-CN"/>
              </w:rPr>
              <w:t>t/a、0.0</w:t>
            </w:r>
            <w:r>
              <w:rPr>
                <w:rFonts w:hint="eastAsia" w:cs="Times New Roman"/>
                <w:sz w:val="24"/>
                <w:szCs w:val="24"/>
                <w:highlight w:val="none"/>
                <w:lang w:val="en-US" w:eastAsia="zh-CN"/>
              </w:rPr>
              <w:t>052</w:t>
            </w:r>
            <w:r>
              <w:rPr>
                <w:rFonts w:hint="default" w:ascii="Times New Roman" w:hAnsi="Times New Roman" w:cs="Times New Roman"/>
                <w:sz w:val="24"/>
                <w:szCs w:val="24"/>
                <w:highlight w:val="none"/>
                <w:lang w:eastAsia="zh-CN"/>
              </w:rPr>
              <w:t>t/a，</w:t>
            </w:r>
            <w:r>
              <w:rPr>
                <w:rFonts w:hint="eastAsia" w:cs="Times New Roman"/>
                <w:sz w:val="24"/>
                <w:szCs w:val="24"/>
                <w:highlight w:val="none"/>
                <w:lang w:eastAsia="zh-CN"/>
              </w:rPr>
              <w:t>排入外环境</w:t>
            </w:r>
            <w:r>
              <w:rPr>
                <w:rFonts w:hint="default" w:ascii="Times New Roman" w:hAnsi="Times New Roman" w:cs="Times New Roman"/>
                <w:sz w:val="24"/>
                <w:szCs w:val="24"/>
                <w:highlight w:val="none"/>
                <w:lang w:eastAsia="zh-CN"/>
              </w:rPr>
              <w:t>COD、</w:t>
            </w:r>
            <w:r>
              <w:rPr>
                <w:rFonts w:hint="default" w:ascii="Times New Roman" w:hAnsi="Times New Roman" w:cs="Times New Roman"/>
                <w:sz w:val="24"/>
                <w:szCs w:val="24"/>
                <w:highlight w:val="none"/>
                <w:lang w:val="en-US" w:eastAsia="zh-CN"/>
              </w:rPr>
              <w:t>NH</w:t>
            </w:r>
            <w:r>
              <w:rPr>
                <w:rFonts w:hint="default" w:ascii="Times New Roman" w:hAnsi="Times New Roman" w:cs="Times New Roman"/>
                <w:sz w:val="24"/>
                <w:szCs w:val="24"/>
                <w:highlight w:val="none"/>
                <w:vertAlign w:val="subscript"/>
                <w:lang w:val="en-US" w:eastAsia="zh-CN"/>
              </w:rPr>
              <w:t>3</w:t>
            </w:r>
            <w:r>
              <w:rPr>
                <w:rFonts w:hint="default" w:ascii="Times New Roman" w:hAnsi="Times New Roman" w:cs="Times New Roman"/>
                <w:sz w:val="24"/>
                <w:szCs w:val="24"/>
                <w:highlight w:val="none"/>
                <w:lang w:val="en-US" w:eastAsia="zh-CN"/>
              </w:rPr>
              <w:t>-N</w:t>
            </w:r>
            <w:r>
              <w:rPr>
                <w:rFonts w:hint="eastAsia" w:ascii="Times New Roman" w:hAnsi="Times New Roman" w:cs="Times New Roman"/>
                <w:sz w:val="24"/>
                <w:szCs w:val="24"/>
                <w:highlight w:val="none"/>
                <w:lang w:val="en-US" w:eastAsia="zh-CN"/>
              </w:rPr>
              <w:t>的量</w:t>
            </w:r>
            <w:r>
              <w:rPr>
                <w:rFonts w:hint="default" w:ascii="Times New Roman" w:hAnsi="Times New Roman" w:cs="Times New Roman"/>
                <w:sz w:val="24"/>
                <w:szCs w:val="24"/>
                <w:highlight w:val="none"/>
                <w:lang w:eastAsia="zh-CN"/>
              </w:rPr>
              <w:t>分别为0.</w:t>
            </w:r>
            <w:r>
              <w:rPr>
                <w:rFonts w:hint="eastAsia" w:ascii="Times New Roman" w:hAnsi="Times New Roman" w:cs="Times New Roman"/>
                <w:sz w:val="24"/>
                <w:szCs w:val="24"/>
                <w:highlight w:val="none"/>
                <w:lang w:val="en-US" w:eastAsia="zh-CN"/>
              </w:rPr>
              <w:t>0</w:t>
            </w:r>
            <w:r>
              <w:rPr>
                <w:rFonts w:hint="eastAsia" w:cs="Times New Roman"/>
                <w:sz w:val="24"/>
                <w:szCs w:val="24"/>
                <w:highlight w:val="none"/>
                <w:lang w:val="en-US" w:eastAsia="zh-CN"/>
              </w:rPr>
              <w:t>06</w:t>
            </w:r>
            <w:r>
              <w:rPr>
                <w:rFonts w:hint="default" w:ascii="Times New Roman" w:hAnsi="Times New Roman" w:cs="Times New Roman"/>
                <w:sz w:val="24"/>
                <w:szCs w:val="24"/>
                <w:highlight w:val="none"/>
                <w:lang w:eastAsia="zh-CN"/>
              </w:rPr>
              <w:t>t/a、0.0</w:t>
            </w:r>
            <w:r>
              <w:rPr>
                <w:rFonts w:hint="eastAsia" w:ascii="Times New Roman" w:hAnsi="Times New Roman" w:cs="Times New Roman"/>
                <w:sz w:val="24"/>
                <w:szCs w:val="24"/>
                <w:highlight w:val="none"/>
                <w:lang w:val="en-US" w:eastAsia="zh-CN"/>
              </w:rPr>
              <w:t>0</w:t>
            </w:r>
            <w:r>
              <w:rPr>
                <w:rFonts w:hint="eastAsia" w:cs="Times New Roman"/>
                <w:sz w:val="24"/>
                <w:szCs w:val="24"/>
                <w:highlight w:val="none"/>
                <w:lang w:val="en-US" w:eastAsia="zh-CN"/>
              </w:rPr>
              <w:t>06</w:t>
            </w:r>
            <w:r>
              <w:rPr>
                <w:rFonts w:hint="default" w:ascii="Times New Roman" w:hAnsi="Times New Roman" w:cs="Times New Roman"/>
                <w:sz w:val="24"/>
                <w:szCs w:val="24"/>
                <w:highlight w:val="none"/>
                <w:lang w:eastAsia="zh-CN"/>
              </w:rPr>
              <w:t>t/a</w:t>
            </w:r>
            <w:r>
              <w:rPr>
                <w:rFonts w:hint="eastAsia"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eastAsia="zh-CN"/>
              </w:rPr>
              <w:t>不涉及氟化物；新增废气污染物</w:t>
            </w:r>
            <w:r>
              <w:rPr>
                <w:rFonts w:hint="eastAsia" w:cs="Times New Roman"/>
                <w:sz w:val="24"/>
                <w:szCs w:val="24"/>
                <w:highlight w:val="none"/>
                <w:lang w:val="en-US" w:eastAsia="zh-CN"/>
              </w:rPr>
              <w:t>VOCs</w:t>
            </w:r>
            <w:r>
              <w:rPr>
                <w:rFonts w:hint="eastAsia" w:cs="Times New Roman"/>
                <w:sz w:val="24"/>
                <w:szCs w:val="24"/>
                <w:highlight w:val="none"/>
                <w:lang w:eastAsia="zh-CN"/>
              </w:rPr>
              <w:t>：</w:t>
            </w:r>
            <w:r>
              <w:rPr>
                <w:rFonts w:hint="eastAsia" w:cs="Times New Roman"/>
                <w:sz w:val="24"/>
                <w:szCs w:val="24"/>
                <w:highlight w:val="none"/>
                <w:lang w:val="en-US" w:eastAsia="zh-CN"/>
              </w:rPr>
              <w:t>0.1281t/a</w:t>
            </w:r>
            <w:r>
              <w:rPr>
                <w:rFonts w:hint="default" w:ascii="Times New Roman" w:hAnsi="Times New Roman" w:cs="Times New Roman"/>
                <w:sz w:val="24"/>
                <w:szCs w:val="24"/>
                <w:highlight w:val="none"/>
                <w:lang w:eastAsia="zh-CN"/>
              </w:rPr>
              <w:t>。结合焦作市生态环境局《建设项目主要污染物排放量指标管理工作内部流程（试行）》，主要废水污染物需进行1倍量替代，废气污染物需进行2倍量替代。故</w:t>
            </w:r>
            <w:r>
              <w:rPr>
                <w:rFonts w:hint="eastAsia" w:cs="Times New Roman"/>
                <w:sz w:val="24"/>
                <w:szCs w:val="24"/>
                <w:highlight w:val="none"/>
                <w:lang w:eastAsia="zh-CN"/>
              </w:rPr>
              <w:t>本次工程</w:t>
            </w:r>
            <w:r>
              <w:rPr>
                <w:rFonts w:hint="default" w:ascii="Times New Roman" w:hAnsi="Times New Roman" w:cs="Times New Roman"/>
                <w:sz w:val="24"/>
                <w:szCs w:val="24"/>
                <w:highlight w:val="none"/>
                <w:lang w:eastAsia="zh-CN"/>
              </w:rPr>
              <w:t>废水污染物区域替代量为COD：0.</w:t>
            </w:r>
            <w:r>
              <w:rPr>
                <w:rFonts w:hint="eastAsia" w:cs="Times New Roman"/>
                <w:sz w:val="24"/>
                <w:szCs w:val="24"/>
                <w:highlight w:val="none"/>
                <w:lang w:val="en-US" w:eastAsia="zh-CN"/>
              </w:rPr>
              <w:t>006</w:t>
            </w:r>
            <w:r>
              <w:rPr>
                <w:rFonts w:hint="default" w:ascii="Times New Roman" w:hAnsi="Times New Roman" w:cs="Times New Roman"/>
                <w:sz w:val="24"/>
                <w:szCs w:val="24"/>
                <w:highlight w:val="none"/>
                <w:lang w:eastAsia="zh-CN"/>
              </w:rPr>
              <w:t>t/a，</w:t>
            </w:r>
            <w:r>
              <w:rPr>
                <w:rFonts w:hint="default" w:ascii="Times New Roman" w:hAnsi="Times New Roman" w:cs="Times New Roman"/>
                <w:sz w:val="24"/>
                <w:szCs w:val="24"/>
                <w:highlight w:val="none"/>
                <w:lang w:val="en-US" w:eastAsia="zh-CN"/>
              </w:rPr>
              <w:t>NH</w:t>
            </w:r>
            <w:r>
              <w:rPr>
                <w:rFonts w:hint="default" w:ascii="Times New Roman" w:hAnsi="Times New Roman" w:cs="Times New Roman"/>
                <w:sz w:val="24"/>
                <w:szCs w:val="24"/>
                <w:highlight w:val="none"/>
                <w:vertAlign w:val="subscript"/>
                <w:lang w:val="en-US" w:eastAsia="zh-CN"/>
              </w:rPr>
              <w:t>3</w:t>
            </w:r>
            <w:r>
              <w:rPr>
                <w:rFonts w:hint="default" w:ascii="Times New Roman" w:hAnsi="Times New Roman" w:cs="Times New Roman"/>
                <w:sz w:val="24"/>
                <w:szCs w:val="24"/>
                <w:highlight w:val="none"/>
                <w:lang w:val="en-US" w:eastAsia="zh-CN"/>
              </w:rPr>
              <w:t>-N：</w:t>
            </w:r>
            <w:r>
              <w:rPr>
                <w:rFonts w:hint="default" w:ascii="Times New Roman" w:hAnsi="Times New Roman" w:cs="Times New Roman"/>
                <w:sz w:val="24"/>
                <w:szCs w:val="24"/>
                <w:highlight w:val="none"/>
                <w:lang w:eastAsia="zh-CN"/>
              </w:rPr>
              <w:t>0.0</w:t>
            </w:r>
            <w:r>
              <w:rPr>
                <w:rFonts w:hint="eastAsia" w:cs="Times New Roman"/>
                <w:sz w:val="24"/>
                <w:szCs w:val="24"/>
                <w:highlight w:val="none"/>
                <w:lang w:val="en-US" w:eastAsia="zh-CN"/>
              </w:rPr>
              <w:t>006</w:t>
            </w:r>
            <w:r>
              <w:rPr>
                <w:rFonts w:hint="default" w:ascii="Times New Roman" w:hAnsi="Times New Roman" w:cs="Times New Roman"/>
                <w:sz w:val="24"/>
                <w:szCs w:val="24"/>
                <w:highlight w:val="none"/>
                <w:lang w:eastAsia="zh-CN"/>
              </w:rPr>
              <w:t>t/a；废气污染物区域替代量为：</w:t>
            </w:r>
            <w:r>
              <w:rPr>
                <w:rFonts w:hint="eastAsia" w:cs="Times New Roman"/>
                <w:sz w:val="24"/>
                <w:szCs w:val="24"/>
                <w:highlight w:val="none"/>
                <w:lang w:val="en-US" w:eastAsia="zh-CN"/>
              </w:rPr>
              <w:t>VOCs</w:t>
            </w:r>
            <w:r>
              <w:rPr>
                <w:rFonts w:hint="eastAsia" w:cs="Times New Roman"/>
                <w:sz w:val="24"/>
                <w:szCs w:val="24"/>
                <w:highlight w:val="none"/>
                <w:lang w:eastAsia="zh-CN"/>
              </w:rPr>
              <w:t>：</w:t>
            </w:r>
            <w:r>
              <w:rPr>
                <w:rFonts w:hint="eastAsia" w:cs="Times New Roman"/>
                <w:sz w:val="24"/>
                <w:szCs w:val="24"/>
                <w:highlight w:val="none"/>
                <w:lang w:val="en-US" w:eastAsia="zh-CN"/>
              </w:rPr>
              <w:t>0.2562t/a</w:t>
            </w:r>
            <w:r>
              <w:rPr>
                <w:rFonts w:hint="default" w:ascii="Times New Roman" w:hAnsi="Times New Roman" w:cs="Times New Roman"/>
                <w:sz w:val="24"/>
                <w:szCs w:val="24"/>
                <w:highlight w:val="none"/>
                <w:lang w:val="en-US" w:eastAsia="zh-CN"/>
              </w:rPr>
              <w:t>。</w:t>
            </w:r>
          </w:p>
        </w:tc>
      </w:tr>
    </w:tbl>
    <w:p w14:paraId="5A8500F0">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default" w:ascii="Times New Roman" w:hAnsi="Times New Roman" w:eastAsia="黑体" w:cs="Times New Roman"/>
          <w:snapToGrid w:val="0"/>
          <w:sz w:val="30"/>
          <w:szCs w:val="30"/>
        </w:rPr>
      </w:pPr>
      <w:r>
        <w:rPr>
          <w:rFonts w:hint="default" w:ascii="Times New Roman" w:hAnsi="Times New Roman" w:eastAsia="黑体" w:cs="Times New Roman"/>
          <w:snapToGrid w:val="0"/>
          <w:sz w:val="36"/>
          <w:szCs w:val="36"/>
        </w:rPr>
        <w:br w:type="page"/>
      </w:r>
      <w:r>
        <w:rPr>
          <w:rFonts w:hint="default" w:ascii="Times New Roman" w:hAnsi="Times New Roman" w:eastAsia="黑体" w:cs="Times New Roman"/>
          <w:snapToGrid w:val="0"/>
          <w:sz w:val="30"/>
          <w:szCs w:val="30"/>
        </w:rPr>
        <w:t>四、主要环境影响和保护措施</w:t>
      </w:r>
    </w:p>
    <w:tbl>
      <w:tblPr>
        <w:tblStyle w:val="15"/>
        <w:tblW w:w="959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9031"/>
      </w:tblGrid>
      <w:tr w14:paraId="2668F7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65" w:hRule="atLeast"/>
          <w:jc w:val="center"/>
        </w:trPr>
        <w:tc>
          <w:tcPr>
            <w:tcW w:w="565" w:type="dxa"/>
            <w:noWrap w:val="0"/>
            <w:tcMar>
              <w:left w:w="28" w:type="dxa"/>
              <w:right w:w="28" w:type="dxa"/>
            </w:tcMar>
            <w:vAlign w:val="center"/>
          </w:tcPr>
          <w:p w14:paraId="6D7BDEC7">
            <w:pPr>
              <w:pStyle w:val="12"/>
              <w:adjustRightInd w:val="0"/>
              <w:snapToGrid w:val="0"/>
              <w:spacing w:before="0" w:beforeAutospacing="0" w:after="0" w:afterAutospacing="0" w:line="240" w:lineRule="auto"/>
              <w:ind w:firstLine="0" w:firstLineChars="0"/>
              <w:jc w:val="center"/>
              <w:rPr>
                <w:rFonts w:hint="default" w:ascii="Times New Roman" w:hAnsi="Times New Roman" w:cs="Times New Roman"/>
                <w:bCs/>
                <w:kern w:val="2"/>
                <w:sz w:val="21"/>
                <w:szCs w:val="21"/>
              </w:rPr>
            </w:pPr>
            <w:r>
              <w:rPr>
                <w:rFonts w:hint="default" w:ascii="Times New Roman" w:hAnsi="Times New Roman" w:cs="Times New Roman"/>
                <w:kern w:val="2"/>
                <w:szCs w:val="24"/>
              </w:rPr>
              <w:t>施工期环境保护措施</w:t>
            </w:r>
          </w:p>
        </w:tc>
        <w:tc>
          <w:tcPr>
            <w:tcW w:w="9031" w:type="dxa"/>
            <w:noWrap w:val="0"/>
            <w:vAlign w:val="center"/>
          </w:tcPr>
          <w:p w14:paraId="246062C0">
            <w:pPr>
              <w:shd w:val="clear" w:color="auto" w:fill="auto"/>
              <w:adjustRightInd w:val="0"/>
              <w:snapToGrid w:val="0"/>
              <w:spacing w:line="520" w:lineRule="exact"/>
              <w:ind w:firstLine="480" w:firstLineChars="200"/>
              <w:rPr>
                <w:rFonts w:hint="default" w:ascii="Times New Roman" w:hAnsi="Times New Roman" w:cs="Times New Roman"/>
                <w:bCs/>
                <w:color w:val="auto"/>
                <w:kern w:val="0"/>
                <w:sz w:val="24"/>
                <w:szCs w:val="20"/>
                <w:highlight w:val="none"/>
              </w:rPr>
            </w:pPr>
            <w:r>
              <w:rPr>
                <w:rFonts w:hint="default" w:ascii="Times New Roman" w:hAnsi="Times New Roman" w:cs="Times New Roman"/>
                <w:lang w:eastAsia="zh-CN"/>
              </w:rPr>
              <w:t>本项目为</w:t>
            </w:r>
            <w:r>
              <w:rPr>
                <w:rFonts w:hint="eastAsia" w:cs="Times New Roman"/>
                <w:lang w:eastAsia="zh-CN"/>
              </w:rPr>
              <w:t>新</w:t>
            </w:r>
            <w:r>
              <w:rPr>
                <w:rFonts w:hint="default" w:ascii="Times New Roman" w:hAnsi="Times New Roman" w:cs="Times New Roman"/>
                <w:lang w:eastAsia="zh-CN"/>
              </w:rPr>
              <w:t>建工程，</w:t>
            </w:r>
            <w:r>
              <w:rPr>
                <w:rFonts w:hint="default" w:ascii="Times New Roman" w:hAnsi="Times New Roman" w:cs="Times New Roman"/>
              </w:rPr>
              <w:t>本项目</w:t>
            </w:r>
            <w:r>
              <w:rPr>
                <w:rFonts w:hint="default" w:ascii="Times New Roman" w:hAnsi="Times New Roman" w:cs="Times New Roman"/>
                <w:lang w:eastAsia="zh-CN"/>
              </w:rPr>
              <w:t>在</w:t>
            </w:r>
            <w:r>
              <w:rPr>
                <w:rFonts w:hint="default" w:ascii="Times New Roman" w:hAnsi="Times New Roman" w:cs="Times New Roman"/>
              </w:rPr>
              <w:t>租用</w:t>
            </w:r>
            <w:r>
              <w:rPr>
                <w:rFonts w:hint="eastAsia" w:ascii="Times New Roman" w:hAnsi="Times New Roman" w:cs="Times New Roman"/>
                <w:highlight w:val="none"/>
                <w:lang w:eastAsia="zh-CN"/>
              </w:rPr>
              <w:t>建能智慧科技（河南）有限公司</w:t>
            </w:r>
            <w:r>
              <w:rPr>
                <w:rFonts w:hint="default" w:ascii="Times New Roman" w:hAnsi="Times New Roman" w:cs="Times New Roman"/>
                <w:highlight w:val="none"/>
              </w:rPr>
              <w:t>现有</w:t>
            </w:r>
            <w:r>
              <w:rPr>
                <w:rFonts w:hint="eastAsia" w:cs="Times New Roman"/>
                <w:highlight w:val="none"/>
                <w:lang w:eastAsia="zh-CN"/>
              </w:rPr>
              <w:t>空</w:t>
            </w:r>
            <w:r>
              <w:rPr>
                <w:rFonts w:hint="default" w:ascii="Times New Roman" w:hAnsi="Times New Roman" w:cs="Times New Roman"/>
                <w:highlight w:val="none"/>
              </w:rPr>
              <w:t>厂房</w:t>
            </w:r>
            <w:r>
              <w:rPr>
                <w:rFonts w:hint="default" w:ascii="Times New Roman" w:hAnsi="Times New Roman" w:cs="Times New Roman"/>
              </w:rPr>
              <w:t>进行建设。</w:t>
            </w:r>
            <w:r>
              <w:rPr>
                <w:rFonts w:hint="default" w:ascii="Times New Roman" w:hAnsi="Times New Roman" w:cs="Times New Roman"/>
                <w:bCs/>
                <w:color w:val="auto"/>
                <w:kern w:val="0"/>
                <w:sz w:val="24"/>
                <w:szCs w:val="20"/>
                <w:highlight w:val="none"/>
              </w:rPr>
              <w:t>施工期的主要内容为生产设备、环保设备的安装，主要为噪声的影响，本次评价对设备安装期间噪声的影响进行分析。</w:t>
            </w:r>
          </w:p>
          <w:p w14:paraId="4DC6B71F">
            <w:pPr>
              <w:shd w:val="clear" w:color="auto" w:fill="auto"/>
              <w:adjustRightInd w:val="0"/>
              <w:snapToGrid w:val="0"/>
              <w:spacing w:line="520" w:lineRule="exact"/>
              <w:ind w:firstLine="480" w:firstLineChars="200"/>
              <w:rPr>
                <w:rFonts w:hint="default" w:ascii="Times New Roman" w:hAnsi="Times New Roman" w:cs="Times New Roman"/>
                <w:bCs/>
                <w:color w:val="auto"/>
                <w:kern w:val="0"/>
                <w:sz w:val="24"/>
                <w:szCs w:val="20"/>
                <w:highlight w:val="none"/>
              </w:rPr>
            </w:pPr>
            <w:r>
              <w:rPr>
                <w:rFonts w:hint="default" w:ascii="Times New Roman" w:hAnsi="Times New Roman" w:cs="Times New Roman"/>
                <w:bCs/>
                <w:color w:val="auto"/>
                <w:kern w:val="0"/>
                <w:sz w:val="24"/>
                <w:szCs w:val="20"/>
                <w:highlight w:val="none"/>
              </w:rPr>
              <w:t>施工现场的噪声主要为设备安装噪声，碰撞噪声。对施工期设备安装造成的噪声污染提出如下治理措施和建议：</w:t>
            </w:r>
          </w:p>
          <w:p w14:paraId="3363DDD3">
            <w:pPr>
              <w:shd w:val="clear" w:color="auto" w:fill="auto"/>
              <w:adjustRightInd w:val="0"/>
              <w:snapToGrid w:val="0"/>
              <w:spacing w:line="520" w:lineRule="exact"/>
              <w:ind w:firstLine="480" w:firstLineChars="200"/>
              <w:rPr>
                <w:rFonts w:hint="default" w:ascii="Times New Roman" w:hAnsi="Times New Roman" w:cs="Times New Roman"/>
                <w:bCs/>
                <w:color w:val="auto"/>
                <w:kern w:val="0"/>
                <w:sz w:val="24"/>
                <w:szCs w:val="20"/>
                <w:highlight w:val="none"/>
              </w:rPr>
            </w:pPr>
            <w:r>
              <w:rPr>
                <w:rFonts w:hint="default" w:ascii="Times New Roman" w:hAnsi="Times New Roman" w:cs="Times New Roman"/>
                <w:bCs/>
                <w:color w:val="auto"/>
                <w:kern w:val="0"/>
                <w:sz w:val="24"/>
                <w:szCs w:val="20"/>
                <w:highlight w:val="none"/>
              </w:rPr>
              <w:t>（1）从规范设备安装秩序着手，合理安排设备安装时间表，合理布局安装场地，降低人为的噪声。</w:t>
            </w:r>
          </w:p>
          <w:p w14:paraId="0FE02E3E">
            <w:pPr>
              <w:shd w:val="clear" w:color="auto" w:fill="auto"/>
              <w:adjustRightInd w:val="0"/>
              <w:snapToGrid w:val="0"/>
              <w:spacing w:line="520" w:lineRule="exact"/>
              <w:ind w:firstLine="480" w:firstLineChars="200"/>
              <w:rPr>
                <w:rFonts w:hint="default" w:ascii="Times New Roman" w:hAnsi="Times New Roman" w:cs="Times New Roman"/>
                <w:bCs/>
                <w:color w:val="auto"/>
                <w:kern w:val="0"/>
                <w:sz w:val="24"/>
                <w:szCs w:val="20"/>
                <w:highlight w:val="none"/>
              </w:rPr>
            </w:pPr>
            <w:r>
              <w:rPr>
                <w:rFonts w:hint="default" w:ascii="Times New Roman" w:hAnsi="Times New Roman" w:cs="Times New Roman"/>
                <w:bCs/>
                <w:color w:val="auto"/>
                <w:kern w:val="0"/>
                <w:sz w:val="24"/>
                <w:szCs w:val="20"/>
                <w:highlight w:val="none"/>
              </w:rPr>
              <w:t>（2）设备安装过程应尽量避免设备的碰撞，安装过程中尽量选择低噪声的安装工具和安装方式。</w:t>
            </w:r>
          </w:p>
          <w:p w14:paraId="7C703E5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bCs/>
                <w:spacing w:val="-10"/>
                <w:szCs w:val="21"/>
                <w:lang w:val="en-US" w:eastAsia="zh-CN"/>
              </w:rPr>
            </w:pPr>
            <w:r>
              <w:rPr>
                <w:rFonts w:hint="default" w:ascii="Times New Roman" w:hAnsi="Times New Roman" w:cs="Times New Roman"/>
                <w:bCs/>
                <w:color w:val="auto"/>
                <w:kern w:val="0"/>
                <w:sz w:val="24"/>
                <w:szCs w:val="20"/>
                <w:highlight w:val="none"/>
              </w:rPr>
              <w:t>通过以上污染防治措施后，可有效减轻项目设备安装阶段噪声对周围环境的影响。项目施工期环境影响较小且为暂时性的，在采取相应防治措施后，不会对周围环境造成较大的影响</w:t>
            </w:r>
            <w:r>
              <w:rPr>
                <w:rFonts w:hint="default" w:ascii="Times New Roman" w:hAnsi="Times New Roman" w:cs="Times New Roman"/>
                <w:bCs/>
                <w:color w:val="auto"/>
                <w:kern w:val="0"/>
                <w:sz w:val="24"/>
                <w:szCs w:val="20"/>
                <w:highlight w:val="none"/>
                <w:lang w:eastAsia="zh-CN"/>
              </w:rPr>
              <w:t>。</w:t>
            </w:r>
          </w:p>
        </w:tc>
      </w:tr>
      <w:tr w14:paraId="654DFC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5" w:type="dxa"/>
            <w:noWrap w:val="0"/>
            <w:tcMar>
              <w:left w:w="28" w:type="dxa"/>
              <w:right w:w="28" w:type="dxa"/>
            </w:tcMar>
            <w:vAlign w:val="center"/>
          </w:tcPr>
          <w:p w14:paraId="5ECEBE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运营期环境影响和保护措施</w:t>
            </w:r>
          </w:p>
        </w:tc>
        <w:tc>
          <w:tcPr>
            <w:tcW w:w="9031" w:type="dxa"/>
            <w:noWrap w:val="0"/>
            <w:vAlign w:val="center"/>
          </w:tcPr>
          <w:p w14:paraId="1A317823">
            <w:pPr>
              <w:keepNext w:val="0"/>
              <w:keepLines w:val="0"/>
              <w:pageBreakBefore w:val="0"/>
              <w:widowControl w:val="0"/>
              <w:kinsoku/>
              <w:wordWrap/>
              <w:overflowPunct/>
              <w:topLinePunct w:val="0"/>
              <w:autoSpaceDE/>
              <w:autoSpaceDN/>
              <w:bidi w:val="0"/>
              <w:adjustRightInd/>
              <w:snapToGrid/>
              <w:spacing w:line="520" w:lineRule="exact"/>
              <w:ind w:right="0" w:firstLine="0" w:firstLineChars="0"/>
              <w:textAlignment w:val="auto"/>
              <w:rPr>
                <w:rFonts w:hint="default" w:ascii="Times New Roman" w:hAnsi="Times New Roman" w:cs="Times New Roman"/>
                <w:b/>
                <w:bCs/>
                <w:highlight w:val="none"/>
                <w:u w:val="none" w:color="auto"/>
              </w:rPr>
            </w:pPr>
            <w:r>
              <w:rPr>
                <w:rFonts w:hint="eastAsia" w:cs="Times New Roman"/>
                <w:b/>
                <w:bCs/>
                <w:lang w:eastAsia="zh-CN"/>
              </w:rPr>
              <w:t>一</w:t>
            </w:r>
            <w:r>
              <w:rPr>
                <w:rFonts w:hint="default" w:ascii="Times New Roman" w:hAnsi="Times New Roman" w:cs="Times New Roman"/>
                <w:b/>
                <w:bCs/>
              </w:rPr>
              <w:t>、</w:t>
            </w:r>
            <w:r>
              <w:rPr>
                <w:rFonts w:hint="eastAsia" w:cs="Times New Roman"/>
                <w:b/>
                <w:bCs/>
                <w:lang w:eastAsia="zh-CN"/>
              </w:rPr>
              <w:t>大气环境</w:t>
            </w:r>
            <w:r>
              <w:rPr>
                <w:rFonts w:hint="default" w:ascii="Times New Roman" w:hAnsi="Times New Roman" w:cs="Times New Roman"/>
                <w:b/>
                <w:bCs/>
                <w:highlight w:val="none"/>
                <w:u w:val="none" w:color="auto"/>
              </w:rPr>
              <w:t>影响分析</w:t>
            </w:r>
          </w:p>
          <w:p w14:paraId="08791852">
            <w:pPr>
              <w:spacing w:line="520" w:lineRule="exact"/>
              <w:ind w:firstLine="482" w:firstLineChars="200"/>
              <w:rPr>
                <w:b/>
                <w:sz w:val="24"/>
                <w:u w:val="single"/>
              </w:rPr>
            </w:pPr>
            <w:r>
              <w:rPr>
                <w:b/>
                <w:sz w:val="24"/>
              </w:rPr>
              <w:t>1</w:t>
            </w:r>
            <w:r>
              <w:rPr>
                <w:rFonts w:hint="eastAsia"/>
                <w:b/>
                <w:sz w:val="24"/>
                <w:lang w:eastAsia="zh-CN"/>
              </w:rPr>
              <w:t>、</w:t>
            </w:r>
            <w:r>
              <w:rPr>
                <w:b/>
                <w:sz w:val="24"/>
              </w:rPr>
              <w:t>废气产生、治理及排放情况</w:t>
            </w:r>
          </w:p>
          <w:p w14:paraId="7A54B59B">
            <w:pPr>
              <w:pStyle w:val="26"/>
              <w:keepNext w:val="0"/>
              <w:keepLines w:val="0"/>
              <w:pageBreakBefore w:val="0"/>
              <w:kinsoku/>
              <w:wordWrap/>
              <w:overflowPunct/>
              <w:topLinePunct w:val="0"/>
              <w:autoSpaceDE/>
              <w:autoSpaceDN/>
              <w:bidi w:val="0"/>
              <w:adjustRightInd/>
              <w:snapToGrid/>
              <w:spacing w:line="520" w:lineRule="exact"/>
              <w:ind w:right="0" w:firstLine="480"/>
              <w:textAlignment w:val="auto"/>
              <w:rPr>
                <w:rFonts w:hint="default" w:ascii="Times New Roman" w:hAnsi="Times New Roman" w:cs="Times New Roman"/>
                <w:b w:val="0"/>
                <w:bCs/>
                <w:highlight w:val="none"/>
                <w:u w:val="none" w:color="auto"/>
                <w:lang w:eastAsia="zh-CN"/>
              </w:rPr>
            </w:pPr>
            <w:r>
              <w:rPr>
                <w:rFonts w:hint="default" w:ascii="Times New Roman" w:hAnsi="Times New Roman" w:cs="Times New Roman"/>
                <w:b w:val="0"/>
                <w:bCs/>
                <w:highlight w:val="none"/>
                <w:u w:val="none" w:color="auto"/>
              </w:rPr>
              <w:t>工程废气包括有组织废气和无组织废气</w:t>
            </w:r>
            <w:r>
              <w:rPr>
                <w:rFonts w:hint="default" w:ascii="Times New Roman" w:hAnsi="Times New Roman" w:cs="Times New Roman"/>
                <w:b w:val="0"/>
                <w:bCs/>
                <w:highlight w:val="none"/>
                <w:u w:val="none" w:color="auto"/>
                <w:lang w:eastAsia="zh-CN"/>
              </w:rPr>
              <w:t>两大类</w:t>
            </w:r>
            <w:r>
              <w:rPr>
                <w:rFonts w:hint="default" w:ascii="Times New Roman" w:hAnsi="Times New Roman" w:cs="Times New Roman"/>
                <w:b w:val="0"/>
                <w:bCs/>
                <w:highlight w:val="none"/>
                <w:u w:val="none" w:color="auto"/>
              </w:rPr>
              <w:t>。其中</w:t>
            </w:r>
            <w:r>
              <w:rPr>
                <w:rFonts w:hint="default" w:ascii="Times New Roman" w:hAnsi="Times New Roman" w:cs="Times New Roman"/>
                <w:b w:val="0"/>
                <w:bCs/>
                <w:highlight w:val="none"/>
                <w:u w:val="none" w:color="auto"/>
                <w:lang w:eastAsia="zh-CN"/>
              </w:rPr>
              <w:t>，</w:t>
            </w:r>
            <w:r>
              <w:rPr>
                <w:rFonts w:hint="default" w:ascii="Times New Roman" w:hAnsi="Times New Roman" w:cs="Times New Roman"/>
                <w:b w:val="0"/>
                <w:bCs/>
                <w:highlight w:val="none"/>
                <w:u w:val="none" w:color="auto"/>
              </w:rPr>
              <w:t>有组织废气包括</w:t>
            </w:r>
            <w:r>
              <w:rPr>
                <w:rFonts w:hint="default" w:ascii="Times New Roman" w:hAnsi="Times New Roman" w:cs="Times New Roman"/>
                <w:b w:val="0"/>
                <w:bCs/>
                <w:highlight w:val="none"/>
                <w:u w:val="none" w:color="auto"/>
                <w:lang w:eastAsia="zh-CN"/>
              </w:rPr>
              <w:t>：</w:t>
            </w:r>
            <w:r>
              <w:rPr>
                <w:rFonts w:hint="eastAsia" w:cs="Times New Roman"/>
                <w:b w:val="0"/>
                <w:bCs/>
                <w:highlight w:val="none"/>
                <w:u w:val="none" w:color="auto"/>
                <w:lang w:eastAsia="zh-CN"/>
              </w:rPr>
              <w:t>塑料食品餐盒</w:t>
            </w:r>
            <w:r>
              <w:rPr>
                <w:rFonts w:hint="default" w:ascii="Times New Roman" w:hAnsi="Times New Roman" w:cs="Times New Roman"/>
                <w:b w:val="0"/>
                <w:bCs/>
                <w:highlight w:val="none"/>
                <w:u w:val="none" w:color="auto"/>
                <w:lang w:eastAsia="zh-CN"/>
              </w:rPr>
              <w:t>生产过程中</w:t>
            </w:r>
            <w:r>
              <w:rPr>
                <w:rFonts w:hint="eastAsia" w:cs="Times New Roman"/>
                <w:b w:val="0"/>
                <w:bCs/>
                <w:highlight w:val="none"/>
                <w:u w:val="none" w:color="auto"/>
                <w:lang w:eastAsia="zh-CN"/>
              </w:rPr>
              <w:t>加热成型工序产生的有机废气，</w:t>
            </w:r>
            <w:r>
              <w:rPr>
                <w:rFonts w:hint="default" w:ascii="Times New Roman" w:hAnsi="Times New Roman" w:cs="Times New Roman"/>
                <w:b w:val="0"/>
                <w:bCs/>
                <w:highlight w:val="none"/>
                <w:u w:val="none" w:color="auto"/>
                <w:lang w:eastAsia="zh-CN"/>
              </w:rPr>
              <w:t>无组织废气主要是</w:t>
            </w:r>
            <w:r>
              <w:rPr>
                <w:rFonts w:hint="default" w:ascii="Times New Roman" w:hAnsi="Times New Roman" w:cs="Times New Roman"/>
                <w:b w:val="0"/>
                <w:bCs/>
                <w:highlight w:val="none"/>
                <w:u w:val="none" w:color="auto"/>
              </w:rPr>
              <w:t>集气设施未收集的废气。</w:t>
            </w:r>
          </w:p>
          <w:p w14:paraId="2F44831C">
            <w:pPr>
              <w:pStyle w:val="26"/>
              <w:keepNext w:val="0"/>
              <w:keepLines w:val="0"/>
              <w:pageBreakBefore w:val="0"/>
              <w:widowControl w:val="0"/>
              <w:kinsoku/>
              <w:wordWrap/>
              <w:overflowPunct/>
              <w:topLinePunct w:val="0"/>
              <w:autoSpaceDE/>
              <w:autoSpaceDN/>
              <w:bidi w:val="0"/>
              <w:adjustRightInd/>
              <w:snapToGrid/>
              <w:spacing w:line="520" w:lineRule="exact"/>
              <w:ind w:left="0" w:leftChars="0" w:right="0" w:firstLine="482" w:firstLineChars="200"/>
              <w:textAlignment w:val="auto"/>
              <w:rPr>
                <w:rFonts w:hint="default" w:ascii="Times New Roman" w:hAnsi="Times New Roman" w:cs="Times New Roman"/>
                <w:b/>
                <w:bCs w:val="0"/>
                <w:highlight w:val="none"/>
                <w:u w:val="none" w:color="auto"/>
              </w:rPr>
            </w:pPr>
            <w:r>
              <w:rPr>
                <w:rFonts w:hint="default" w:ascii="Times New Roman" w:hAnsi="Times New Roman" w:cs="Times New Roman"/>
                <w:b/>
                <w:bCs w:val="0"/>
                <w:highlight w:val="none"/>
                <w:u w:val="none" w:color="auto"/>
              </w:rPr>
              <w:t>1.1</w:t>
            </w:r>
            <w:r>
              <w:rPr>
                <w:rFonts w:hint="default" w:ascii="Times New Roman" w:hAnsi="Times New Roman" w:cs="Times New Roman"/>
                <w:b/>
                <w:bCs w:val="0"/>
                <w:highlight w:val="none"/>
                <w:u w:val="none" w:color="auto"/>
                <w:lang w:eastAsia="zh-CN"/>
              </w:rPr>
              <w:t>有组织废气</w:t>
            </w:r>
          </w:p>
          <w:p w14:paraId="317BDDA6">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cs="Times New Roman"/>
                <w:b w:val="0"/>
                <w:bCs/>
                <w:color w:val="000000"/>
                <w:sz w:val="24"/>
                <w:highlight w:val="none"/>
                <w:u w:val="none" w:color="auto"/>
                <w:lang w:val="en-US" w:eastAsia="zh-CN"/>
              </w:rPr>
            </w:pPr>
            <w:r>
              <w:rPr>
                <w:rFonts w:hint="eastAsia" w:cs="Times New Roman"/>
                <w:b w:val="0"/>
                <w:bCs/>
                <w:color w:val="000000"/>
                <w:sz w:val="24"/>
                <w:highlight w:val="none"/>
                <w:u w:val="none" w:color="auto"/>
                <w:lang w:val="en-US" w:eastAsia="zh-CN"/>
              </w:rPr>
              <w:t>（1）加热成型废气</w:t>
            </w:r>
          </w:p>
          <w:p w14:paraId="66310A3C">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cs="Times New Roman"/>
                <w:b w:val="0"/>
                <w:bCs/>
                <w:color w:val="000000"/>
                <w:sz w:val="24"/>
                <w:highlight w:val="none"/>
                <w:u w:val="none" w:color="auto"/>
                <w:lang w:val="en-US" w:eastAsia="zh-CN"/>
              </w:rPr>
            </w:pPr>
            <w:r>
              <w:rPr>
                <w:rFonts w:hint="default" w:cs="Times New Roman"/>
                <w:b w:val="0"/>
                <w:bCs/>
                <w:color w:val="000000"/>
                <w:sz w:val="24"/>
                <w:highlight w:val="none"/>
                <w:u w:val="none" w:color="auto"/>
                <w:lang w:val="en-US" w:eastAsia="zh-CN"/>
              </w:rPr>
              <w:t>本项目设置6台</w:t>
            </w:r>
            <w:r>
              <w:rPr>
                <w:rFonts w:hint="eastAsia" w:cs="Times New Roman"/>
                <w:b w:val="0"/>
                <w:bCs/>
                <w:color w:val="000000"/>
                <w:sz w:val="24"/>
                <w:highlight w:val="none"/>
                <w:u w:val="none" w:color="auto"/>
                <w:lang w:val="en-US" w:eastAsia="zh-CN"/>
              </w:rPr>
              <w:t>成型机</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加热成型过程</w:t>
            </w:r>
            <w:r>
              <w:rPr>
                <w:rFonts w:hint="default" w:cs="Times New Roman"/>
                <w:b w:val="0"/>
                <w:bCs/>
                <w:color w:val="000000"/>
                <w:sz w:val="24"/>
                <w:highlight w:val="none"/>
                <w:u w:val="none" w:color="auto"/>
                <w:lang w:val="en-US" w:eastAsia="zh-CN"/>
              </w:rPr>
              <w:t>温度控制在</w:t>
            </w:r>
            <w:r>
              <w:rPr>
                <w:rFonts w:hint="eastAsia" w:cs="Times New Roman"/>
                <w:b w:val="0"/>
                <w:bCs/>
                <w:color w:val="000000"/>
                <w:sz w:val="24"/>
                <w:highlight w:val="none"/>
                <w:u w:val="none" w:color="auto"/>
                <w:lang w:val="en-US" w:eastAsia="zh-CN"/>
              </w:rPr>
              <w:t>100-130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之间</w:t>
            </w:r>
            <w:r>
              <w:rPr>
                <w:rFonts w:hint="default" w:cs="Times New Roman"/>
                <w:b w:val="0"/>
                <w:bCs/>
                <w:color w:val="000000"/>
                <w:sz w:val="24"/>
                <w:highlight w:val="none"/>
                <w:u w:val="none" w:color="auto"/>
                <w:lang w:val="en-US" w:eastAsia="zh-CN"/>
              </w:rPr>
              <w:t>，本项目所用的</w:t>
            </w:r>
            <w:r>
              <w:rPr>
                <w:rFonts w:hint="eastAsia" w:cs="Times New Roman"/>
                <w:b w:val="0"/>
                <w:bCs/>
                <w:color w:val="000000"/>
                <w:sz w:val="24"/>
                <w:highlight w:val="none"/>
                <w:u w:val="none" w:color="auto"/>
                <w:lang w:val="en-US" w:eastAsia="zh-CN"/>
              </w:rPr>
              <w:t>原料为BOPS片材，主要成分为聚苯乙烯，BOPS片材</w:t>
            </w:r>
            <w:r>
              <w:rPr>
                <w:rFonts w:hint="default" w:cs="Times New Roman"/>
                <w:b w:val="0"/>
                <w:bCs/>
                <w:color w:val="000000"/>
                <w:sz w:val="24"/>
                <w:highlight w:val="none"/>
                <w:u w:val="none" w:color="auto"/>
                <w:lang w:val="en-US" w:eastAsia="zh-CN"/>
              </w:rPr>
              <w:t>原料分解温度在</w:t>
            </w:r>
            <w:r>
              <w:rPr>
                <w:rFonts w:hint="eastAsia" w:cs="Times New Roman"/>
                <w:b w:val="0"/>
                <w:bCs/>
                <w:color w:val="000000"/>
                <w:sz w:val="24"/>
                <w:highlight w:val="none"/>
                <w:u w:val="none" w:color="auto"/>
                <w:lang w:val="en-US" w:eastAsia="zh-CN"/>
              </w:rPr>
              <w:t>300</w:t>
            </w:r>
            <w:r>
              <w:rPr>
                <w:rFonts w:hint="default" w:cs="Times New Roman"/>
                <w:b w:val="0"/>
                <w:bCs/>
                <w:color w:val="000000"/>
                <w:sz w:val="24"/>
                <w:highlight w:val="none"/>
                <w:u w:val="none" w:color="auto"/>
                <w:lang w:val="en-US" w:eastAsia="zh-CN"/>
              </w:rPr>
              <w:t>℃以上，</w:t>
            </w:r>
            <w:r>
              <w:rPr>
                <w:rFonts w:hint="eastAsia" w:cs="Times New Roman"/>
                <w:b w:val="0"/>
                <w:bCs/>
                <w:color w:val="000000"/>
                <w:sz w:val="24"/>
                <w:highlight w:val="none"/>
                <w:u w:val="none" w:color="auto"/>
                <w:lang w:val="en-US" w:eastAsia="zh-CN"/>
              </w:rPr>
              <w:t>加热成型</w:t>
            </w:r>
            <w:r>
              <w:rPr>
                <w:rFonts w:hint="default" w:cs="Times New Roman"/>
                <w:b w:val="0"/>
                <w:bCs/>
                <w:color w:val="000000"/>
                <w:sz w:val="24"/>
                <w:highlight w:val="none"/>
                <w:u w:val="none" w:color="auto"/>
                <w:lang w:val="en-US" w:eastAsia="zh-CN"/>
              </w:rPr>
              <w:t>过程不会产生原料分解，因此</w:t>
            </w:r>
            <w:r>
              <w:rPr>
                <w:rFonts w:hint="eastAsia" w:cs="Times New Roman"/>
                <w:b w:val="0"/>
                <w:bCs/>
                <w:color w:val="000000"/>
                <w:sz w:val="24"/>
                <w:highlight w:val="none"/>
                <w:u w:val="none" w:color="auto"/>
                <w:lang w:val="en-US" w:eastAsia="zh-CN"/>
              </w:rPr>
              <w:t>加热成型</w:t>
            </w:r>
            <w:r>
              <w:rPr>
                <w:rFonts w:hint="default" w:cs="Times New Roman"/>
                <w:b w:val="0"/>
                <w:bCs/>
                <w:color w:val="000000"/>
                <w:sz w:val="24"/>
                <w:highlight w:val="none"/>
                <w:u w:val="none" w:color="auto"/>
                <w:lang w:val="en-US" w:eastAsia="zh-CN"/>
              </w:rPr>
              <w:t>工序废气主要为原料游离</w:t>
            </w:r>
            <w:r>
              <w:rPr>
                <w:rFonts w:hint="eastAsia" w:cs="Times New Roman"/>
                <w:b w:val="0"/>
                <w:bCs/>
                <w:color w:val="000000"/>
                <w:sz w:val="24"/>
                <w:highlight w:val="none"/>
                <w:u w:val="none" w:color="auto"/>
                <w:lang w:val="en-US" w:eastAsia="zh-CN"/>
              </w:rPr>
              <w:t>苯乙烯</w:t>
            </w:r>
            <w:r>
              <w:rPr>
                <w:rFonts w:hint="default" w:cs="Times New Roman"/>
                <w:b w:val="0"/>
                <w:bCs/>
                <w:color w:val="000000"/>
                <w:sz w:val="24"/>
                <w:highlight w:val="none"/>
                <w:u w:val="none" w:color="auto"/>
                <w:lang w:val="en-US" w:eastAsia="zh-CN"/>
              </w:rPr>
              <w:t>单体</w:t>
            </w:r>
            <w:r>
              <w:rPr>
                <w:rFonts w:hint="eastAsia" w:cs="Times New Roman"/>
                <w:b w:val="0"/>
                <w:bCs/>
                <w:color w:val="000000"/>
                <w:sz w:val="24"/>
                <w:highlight w:val="none"/>
                <w:u w:val="none" w:color="auto"/>
                <w:lang w:val="en-US" w:eastAsia="zh-CN"/>
              </w:rPr>
              <w:t>，以及</w:t>
            </w:r>
            <w:r>
              <w:rPr>
                <w:rFonts w:hint="default" w:cs="Times New Roman"/>
                <w:b w:val="0"/>
                <w:bCs/>
                <w:color w:val="000000"/>
                <w:sz w:val="24"/>
                <w:highlight w:val="none"/>
                <w:u w:val="none" w:color="auto"/>
                <w:lang w:val="en-US" w:eastAsia="zh-CN"/>
              </w:rPr>
              <w:t>小分子有机物挥发产生的有机废气，小分子有机物挥发</w:t>
            </w:r>
            <w:r>
              <w:rPr>
                <w:rFonts w:hint="eastAsia" w:cs="Times New Roman"/>
                <w:b w:val="0"/>
                <w:bCs/>
                <w:color w:val="000000"/>
                <w:sz w:val="24"/>
                <w:highlight w:val="none"/>
                <w:u w:val="none" w:color="auto"/>
                <w:lang w:val="en-US" w:eastAsia="zh-CN"/>
              </w:rPr>
              <w:t>废气以</w:t>
            </w:r>
            <w:r>
              <w:rPr>
                <w:rFonts w:hint="default" w:cs="Times New Roman"/>
                <w:b w:val="0"/>
                <w:bCs/>
                <w:color w:val="000000"/>
                <w:sz w:val="24"/>
                <w:highlight w:val="none"/>
                <w:u w:val="none" w:color="auto"/>
                <w:lang w:val="en-US" w:eastAsia="zh-CN"/>
              </w:rPr>
              <w:t>非甲烷总烃计。</w:t>
            </w:r>
          </w:p>
          <w:p w14:paraId="288A2B6B">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cs="Times New Roman"/>
                <w:b w:val="0"/>
                <w:bCs/>
                <w:color w:val="000000"/>
                <w:sz w:val="24"/>
                <w:highlight w:val="none"/>
                <w:u w:val="none" w:color="auto"/>
                <w:lang w:val="en-US" w:eastAsia="zh-CN"/>
              </w:rPr>
            </w:pPr>
            <w:r>
              <w:rPr>
                <w:rFonts w:hint="eastAsia" w:cs="Times New Roman"/>
                <w:b w:val="0"/>
                <w:bCs/>
                <w:color w:val="000000"/>
                <w:sz w:val="24"/>
                <w:highlight w:val="none"/>
                <w:u w:val="none" w:color="auto"/>
                <w:lang w:val="en-US" w:eastAsia="zh-CN"/>
              </w:rPr>
              <w:t>本项目加热成型工序的产污系数，未按照</w:t>
            </w:r>
            <w:r>
              <w:rPr>
                <w:rFonts w:hint="default" w:cs="Times New Roman"/>
                <w:b w:val="0"/>
                <w:bCs/>
                <w:color w:val="000000"/>
                <w:sz w:val="24"/>
                <w:highlight w:val="none"/>
                <w:u w:val="none" w:color="auto"/>
                <w:lang w:val="en-US" w:eastAsia="zh-CN"/>
              </w:rPr>
              <w:t>《排放源统计调查产排污核算方法和系数手册-292塑料制品行业系数手册》中</w:t>
            </w:r>
            <w:r>
              <w:rPr>
                <w:rFonts w:hint="eastAsia" w:cs="Times New Roman"/>
                <w:b w:val="0"/>
                <w:bCs/>
                <w:color w:val="000000"/>
                <w:sz w:val="24"/>
                <w:highlight w:val="none"/>
                <w:u w:val="none" w:color="auto"/>
                <w:lang w:val="en-US" w:eastAsia="zh-CN"/>
              </w:rPr>
              <w:t>“2927日用塑料制品</w:t>
            </w:r>
            <w:r>
              <w:rPr>
                <w:rFonts w:hint="default" w:cs="Times New Roman"/>
                <w:b w:val="0"/>
                <w:bCs/>
                <w:color w:val="000000"/>
                <w:sz w:val="24"/>
                <w:highlight w:val="none"/>
                <w:u w:val="none" w:color="auto"/>
                <w:lang w:val="en-US" w:eastAsia="zh-CN"/>
              </w:rPr>
              <w:t>制造行业系数表</w:t>
            </w:r>
            <w:r>
              <w:rPr>
                <w:rFonts w:hint="eastAsia" w:cs="Times New Roman"/>
                <w:b w:val="0"/>
                <w:bCs/>
                <w:color w:val="000000"/>
                <w:sz w:val="24"/>
                <w:highlight w:val="none"/>
                <w:u w:val="none" w:color="auto"/>
                <w:lang w:val="en-US" w:eastAsia="zh-CN"/>
              </w:rPr>
              <w:t>”进行产污分析核算，因为日用塑料制造中的工艺名称为配料、混合、挤出、注塑，其中注塑工艺的温度大多为180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以上，是将原材料进行熔融，和本项目将BOPS片材加热软化不太相符；本项目按照</w:t>
            </w:r>
            <w:r>
              <w:rPr>
                <w:rFonts w:hint="default" w:cs="Times New Roman"/>
                <w:b w:val="0"/>
                <w:bCs/>
                <w:color w:val="000000"/>
                <w:sz w:val="24"/>
                <w:highlight w:val="none"/>
                <w:u w:val="none" w:color="auto"/>
                <w:lang w:val="en-US" w:eastAsia="zh-CN"/>
              </w:rPr>
              <w:t>《排放源统计调查产排污核算方法和系数手册-292塑料制品行业系数手册》中</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292</w:t>
            </w:r>
            <w:r>
              <w:rPr>
                <w:rFonts w:hint="eastAsia" w:cs="Times New Roman"/>
                <w:b w:val="0"/>
                <w:bCs/>
                <w:color w:val="000000"/>
                <w:sz w:val="24"/>
                <w:highlight w:val="none"/>
                <w:u w:val="none" w:color="auto"/>
                <w:lang w:val="en-US" w:eastAsia="zh-CN"/>
              </w:rPr>
              <w:t>6</w:t>
            </w:r>
            <w:r>
              <w:rPr>
                <w:rFonts w:hint="default" w:cs="Times New Roman"/>
                <w:b w:val="0"/>
                <w:bCs/>
                <w:color w:val="000000"/>
                <w:sz w:val="24"/>
                <w:highlight w:val="none"/>
                <w:u w:val="none" w:color="auto"/>
                <w:lang w:val="en-US" w:eastAsia="zh-CN"/>
              </w:rPr>
              <w:t>塑料包装箱及容器制造行业系数表</w:t>
            </w:r>
            <w:r>
              <w:rPr>
                <w:rFonts w:hint="eastAsia" w:cs="Times New Roman"/>
                <w:b w:val="0"/>
                <w:bCs/>
                <w:color w:val="000000"/>
                <w:sz w:val="24"/>
                <w:highlight w:val="none"/>
                <w:u w:val="none" w:color="auto"/>
                <w:lang w:val="en-US" w:eastAsia="zh-CN"/>
              </w:rPr>
              <w:t>”进行产污分析核算，因为塑料包装箱及容器制造中的原料名称为塑料片材，与本项目原材料BOPS片材相符合，塑料包装箱及容器制造中的工艺名称为吸塑、裁切，其中吸塑工艺温度大多在90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-150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左右，是将原材料加热软化，和本项目将BOPS片材加热软化成型相近，因此产污系数选择塑料包装箱及容器制造行业系数。</w:t>
            </w:r>
          </w:p>
          <w:p w14:paraId="4E9C2EB0">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cs="Times New Roman"/>
                <w:b w:val="0"/>
                <w:bCs/>
                <w:color w:val="000000"/>
                <w:sz w:val="24"/>
                <w:highlight w:val="none"/>
                <w:u w:val="none" w:color="auto"/>
                <w:lang w:val="en-US" w:eastAsia="zh-CN"/>
              </w:rPr>
            </w:pPr>
            <w:r>
              <w:rPr>
                <w:rFonts w:hint="default" w:cs="Times New Roman"/>
                <w:b w:val="0"/>
                <w:bCs/>
                <w:color w:val="000000"/>
                <w:sz w:val="24"/>
                <w:highlight w:val="none"/>
                <w:u w:val="none" w:color="auto"/>
                <w:lang w:val="en-US" w:eastAsia="zh-CN"/>
              </w:rPr>
              <w:t>根据《排放源统计调查产排污核算方法和系数手册-292塑料制品行业系数手册》中</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292</w:t>
            </w:r>
            <w:r>
              <w:rPr>
                <w:rFonts w:hint="eastAsia" w:cs="Times New Roman"/>
                <w:b w:val="0"/>
                <w:bCs/>
                <w:color w:val="000000"/>
                <w:sz w:val="24"/>
                <w:highlight w:val="none"/>
                <w:u w:val="none" w:color="auto"/>
                <w:lang w:val="en-US" w:eastAsia="zh-CN"/>
              </w:rPr>
              <w:t>6</w:t>
            </w:r>
            <w:r>
              <w:rPr>
                <w:rFonts w:hint="default" w:cs="Times New Roman"/>
                <w:b w:val="0"/>
                <w:bCs/>
                <w:color w:val="000000"/>
                <w:sz w:val="24"/>
                <w:highlight w:val="none"/>
                <w:u w:val="none" w:color="auto"/>
                <w:lang w:val="en-US" w:eastAsia="zh-CN"/>
              </w:rPr>
              <w:t>塑料包装箱及容器制造行业系数表</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中塑料包装箱及容器（原料</w:t>
            </w:r>
            <w:r>
              <w:rPr>
                <w:rFonts w:hint="eastAsia" w:cs="Times New Roman"/>
                <w:b w:val="0"/>
                <w:bCs/>
                <w:color w:val="000000"/>
                <w:sz w:val="24"/>
                <w:highlight w:val="none"/>
                <w:u w:val="none" w:color="auto"/>
                <w:lang w:val="en-US" w:eastAsia="zh-CN"/>
              </w:rPr>
              <w:t>为塑料片材</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吸塑工艺</w:t>
            </w:r>
            <w:r>
              <w:rPr>
                <w:rFonts w:hint="default" w:cs="Times New Roman"/>
                <w:b w:val="0"/>
                <w:bCs/>
                <w:color w:val="000000"/>
                <w:sz w:val="24"/>
                <w:highlight w:val="none"/>
                <w:u w:val="none" w:color="auto"/>
                <w:lang w:val="en-US" w:eastAsia="zh-CN"/>
              </w:rPr>
              <w:t>挥发性有机物产生量为</w:t>
            </w:r>
            <w:r>
              <w:rPr>
                <w:rFonts w:hint="eastAsia" w:cs="Times New Roman"/>
                <w:b w:val="0"/>
                <w:bCs/>
                <w:color w:val="000000"/>
                <w:sz w:val="24"/>
                <w:highlight w:val="none"/>
                <w:u w:val="none" w:color="auto"/>
                <w:lang w:val="en-US" w:eastAsia="zh-CN"/>
              </w:rPr>
              <w:t>1.9</w:t>
            </w:r>
            <w:r>
              <w:rPr>
                <w:rFonts w:hint="default" w:cs="Times New Roman"/>
                <w:b w:val="0"/>
                <w:bCs/>
                <w:color w:val="000000"/>
                <w:sz w:val="24"/>
                <w:highlight w:val="none"/>
                <w:u w:val="none" w:color="auto"/>
                <w:lang w:val="en-US" w:eastAsia="zh-CN"/>
              </w:rPr>
              <w:t>kg/吨</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产品，本项目产品生产规模为</w:t>
            </w:r>
            <w:r>
              <w:rPr>
                <w:rFonts w:hint="eastAsia" w:cs="Times New Roman"/>
                <w:b w:val="0"/>
                <w:bCs/>
                <w:color w:val="000000"/>
                <w:sz w:val="24"/>
                <w:highlight w:val="none"/>
                <w:u w:val="none" w:color="auto"/>
                <w:lang w:val="en-US" w:eastAsia="zh-CN"/>
              </w:rPr>
              <w:t>3</w:t>
            </w:r>
            <w:r>
              <w:rPr>
                <w:rFonts w:hint="default" w:cs="Times New Roman"/>
                <w:b w:val="0"/>
                <w:bCs/>
                <w:color w:val="000000"/>
                <w:sz w:val="24"/>
                <w:highlight w:val="none"/>
                <w:u w:val="none" w:color="auto"/>
                <w:lang w:val="en-US" w:eastAsia="zh-CN"/>
              </w:rPr>
              <w:t>00t/a，则</w:t>
            </w:r>
            <w:r>
              <w:rPr>
                <w:rFonts w:hint="eastAsia" w:cs="Times New Roman"/>
                <w:b w:val="0"/>
                <w:bCs/>
                <w:color w:val="000000"/>
                <w:sz w:val="24"/>
                <w:highlight w:val="none"/>
                <w:u w:val="none" w:color="auto"/>
                <w:lang w:val="en-US" w:eastAsia="zh-CN"/>
              </w:rPr>
              <w:t>加热成型</w:t>
            </w:r>
            <w:r>
              <w:rPr>
                <w:rFonts w:hint="default" w:cs="Times New Roman"/>
                <w:b w:val="0"/>
                <w:bCs/>
                <w:color w:val="000000"/>
                <w:sz w:val="24"/>
                <w:highlight w:val="none"/>
                <w:u w:val="none" w:color="auto"/>
                <w:lang w:val="en-US" w:eastAsia="zh-CN"/>
              </w:rPr>
              <w:t>废气非甲烷总烃产生量为</w:t>
            </w:r>
            <w:r>
              <w:rPr>
                <w:rFonts w:hint="eastAsia" w:cs="Times New Roman"/>
                <w:b w:val="0"/>
                <w:bCs/>
                <w:color w:val="000000"/>
                <w:sz w:val="24"/>
                <w:highlight w:val="none"/>
                <w:u w:val="none" w:color="auto"/>
                <w:lang w:val="en-US" w:eastAsia="zh-CN"/>
              </w:rPr>
              <w:t>0.57</w:t>
            </w:r>
            <w:r>
              <w:rPr>
                <w:rFonts w:hint="default" w:cs="Times New Roman"/>
                <w:b w:val="0"/>
                <w:bCs/>
                <w:color w:val="000000"/>
                <w:sz w:val="24"/>
                <w:highlight w:val="none"/>
                <w:u w:val="none" w:color="auto"/>
                <w:lang w:val="en-US" w:eastAsia="zh-CN"/>
              </w:rPr>
              <w:t>t/a。</w:t>
            </w:r>
            <w:r>
              <w:rPr>
                <w:rFonts w:hint="eastAsia" w:cs="Times New Roman"/>
                <w:b w:val="0"/>
                <w:bCs/>
                <w:color w:val="000000"/>
                <w:sz w:val="24"/>
                <w:highlight w:val="none"/>
                <w:u w:val="none" w:color="auto"/>
                <w:lang w:val="en-US" w:eastAsia="zh-CN"/>
              </w:rPr>
              <w:t>依据《气相色谱法测定聚苯乙烯中残留苯乙烯单体含量》（祖凤华，合成树脂及塑料，2018）中苯乙烯产污系数</w:t>
            </w:r>
            <w:r>
              <w:rPr>
                <w:rFonts w:hint="default" w:cs="Times New Roman"/>
                <w:b w:val="0"/>
                <w:bCs/>
                <w:color w:val="000000"/>
                <w:sz w:val="24"/>
                <w:highlight w:val="none"/>
                <w:u w:val="none" w:color="auto"/>
                <w:lang w:val="en-US" w:eastAsia="zh-CN"/>
              </w:rPr>
              <w:t>为</w:t>
            </w:r>
            <w:r>
              <w:rPr>
                <w:rFonts w:hint="eastAsia" w:cs="Times New Roman"/>
                <w:b w:val="0"/>
                <w:bCs/>
                <w:color w:val="000000"/>
                <w:sz w:val="24"/>
                <w:highlight w:val="none"/>
                <w:u w:val="none" w:color="auto"/>
                <w:lang w:val="en-US" w:eastAsia="zh-CN"/>
              </w:rPr>
              <w:t>0.333</w:t>
            </w:r>
            <w:r>
              <w:rPr>
                <w:rFonts w:hint="default" w:cs="Times New Roman"/>
                <w:b w:val="0"/>
                <w:bCs/>
                <w:color w:val="000000"/>
                <w:sz w:val="24"/>
                <w:highlight w:val="none"/>
                <w:u w:val="none" w:color="auto"/>
                <w:lang w:val="en-US" w:eastAsia="zh-CN"/>
              </w:rPr>
              <w:t>kg/吨</w:t>
            </w:r>
            <w:r>
              <w:rPr>
                <w:rFonts w:hint="eastAsia" w:cs="Times New Roman"/>
                <w:b w:val="0"/>
                <w:bCs/>
                <w:color w:val="000000"/>
                <w:sz w:val="24"/>
                <w:highlight w:val="none"/>
                <w:u w:val="none" w:color="auto"/>
                <w:lang w:val="en-US" w:eastAsia="zh-CN"/>
              </w:rPr>
              <w:t>-产品，</w:t>
            </w:r>
            <w:r>
              <w:rPr>
                <w:rFonts w:hint="default" w:cs="Times New Roman"/>
                <w:b w:val="0"/>
                <w:bCs/>
                <w:color w:val="000000"/>
                <w:sz w:val="24"/>
                <w:highlight w:val="none"/>
                <w:u w:val="none" w:color="auto"/>
                <w:lang w:val="en-US" w:eastAsia="zh-CN"/>
              </w:rPr>
              <w:t>本项目产品生产规模为</w:t>
            </w:r>
            <w:r>
              <w:rPr>
                <w:rFonts w:hint="eastAsia" w:cs="Times New Roman"/>
                <w:b w:val="0"/>
                <w:bCs/>
                <w:color w:val="000000"/>
                <w:sz w:val="24"/>
                <w:highlight w:val="none"/>
                <w:u w:val="none" w:color="auto"/>
                <w:lang w:val="en-US" w:eastAsia="zh-CN"/>
              </w:rPr>
              <w:t>3</w:t>
            </w:r>
            <w:r>
              <w:rPr>
                <w:rFonts w:hint="default" w:cs="Times New Roman"/>
                <w:b w:val="0"/>
                <w:bCs/>
                <w:color w:val="000000"/>
                <w:sz w:val="24"/>
                <w:highlight w:val="none"/>
                <w:u w:val="none" w:color="auto"/>
                <w:lang w:val="en-US" w:eastAsia="zh-CN"/>
              </w:rPr>
              <w:t>00t/a，则</w:t>
            </w:r>
            <w:r>
              <w:rPr>
                <w:rFonts w:hint="eastAsia" w:cs="Times New Roman"/>
                <w:b w:val="0"/>
                <w:bCs/>
                <w:color w:val="000000"/>
                <w:sz w:val="24"/>
                <w:highlight w:val="none"/>
                <w:u w:val="none" w:color="auto"/>
                <w:lang w:val="en-US" w:eastAsia="zh-CN"/>
              </w:rPr>
              <w:t>加热成型工序苯乙烯</w:t>
            </w:r>
            <w:r>
              <w:rPr>
                <w:rFonts w:hint="default" w:cs="Times New Roman"/>
                <w:b w:val="0"/>
                <w:bCs/>
                <w:color w:val="000000"/>
                <w:sz w:val="24"/>
                <w:highlight w:val="none"/>
                <w:u w:val="none" w:color="auto"/>
                <w:lang w:val="en-US" w:eastAsia="zh-CN"/>
              </w:rPr>
              <w:t>产生量</w:t>
            </w:r>
            <w:r>
              <w:rPr>
                <w:rFonts w:hint="eastAsia" w:cs="Times New Roman"/>
                <w:b w:val="0"/>
                <w:bCs/>
                <w:color w:val="000000"/>
                <w:sz w:val="24"/>
                <w:highlight w:val="none"/>
                <w:u w:val="none" w:color="auto"/>
                <w:lang w:val="en-US" w:eastAsia="zh-CN"/>
              </w:rPr>
              <w:t>约</w:t>
            </w:r>
            <w:r>
              <w:rPr>
                <w:rFonts w:hint="default" w:cs="Times New Roman"/>
                <w:b w:val="0"/>
                <w:bCs/>
                <w:color w:val="000000"/>
                <w:sz w:val="24"/>
                <w:highlight w:val="none"/>
                <w:u w:val="none" w:color="auto"/>
                <w:lang w:val="en-US" w:eastAsia="zh-CN"/>
              </w:rPr>
              <w:t>为</w:t>
            </w:r>
            <w:r>
              <w:rPr>
                <w:rFonts w:hint="eastAsia" w:cs="Times New Roman"/>
                <w:b w:val="0"/>
                <w:bCs/>
                <w:color w:val="000000"/>
                <w:sz w:val="24"/>
                <w:highlight w:val="none"/>
                <w:u w:val="none" w:color="auto"/>
                <w:lang w:val="en-US" w:eastAsia="zh-CN"/>
              </w:rPr>
              <w:t>0.1</w:t>
            </w:r>
            <w:r>
              <w:rPr>
                <w:rFonts w:hint="default" w:cs="Times New Roman"/>
                <w:b w:val="0"/>
                <w:bCs/>
                <w:color w:val="000000"/>
                <w:sz w:val="24"/>
                <w:highlight w:val="none"/>
                <w:u w:val="none" w:color="auto"/>
                <w:lang w:val="en-US" w:eastAsia="zh-CN"/>
              </w:rPr>
              <w:t>t/a。</w:t>
            </w:r>
          </w:p>
          <w:p w14:paraId="015C41F9">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ascii="Times New Roman" w:hAnsi="Times New Roman" w:eastAsia="宋体" w:cs="Times New Roman"/>
                <w:b w:val="0"/>
                <w:bCs/>
                <w:color w:val="000000"/>
                <w:kern w:val="2"/>
                <w:sz w:val="24"/>
                <w:szCs w:val="24"/>
                <w:highlight w:val="none"/>
                <w:u w:val="none" w:color="auto"/>
                <w:lang w:val="en-US" w:eastAsia="zh-CN" w:bidi="ar-SA"/>
              </w:rPr>
            </w:pPr>
            <w:r>
              <w:rPr>
                <w:rFonts w:hint="eastAsia" w:cs="Times New Roman"/>
                <w:b w:val="0"/>
                <w:bCs/>
                <w:color w:val="000000"/>
                <w:sz w:val="24"/>
                <w:highlight w:val="none"/>
                <w:u w:val="none" w:color="auto"/>
                <w:lang w:val="en-US" w:eastAsia="zh-CN"/>
              </w:rPr>
              <w:t>评价要求在6台成型机于车间内二次封闭，并在加热工序上方设置集气罩，加热成型工序产生的非甲烷总烃、苯乙烯经集气系统收集后，</w:t>
            </w:r>
            <w:r>
              <w:rPr>
                <w:rFonts w:hint="default" w:cs="Times New Roman"/>
                <w:b w:val="0"/>
                <w:bCs/>
                <w:color w:val="000000"/>
                <w:sz w:val="24"/>
                <w:highlight w:val="none"/>
                <w:u w:val="none" w:color="auto"/>
                <w:lang w:val="en-US" w:eastAsia="zh-CN"/>
              </w:rPr>
              <w:t>引入1套两级活性炭吸附装置进行处理，处理后的废气经</w:t>
            </w:r>
            <w:r>
              <w:rPr>
                <w:rFonts w:hint="eastAsia" w:cs="Times New Roman"/>
                <w:b w:val="0"/>
                <w:bCs/>
                <w:color w:val="000000"/>
                <w:sz w:val="24"/>
                <w:highlight w:val="none"/>
                <w:u w:val="none" w:color="auto"/>
                <w:lang w:val="en-US" w:eastAsia="zh-CN"/>
              </w:rPr>
              <w:t>一根</w:t>
            </w:r>
            <w:r>
              <w:rPr>
                <w:rFonts w:hint="default" w:cs="Times New Roman"/>
                <w:b w:val="0"/>
                <w:bCs/>
                <w:color w:val="000000"/>
                <w:sz w:val="24"/>
                <w:highlight w:val="none"/>
                <w:u w:val="none" w:color="auto"/>
                <w:lang w:val="en-US" w:eastAsia="zh-CN"/>
              </w:rPr>
              <w:t>15m高排气筒（DA001）排放。</w:t>
            </w:r>
            <w:r>
              <w:rPr>
                <w:rFonts w:hint="default" w:ascii="Times New Roman" w:hAnsi="Times New Roman" w:eastAsia="宋体" w:cs="Times New Roman"/>
                <w:b w:val="0"/>
                <w:bCs/>
                <w:color w:val="000000"/>
                <w:kern w:val="2"/>
                <w:sz w:val="24"/>
                <w:szCs w:val="24"/>
                <w:highlight w:val="none"/>
                <w:u w:val="none" w:color="auto"/>
                <w:lang w:val="en-US" w:eastAsia="zh-CN" w:bidi="ar-SA"/>
              </w:rPr>
              <w:t>根据《废气处理工程技术手册》（王纯、张殿印主编）</w:t>
            </w:r>
            <w:r>
              <w:rPr>
                <w:rFonts w:hint="default" w:ascii="Times New Roman" w:hAnsi="Times New Roman" w:eastAsia="宋体" w:cs="Times New Roman"/>
                <w:b w:val="0"/>
                <w:bCs/>
                <w:color w:val="000000"/>
                <w:sz w:val="24"/>
                <w:highlight w:val="none"/>
                <w:u w:val="none" w:color="auto"/>
              </w:rPr>
              <w:t>中的有关公式，工程废气收集系统的控制风速要在0.5m/s以上，以保证收集效果，</w:t>
            </w:r>
            <w:r>
              <w:rPr>
                <w:rFonts w:hint="default" w:ascii="Times New Roman" w:hAnsi="Times New Roman" w:eastAsia="宋体" w:cs="Times New Roman"/>
                <w:b w:val="0"/>
                <w:bCs/>
                <w:color w:val="000000"/>
                <w:kern w:val="2"/>
                <w:sz w:val="24"/>
                <w:szCs w:val="24"/>
                <w:highlight w:val="none"/>
                <w:u w:val="none" w:color="auto"/>
                <w:lang w:val="en-US" w:eastAsia="zh-CN" w:bidi="ar-SA"/>
              </w:rPr>
              <w:t>设置</w:t>
            </w:r>
            <w:r>
              <w:rPr>
                <w:rFonts w:hint="eastAsia" w:ascii="Times New Roman" w:hAnsi="Times New Roman" w:eastAsia="宋体" w:cs="Times New Roman"/>
                <w:b w:val="0"/>
                <w:bCs/>
                <w:color w:val="000000"/>
                <w:kern w:val="2"/>
                <w:sz w:val="24"/>
                <w:szCs w:val="24"/>
                <w:highlight w:val="none"/>
                <w:u w:val="none" w:color="auto"/>
                <w:lang w:val="en-US" w:eastAsia="zh-CN" w:bidi="ar-SA"/>
              </w:rPr>
              <w:t>顶</w:t>
            </w:r>
            <w:r>
              <w:rPr>
                <w:rFonts w:hint="default" w:ascii="Times New Roman" w:hAnsi="Times New Roman" w:eastAsia="宋体" w:cs="Times New Roman"/>
                <w:b w:val="0"/>
                <w:bCs/>
                <w:color w:val="000000"/>
                <w:kern w:val="2"/>
                <w:sz w:val="24"/>
                <w:szCs w:val="24"/>
                <w:highlight w:val="none"/>
                <w:u w:val="none" w:color="auto"/>
                <w:lang w:val="en-US" w:eastAsia="zh-CN" w:bidi="ar-SA"/>
              </w:rPr>
              <w:t>吸式集气罩风量计算公式如下：</w:t>
            </w:r>
          </w:p>
          <w:p w14:paraId="34DFFB99">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Q=1.4pHVx×3600</w:t>
            </w:r>
          </w:p>
          <w:p w14:paraId="4CBD556B">
            <w:pPr>
              <w:keepNext w:val="0"/>
              <w:keepLines w:val="0"/>
              <w:pageBreakBefore w:val="0"/>
              <w:widowControl w:val="0"/>
              <w:kinsoku/>
              <w:wordWrap/>
              <w:overflowPunct/>
              <w:topLinePunct w:val="0"/>
              <w:autoSpaceDE/>
              <w:autoSpaceDN/>
              <w:bidi w:val="0"/>
              <w:adjustRightInd/>
              <w:spacing w:line="520" w:lineRule="exact"/>
              <w:ind w:right="0" w:rightChars="0"/>
              <w:jc w:val="both"/>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式中，Q——</w:t>
            </w:r>
            <w:r>
              <w:rPr>
                <w:rFonts w:hint="eastAsia" w:ascii="Times New Roman" w:hAnsi="Times New Roman" w:eastAsia="宋体" w:cs="Times New Roman"/>
                <w:b w:val="0"/>
                <w:bCs/>
                <w:color w:val="auto"/>
                <w:sz w:val="24"/>
                <w:highlight w:val="none"/>
                <w:u w:val="none" w:color="auto"/>
                <w:lang w:val="en-US" w:eastAsia="zh-CN"/>
              </w:rPr>
              <w:t>顶</w:t>
            </w:r>
            <w:r>
              <w:rPr>
                <w:rFonts w:hint="default" w:ascii="Times New Roman" w:hAnsi="Times New Roman" w:eastAsia="宋体" w:cs="Times New Roman"/>
                <w:b w:val="0"/>
                <w:bCs/>
                <w:color w:val="auto"/>
                <w:sz w:val="24"/>
                <w:highlight w:val="none"/>
                <w:u w:val="none" w:color="auto"/>
                <w:lang w:val="en-US" w:eastAsia="zh-CN"/>
              </w:rPr>
              <w:t>吸罩的计算风量，m</w:t>
            </w:r>
            <w:r>
              <w:rPr>
                <w:rFonts w:hint="default" w:ascii="Times New Roman" w:hAnsi="Times New Roman" w:eastAsia="宋体" w:cs="Times New Roman"/>
                <w:b w:val="0"/>
                <w:bCs/>
                <w:color w:val="auto"/>
                <w:sz w:val="24"/>
                <w:highlight w:val="none"/>
                <w:u w:val="none" w:color="auto"/>
                <w:vertAlign w:val="superscript"/>
                <w:lang w:val="en-US" w:eastAsia="zh-CN"/>
              </w:rPr>
              <w:t>3</w:t>
            </w:r>
            <w:r>
              <w:rPr>
                <w:rFonts w:hint="default" w:ascii="Times New Roman" w:hAnsi="Times New Roman" w:eastAsia="宋体" w:cs="Times New Roman"/>
                <w:b w:val="0"/>
                <w:bCs/>
                <w:color w:val="auto"/>
                <w:sz w:val="24"/>
                <w:highlight w:val="none"/>
                <w:u w:val="none" w:color="auto"/>
                <w:lang w:val="en-US" w:eastAsia="zh-CN"/>
              </w:rPr>
              <w:t>/h；</w:t>
            </w:r>
          </w:p>
          <w:p w14:paraId="5E183BC0">
            <w:pPr>
              <w:keepNext w:val="0"/>
              <w:keepLines w:val="0"/>
              <w:pageBreakBefore w:val="0"/>
              <w:widowControl w:val="0"/>
              <w:kinsoku/>
              <w:wordWrap/>
              <w:overflowPunct/>
              <w:topLinePunct w:val="0"/>
              <w:autoSpaceDE/>
              <w:autoSpaceDN/>
              <w:bidi w:val="0"/>
              <w:adjustRightInd/>
              <w:spacing w:line="520" w:lineRule="exact"/>
              <w:ind w:left="0" w:leftChars="0" w:right="0" w:rightChars="0" w:firstLine="1200" w:firstLineChars="500"/>
              <w:jc w:val="both"/>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p——罩口周长；</w:t>
            </w:r>
          </w:p>
          <w:p w14:paraId="0E13E633">
            <w:pPr>
              <w:keepNext w:val="0"/>
              <w:keepLines w:val="0"/>
              <w:pageBreakBefore w:val="0"/>
              <w:widowControl w:val="0"/>
              <w:kinsoku/>
              <w:wordWrap/>
              <w:overflowPunct/>
              <w:topLinePunct w:val="0"/>
              <w:autoSpaceDE/>
              <w:autoSpaceDN/>
              <w:bidi w:val="0"/>
              <w:adjustRightInd/>
              <w:spacing w:line="520" w:lineRule="exact"/>
              <w:ind w:left="0" w:leftChars="0" w:right="0" w:rightChars="0" w:firstLine="1200" w:firstLineChars="500"/>
              <w:jc w:val="both"/>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H——污染源至罩口距离；</w:t>
            </w:r>
          </w:p>
          <w:p w14:paraId="7E58398D">
            <w:pPr>
              <w:keepNext w:val="0"/>
              <w:keepLines w:val="0"/>
              <w:pageBreakBefore w:val="0"/>
              <w:widowControl w:val="0"/>
              <w:kinsoku/>
              <w:wordWrap/>
              <w:overflowPunct/>
              <w:topLinePunct w:val="0"/>
              <w:autoSpaceDE/>
              <w:autoSpaceDN/>
              <w:bidi w:val="0"/>
              <w:adjustRightInd/>
              <w:spacing w:line="520" w:lineRule="exact"/>
              <w:ind w:left="0" w:leftChars="0" w:right="0" w:rightChars="0" w:firstLine="1200" w:firstLineChars="500"/>
              <w:jc w:val="both"/>
              <w:textAlignment w:val="auto"/>
              <w:outlineLvl w:val="9"/>
              <w:rPr>
                <w:rFonts w:hint="default" w:ascii="Times New Roman" w:hAnsi="Times New Roman" w:eastAsia="宋体" w:cs="Times New Roman"/>
                <w:b w:val="0"/>
                <w:bCs/>
                <w:color w:val="000000"/>
                <w:kern w:val="2"/>
                <w:sz w:val="24"/>
                <w:szCs w:val="24"/>
                <w:highlight w:val="none"/>
                <w:u w:val="none" w:color="auto"/>
                <w:lang w:val="en-US" w:eastAsia="zh-CN" w:bidi="ar-SA"/>
              </w:rPr>
            </w:pPr>
            <w:r>
              <w:rPr>
                <w:rFonts w:hint="default" w:ascii="Times New Roman" w:hAnsi="Times New Roman" w:eastAsia="宋体" w:cs="Times New Roman"/>
                <w:b w:val="0"/>
                <w:bCs/>
                <w:color w:val="auto"/>
                <w:sz w:val="24"/>
                <w:highlight w:val="none"/>
                <w:u w:val="none" w:color="auto"/>
                <w:lang w:val="en-US" w:eastAsia="zh-CN"/>
              </w:rPr>
              <w:t>Vx——最小控制风速，本次取0.5m/s；</w:t>
            </w:r>
          </w:p>
          <w:p w14:paraId="5F489022">
            <w:pPr>
              <w:pStyle w:val="13"/>
              <w:keepNext w:val="0"/>
              <w:keepLines w:val="0"/>
              <w:pageBreakBefore w:val="0"/>
              <w:kinsoku/>
              <w:overflowPunct/>
              <w:topLinePunct w:val="0"/>
              <w:autoSpaceDE/>
              <w:autoSpaceDN/>
              <w:bidi w:val="0"/>
              <w:adjustRightInd/>
              <w:spacing w:before="0" w:after="0" w:line="520" w:lineRule="exact"/>
              <w:ind w:right="0" w:firstLine="480" w:firstLineChars="200"/>
              <w:jc w:val="left"/>
              <w:textAlignment w:val="auto"/>
              <w:rPr>
                <w:rFonts w:hint="default" w:ascii="Times New Roman" w:hAnsi="Times New Roman" w:eastAsia="宋体" w:cs="Times New Roman"/>
                <w:b w:val="0"/>
                <w:bCs/>
                <w:color w:val="000000"/>
                <w:sz w:val="24"/>
                <w:highlight w:val="none"/>
                <w:u w:val="none" w:color="auto"/>
                <w:lang w:eastAsia="zh-CN"/>
              </w:rPr>
            </w:pPr>
            <w:r>
              <w:rPr>
                <w:rFonts w:hint="default" w:ascii="Times New Roman" w:hAnsi="Times New Roman" w:cs="Times New Roman"/>
                <w:b w:val="0"/>
                <w:bCs/>
                <w:kern w:val="0"/>
                <w:sz w:val="24"/>
                <w:szCs w:val="24"/>
                <w:highlight w:val="none"/>
                <w:u w:val="none" w:color="auto"/>
              </w:rPr>
              <w:t>根据集气罩风量计算公式，其中p为罩口周长，集气罩长取值0.</w:t>
            </w:r>
            <w:r>
              <w:rPr>
                <w:rFonts w:hint="eastAsia" w:cs="Times New Roman"/>
                <w:b w:val="0"/>
                <w:bCs/>
                <w:kern w:val="0"/>
                <w:sz w:val="24"/>
                <w:szCs w:val="24"/>
                <w:highlight w:val="none"/>
                <w:u w:val="none" w:color="auto"/>
                <w:lang w:val="en-US" w:eastAsia="zh-CN"/>
              </w:rPr>
              <w:t>4</w:t>
            </w:r>
            <w:r>
              <w:rPr>
                <w:rFonts w:hint="default" w:ascii="Times New Roman" w:hAnsi="Times New Roman" w:cs="Times New Roman"/>
                <w:b w:val="0"/>
                <w:bCs/>
                <w:kern w:val="0"/>
                <w:sz w:val="24"/>
                <w:szCs w:val="24"/>
                <w:highlight w:val="none"/>
                <w:u w:val="none" w:color="auto"/>
              </w:rPr>
              <w:t>m，宽取值0.</w:t>
            </w:r>
            <w:r>
              <w:rPr>
                <w:rFonts w:hint="eastAsia" w:cs="Times New Roman"/>
                <w:b w:val="0"/>
                <w:bCs/>
                <w:kern w:val="0"/>
                <w:sz w:val="24"/>
                <w:szCs w:val="24"/>
                <w:highlight w:val="none"/>
                <w:u w:val="none" w:color="auto"/>
                <w:lang w:val="en-US" w:eastAsia="zh-CN"/>
              </w:rPr>
              <w:t>3</w:t>
            </w:r>
            <w:r>
              <w:rPr>
                <w:rFonts w:hint="default" w:ascii="Times New Roman" w:hAnsi="Times New Roman" w:cs="Times New Roman"/>
                <w:b w:val="0"/>
                <w:bCs/>
                <w:kern w:val="0"/>
                <w:sz w:val="24"/>
                <w:szCs w:val="24"/>
                <w:highlight w:val="none"/>
                <w:u w:val="none" w:color="auto"/>
              </w:rPr>
              <w:t>m，则p=</w:t>
            </w:r>
            <w:r>
              <w:rPr>
                <w:rFonts w:hint="eastAsia" w:cs="Times New Roman"/>
                <w:b w:val="0"/>
                <w:bCs/>
                <w:kern w:val="0"/>
                <w:sz w:val="24"/>
                <w:szCs w:val="24"/>
                <w:highlight w:val="none"/>
                <w:u w:val="none" w:color="auto"/>
                <w:lang w:val="en-US" w:eastAsia="zh-CN"/>
              </w:rPr>
              <w:t>1.4</w:t>
            </w:r>
            <w:r>
              <w:rPr>
                <w:rFonts w:hint="default" w:ascii="Times New Roman" w:hAnsi="Times New Roman" w:cs="Times New Roman"/>
                <w:b w:val="0"/>
                <w:bCs/>
                <w:kern w:val="0"/>
                <w:sz w:val="24"/>
                <w:szCs w:val="24"/>
                <w:highlight w:val="none"/>
                <w:u w:val="none" w:color="auto"/>
              </w:rPr>
              <w:t>m。H为罩口至污染源的距离，取0.</w:t>
            </w:r>
            <w:r>
              <w:rPr>
                <w:rFonts w:hint="eastAsia" w:cs="Times New Roman"/>
                <w:b w:val="0"/>
                <w:bCs/>
                <w:kern w:val="0"/>
                <w:sz w:val="24"/>
                <w:szCs w:val="24"/>
                <w:highlight w:val="none"/>
                <w:u w:val="none" w:color="auto"/>
                <w:lang w:val="en-US" w:eastAsia="zh-CN"/>
              </w:rPr>
              <w:t>3</w:t>
            </w:r>
            <w:r>
              <w:rPr>
                <w:rFonts w:hint="default" w:ascii="Times New Roman" w:hAnsi="Times New Roman" w:cs="Times New Roman"/>
                <w:b w:val="0"/>
                <w:bCs/>
                <w:kern w:val="0"/>
                <w:sz w:val="24"/>
                <w:szCs w:val="24"/>
                <w:highlight w:val="none"/>
                <w:u w:val="none" w:color="auto"/>
              </w:rPr>
              <w:t>m；Vx取0.5m/s，</w:t>
            </w:r>
            <w:r>
              <w:rPr>
                <w:rFonts w:hint="eastAsia" w:cs="Times New Roman"/>
                <w:b w:val="0"/>
                <w:bCs/>
                <w:kern w:val="0"/>
                <w:sz w:val="24"/>
                <w:szCs w:val="24"/>
                <w:highlight w:val="none"/>
                <w:u w:val="none" w:color="auto"/>
                <w:lang w:eastAsia="zh-CN"/>
              </w:rPr>
              <w:t>经</w:t>
            </w:r>
            <w:r>
              <w:rPr>
                <w:rFonts w:hint="default" w:ascii="Times New Roman" w:hAnsi="Times New Roman" w:cs="Times New Roman"/>
                <w:b w:val="0"/>
                <w:bCs/>
                <w:kern w:val="0"/>
                <w:sz w:val="24"/>
                <w:szCs w:val="24"/>
                <w:highlight w:val="none"/>
                <w:u w:val="none" w:color="auto"/>
              </w:rPr>
              <w:t>计算得到单个集气罩风量为</w:t>
            </w:r>
            <w:r>
              <w:rPr>
                <w:rFonts w:hint="eastAsia" w:cs="Times New Roman"/>
                <w:b w:val="0"/>
                <w:bCs/>
                <w:kern w:val="0"/>
                <w:sz w:val="24"/>
                <w:szCs w:val="24"/>
                <w:highlight w:val="none"/>
                <w:u w:val="none" w:color="auto"/>
                <w:lang w:val="en-US" w:eastAsia="zh-CN"/>
              </w:rPr>
              <w:t>1058.4</w:t>
            </w:r>
            <w:r>
              <w:rPr>
                <w:rFonts w:hint="default" w:ascii="Times New Roman" w:hAnsi="Times New Roman" w:cs="Times New Roman"/>
                <w:b w:val="0"/>
                <w:bCs/>
                <w:kern w:val="0"/>
                <w:sz w:val="24"/>
                <w:szCs w:val="24"/>
                <w:highlight w:val="none"/>
                <w:u w:val="none" w:color="auto"/>
              </w:rPr>
              <w:t>m</w:t>
            </w:r>
            <w:r>
              <w:rPr>
                <w:rFonts w:hint="default" w:ascii="Times New Roman" w:hAnsi="Times New Roman" w:cs="Times New Roman"/>
                <w:b w:val="0"/>
                <w:bCs/>
                <w:kern w:val="0"/>
                <w:sz w:val="24"/>
                <w:szCs w:val="24"/>
                <w:highlight w:val="none"/>
                <w:u w:val="none" w:color="auto"/>
                <w:vertAlign w:val="superscript"/>
              </w:rPr>
              <w:t>3</w:t>
            </w:r>
            <w:r>
              <w:rPr>
                <w:rFonts w:hint="default" w:ascii="Times New Roman" w:hAnsi="Times New Roman" w:cs="Times New Roman"/>
                <w:b w:val="0"/>
                <w:bCs/>
                <w:kern w:val="0"/>
                <w:sz w:val="24"/>
                <w:szCs w:val="24"/>
                <w:highlight w:val="none"/>
                <w:u w:val="none" w:color="auto"/>
              </w:rPr>
              <w:t>/h</w:t>
            </w:r>
            <w:r>
              <w:rPr>
                <w:rFonts w:hint="eastAsia" w:cs="Times New Roman"/>
                <w:b w:val="0"/>
                <w:bCs/>
                <w:kern w:val="0"/>
                <w:sz w:val="24"/>
                <w:szCs w:val="24"/>
                <w:highlight w:val="none"/>
                <w:u w:val="none" w:color="auto"/>
                <w:lang w:eastAsia="zh-CN"/>
              </w:rPr>
              <w:t>，本项目有</w:t>
            </w:r>
            <w:r>
              <w:rPr>
                <w:rFonts w:hint="eastAsia" w:cs="Times New Roman"/>
                <w:b w:val="0"/>
                <w:bCs/>
                <w:kern w:val="0"/>
                <w:sz w:val="24"/>
                <w:szCs w:val="24"/>
                <w:highlight w:val="none"/>
                <w:u w:val="none" w:color="auto"/>
                <w:lang w:val="en-US" w:eastAsia="zh-CN"/>
              </w:rPr>
              <w:t>6台成型机，</w:t>
            </w:r>
            <w:r>
              <w:rPr>
                <w:rFonts w:hint="default" w:ascii="Times New Roman" w:hAnsi="Times New Roman" w:cs="Times New Roman"/>
                <w:b w:val="0"/>
                <w:bCs/>
                <w:color w:val="000000"/>
                <w:sz w:val="24"/>
                <w:highlight w:val="none"/>
                <w:u w:val="none" w:color="auto"/>
                <w:lang w:val="en-US" w:eastAsia="zh-CN"/>
              </w:rPr>
              <w:t>共</w:t>
            </w:r>
            <w:r>
              <w:rPr>
                <w:rFonts w:hint="eastAsia" w:ascii="Times New Roman" w:hAnsi="Times New Roman" w:cs="Times New Roman"/>
                <w:b w:val="0"/>
                <w:bCs/>
                <w:color w:val="000000"/>
                <w:sz w:val="24"/>
                <w:highlight w:val="none"/>
                <w:u w:val="none" w:color="auto"/>
                <w:lang w:val="en-US" w:eastAsia="zh-CN"/>
              </w:rPr>
              <w:t>6</w:t>
            </w:r>
            <w:r>
              <w:rPr>
                <w:rFonts w:hint="default" w:ascii="Times New Roman" w:hAnsi="Times New Roman" w:cs="Times New Roman"/>
                <w:b w:val="0"/>
                <w:bCs/>
                <w:color w:val="000000"/>
                <w:sz w:val="24"/>
                <w:highlight w:val="none"/>
                <w:u w:val="none" w:color="auto"/>
                <w:lang w:val="en-US" w:eastAsia="zh-CN"/>
              </w:rPr>
              <w:t>个集气罩</w:t>
            </w:r>
            <w:r>
              <w:rPr>
                <w:rFonts w:hint="eastAsia" w:ascii="Times New Roman" w:hAnsi="Times New Roman" w:cs="Times New Roman"/>
                <w:b w:val="0"/>
                <w:bCs/>
                <w:color w:val="000000"/>
                <w:sz w:val="24"/>
                <w:highlight w:val="none"/>
                <w:u w:val="none" w:color="auto"/>
                <w:lang w:val="en-US" w:eastAsia="zh-CN"/>
              </w:rPr>
              <w:t>，</w:t>
            </w:r>
            <w:r>
              <w:rPr>
                <w:rFonts w:hint="default" w:ascii="Times New Roman" w:hAnsi="Times New Roman" w:eastAsia="宋体" w:cs="Times New Roman"/>
                <w:b w:val="0"/>
                <w:bCs/>
                <w:color w:val="000000"/>
                <w:sz w:val="24"/>
                <w:highlight w:val="none"/>
                <w:u w:val="none" w:color="auto"/>
                <w:lang w:val="en-US" w:eastAsia="zh-CN"/>
              </w:rPr>
              <w:t>则总风量约</w:t>
            </w:r>
            <w:r>
              <w:rPr>
                <w:rFonts w:hint="eastAsia" w:ascii="Times New Roman" w:hAnsi="Times New Roman" w:eastAsia="宋体" w:cs="Times New Roman"/>
                <w:b w:val="0"/>
                <w:bCs/>
                <w:color w:val="000000"/>
                <w:sz w:val="24"/>
                <w:highlight w:val="none"/>
                <w:u w:val="none" w:color="auto"/>
                <w:lang w:val="en-US" w:eastAsia="zh-CN"/>
              </w:rPr>
              <w:t>6350.4</w:t>
            </w:r>
            <w:r>
              <w:rPr>
                <w:rFonts w:hint="default" w:ascii="Times New Roman" w:hAnsi="Times New Roman" w:eastAsia="宋体" w:cs="Times New Roman"/>
                <w:b w:val="0"/>
                <w:bCs/>
                <w:color w:val="000000"/>
                <w:sz w:val="24"/>
                <w:highlight w:val="none"/>
                <w:u w:val="none" w:color="auto"/>
                <w:lang w:val="en-US" w:eastAsia="zh-CN"/>
              </w:rPr>
              <w:t>m</w:t>
            </w:r>
            <w:r>
              <w:rPr>
                <w:rFonts w:hint="default" w:ascii="Times New Roman" w:hAnsi="Times New Roman" w:eastAsia="宋体" w:cs="Times New Roman"/>
                <w:b w:val="0"/>
                <w:bCs/>
                <w:color w:val="000000"/>
                <w:sz w:val="24"/>
                <w:highlight w:val="none"/>
                <w:u w:val="none" w:color="auto"/>
                <w:vertAlign w:val="superscript"/>
                <w:lang w:val="en-US" w:eastAsia="zh-CN"/>
              </w:rPr>
              <w:t>3</w:t>
            </w:r>
            <w:r>
              <w:rPr>
                <w:rFonts w:hint="default" w:ascii="Times New Roman" w:hAnsi="Times New Roman" w:eastAsia="宋体" w:cs="Times New Roman"/>
                <w:b w:val="0"/>
                <w:bCs/>
                <w:color w:val="000000"/>
                <w:sz w:val="24"/>
                <w:highlight w:val="none"/>
                <w:u w:val="none" w:color="auto"/>
                <w:lang w:val="en-US" w:eastAsia="zh-CN"/>
              </w:rPr>
              <w:t>/h计</w:t>
            </w:r>
            <w:r>
              <w:rPr>
                <w:rFonts w:hint="default" w:ascii="Times New Roman" w:hAnsi="Times New Roman" w:cs="Times New Roman"/>
                <w:b w:val="0"/>
                <w:bCs/>
                <w:kern w:val="0"/>
                <w:sz w:val="24"/>
                <w:szCs w:val="24"/>
                <w:highlight w:val="none"/>
                <w:u w:val="none" w:color="auto"/>
              </w:rPr>
              <w:t>。</w:t>
            </w:r>
            <w:r>
              <w:rPr>
                <w:rFonts w:hint="default" w:ascii="Times New Roman" w:hAnsi="Times New Roman" w:eastAsia="宋体" w:cs="Times New Roman"/>
                <w:b w:val="0"/>
                <w:bCs/>
                <w:color w:val="000000"/>
                <w:sz w:val="24"/>
                <w:highlight w:val="none"/>
                <w:u w:val="none" w:color="auto"/>
              </w:rPr>
              <w:t>为了提高风机处理量的富余能力，本项目风机风量富余值按上述计算所需风机总风量的</w:t>
            </w:r>
            <w:r>
              <w:rPr>
                <w:rFonts w:hint="default" w:ascii="Times New Roman" w:hAnsi="Times New Roman" w:eastAsia="宋体" w:cs="Times New Roman"/>
                <w:b w:val="0"/>
                <w:bCs/>
                <w:color w:val="000000"/>
                <w:sz w:val="24"/>
                <w:highlight w:val="none"/>
                <w:u w:val="none" w:color="auto"/>
                <w:lang w:val="en-US" w:eastAsia="zh-CN"/>
              </w:rPr>
              <w:t>10</w:t>
            </w:r>
            <w:r>
              <w:rPr>
                <w:rFonts w:hint="default" w:ascii="Times New Roman" w:hAnsi="Times New Roman" w:eastAsia="宋体" w:cs="Times New Roman"/>
                <w:b w:val="0"/>
                <w:bCs/>
                <w:color w:val="000000"/>
                <w:sz w:val="24"/>
                <w:highlight w:val="none"/>
                <w:u w:val="none" w:color="auto"/>
              </w:rPr>
              <w:t>%</w:t>
            </w:r>
            <w:r>
              <w:rPr>
                <w:rFonts w:hint="default" w:ascii="Times New Roman" w:hAnsi="Times New Roman" w:eastAsia="宋体" w:cs="Times New Roman"/>
                <w:b w:val="0"/>
                <w:bCs/>
                <w:color w:val="000000"/>
                <w:sz w:val="24"/>
                <w:highlight w:val="none"/>
                <w:u w:val="none" w:color="auto"/>
                <w:lang w:eastAsia="zh-CN"/>
              </w:rPr>
              <w:t>左右</w:t>
            </w:r>
            <w:r>
              <w:rPr>
                <w:rFonts w:hint="default" w:ascii="Times New Roman" w:hAnsi="Times New Roman" w:eastAsia="宋体" w:cs="Times New Roman"/>
                <w:b w:val="0"/>
                <w:bCs/>
                <w:color w:val="000000"/>
                <w:sz w:val="24"/>
                <w:highlight w:val="none"/>
                <w:u w:val="none" w:color="auto"/>
              </w:rPr>
              <w:t>计算，</w:t>
            </w:r>
            <w:r>
              <w:rPr>
                <w:rFonts w:hint="default" w:ascii="Times New Roman" w:hAnsi="Times New Roman" w:eastAsia="宋体" w:cs="Times New Roman"/>
                <w:b w:val="0"/>
                <w:bCs/>
                <w:color w:val="000000"/>
                <w:sz w:val="24"/>
                <w:highlight w:val="none"/>
                <w:u w:val="none" w:color="auto"/>
                <w:lang w:eastAsia="zh-CN"/>
              </w:rPr>
              <w:t>则废气总量按</w:t>
            </w:r>
            <w:r>
              <w:rPr>
                <w:rFonts w:hint="eastAsia" w:cs="Times New Roman"/>
                <w:b w:val="0"/>
                <w:bCs/>
                <w:color w:val="000000"/>
                <w:sz w:val="24"/>
                <w:highlight w:val="none"/>
                <w:u w:val="none" w:color="auto"/>
                <w:lang w:val="en-US" w:eastAsia="zh-CN"/>
              </w:rPr>
              <w:t>7000</w:t>
            </w:r>
            <w:r>
              <w:rPr>
                <w:rFonts w:hint="default" w:ascii="Times New Roman" w:hAnsi="Times New Roman" w:eastAsia="宋体" w:cs="Times New Roman"/>
                <w:b w:val="0"/>
                <w:bCs/>
                <w:color w:val="000000"/>
                <w:sz w:val="24"/>
                <w:highlight w:val="none"/>
                <w:u w:val="none" w:color="auto"/>
              </w:rPr>
              <w:t>m</w:t>
            </w:r>
            <w:r>
              <w:rPr>
                <w:rFonts w:hint="default" w:ascii="Times New Roman" w:hAnsi="Times New Roman" w:eastAsia="宋体" w:cs="Times New Roman"/>
                <w:b w:val="0"/>
                <w:bCs/>
                <w:color w:val="000000"/>
                <w:sz w:val="24"/>
                <w:highlight w:val="none"/>
                <w:u w:val="none" w:color="auto"/>
                <w:vertAlign w:val="superscript"/>
              </w:rPr>
              <w:t>3</w:t>
            </w:r>
            <w:r>
              <w:rPr>
                <w:rFonts w:hint="default" w:ascii="Times New Roman" w:hAnsi="Times New Roman" w:eastAsia="宋体" w:cs="Times New Roman"/>
                <w:b w:val="0"/>
                <w:bCs/>
                <w:color w:val="000000"/>
                <w:sz w:val="24"/>
                <w:highlight w:val="none"/>
                <w:u w:val="none" w:color="auto"/>
              </w:rPr>
              <w:t>/h</w:t>
            </w:r>
            <w:r>
              <w:rPr>
                <w:rFonts w:hint="default" w:ascii="Times New Roman" w:hAnsi="Times New Roman" w:eastAsia="宋体" w:cs="Times New Roman"/>
                <w:b w:val="0"/>
                <w:bCs/>
                <w:color w:val="000000"/>
                <w:sz w:val="24"/>
                <w:highlight w:val="none"/>
                <w:u w:val="none" w:color="auto"/>
                <w:lang w:eastAsia="zh-CN"/>
              </w:rPr>
              <w:t>计。</w:t>
            </w:r>
          </w:p>
          <w:p w14:paraId="50C33E8E">
            <w:pPr>
              <w:keepNext w:val="0"/>
              <w:keepLines w:val="0"/>
              <w:pageBreakBefore w:val="0"/>
              <w:widowControl w:val="0"/>
              <w:kinsoku/>
              <w:wordWrap w:val="0"/>
              <w:overflowPunct/>
              <w:topLinePunct w:val="0"/>
              <w:autoSpaceDE/>
              <w:autoSpaceDN/>
              <w:bidi w:val="0"/>
              <w:adjustRightInd/>
              <w:snapToGrid/>
              <w:spacing w:line="520" w:lineRule="exact"/>
              <w:textAlignment w:val="auto"/>
              <w:rPr>
                <w:rFonts w:hint="default" w:ascii="Times New Roman" w:hAnsi="Times New Roman" w:eastAsia="宋体" w:cs="Times New Roman"/>
                <w:highlight w:val="none"/>
                <w:lang w:val="en-US" w:eastAsia="zh-CN"/>
              </w:rPr>
            </w:pPr>
            <w:r>
              <w:rPr>
                <w:rFonts w:hint="eastAsia" w:cs="Times New Roman"/>
                <w:highlight w:val="none"/>
                <w:lang w:val="en-US" w:eastAsia="zh-CN"/>
              </w:rPr>
              <w:t>集气系统对非甲烷总烃、苯乙烯</w:t>
            </w:r>
            <w:r>
              <w:rPr>
                <w:rFonts w:hint="default" w:ascii="Times New Roman" w:hAnsi="Times New Roman" w:eastAsia="宋体" w:cs="Times New Roman"/>
                <w:highlight w:val="none"/>
                <w:lang w:val="en-US" w:eastAsia="zh-CN"/>
              </w:rPr>
              <w:t>的收集效率</w:t>
            </w:r>
            <w:r>
              <w:rPr>
                <w:rFonts w:hint="eastAsia" w:cs="Times New Roman"/>
                <w:highlight w:val="none"/>
                <w:lang w:val="en-US" w:eastAsia="zh-CN"/>
              </w:rPr>
              <w:t>均按</w:t>
            </w:r>
            <w:r>
              <w:rPr>
                <w:rFonts w:hint="default" w:ascii="Times New Roman" w:hAnsi="Times New Roman" w:eastAsia="宋体" w:cs="Times New Roman"/>
                <w:highlight w:val="none"/>
                <w:lang w:val="en-US" w:eastAsia="zh-CN"/>
              </w:rPr>
              <w:t>9</w:t>
            </w:r>
            <w:r>
              <w:rPr>
                <w:rFonts w:hint="eastAsia" w:cs="Times New Roman"/>
                <w:highlight w:val="none"/>
                <w:lang w:val="en-US" w:eastAsia="zh-CN"/>
              </w:rPr>
              <w:t>5</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计</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加热成型</w:t>
            </w:r>
            <w:r>
              <w:rPr>
                <w:rFonts w:hint="default" w:ascii="Times New Roman" w:hAnsi="Times New Roman" w:eastAsia="宋体" w:cs="Times New Roman"/>
                <w:highlight w:val="none"/>
                <w:lang w:val="en-US" w:eastAsia="zh-CN"/>
              </w:rPr>
              <w:t>工序</w:t>
            </w:r>
            <w:r>
              <w:rPr>
                <w:rFonts w:hint="eastAsia" w:eastAsia="宋体" w:cs="Times New Roman"/>
                <w:highlight w:val="none"/>
                <w:lang w:val="en-US" w:eastAsia="zh-CN"/>
              </w:rPr>
              <w:t>生产时间为</w:t>
            </w:r>
            <w:r>
              <w:rPr>
                <w:rFonts w:hint="eastAsia" w:cs="Times New Roman"/>
                <w:highlight w:val="none"/>
                <w:lang w:val="en-US" w:eastAsia="zh-CN"/>
              </w:rPr>
              <w:t>24</w:t>
            </w:r>
            <w:r>
              <w:rPr>
                <w:rFonts w:hint="default" w:ascii="Times New Roman" w:hAnsi="Times New Roman" w:eastAsia="宋体" w:cs="Times New Roman"/>
                <w:highlight w:val="none"/>
                <w:lang w:val="en-US" w:eastAsia="zh-CN"/>
              </w:rPr>
              <w:t>00h/a，非甲烷总烃有组织产生量为</w:t>
            </w:r>
            <w:r>
              <w:rPr>
                <w:rFonts w:hint="eastAsia" w:cs="Times New Roman"/>
                <w:highlight w:val="none"/>
                <w:lang w:val="en-US" w:eastAsia="zh-CN"/>
              </w:rPr>
              <w:t>0.5415</w:t>
            </w:r>
            <w:r>
              <w:rPr>
                <w:rFonts w:hint="default" w:ascii="Times New Roman" w:hAnsi="Times New Roman" w:eastAsia="宋体" w:cs="Times New Roman"/>
                <w:highlight w:val="none"/>
                <w:lang w:val="en-US" w:eastAsia="zh-CN"/>
              </w:rPr>
              <w:t>t/a，产生速率为</w:t>
            </w:r>
            <w:r>
              <w:rPr>
                <w:rFonts w:hint="eastAsia" w:cs="Times New Roman"/>
                <w:highlight w:val="none"/>
                <w:lang w:val="en-US" w:eastAsia="zh-CN"/>
              </w:rPr>
              <w:t>0.2256</w:t>
            </w:r>
            <w:r>
              <w:rPr>
                <w:rFonts w:hint="default" w:ascii="Times New Roman" w:hAnsi="Times New Roman" w:eastAsia="宋体" w:cs="Times New Roman"/>
                <w:highlight w:val="none"/>
                <w:lang w:val="en-US" w:eastAsia="zh-CN"/>
              </w:rPr>
              <w:t>kg/h，产生浓度为</w:t>
            </w:r>
            <w:r>
              <w:rPr>
                <w:rFonts w:hint="eastAsia" w:cs="Times New Roman"/>
                <w:highlight w:val="none"/>
                <w:lang w:val="en-US" w:eastAsia="zh-CN"/>
              </w:rPr>
              <w:t>32.23</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，苯乙烯</w:t>
            </w:r>
            <w:r>
              <w:rPr>
                <w:rFonts w:hint="default" w:ascii="Times New Roman" w:hAnsi="Times New Roman" w:eastAsia="宋体" w:cs="Times New Roman"/>
                <w:highlight w:val="none"/>
                <w:lang w:val="en-US" w:eastAsia="zh-CN"/>
              </w:rPr>
              <w:t>有组织产生量为</w:t>
            </w:r>
            <w:r>
              <w:rPr>
                <w:rFonts w:hint="eastAsia" w:cs="Times New Roman"/>
                <w:highlight w:val="none"/>
                <w:lang w:val="en-US" w:eastAsia="zh-CN"/>
              </w:rPr>
              <w:t>0.095</w:t>
            </w:r>
            <w:r>
              <w:rPr>
                <w:rFonts w:hint="default" w:ascii="Times New Roman" w:hAnsi="Times New Roman" w:eastAsia="宋体" w:cs="Times New Roman"/>
                <w:highlight w:val="none"/>
                <w:lang w:val="en-US" w:eastAsia="zh-CN"/>
              </w:rPr>
              <w:t>t/a，产生速率为</w:t>
            </w:r>
            <w:r>
              <w:rPr>
                <w:rFonts w:hint="eastAsia" w:cs="Times New Roman"/>
                <w:highlight w:val="none"/>
                <w:lang w:val="en-US" w:eastAsia="zh-CN"/>
              </w:rPr>
              <w:t>0.0396</w:t>
            </w:r>
            <w:r>
              <w:rPr>
                <w:rFonts w:hint="default" w:ascii="Times New Roman" w:hAnsi="Times New Roman" w:eastAsia="宋体" w:cs="Times New Roman"/>
                <w:highlight w:val="none"/>
                <w:lang w:val="en-US" w:eastAsia="zh-CN"/>
              </w:rPr>
              <w:t>kg/h，产生浓度为</w:t>
            </w:r>
            <w:r>
              <w:rPr>
                <w:rFonts w:hint="eastAsia" w:cs="Times New Roman"/>
                <w:highlight w:val="none"/>
                <w:lang w:val="en-US" w:eastAsia="zh-CN"/>
              </w:rPr>
              <w:t>5.65</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；本次评价两级活性炭吸附装置对非甲烷总烃</w:t>
            </w:r>
            <w:r>
              <w:rPr>
                <w:rFonts w:hint="eastAsia" w:cs="Times New Roman"/>
                <w:highlight w:val="none"/>
                <w:lang w:val="en-US" w:eastAsia="zh-CN"/>
              </w:rPr>
              <w:t>、苯乙烯</w:t>
            </w:r>
            <w:r>
              <w:rPr>
                <w:rFonts w:hint="default" w:ascii="Times New Roman" w:hAnsi="Times New Roman" w:eastAsia="宋体" w:cs="Times New Roman"/>
                <w:highlight w:val="none"/>
                <w:lang w:val="en-US" w:eastAsia="zh-CN"/>
              </w:rPr>
              <w:t>的处理效率</w:t>
            </w:r>
            <w:r>
              <w:rPr>
                <w:rFonts w:hint="eastAsia" w:cs="Times New Roman"/>
                <w:highlight w:val="none"/>
                <w:lang w:val="en-US" w:eastAsia="zh-CN"/>
              </w:rPr>
              <w:t>均按</w:t>
            </w:r>
            <w:r>
              <w:rPr>
                <w:rFonts w:hint="default" w:ascii="Times New Roman" w:hAnsi="Times New Roman" w:eastAsia="宋体" w:cs="Times New Roman"/>
                <w:highlight w:val="none"/>
                <w:lang w:val="en-US" w:eastAsia="zh-CN"/>
              </w:rPr>
              <w:t>80%计，则非甲烷总烃有组织排放量为0.</w:t>
            </w:r>
            <w:r>
              <w:rPr>
                <w:rFonts w:hint="eastAsia" w:cs="Times New Roman"/>
                <w:highlight w:val="none"/>
                <w:lang w:val="en-US" w:eastAsia="zh-CN"/>
              </w:rPr>
              <w:t>1083</w:t>
            </w:r>
            <w:r>
              <w:rPr>
                <w:rFonts w:hint="default" w:ascii="Times New Roman" w:hAnsi="Times New Roman" w:eastAsia="宋体" w:cs="Times New Roman"/>
                <w:highlight w:val="none"/>
                <w:lang w:val="en-US" w:eastAsia="zh-CN"/>
              </w:rPr>
              <w:t>t/a，排放速率为0.</w:t>
            </w:r>
            <w:r>
              <w:rPr>
                <w:rFonts w:hint="eastAsia" w:cs="Times New Roman"/>
                <w:highlight w:val="none"/>
                <w:lang w:val="en-US" w:eastAsia="zh-CN"/>
              </w:rPr>
              <w:t>0451</w:t>
            </w:r>
            <w:r>
              <w:rPr>
                <w:rFonts w:hint="default" w:ascii="Times New Roman" w:hAnsi="Times New Roman" w:eastAsia="宋体" w:cs="Times New Roman"/>
                <w:highlight w:val="none"/>
                <w:lang w:val="en-US" w:eastAsia="zh-CN"/>
              </w:rPr>
              <w:t>kg/h，排放浓度为</w:t>
            </w:r>
            <w:r>
              <w:rPr>
                <w:rFonts w:hint="eastAsia" w:cs="Times New Roman"/>
                <w:highlight w:val="none"/>
                <w:lang w:val="en-US" w:eastAsia="zh-CN"/>
              </w:rPr>
              <w:t>6.45</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，苯乙烯</w:t>
            </w:r>
            <w:r>
              <w:rPr>
                <w:rFonts w:hint="default" w:ascii="Times New Roman" w:hAnsi="Times New Roman" w:eastAsia="宋体" w:cs="Times New Roman"/>
                <w:highlight w:val="none"/>
                <w:lang w:val="en-US" w:eastAsia="zh-CN"/>
              </w:rPr>
              <w:t>有组织排放量为0.</w:t>
            </w:r>
            <w:r>
              <w:rPr>
                <w:rFonts w:hint="eastAsia" w:cs="Times New Roman"/>
                <w:highlight w:val="none"/>
                <w:lang w:val="en-US" w:eastAsia="zh-CN"/>
              </w:rPr>
              <w:t>019</w:t>
            </w:r>
            <w:r>
              <w:rPr>
                <w:rFonts w:hint="default" w:ascii="Times New Roman" w:hAnsi="Times New Roman" w:eastAsia="宋体" w:cs="Times New Roman"/>
                <w:highlight w:val="none"/>
                <w:lang w:val="en-US" w:eastAsia="zh-CN"/>
              </w:rPr>
              <w:t>t/a，排放速率为0.</w:t>
            </w:r>
            <w:r>
              <w:rPr>
                <w:rFonts w:hint="eastAsia" w:ascii="Times New Roman" w:hAnsi="Times New Roman" w:eastAsia="宋体" w:cs="Times New Roman"/>
                <w:highlight w:val="none"/>
                <w:lang w:val="en-US" w:eastAsia="zh-CN"/>
              </w:rPr>
              <w:t>00</w:t>
            </w:r>
            <w:r>
              <w:rPr>
                <w:rFonts w:hint="eastAsia" w:cs="Times New Roman"/>
                <w:highlight w:val="none"/>
                <w:lang w:val="en-US" w:eastAsia="zh-CN"/>
              </w:rPr>
              <w:t>79</w:t>
            </w:r>
            <w:r>
              <w:rPr>
                <w:rFonts w:hint="default" w:ascii="Times New Roman" w:hAnsi="Times New Roman" w:eastAsia="宋体" w:cs="Times New Roman"/>
                <w:highlight w:val="none"/>
                <w:lang w:val="en-US" w:eastAsia="zh-CN"/>
              </w:rPr>
              <w:t>kg/h，排放浓度为</w:t>
            </w:r>
            <w:r>
              <w:rPr>
                <w:rFonts w:hint="eastAsia" w:cs="Times New Roman"/>
                <w:highlight w:val="none"/>
                <w:lang w:val="en-US" w:eastAsia="zh-CN"/>
              </w:rPr>
              <w:t>1.13</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ascii="Times New Roman" w:hAnsi="Times New Roman" w:eastAsia="宋体" w:cs="Times New Roman"/>
                <w:highlight w:val="none"/>
                <w:vertAlign w:val="baseline"/>
                <w:lang w:val="en-US" w:eastAsia="zh-CN"/>
              </w:rPr>
              <w:t>。</w:t>
            </w:r>
            <w:r>
              <w:rPr>
                <w:rFonts w:hint="default" w:ascii="Times New Roman" w:hAnsi="Times New Roman" w:eastAsia="宋体" w:cs="Times New Roman"/>
                <w:highlight w:val="none"/>
                <w:lang w:val="en-US" w:eastAsia="zh-CN"/>
              </w:rPr>
              <w:t>非甲烷总烃排放满足</w:t>
            </w:r>
            <w:r>
              <w:rPr>
                <w:rFonts w:hint="default" w:ascii="Times New Roman" w:hAnsi="Times New Roman" w:cs="Times New Roman"/>
                <w:sz w:val="24"/>
                <w:szCs w:val="24"/>
                <w:highlight w:val="none"/>
                <w:u w:val="none" w:color="auto"/>
              </w:rPr>
              <w:t>《合成树脂工业污染物排放标准》（GB 31572-2015，含2024年修改单）</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非甲烷总烃：6</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w:t>
            </w:r>
            <w:r>
              <w:rPr>
                <w:rFonts w:hint="eastAsia" w:cs="Times New Roman"/>
                <w:highlight w:val="none"/>
                <w:lang w:val="en-US" w:eastAsia="zh-CN"/>
              </w:rPr>
              <w:t>《河南省重污染天气重点行业应急减排措施制定技术指南》（2024年修订版）“塑料制品企业绩效分级指标”的限值要求</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非甲烷总烃：2</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，苯乙烯排放满足</w:t>
            </w:r>
            <w:r>
              <w:rPr>
                <w:rFonts w:hint="default" w:ascii="Times New Roman" w:hAnsi="Times New Roman" w:eastAsia="宋体" w:cs="Times New Roman"/>
                <w:highlight w:val="none"/>
                <w:lang w:val="en-US" w:eastAsia="zh-CN"/>
              </w:rPr>
              <w:t>《合成树脂工业污染物排放标准》（GB 31572-2015，含2024年修改单）</w:t>
            </w:r>
            <w:r>
              <w:rPr>
                <w:rFonts w:hint="eastAsia" w:cs="Times New Roman"/>
                <w:highlight w:val="none"/>
                <w:lang w:val="en-US" w:eastAsia="zh-CN"/>
              </w:rPr>
              <w:t>的限值要求</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苯乙烯：</w:t>
            </w:r>
            <w:r>
              <w:rPr>
                <w:rFonts w:hint="eastAsia" w:cs="Times New Roman"/>
                <w:highlight w:val="none"/>
                <w:lang w:val="en-US" w:eastAsia="zh-CN"/>
              </w:rPr>
              <w:t>2</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和</w:t>
            </w:r>
            <w:r>
              <w:rPr>
                <w:rFonts w:hint="eastAsia" w:cs="Times New Roman"/>
                <w:highlight w:val="none"/>
                <w:lang w:val="en-US" w:eastAsia="zh-CN"/>
              </w:rPr>
              <w:t>《恶臭污染物排放标准》（GB 14554-93）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苯乙烯：</w:t>
            </w:r>
            <w:r>
              <w:rPr>
                <w:rFonts w:hint="eastAsia" w:cs="Times New Roman"/>
                <w:highlight w:val="none"/>
                <w:lang w:val="en-US" w:eastAsia="zh-CN"/>
              </w:rPr>
              <w:t>6.5</w:t>
            </w:r>
            <w:r>
              <w:rPr>
                <w:rFonts w:hint="default" w:ascii="Times New Roman" w:hAnsi="Times New Roman" w:eastAsia="宋体" w:cs="Times New Roman"/>
                <w:highlight w:val="none"/>
                <w:lang w:val="en-US" w:eastAsia="zh-CN"/>
              </w:rPr>
              <w:t>kg/h）</w:t>
            </w:r>
            <w:r>
              <w:rPr>
                <w:rFonts w:hint="eastAsia" w:cs="Times New Roman"/>
                <w:highlight w:val="none"/>
                <w:lang w:val="en-US" w:eastAsia="zh-CN"/>
              </w:rPr>
              <w:t>的限值要求</w:t>
            </w:r>
            <w:r>
              <w:rPr>
                <w:rFonts w:hint="default" w:ascii="Times New Roman" w:hAnsi="Times New Roman" w:eastAsia="宋体" w:cs="Times New Roman"/>
                <w:highlight w:val="none"/>
                <w:lang w:val="en-US" w:eastAsia="zh-CN"/>
              </w:rPr>
              <w:t>。</w:t>
            </w:r>
          </w:p>
          <w:p w14:paraId="67A39CB6">
            <w:pPr>
              <w:keepNext w:val="0"/>
              <w:keepLines w:val="0"/>
              <w:pageBreakBefore w:val="0"/>
              <w:widowControl/>
              <w:kinsoku/>
              <w:wordWrap/>
              <w:overflowPunct/>
              <w:topLinePunct w:val="0"/>
              <w:autoSpaceDE/>
              <w:autoSpaceDN/>
              <w:bidi w:val="0"/>
              <w:snapToGrid/>
              <w:spacing w:line="520" w:lineRule="exact"/>
              <w:ind w:firstLine="482" w:firstLineChars="200"/>
              <w:textAlignment w:val="auto"/>
              <w:rPr>
                <w:rFonts w:hint="default" w:ascii="Times New Roman" w:hAnsi="Times New Roman" w:cs="Times New Roman"/>
                <w:b/>
                <w:kern w:val="0"/>
                <w:sz w:val="24"/>
                <w:szCs w:val="20"/>
                <w:highlight w:val="none"/>
                <w:lang w:val="en-US" w:eastAsia="zh-CN"/>
              </w:rPr>
            </w:pPr>
            <w:r>
              <w:rPr>
                <w:rFonts w:hint="default" w:ascii="Times New Roman" w:hAnsi="Times New Roman" w:cs="Times New Roman"/>
                <w:b/>
                <w:kern w:val="0"/>
                <w:sz w:val="24"/>
                <w:szCs w:val="20"/>
                <w:highlight w:val="none"/>
                <w:lang w:val="en-US" w:eastAsia="zh-CN"/>
              </w:rPr>
              <w:t>（</w:t>
            </w:r>
            <w:r>
              <w:rPr>
                <w:rFonts w:hint="eastAsia" w:cs="Times New Roman"/>
                <w:b/>
                <w:kern w:val="0"/>
                <w:sz w:val="24"/>
                <w:szCs w:val="20"/>
                <w:highlight w:val="none"/>
                <w:lang w:val="en-US" w:eastAsia="zh-CN"/>
              </w:rPr>
              <w:t>2</w:t>
            </w:r>
            <w:r>
              <w:rPr>
                <w:rFonts w:hint="default" w:ascii="Times New Roman" w:hAnsi="Times New Roman" w:cs="Times New Roman"/>
                <w:b/>
                <w:kern w:val="0"/>
                <w:sz w:val="24"/>
                <w:szCs w:val="20"/>
                <w:highlight w:val="none"/>
                <w:lang w:val="en-US" w:eastAsia="zh-CN"/>
              </w:rPr>
              <w:t>）危废间废气</w:t>
            </w:r>
          </w:p>
          <w:p w14:paraId="56A8BD52">
            <w:pPr>
              <w:keepNext w:val="0"/>
              <w:keepLines w:val="0"/>
              <w:pageBreakBefore w:val="0"/>
              <w:widowControl/>
              <w:kinsoku/>
              <w:wordWrap/>
              <w:overflowPunct/>
              <w:topLinePunct w:val="0"/>
              <w:autoSpaceDE/>
              <w:autoSpaceDN/>
              <w:bidi w:val="0"/>
              <w:snapToGrid/>
              <w:spacing w:line="520" w:lineRule="exact"/>
              <w:ind w:firstLine="480" w:firstLineChars="200"/>
              <w:textAlignment w:val="auto"/>
              <w:rPr>
                <w:rFonts w:hint="default" w:ascii="Times New Roman" w:hAnsi="Times New Roman" w:cs="Times New Roman"/>
                <w:b w:val="0"/>
                <w:bCs/>
                <w:kern w:val="0"/>
                <w:sz w:val="24"/>
                <w:szCs w:val="20"/>
                <w:highlight w:val="none"/>
                <w:lang w:val="en-US" w:eastAsia="zh-CN"/>
              </w:rPr>
            </w:pPr>
            <w:r>
              <w:rPr>
                <w:rFonts w:hint="eastAsia" w:cs="Times New Roman"/>
                <w:b w:val="0"/>
                <w:bCs/>
                <w:kern w:val="0"/>
                <w:sz w:val="24"/>
                <w:szCs w:val="20"/>
                <w:highlight w:val="none"/>
                <w:lang w:val="en-US" w:eastAsia="zh-CN"/>
              </w:rPr>
              <w:t>本项目建成后</w:t>
            </w:r>
            <w:r>
              <w:rPr>
                <w:rFonts w:hint="default" w:ascii="Times New Roman" w:hAnsi="Times New Roman" w:cs="Times New Roman"/>
                <w:b w:val="0"/>
                <w:bCs/>
                <w:kern w:val="0"/>
                <w:sz w:val="24"/>
                <w:szCs w:val="20"/>
                <w:highlight w:val="none"/>
                <w:lang w:val="en-US" w:eastAsia="zh-CN"/>
              </w:rPr>
              <w:t>全厂</w:t>
            </w:r>
            <w:r>
              <w:rPr>
                <w:rFonts w:hint="eastAsia" w:cs="Times New Roman"/>
                <w:b w:val="0"/>
                <w:bCs/>
                <w:kern w:val="0"/>
                <w:sz w:val="24"/>
                <w:szCs w:val="20"/>
                <w:highlight w:val="none"/>
                <w:lang w:val="en-US" w:eastAsia="zh-CN"/>
              </w:rPr>
              <w:t>的危险废物</w:t>
            </w:r>
            <w:r>
              <w:rPr>
                <w:rFonts w:hint="default" w:ascii="Times New Roman" w:hAnsi="Times New Roman" w:cs="Times New Roman"/>
                <w:b w:val="0"/>
                <w:bCs/>
                <w:kern w:val="0"/>
                <w:sz w:val="24"/>
                <w:szCs w:val="20"/>
                <w:highlight w:val="none"/>
                <w:lang w:val="en-US" w:eastAsia="zh-CN"/>
              </w:rPr>
              <w:t>于危废间内暂存，危险废物暂存期间会有少量有机废气解析逸散废气产生。参照美国环保局网站AP-42空气排放因子汇编中</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废物处置</w:t>
            </w:r>
            <w:r>
              <w:rPr>
                <w:rFonts w:hint="eastAsia" w:ascii="Times New Roman" w:hAnsi="Times New Roman"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工业固废处置-储存</w:t>
            </w:r>
            <w:r>
              <w:rPr>
                <w:rFonts w:hint="eastAsia" w:ascii="Times New Roman" w:hAnsi="Times New Roman"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容器逃逸排放</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工序中的VOCs产生因子2.22×10</w:t>
            </w:r>
            <w:r>
              <w:rPr>
                <w:rFonts w:hint="default" w:ascii="Times New Roman" w:hAnsi="Times New Roman" w:cs="Times New Roman"/>
                <w:b w:val="0"/>
                <w:bCs/>
                <w:kern w:val="0"/>
                <w:sz w:val="24"/>
                <w:szCs w:val="20"/>
                <w:highlight w:val="none"/>
                <w:vertAlign w:val="superscript"/>
                <w:lang w:val="en-US" w:eastAsia="zh-CN"/>
              </w:rPr>
              <w:t>2</w:t>
            </w:r>
            <w:r>
              <w:rPr>
                <w:rFonts w:hint="default" w:ascii="Times New Roman" w:hAnsi="Times New Roman" w:cs="Times New Roman"/>
                <w:b w:val="0"/>
                <w:bCs/>
                <w:kern w:val="0"/>
                <w:sz w:val="24"/>
                <w:szCs w:val="20"/>
                <w:highlight w:val="none"/>
                <w:lang w:val="en-US" w:eastAsia="zh-CN"/>
              </w:rPr>
              <w:t>磅/1000个55加仑容器</w:t>
            </w:r>
            <w:r>
              <w:rPr>
                <w:rFonts w:hint="eastAsia" w:cs="Times New Roman"/>
                <w:b w:val="0"/>
                <w:bCs/>
                <w:kern w:val="0"/>
                <w:sz w:val="24"/>
                <w:szCs w:val="20"/>
                <w:highlight w:val="none"/>
                <w:lang w:val="en-US" w:eastAsia="zh-CN"/>
              </w:rPr>
              <w:t xml:space="preserve"> </w:t>
            </w:r>
            <w:r>
              <w:rPr>
                <w:rFonts w:hint="default" w:ascii="Times New Roman" w:hAnsi="Times New Roman" w:cs="Times New Roman"/>
                <w:b w:val="0"/>
                <w:bCs/>
                <w:kern w:val="0"/>
                <w:sz w:val="24"/>
                <w:szCs w:val="20"/>
                <w:highlight w:val="none"/>
                <w:lang w:val="en-US" w:eastAsia="zh-CN"/>
              </w:rPr>
              <w:t>年，折算成VOCs排放系数为100.7kg/200t固废</w:t>
            </w:r>
            <w:r>
              <w:rPr>
                <w:rFonts w:hint="eastAsia" w:cs="Times New Roman"/>
                <w:b w:val="0"/>
                <w:bCs/>
                <w:kern w:val="0"/>
                <w:sz w:val="24"/>
                <w:szCs w:val="20"/>
                <w:highlight w:val="none"/>
                <w:lang w:val="en-US" w:eastAsia="zh-CN"/>
              </w:rPr>
              <w:t xml:space="preserve"> </w:t>
            </w:r>
            <w:r>
              <w:rPr>
                <w:rFonts w:hint="default" w:ascii="Times New Roman" w:hAnsi="Times New Roman" w:cs="Times New Roman"/>
                <w:b w:val="0"/>
                <w:bCs/>
                <w:kern w:val="0"/>
                <w:sz w:val="24"/>
                <w:szCs w:val="20"/>
                <w:highlight w:val="none"/>
                <w:lang w:val="en-US" w:eastAsia="zh-CN"/>
              </w:rPr>
              <w:t>年，即0.5035kg/t</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固废，本项目建成后</w:t>
            </w:r>
            <w:r>
              <w:rPr>
                <w:rFonts w:hint="eastAsia" w:cs="Times New Roman"/>
                <w:b w:val="0"/>
                <w:bCs/>
                <w:kern w:val="0"/>
                <w:sz w:val="24"/>
                <w:szCs w:val="20"/>
                <w:highlight w:val="none"/>
                <w:lang w:val="en-US" w:eastAsia="zh-CN"/>
              </w:rPr>
              <w:t>废活性炭的</w:t>
            </w:r>
            <w:r>
              <w:rPr>
                <w:rFonts w:hint="default" w:ascii="Times New Roman" w:hAnsi="Times New Roman" w:cs="Times New Roman"/>
                <w:b w:val="0"/>
                <w:bCs/>
                <w:kern w:val="0"/>
                <w:sz w:val="24"/>
                <w:szCs w:val="20"/>
                <w:highlight w:val="none"/>
                <w:lang w:val="en-US" w:eastAsia="zh-CN"/>
              </w:rPr>
              <w:t>危废量为</w:t>
            </w:r>
            <w:r>
              <w:rPr>
                <w:rFonts w:hint="eastAsia" w:cs="Times New Roman"/>
                <w:b w:val="0"/>
                <w:bCs/>
                <w:kern w:val="0"/>
                <w:sz w:val="24"/>
                <w:szCs w:val="20"/>
                <w:highlight w:val="none"/>
                <w:lang w:val="en-US" w:eastAsia="zh-CN"/>
              </w:rPr>
              <w:t>8.3742</w:t>
            </w:r>
            <w:r>
              <w:rPr>
                <w:rFonts w:hint="default" w:ascii="Times New Roman" w:hAnsi="Times New Roman" w:cs="Times New Roman"/>
                <w:b w:val="0"/>
                <w:bCs/>
                <w:kern w:val="0"/>
                <w:sz w:val="24"/>
                <w:szCs w:val="20"/>
                <w:highlight w:val="none"/>
                <w:lang w:val="en-US" w:eastAsia="zh-CN"/>
              </w:rPr>
              <w:t>t/a，则VOCs产生量为0.00</w:t>
            </w:r>
            <w:r>
              <w:rPr>
                <w:rFonts w:hint="eastAsia" w:cs="Times New Roman"/>
                <w:b w:val="0"/>
                <w:bCs/>
                <w:kern w:val="0"/>
                <w:sz w:val="24"/>
                <w:szCs w:val="20"/>
                <w:highlight w:val="none"/>
                <w:lang w:val="en-US" w:eastAsia="zh-CN"/>
              </w:rPr>
              <w:t>42</w:t>
            </w:r>
            <w:r>
              <w:rPr>
                <w:rFonts w:hint="default" w:ascii="Times New Roman" w:hAnsi="Times New Roman" w:cs="Times New Roman"/>
                <w:b w:val="0"/>
                <w:bCs/>
                <w:kern w:val="0"/>
                <w:sz w:val="24"/>
                <w:szCs w:val="20"/>
                <w:highlight w:val="none"/>
                <w:lang w:val="en-US" w:eastAsia="zh-CN"/>
              </w:rPr>
              <w:t>ta。</w:t>
            </w:r>
          </w:p>
          <w:p w14:paraId="0AE8FF6C">
            <w:pPr>
              <w:keepNext w:val="0"/>
              <w:keepLines w:val="0"/>
              <w:pageBreakBefore w:val="0"/>
              <w:widowControl/>
              <w:kinsoku/>
              <w:wordWrap/>
              <w:overflowPunct/>
              <w:topLinePunct w:val="0"/>
              <w:autoSpaceDE/>
              <w:autoSpaceDN/>
              <w:bidi w:val="0"/>
              <w:snapToGrid/>
              <w:spacing w:line="520" w:lineRule="exact"/>
              <w:ind w:firstLine="480" w:firstLineChars="200"/>
              <w:textAlignment w:val="auto"/>
              <w:rPr>
                <w:rFonts w:hint="default" w:ascii="Times New Roman" w:hAnsi="Times New Roman" w:cs="Times New Roman"/>
                <w:b/>
                <w:kern w:val="0"/>
                <w:sz w:val="24"/>
                <w:szCs w:val="20"/>
                <w:highlight w:val="none"/>
                <w:lang w:val="en-US" w:eastAsia="zh-CN"/>
              </w:rPr>
            </w:pPr>
            <w:r>
              <w:rPr>
                <w:rFonts w:hint="default" w:ascii="Times New Roman" w:hAnsi="Times New Roman" w:cs="Times New Roman"/>
                <w:b w:val="0"/>
                <w:bCs/>
                <w:kern w:val="0"/>
                <w:sz w:val="24"/>
                <w:szCs w:val="20"/>
                <w:highlight w:val="none"/>
                <w:lang w:val="en-US" w:eastAsia="zh-CN"/>
              </w:rPr>
              <w:t>评价要求针对密闭危废间</w:t>
            </w:r>
            <w:r>
              <w:rPr>
                <w:rFonts w:hint="eastAsia" w:cs="Times New Roman"/>
                <w:b w:val="0"/>
                <w:bCs/>
                <w:kern w:val="0"/>
                <w:sz w:val="24"/>
                <w:szCs w:val="20"/>
                <w:highlight w:val="none"/>
                <w:lang w:val="en-US" w:eastAsia="zh-CN"/>
              </w:rPr>
              <w:t>的废气，</w:t>
            </w:r>
            <w:r>
              <w:rPr>
                <w:rFonts w:hint="default" w:ascii="Times New Roman" w:hAnsi="Times New Roman" w:cs="Times New Roman"/>
                <w:b w:val="0"/>
                <w:bCs/>
                <w:kern w:val="0"/>
                <w:sz w:val="24"/>
                <w:szCs w:val="20"/>
                <w:highlight w:val="none"/>
                <w:lang w:val="en-US" w:eastAsia="zh-CN"/>
              </w:rPr>
              <w:t>设置</w:t>
            </w:r>
            <w:r>
              <w:rPr>
                <w:rFonts w:hint="eastAsia" w:cs="Times New Roman"/>
                <w:b w:val="0"/>
                <w:bCs/>
                <w:kern w:val="0"/>
                <w:sz w:val="24"/>
                <w:szCs w:val="20"/>
                <w:highlight w:val="none"/>
                <w:lang w:val="en-US" w:eastAsia="zh-CN"/>
              </w:rPr>
              <w:t>集气风管</w:t>
            </w:r>
            <w:r>
              <w:rPr>
                <w:rFonts w:hint="default" w:ascii="Times New Roman" w:hAnsi="Times New Roman" w:cs="Times New Roman"/>
                <w:b w:val="0"/>
                <w:bCs/>
                <w:kern w:val="0"/>
                <w:sz w:val="24"/>
                <w:szCs w:val="20"/>
                <w:highlight w:val="none"/>
                <w:lang w:val="en-US" w:eastAsia="zh-CN"/>
              </w:rPr>
              <w:t>进行</w:t>
            </w:r>
            <w:r>
              <w:rPr>
                <w:rFonts w:hint="eastAsia" w:cs="Times New Roman"/>
                <w:b w:val="0"/>
                <w:bCs/>
                <w:kern w:val="0"/>
                <w:sz w:val="24"/>
                <w:szCs w:val="20"/>
                <w:highlight w:val="none"/>
                <w:lang w:val="en-US" w:eastAsia="zh-CN"/>
              </w:rPr>
              <w:t>收集</w:t>
            </w:r>
            <w:r>
              <w:rPr>
                <w:rFonts w:hint="default" w:ascii="Times New Roman" w:hAnsi="Times New Roman" w:cs="Times New Roman"/>
                <w:b w:val="0"/>
                <w:bCs/>
                <w:kern w:val="0"/>
                <w:sz w:val="24"/>
                <w:szCs w:val="20"/>
                <w:highlight w:val="none"/>
                <w:lang w:val="en-US" w:eastAsia="zh-CN"/>
              </w:rPr>
              <w:t>，</w:t>
            </w:r>
            <w:r>
              <w:rPr>
                <w:rFonts w:hint="eastAsia" w:cs="Times New Roman"/>
                <w:b w:val="0"/>
                <w:bCs/>
                <w:kern w:val="0"/>
                <w:sz w:val="24"/>
                <w:szCs w:val="20"/>
                <w:highlight w:val="none"/>
                <w:lang w:val="en-US" w:eastAsia="zh-CN"/>
              </w:rPr>
              <w:t>收集到的有机废气与加热成型工序的有机废气，共同</w:t>
            </w:r>
            <w:r>
              <w:rPr>
                <w:rFonts w:hint="default" w:cs="Times New Roman"/>
                <w:b w:val="0"/>
                <w:bCs/>
                <w:color w:val="000000"/>
                <w:sz w:val="24"/>
                <w:highlight w:val="none"/>
                <w:u w:val="none" w:color="auto"/>
                <w:lang w:val="en-US" w:eastAsia="zh-CN"/>
              </w:rPr>
              <w:t>引入1套两级活性炭吸附装置进行处理，处理后的废气经</w:t>
            </w:r>
            <w:r>
              <w:rPr>
                <w:rFonts w:hint="eastAsia" w:cs="Times New Roman"/>
                <w:b w:val="0"/>
                <w:bCs/>
                <w:color w:val="000000"/>
                <w:sz w:val="24"/>
                <w:highlight w:val="none"/>
                <w:u w:val="none" w:color="auto"/>
                <w:lang w:val="en-US" w:eastAsia="zh-CN"/>
              </w:rPr>
              <w:t>一根</w:t>
            </w:r>
            <w:r>
              <w:rPr>
                <w:rFonts w:hint="default" w:cs="Times New Roman"/>
                <w:b w:val="0"/>
                <w:bCs/>
                <w:color w:val="000000"/>
                <w:sz w:val="24"/>
                <w:highlight w:val="none"/>
                <w:u w:val="none" w:color="auto"/>
                <w:lang w:val="en-US" w:eastAsia="zh-CN"/>
              </w:rPr>
              <w:t>15m高排气筒（DA001）</w:t>
            </w:r>
            <w:r>
              <w:rPr>
                <w:rFonts w:hint="eastAsia" w:cs="Times New Roman"/>
                <w:b w:val="0"/>
                <w:bCs/>
                <w:color w:val="000000"/>
                <w:sz w:val="24"/>
                <w:highlight w:val="none"/>
                <w:u w:val="none" w:color="auto"/>
                <w:lang w:val="en-US" w:eastAsia="zh-CN"/>
              </w:rPr>
              <w:t>达标</w:t>
            </w:r>
            <w:r>
              <w:rPr>
                <w:rFonts w:hint="default" w:cs="Times New Roman"/>
                <w:b w:val="0"/>
                <w:bCs/>
                <w:color w:val="000000"/>
                <w:sz w:val="24"/>
                <w:highlight w:val="none"/>
                <w:u w:val="none" w:color="auto"/>
                <w:lang w:val="en-US" w:eastAsia="zh-CN"/>
              </w:rPr>
              <w:t>排放。</w:t>
            </w:r>
            <w:r>
              <w:rPr>
                <w:rFonts w:hint="default" w:ascii="Times New Roman" w:hAnsi="Times New Roman" w:cs="Times New Roman"/>
                <w:b w:val="0"/>
                <w:bCs/>
                <w:kern w:val="0"/>
                <w:sz w:val="24"/>
                <w:szCs w:val="20"/>
                <w:highlight w:val="none"/>
                <w:lang w:val="en-US" w:eastAsia="zh-CN"/>
              </w:rPr>
              <w:t>根据《挥发性有机物治理实用手册</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第一版</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》，对于整体车间换风次数原则上不少于8次/1小时，且应保持微负压。厂区危废间体积为</w:t>
            </w:r>
            <w:r>
              <w:rPr>
                <w:rFonts w:hint="eastAsia" w:cs="Times New Roman"/>
                <w:b w:val="0"/>
                <w:bCs/>
                <w:kern w:val="0"/>
                <w:sz w:val="24"/>
                <w:szCs w:val="20"/>
                <w:highlight w:val="none"/>
                <w:lang w:val="en-US" w:eastAsia="zh-CN"/>
              </w:rPr>
              <w:t>5</w:t>
            </w:r>
            <w:r>
              <w:rPr>
                <w:rFonts w:hint="default" w:ascii="Times New Roman" w:hAnsi="Times New Roman" w:cs="Times New Roman"/>
                <w:b w:val="0"/>
                <w:bCs/>
                <w:kern w:val="0"/>
                <w:sz w:val="24"/>
                <w:szCs w:val="20"/>
                <w:highlight w:val="none"/>
                <w:lang w:val="en-US" w:eastAsia="zh-CN"/>
              </w:rPr>
              <w:t>m</w:t>
            </w:r>
            <w:r>
              <w:rPr>
                <w:rFonts w:hint="default" w:ascii="Times New Roman" w:hAnsi="Times New Roman" w:cs="Times New Roman"/>
                <w:b w:val="0"/>
                <w:bCs/>
                <w:kern w:val="0"/>
                <w:sz w:val="24"/>
                <w:szCs w:val="20"/>
                <w:highlight w:val="none"/>
                <w:vertAlign w:val="superscript"/>
                <w:lang w:val="en-US" w:eastAsia="zh-CN"/>
              </w:rPr>
              <w:t>2</w:t>
            </w:r>
            <w:r>
              <w:rPr>
                <w:rFonts w:hint="default" w:ascii="Times New Roman" w:hAnsi="Times New Roman" w:cs="Times New Roman"/>
                <w:b w:val="0"/>
                <w:bCs/>
                <w:kern w:val="0"/>
                <w:sz w:val="24"/>
                <w:szCs w:val="20"/>
                <w:highlight w:val="none"/>
                <w:lang w:val="en-US" w:eastAsia="zh-CN"/>
              </w:rPr>
              <w:t>×</w:t>
            </w:r>
            <w:r>
              <w:rPr>
                <w:rFonts w:hint="eastAsia" w:cs="Times New Roman"/>
                <w:b w:val="0"/>
                <w:bCs/>
                <w:kern w:val="0"/>
                <w:sz w:val="24"/>
                <w:szCs w:val="20"/>
                <w:highlight w:val="none"/>
                <w:lang w:val="en-US" w:eastAsia="zh-CN"/>
              </w:rPr>
              <w:t>3</w:t>
            </w:r>
            <w:r>
              <w:rPr>
                <w:rFonts w:hint="default" w:ascii="Times New Roman" w:hAnsi="Times New Roman" w:cs="Times New Roman"/>
                <w:b w:val="0"/>
                <w:bCs/>
                <w:kern w:val="0"/>
                <w:sz w:val="24"/>
                <w:szCs w:val="20"/>
                <w:highlight w:val="none"/>
                <w:lang w:val="en-US" w:eastAsia="zh-CN"/>
              </w:rPr>
              <w:t>m，则废气量为</w:t>
            </w:r>
            <w:r>
              <w:rPr>
                <w:rFonts w:hint="eastAsia" w:cs="Times New Roman"/>
                <w:b w:val="0"/>
                <w:bCs/>
                <w:kern w:val="0"/>
                <w:sz w:val="24"/>
                <w:szCs w:val="20"/>
                <w:highlight w:val="none"/>
                <w:lang w:val="en-US" w:eastAsia="zh-CN"/>
              </w:rPr>
              <w:t>120</w:t>
            </w:r>
            <w:r>
              <w:rPr>
                <w:rFonts w:hint="default" w:ascii="Times New Roman" w:hAnsi="Times New Roman" w:cs="Times New Roman"/>
                <w:b w:val="0"/>
                <w:bCs/>
                <w:kern w:val="0"/>
                <w:sz w:val="24"/>
                <w:szCs w:val="20"/>
                <w:highlight w:val="none"/>
                <w:lang w:val="en-US" w:eastAsia="zh-CN"/>
              </w:rPr>
              <w:t>m</w:t>
            </w:r>
            <w:r>
              <w:rPr>
                <w:rFonts w:hint="default" w:ascii="Times New Roman" w:hAnsi="Times New Roman" w:cs="Times New Roman"/>
                <w:b w:val="0"/>
                <w:bCs/>
                <w:kern w:val="0"/>
                <w:sz w:val="24"/>
                <w:szCs w:val="20"/>
                <w:highlight w:val="none"/>
                <w:vertAlign w:val="superscript"/>
                <w:lang w:val="en-US" w:eastAsia="zh-CN"/>
              </w:rPr>
              <w:t>3</w:t>
            </w:r>
            <w:r>
              <w:rPr>
                <w:rFonts w:hint="default" w:ascii="Times New Roman" w:hAnsi="Times New Roman" w:cs="Times New Roman"/>
                <w:b w:val="0"/>
                <w:bCs/>
                <w:kern w:val="0"/>
                <w:sz w:val="24"/>
                <w:szCs w:val="20"/>
                <w:highlight w:val="none"/>
                <w:lang w:val="en-US" w:eastAsia="zh-CN"/>
              </w:rPr>
              <w:t>/h</w:t>
            </w:r>
            <w:r>
              <w:rPr>
                <w:rFonts w:hint="eastAsia" w:cs="Times New Roman"/>
                <w:b w:val="0"/>
                <w:bCs/>
                <w:kern w:val="0"/>
                <w:sz w:val="24"/>
                <w:szCs w:val="20"/>
                <w:highlight w:val="none"/>
                <w:lang w:val="en-US" w:eastAsia="zh-CN"/>
              </w:rPr>
              <w:t>，</w:t>
            </w:r>
            <w:r>
              <w:rPr>
                <w:rFonts w:hint="eastAsia" w:eastAsia="宋体" w:cs="Times New Roman"/>
                <w:highlight w:val="none"/>
                <w:lang w:val="en-US" w:eastAsia="zh-CN"/>
              </w:rPr>
              <w:t>时间为</w:t>
            </w:r>
            <w:r>
              <w:rPr>
                <w:rFonts w:hint="eastAsia" w:cs="Times New Roman"/>
                <w:highlight w:val="none"/>
                <w:lang w:val="en-US" w:eastAsia="zh-CN"/>
              </w:rPr>
              <w:t>24</w:t>
            </w:r>
            <w:r>
              <w:rPr>
                <w:rFonts w:hint="default" w:ascii="Times New Roman" w:hAnsi="Times New Roman" w:eastAsia="宋体" w:cs="Times New Roman"/>
                <w:highlight w:val="none"/>
                <w:lang w:val="en-US" w:eastAsia="zh-CN"/>
              </w:rPr>
              <w:t>00h/a</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VOCs</w:t>
            </w:r>
            <w:r>
              <w:rPr>
                <w:rFonts w:hint="default" w:ascii="Times New Roman" w:hAnsi="Times New Roman" w:eastAsia="宋体" w:cs="Times New Roman"/>
                <w:highlight w:val="none"/>
                <w:lang w:val="en-US" w:eastAsia="zh-CN"/>
              </w:rPr>
              <w:t>有组织产生量为</w:t>
            </w:r>
            <w:r>
              <w:rPr>
                <w:rFonts w:hint="eastAsia" w:cs="Times New Roman"/>
                <w:highlight w:val="none"/>
                <w:lang w:val="en-US" w:eastAsia="zh-CN"/>
              </w:rPr>
              <w:t>0.0042</w:t>
            </w:r>
            <w:r>
              <w:rPr>
                <w:rFonts w:hint="default" w:ascii="Times New Roman" w:hAnsi="Times New Roman" w:eastAsia="宋体" w:cs="Times New Roman"/>
                <w:highlight w:val="none"/>
                <w:lang w:val="en-US" w:eastAsia="zh-CN"/>
              </w:rPr>
              <w:t>t/a，产生速率为</w:t>
            </w:r>
            <w:r>
              <w:rPr>
                <w:rFonts w:hint="eastAsia" w:cs="Times New Roman"/>
                <w:highlight w:val="none"/>
                <w:lang w:val="en-US" w:eastAsia="zh-CN"/>
              </w:rPr>
              <w:t>0.0018</w:t>
            </w:r>
            <w:r>
              <w:rPr>
                <w:rFonts w:hint="default" w:ascii="Times New Roman" w:hAnsi="Times New Roman" w:eastAsia="宋体" w:cs="Times New Roman"/>
                <w:highlight w:val="none"/>
                <w:lang w:val="en-US" w:eastAsia="zh-CN"/>
              </w:rPr>
              <w:t>kg/h，产生浓度为</w:t>
            </w:r>
            <w:r>
              <w:rPr>
                <w:rFonts w:hint="eastAsia" w:cs="Times New Roman"/>
                <w:highlight w:val="none"/>
                <w:lang w:val="en-US" w:eastAsia="zh-CN"/>
              </w:rPr>
              <w:t>14.58</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w:t>
            </w:r>
            <w:r>
              <w:rPr>
                <w:rFonts w:hint="default" w:ascii="Times New Roman" w:hAnsi="Times New Roman" w:eastAsia="宋体" w:cs="Times New Roman"/>
                <w:highlight w:val="none"/>
                <w:lang w:val="en-US" w:eastAsia="zh-CN"/>
              </w:rPr>
              <w:t>本次评价两级活性炭吸附装置对</w:t>
            </w:r>
            <w:r>
              <w:rPr>
                <w:rFonts w:hint="eastAsia" w:ascii="Times New Roman" w:hAnsi="Times New Roman" w:eastAsia="宋体" w:cs="Times New Roman"/>
                <w:highlight w:val="none"/>
                <w:lang w:val="en-US" w:eastAsia="zh-CN"/>
              </w:rPr>
              <w:t>有机废气</w:t>
            </w:r>
            <w:r>
              <w:rPr>
                <w:rFonts w:hint="default" w:ascii="Times New Roman" w:hAnsi="Times New Roman" w:eastAsia="宋体" w:cs="Times New Roman"/>
                <w:highlight w:val="none"/>
                <w:lang w:val="en-US" w:eastAsia="zh-CN"/>
              </w:rPr>
              <w:t>的处理效率</w:t>
            </w:r>
            <w:r>
              <w:rPr>
                <w:rFonts w:hint="eastAsia" w:ascii="Times New Roman" w:hAnsi="Times New Roman" w:eastAsia="宋体" w:cs="Times New Roman"/>
                <w:highlight w:val="none"/>
                <w:lang w:val="en-US" w:eastAsia="zh-CN"/>
              </w:rPr>
              <w:t>均按照</w:t>
            </w:r>
            <w:r>
              <w:rPr>
                <w:rFonts w:hint="default" w:ascii="Times New Roman" w:hAnsi="Times New Roman" w:eastAsia="宋体" w:cs="Times New Roman"/>
                <w:highlight w:val="none"/>
                <w:lang w:val="en-US" w:eastAsia="zh-CN"/>
              </w:rPr>
              <w:t>80%计</w:t>
            </w:r>
            <w:r>
              <w:rPr>
                <w:rFonts w:hint="eastAsia"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eastAsia="zh-CN"/>
              </w:rPr>
              <w:t>则</w:t>
            </w:r>
            <w:r>
              <w:rPr>
                <w:rFonts w:hint="default" w:ascii="Times New Roman" w:hAnsi="Times New Roman" w:cs="Times New Roman"/>
                <w:b w:val="0"/>
                <w:bCs/>
                <w:kern w:val="0"/>
                <w:sz w:val="24"/>
                <w:szCs w:val="20"/>
                <w:highlight w:val="none"/>
                <w:lang w:val="en-US" w:eastAsia="zh-CN"/>
              </w:rPr>
              <w:t>VOCs</w:t>
            </w:r>
            <w:r>
              <w:rPr>
                <w:rFonts w:hint="default" w:ascii="Times New Roman" w:hAnsi="Times New Roman" w:eastAsia="宋体" w:cs="Times New Roman"/>
                <w:highlight w:val="none"/>
                <w:lang w:val="en-US" w:eastAsia="zh-CN"/>
              </w:rPr>
              <w:t>有组织排放量为0.</w:t>
            </w:r>
            <w:r>
              <w:rPr>
                <w:rFonts w:hint="eastAsia" w:ascii="Times New Roman" w:hAnsi="Times New Roman" w:eastAsia="宋体" w:cs="Times New Roman"/>
                <w:highlight w:val="none"/>
                <w:lang w:val="en-US" w:eastAsia="zh-CN"/>
              </w:rPr>
              <w:t>0008</w:t>
            </w:r>
            <w:r>
              <w:rPr>
                <w:rFonts w:hint="default" w:ascii="Times New Roman" w:hAnsi="Times New Roman" w:eastAsia="宋体" w:cs="Times New Roman"/>
                <w:highlight w:val="none"/>
                <w:lang w:val="en-US" w:eastAsia="zh-CN"/>
              </w:rPr>
              <w:t>t/a，排放速率为0.</w:t>
            </w:r>
            <w:r>
              <w:rPr>
                <w:rFonts w:hint="eastAsia" w:cs="Times New Roman"/>
                <w:highlight w:val="none"/>
                <w:lang w:val="en-US" w:eastAsia="zh-CN"/>
              </w:rPr>
              <w:t>0003</w:t>
            </w:r>
            <w:r>
              <w:rPr>
                <w:rFonts w:hint="default" w:ascii="Times New Roman" w:hAnsi="Times New Roman" w:eastAsia="宋体" w:cs="Times New Roman"/>
                <w:highlight w:val="none"/>
                <w:lang w:val="en-US" w:eastAsia="zh-CN"/>
              </w:rPr>
              <w:t>kg/h，排放浓度为</w:t>
            </w:r>
            <w:r>
              <w:rPr>
                <w:rFonts w:hint="eastAsia" w:cs="Times New Roman"/>
                <w:highlight w:val="none"/>
                <w:lang w:val="en-US" w:eastAsia="zh-CN"/>
              </w:rPr>
              <w:t>2.78</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w:t>
            </w:r>
            <w:r>
              <w:rPr>
                <w:rFonts w:hint="default" w:ascii="Times New Roman" w:hAnsi="Times New Roman" w:cs="Times New Roman"/>
                <w:b w:val="0"/>
                <w:bCs/>
                <w:kern w:val="0"/>
                <w:sz w:val="24"/>
                <w:szCs w:val="20"/>
                <w:highlight w:val="none"/>
                <w:lang w:val="en-US" w:eastAsia="zh-CN"/>
              </w:rPr>
              <w:t>VOCs</w:t>
            </w:r>
            <w:r>
              <w:rPr>
                <w:rFonts w:hint="eastAsia" w:ascii="Times New Roman" w:hAnsi="Times New Roman" w:cs="Times New Roman"/>
                <w:b w:val="0"/>
                <w:bCs/>
                <w:kern w:val="0"/>
                <w:sz w:val="24"/>
                <w:szCs w:val="20"/>
                <w:highlight w:val="none"/>
                <w:lang w:val="en-US" w:eastAsia="zh-CN"/>
              </w:rPr>
              <w:t>废气</w:t>
            </w:r>
            <w:r>
              <w:rPr>
                <w:rFonts w:hint="default" w:ascii="Times New Roman" w:hAnsi="Times New Roman" w:eastAsia="宋体" w:cs="Times New Roman"/>
                <w:highlight w:val="none"/>
                <w:lang w:val="en-US" w:eastAsia="zh-CN"/>
              </w:rPr>
              <w:t>排放满足</w:t>
            </w:r>
            <w:r>
              <w:rPr>
                <w:rFonts w:hint="default" w:ascii="Times New Roman" w:hAnsi="Times New Roman" w:cs="Times New Roman"/>
                <w:sz w:val="24"/>
                <w:szCs w:val="24"/>
                <w:highlight w:val="none"/>
                <w:u w:val="none" w:color="auto"/>
              </w:rPr>
              <w:t>《合成树脂工业污染物排放标准》（GB 31572-2015，含2024年修改单）</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非甲烷总烃：6</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w:t>
            </w:r>
            <w:r>
              <w:rPr>
                <w:rFonts w:hint="eastAsia" w:cs="Times New Roman"/>
                <w:highlight w:val="none"/>
                <w:lang w:val="en-US" w:eastAsia="zh-CN"/>
              </w:rPr>
              <w:t>《河南省重污染天气重点行业应急减排措施制定技术指南》（2024年修订版）“塑料制品企业绩效分级指标”的限值要求</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非甲烷总烃：2</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的限值要求</w:t>
            </w:r>
            <w:r>
              <w:rPr>
                <w:rFonts w:hint="default" w:ascii="Times New Roman" w:hAnsi="Times New Roman" w:eastAsia="宋体" w:cs="Times New Roman"/>
                <w:highlight w:val="none"/>
                <w:lang w:val="en-US" w:eastAsia="zh-CN"/>
              </w:rPr>
              <w:t>。</w:t>
            </w:r>
          </w:p>
          <w:p w14:paraId="23C24785">
            <w:pPr>
              <w:keepNext w:val="0"/>
              <w:keepLines w:val="0"/>
              <w:pageBreakBefore w:val="0"/>
              <w:widowControl/>
              <w:kinsoku/>
              <w:wordWrap/>
              <w:overflowPunct/>
              <w:topLinePunct w:val="0"/>
              <w:autoSpaceDE/>
              <w:autoSpaceDN/>
              <w:bidi w:val="0"/>
              <w:snapToGrid/>
              <w:spacing w:line="520" w:lineRule="exact"/>
              <w:ind w:firstLine="482" w:firstLineChars="200"/>
              <w:textAlignment w:val="auto"/>
              <w:rPr>
                <w:rFonts w:hint="default" w:ascii="Times New Roman" w:hAnsi="Times New Roman" w:cs="Times New Roman"/>
                <w:b/>
                <w:kern w:val="0"/>
                <w:sz w:val="24"/>
                <w:szCs w:val="20"/>
                <w:highlight w:val="none"/>
              </w:rPr>
            </w:pPr>
            <w:r>
              <w:rPr>
                <w:rFonts w:hint="default" w:ascii="Times New Roman" w:hAnsi="Times New Roman" w:cs="Times New Roman"/>
                <w:b/>
                <w:kern w:val="0"/>
                <w:sz w:val="24"/>
                <w:szCs w:val="20"/>
                <w:highlight w:val="none"/>
                <w:lang w:val="en-US" w:eastAsia="zh-CN"/>
              </w:rPr>
              <w:t>1.2</w:t>
            </w:r>
            <w:r>
              <w:rPr>
                <w:rFonts w:hint="default" w:ascii="Times New Roman" w:hAnsi="Times New Roman" w:cs="Times New Roman"/>
                <w:b/>
                <w:kern w:val="0"/>
                <w:sz w:val="24"/>
                <w:szCs w:val="20"/>
                <w:highlight w:val="none"/>
              </w:rPr>
              <w:t>无组织废气</w:t>
            </w:r>
          </w:p>
          <w:p w14:paraId="65AB608A">
            <w:pPr>
              <w:keepNext w:val="0"/>
              <w:keepLines w:val="0"/>
              <w:pageBreakBefore w:val="0"/>
              <w:widowControl w:val="0"/>
              <w:tabs>
                <w:tab w:val="left" w:pos="600"/>
              </w:tabs>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color w:val="000000"/>
                <w:sz w:val="24"/>
                <w:highlight w:val="none"/>
                <w:u w:val="none"/>
              </w:rPr>
            </w:pPr>
            <w:r>
              <w:rPr>
                <w:rFonts w:hint="eastAsia" w:ascii="Times New Roman" w:hAnsi="Times New Roman" w:cs="Times New Roman"/>
                <w:b w:val="0"/>
                <w:bCs/>
                <w:color w:val="000000"/>
                <w:sz w:val="24"/>
                <w:highlight w:val="none"/>
                <w:u w:val="none"/>
                <w:lang w:eastAsia="zh-CN"/>
              </w:rPr>
              <w:t>该项目</w:t>
            </w:r>
            <w:r>
              <w:rPr>
                <w:rFonts w:hint="default" w:ascii="Times New Roman" w:hAnsi="Times New Roman" w:cs="Times New Roman"/>
                <w:b w:val="0"/>
                <w:bCs/>
                <w:color w:val="000000"/>
                <w:sz w:val="24"/>
                <w:highlight w:val="none"/>
                <w:u w:val="none"/>
              </w:rPr>
              <w:t>生产过程中会有部分</w:t>
            </w:r>
            <w:r>
              <w:rPr>
                <w:rFonts w:hint="eastAsia" w:ascii="Times New Roman" w:hAnsi="Times New Roman" w:cs="Times New Roman"/>
                <w:b w:val="0"/>
                <w:bCs/>
                <w:color w:val="000000"/>
                <w:sz w:val="24"/>
                <w:highlight w:val="none"/>
                <w:u w:val="none"/>
                <w:lang w:eastAsia="zh-CN"/>
              </w:rPr>
              <w:t>非甲烷总烃</w:t>
            </w:r>
            <w:r>
              <w:rPr>
                <w:rFonts w:hint="eastAsia" w:cs="Times New Roman"/>
                <w:b w:val="0"/>
                <w:bCs/>
                <w:color w:val="000000"/>
                <w:sz w:val="24"/>
                <w:highlight w:val="none"/>
                <w:u w:val="none"/>
                <w:lang w:eastAsia="zh-CN"/>
              </w:rPr>
              <w:t>、苯乙烯</w:t>
            </w:r>
            <w:r>
              <w:rPr>
                <w:rFonts w:hint="default" w:ascii="Times New Roman" w:hAnsi="Times New Roman" w:cs="Times New Roman"/>
                <w:b w:val="0"/>
                <w:bCs/>
                <w:color w:val="000000"/>
                <w:sz w:val="24"/>
                <w:highlight w:val="none"/>
                <w:u w:val="none"/>
              </w:rPr>
              <w:t>未被集气</w:t>
            </w:r>
            <w:r>
              <w:rPr>
                <w:rFonts w:hint="eastAsia" w:ascii="Times New Roman" w:hAnsi="Times New Roman" w:cs="Times New Roman"/>
                <w:b w:val="0"/>
                <w:bCs/>
                <w:color w:val="000000"/>
                <w:sz w:val="24"/>
                <w:highlight w:val="none"/>
                <w:u w:val="none"/>
                <w:lang w:eastAsia="zh-CN"/>
              </w:rPr>
              <w:t>系统</w:t>
            </w:r>
            <w:r>
              <w:rPr>
                <w:rFonts w:hint="default" w:ascii="Times New Roman" w:hAnsi="Times New Roman" w:cs="Times New Roman"/>
                <w:b w:val="0"/>
                <w:bCs/>
                <w:color w:val="000000"/>
                <w:sz w:val="24"/>
                <w:highlight w:val="none"/>
                <w:u w:val="none"/>
              </w:rPr>
              <w:t>收集，呈无组织排放。经</w:t>
            </w:r>
            <w:r>
              <w:rPr>
                <w:rFonts w:hint="eastAsia" w:cs="Times New Roman"/>
                <w:b w:val="0"/>
                <w:bCs/>
                <w:color w:val="000000"/>
                <w:sz w:val="24"/>
                <w:highlight w:val="none"/>
                <w:u w:val="none"/>
                <w:lang w:eastAsia="zh-CN"/>
              </w:rPr>
              <w:t>计算</w:t>
            </w:r>
            <w:r>
              <w:rPr>
                <w:rFonts w:hint="default" w:ascii="Times New Roman" w:hAnsi="Times New Roman" w:cs="Times New Roman"/>
                <w:b w:val="0"/>
                <w:bCs/>
                <w:color w:val="000000"/>
                <w:sz w:val="24"/>
                <w:highlight w:val="none"/>
                <w:u w:val="none"/>
              </w:rPr>
              <w:t>，</w:t>
            </w:r>
            <w:r>
              <w:rPr>
                <w:rFonts w:hint="default" w:ascii="Times New Roman" w:hAnsi="Times New Roman" w:cs="Times New Roman"/>
                <w:bCs w:val="0"/>
                <w:sz w:val="24"/>
                <w:szCs w:val="24"/>
                <w:highlight w:val="none"/>
                <w:lang w:eastAsia="zh-CN"/>
              </w:rPr>
              <w:t>集气系统未收集到的废气量为</w:t>
            </w:r>
            <w:r>
              <w:rPr>
                <w:rFonts w:hint="eastAsia" w:cs="Times New Roman"/>
                <w:bCs w:val="0"/>
                <w:sz w:val="24"/>
                <w:szCs w:val="24"/>
                <w:highlight w:val="none"/>
                <w:lang w:eastAsia="zh-CN"/>
              </w:rPr>
              <w:t>非甲烷总烃</w:t>
            </w:r>
            <w:r>
              <w:rPr>
                <w:rFonts w:hint="eastAsia" w:ascii="Times New Roman" w:hAnsi="Times New Roman" w:cs="Times New Roman"/>
                <w:highlight w:val="none"/>
                <w:lang w:val="en-US" w:eastAsia="zh-CN"/>
              </w:rPr>
              <w:t>0.0285</w:t>
            </w:r>
            <w:r>
              <w:rPr>
                <w:rFonts w:hint="default" w:ascii="Times New Roman" w:hAnsi="Times New Roman" w:cs="Times New Roman"/>
                <w:highlight w:val="none"/>
                <w:lang w:val="en-US" w:eastAsia="zh-CN"/>
              </w:rPr>
              <w:t>t/a</w:t>
            </w:r>
            <w:r>
              <w:rPr>
                <w:rFonts w:hint="eastAsia" w:cs="Times New Roman"/>
                <w:highlight w:val="none"/>
                <w:lang w:val="en-US" w:eastAsia="zh-CN"/>
              </w:rPr>
              <w:t>、苯乙烯</w:t>
            </w:r>
            <w:r>
              <w:rPr>
                <w:rFonts w:hint="eastAsia" w:ascii="Times New Roman" w:hAnsi="Times New Roman" w:cs="Times New Roman"/>
                <w:highlight w:val="none"/>
                <w:lang w:val="en-US" w:eastAsia="zh-CN"/>
              </w:rPr>
              <w:t>0.005</w:t>
            </w:r>
            <w:r>
              <w:rPr>
                <w:rFonts w:hint="default" w:ascii="Times New Roman" w:hAnsi="Times New Roman" w:cs="Times New Roman"/>
                <w:highlight w:val="none"/>
                <w:lang w:val="en-US" w:eastAsia="zh-CN"/>
              </w:rPr>
              <w:t>t/a。</w:t>
            </w:r>
          </w:p>
          <w:p w14:paraId="42A3C85D">
            <w:pPr>
              <w:keepNext w:val="0"/>
              <w:keepLines w:val="0"/>
              <w:pageBreakBefore w:val="0"/>
              <w:widowControl w:val="0"/>
              <w:kinsoku/>
              <w:wordWrap/>
              <w:overflowPunct/>
              <w:topLinePunct w:val="0"/>
              <w:autoSpaceDE/>
              <w:autoSpaceDN/>
              <w:bidi w:val="0"/>
              <w:snapToGrid/>
              <w:spacing w:line="520" w:lineRule="exact"/>
              <w:textAlignment w:val="auto"/>
              <w:rPr>
                <w:rFonts w:hint="default" w:ascii="Times New Roman" w:hAnsi="Times New Roman" w:cs="Times New Roman"/>
                <w:highlight w:val="none"/>
              </w:rPr>
            </w:pPr>
            <w:r>
              <w:rPr>
                <w:rFonts w:hint="default" w:ascii="Times New Roman" w:hAnsi="Times New Roman" w:cs="Times New Roman"/>
                <w:highlight w:val="none"/>
              </w:rPr>
              <w:t>评价要求对无组织排放采取以下治理措施：</w:t>
            </w:r>
            <w:r>
              <w:rPr>
                <w:rFonts w:hint="eastAsia"/>
                <w:b w:val="0"/>
                <w:bCs w:val="0"/>
                <w:color w:val="000000"/>
                <w:sz w:val="24"/>
                <w:szCs w:val="24"/>
                <w:u w:val="none" w:color="auto"/>
                <w:lang w:val="en-US" w:eastAsia="zh-CN"/>
              </w:rPr>
              <w:t>针对无组织排放废气，要求加强对生产设备和环保设备的检查和维护</w:t>
            </w:r>
            <w:r>
              <w:rPr>
                <w:rFonts w:hint="eastAsia" w:ascii="Times New Roman" w:hAnsi="Times New Roman" w:cs="Times New Roman"/>
                <w:b w:val="0"/>
                <w:bCs/>
                <w:color w:val="000000"/>
                <w:sz w:val="24"/>
                <w:highlight w:val="none"/>
                <w:u w:val="none"/>
                <w:lang w:eastAsia="zh-CN"/>
              </w:rPr>
              <w:t>，来提高</w:t>
            </w:r>
            <w:r>
              <w:rPr>
                <w:rFonts w:hint="eastAsia"/>
                <w:b w:val="0"/>
                <w:bCs w:val="0"/>
                <w:color w:val="000000"/>
                <w:sz w:val="24"/>
                <w:szCs w:val="24"/>
                <w:u w:val="none" w:color="auto"/>
                <w:lang w:val="en-US" w:eastAsia="zh-CN"/>
              </w:rPr>
              <w:t>集气效率；</w:t>
            </w:r>
            <w:r>
              <w:rPr>
                <w:rFonts w:hint="default" w:ascii="Times New Roman" w:hAnsi="Times New Roman" w:cs="Times New Roman"/>
                <w:b w:val="0"/>
                <w:bCs w:val="0"/>
                <w:highlight w:val="none"/>
                <w:u w:val="none"/>
              </w:rPr>
              <w:t>要求整个生产过程均在车间内进行，严禁露天作业，生产设施实行室内布置，减少二次</w:t>
            </w:r>
            <w:r>
              <w:rPr>
                <w:rFonts w:hint="eastAsia" w:ascii="Times New Roman" w:hAnsi="Times New Roman" w:cs="Times New Roman"/>
                <w:b w:val="0"/>
                <w:bCs w:val="0"/>
                <w:highlight w:val="none"/>
                <w:u w:val="none"/>
                <w:lang w:eastAsia="zh-CN"/>
              </w:rPr>
              <w:t>扩散；生产车间</w:t>
            </w:r>
            <w:r>
              <w:rPr>
                <w:rFonts w:hint="default" w:ascii="Times New Roman" w:hAnsi="Times New Roman" w:cs="Times New Roman"/>
                <w:b w:val="0"/>
                <w:bCs w:val="0"/>
                <w:highlight w:val="none"/>
                <w:u w:val="none"/>
              </w:rPr>
              <w:t>除出入口外全封闭，地面全部硬化，</w:t>
            </w:r>
            <w:r>
              <w:rPr>
                <w:rFonts w:hint="eastAsia" w:ascii="Times New Roman" w:hAnsi="Times New Roman" w:cs="Times New Roman"/>
                <w:b w:val="0"/>
                <w:bCs w:val="0"/>
                <w:highlight w:val="none"/>
                <w:u w:val="none"/>
                <w:lang w:eastAsia="zh-CN"/>
              </w:rPr>
              <w:t>车间</w:t>
            </w:r>
            <w:r>
              <w:rPr>
                <w:rFonts w:hint="default" w:ascii="Times New Roman" w:hAnsi="Times New Roman" w:cs="Times New Roman"/>
                <w:b w:val="0"/>
                <w:bCs w:val="0"/>
                <w:highlight w:val="none"/>
                <w:u w:val="none"/>
              </w:rPr>
              <w:t>出入口加装自动感应门或自动升降帘</w:t>
            </w:r>
            <w:r>
              <w:rPr>
                <w:rFonts w:hint="eastAsia" w:ascii="Times New Roman" w:hAnsi="Times New Roman" w:cs="Times New Roman"/>
                <w:b w:val="0"/>
                <w:bCs w:val="0"/>
                <w:highlight w:val="none"/>
                <w:u w:val="none"/>
                <w:lang w:eastAsia="zh-CN"/>
              </w:rPr>
              <w:t>；</w:t>
            </w:r>
            <w:r>
              <w:rPr>
                <w:rFonts w:hint="default" w:ascii="Times New Roman" w:hAnsi="Times New Roman" w:cs="Times New Roman"/>
                <w:highlight w:val="none"/>
              </w:rPr>
              <w:t>加强对环保治理设施的管理，建立环保设备运行记录台账，记录企业生产和环保治理设施运行的关键参数，并作为档案进行存档，相关台账记录至少保存三年。落实各级责任制，明确企业负责人、管理人员、生产岗位人员的环境保护职责，实施污染物排放控制精细化管理，污染防治设施建立管理台账，记录操作人员操作内容和运行、维护、检修情况等。</w:t>
            </w:r>
          </w:p>
          <w:p w14:paraId="5308D83E">
            <w:pPr>
              <w:keepNext w:val="0"/>
              <w:keepLines w:val="0"/>
              <w:pageBreakBefore w:val="0"/>
              <w:widowControl w:val="0"/>
              <w:kinsoku/>
              <w:wordWrap/>
              <w:overflowPunct/>
              <w:topLinePunct w:val="0"/>
              <w:autoSpaceDE/>
              <w:autoSpaceDN/>
              <w:bidi w:val="0"/>
              <w:adjustRightInd w:val="0"/>
              <w:snapToGrid/>
              <w:spacing w:line="520" w:lineRule="exact"/>
              <w:ind w:firstLine="480"/>
              <w:textAlignment w:val="auto"/>
              <w:rPr>
                <w:rFonts w:hint="default" w:ascii="Times New Roman" w:hAnsi="Times New Roman" w:cs="Times New Roman"/>
                <w:highlight w:val="none"/>
              </w:rPr>
            </w:pPr>
            <w:r>
              <w:rPr>
                <w:rFonts w:hint="default" w:ascii="Times New Roman" w:hAnsi="Times New Roman" w:cs="Times New Roman"/>
                <w:b w:val="0"/>
                <w:bCs/>
                <w:color w:val="000000"/>
                <w:sz w:val="24"/>
                <w:highlight w:val="none"/>
                <w:u w:val="none"/>
              </w:rPr>
              <w:t>无组织</w:t>
            </w:r>
            <w:r>
              <w:rPr>
                <w:rFonts w:hint="eastAsia" w:cs="Times New Roman"/>
                <w:b w:val="0"/>
                <w:bCs/>
                <w:color w:val="000000"/>
                <w:sz w:val="24"/>
                <w:highlight w:val="none"/>
                <w:u w:val="none"/>
                <w:lang w:eastAsia="zh-CN"/>
              </w:rPr>
              <w:t>废气经过以上措施</w:t>
            </w:r>
            <w:r>
              <w:rPr>
                <w:rFonts w:hint="default" w:ascii="Times New Roman" w:hAnsi="Times New Roman" w:cs="Times New Roman"/>
                <w:b w:val="0"/>
                <w:bCs/>
                <w:color w:val="000000"/>
                <w:sz w:val="24"/>
                <w:highlight w:val="none"/>
                <w:u w:val="none"/>
              </w:rPr>
              <w:t>可得到有效治理，</w:t>
            </w:r>
            <w:r>
              <w:rPr>
                <w:rFonts w:hint="default" w:ascii="Times New Roman" w:hAnsi="Times New Roman" w:cs="Times New Roman"/>
                <w:highlight w:val="none"/>
              </w:rPr>
              <w:t>采取措施后项目无组织废气对环境的影响将进一步降低。</w:t>
            </w:r>
          </w:p>
          <w:p w14:paraId="5D43184D">
            <w:pPr>
              <w:keepNext w:val="0"/>
              <w:keepLines w:val="0"/>
              <w:pageBreakBefore w:val="0"/>
              <w:widowControl w:val="0"/>
              <w:kinsoku/>
              <w:wordWrap/>
              <w:overflowPunct/>
              <w:topLinePunct w:val="0"/>
              <w:autoSpaceDE/>
              <w:autoSpaceDN/>
              <w:bidi w:val="0"/>
              <w:adjustRightInd w:val="0"/>
              <w:snapToGrid/>
              <w:spacing w:line="520" w:lineRule="exact"/>
              <w:ind w:firstLine="480"/>
              <w:textAlignment w:val="auto"/>
              <w:rPr>
                <w:rFonts w:hint="default" w:ascii="Times New Roman" w:hAnsi="Times New Roman" w:cs="Times New Roman"/>
                <w:b w:val="0"/>
                <w:bCs/>
                <w:color w:val="000000"/>
                <w:sz w:val="24"/>
                <w:highlight w:val="none"/>
                <w:u w:val="none"/>
              </w:rPr>
            </w:pPr>
            <w:r>
              <w:rPr>
                <w:rFonts w:hint="default" w:ascii="Times New Roman" w:hAnsi="Times New Roman" w:cs="Times New Roman"/>
                <w:b w:val="0"/>
                <w:bCs/>
                <w:color w:val="000000"/>
                <w:sz w:val="24"/>
                <w:highlight w:val="none"/>
                <w:u w:val="none"/>
              </w:rPr>
              <w:t>本次工程废气产生及排放情况详见下表。</w:t>
            </w:r>
          </w:p>
          <w:p w14:paraId="76F0574C">
            <w:pPr>
              <w:adjustRightInd w:val="0"/>
              <w:snapToGrid w:val="0"/>
              <w:ind w:left="0" w:leftChars="0" w:firstLine="0" w:firstLineChars="0"/>
              <w:rPr>
                <w:rFonts w:hint="default" w:ascii="Times New Roman" w:hAnsi="Times New Roman" w:cs="Times New Roman"/>
                <w:bCs/>
                <w:lang w:eastAsia="zh-CN"/>
              </w:rPr>
            </w:pPr>
          </w:p>
          <w:p w14:paraId="31F023EC">
            <w:pPr>
              <w:adjustRightInd w:val="0"/>
              <w:snapToGrid w:val="0"/>
              <w:ind w:left="0" w:leftChars="0" w:firstLine="0" w:firstLineChars="0"/>
              <w:rPr>
                <w:rFonts w:hint="default" w:ascii="Times New Roman" w:hAnsi="Times New Roman" w:cs="Times New Roman"/>
                <w:bCs/>
                <w:lang w:eastAsia="zh-CN"/>
              </w:rPr>
            </w:pPr>
          </w:p>
          <w:p w14:paraId="19E9A38D">
            <w:pPr>
              <w:adjustRightInd w:val="0"/>
              <w:snapToGrid w:val="0"/>
              <w:ind w:left="0" w:leftChars="0" w:firstLine="0" w:firstLineChars="0"/>
              <w:rPr>
                <w:rFonts w:hint="default" w:ascii="Times New Roman" w:hAnsi="Times New Roman" w:cs="Times New Roman"/>
                <w:bCs/>
                <w:lang w:eastAsia="zh-CN"/>
              </w:rPr>
            </w:pPr>
          </w:p>
          <w:p w14:paraId="2D856091">
            <w:pPr>
              <w:adjustRightInd w:val="0"/>
              <w:snapToGrid w:val="0"/>
              <w:ind w:left="0" w:leftChars="0" w:firstLine="0" w:firstLineChars="0"/>
              <w:rPr>
                <w:rFonts w:hint="default" w:ascii="Times New Roman" w:hAnsi="Times New Roman" w:cs="Times New Roman"/>
                <w:bCs/>
                <w:lang w:eastAsia="zh-CN"/>
              </w:rPr>
            </w:pPr>
          </w:p>
          <w:p w14:paraId="7A6D62B0">
            <w:pPr>
              <w:adjustRightInd w:val="0"/>
              <w:snapToGrid w:val="0"/>
              <w:ind w:left="0" w:leftChars="0" w:firstLine="0" w:firstLineChars="0"/>
              <w:rPr>
                <w:rFonts w:hint="default" w:ascii="Times New Roman" w:hAnsi="Times New Roman" w:cs="Times New Roman"/>
                <w:bCs/>
                <w:lang w:eastAsia="zh-CN"/>
              </w:rPr>
            </w:pPr>
          </w:p>
          <w:p w14:paraId="2311B13C">
            <w:pPr>
              <w:adjustRightInd w:val="0"/>
              <w:snapToGrid w:val="0"/>
              <w:ind w:left="0" w:leftChars="0" w:firstLine="0" w:firstLineChars="0"/>
              <w:rPr>
                <w:rFonts w:hint="default" w:ascii="Times New Roman" w:hAnsi="Times New Roman" w:cs="Times New Roman"/>
                <w:bCs/>
                <w:lang w:eastAsia="zh-CN"/>
              </w:rPr>
            </w:pPr>
          </w:p>
          <w:p w14:paraId="7C377243">
            <w:pPr>
              <w:adjustRightInd w:val="0"/>
              <w:snapToGrid w:val="0"/>
              <w:ind w:left="0" w:leftChars="0" w:firstLine="0" w:firstLineChars="0"/>
              <w:rPr>
                <w:rFonts w:hint="default" w:ascii="Times New Roman" w:hAnsi="Times New Roman" w:cs="Times New Roman"/>
                <w:bCs/>
                <w:lang w:eastAsia="zh-CN"/>
              </w:rPr>
            </w:pPr>
          </w:p>
          <w:p w14:paraId="081BF12F">
            <w:pPr>
              <w:adjustRightInd w:val="0"/>
              <w:snapToGrid w:val="0"/>
              <w:ind w:left="0" w:leftChars="0" w:firstLine="0" w:firstLineChars="0"/>
              <w:rPr>
                <w:rFonts w:hint="default" w:ascii="Times New Roman" w:hAnsi="Times New Roman" w:cs="Times New Roman"/>
                <w:bCs/>
                <w:lang w:eastAsia="zh-CN"/>
              </w:rPr>
            </w:pPr>
          </w:p>
          <w:p w14:paraId="29700365">
            <w:pPr>
              <w:adjustRightInd w:val="0"/>
              <w:snapToGrid w:val="0"/>
              <w:ind w:left="0" w:leftChars="0" w:firstLine="0" w:firstLineChars="0"/>
              <w:rPr>
                <w:rFonts w:hint="default" w:ascii="Times New Roman" w:hAnsi="Times New Roman" w:cs="Times New Roman"/>
                <w:bCs/>
                <w:lang w:eastAsia="zh-CN"/>
              </w:rPr>
            </w:pPr>
          </w:p>
          <w:p w14:paraId="11A69974">
            <w:pPr>
              <w:adjustRightInd w:val="0"/>
              <w:snapToGrid w:val="0"/>
              <w:ind w:left="0" w:leftChars="0" w:firstLine="0" w:firstLineChars="0"/>
              <w:rPr>
                <w:rFonts w:hint="default" w:ascii="Times New Roman" w:hAnsi="Times New Roman" w:cs="Times New Roman"/>
                <w:bCs/>
                <w:lang w:eastAsia="zh-CN"/>
              </w:rPr>
            </w:pPr>
          </w:p>
          <w:p w14:paraId="75221EAB">
            <w:pPr>
              <w:adjustRightInd w:val="0"/>
              <w:snapToGrid w:val="0"/>
              <w:ind w:left="0" w:leftChars="0" w:firstLine="0" w:firstLineChars="0"/>
              <w:rPr>
                <w:rFonts w:hint="default" w:ascii="Times New Roman" w:hAnsi="Times New Roman" w:cs="Times New Roman"/>
                <w:bCs/>
                <w:lang w:eastAsia="zh-CN"/>
              </w:rPr>
            </w:pPr>
          </w:p>
          <w:p w14:paraId="3B237733">
            <w:pPr>
              <w:adjustRightInd w:val="0"/>
              <w:snapToGrid w:val="0"/>
              <w:ind w:left="0" w:leftChars="0" w:firstLine="0" w:firstLineChars="0"/>
              <w:rPr>
                <w:rFonts w:hint="default" w:ascii="Times New Roman" w:hAnsi="Times New Roman" w:cs="Times New Roman"/>
                <w:bCs/>
                <w:lang w:eastAsia="zh-CN"/>
              </w:rPr>
            </w:pPr>
          </w:p>
          <w:p w14:paraId="5CCBCB18">
            <w:pPr>
              <w:adjustRightInd w:val="0"/>
              <w:snapToGrid w:val="0"/>
              <w:ind w:left="0" w:leftChars="0" w:firstLine="0" w:firstLineChars="0"/>
              <w:rPr>
                <w:rFonts w:hint="default" w:ascii="Times New Roman" w:hAnsi="Times New Roman" w:cs="Times New Roman"/>
                <w:bCs/>
                <w:lang w:eastAsia="zh-CN"/>
              </w:rPr>
            </w:pPr>
          </w:p>
          <w:p w14:paraId="54D075B8">
            <w:pPr>
              <w:adjustRightInd w:val="0"/>
              <w:snapToGrid w:val="0"/>
              <w:ind w:left="0" w:leftChars="0" w:firstLine="0" w:firstLineChars="0"/>
              <w:rPr>
                <w:rFonts w:hint="default" w:ascii="Times New Roman" w:hAnsi="Times New Roman" w:cs="Times New Roman"/>
                <w:bCs/>
                <w:lang w:eastAsia="zh-CN"/>
              </w:rPr>
            </w:pPr>
          </w:p>
          <w:p w14:paraId="667A3C11">
            <w:pPr>
              <w:adjustRightInd w:val="0"/>
              <w:snapToGrid w:val="0"/>
              <w:ind w:left="0" w:leftChars="0" w:firstLine="0" w:firstLineChars="0"/>
              <w:rPr>
                <w:rFonts w:hint="default" w:ascii="Times New Roman" w:hAnsi="Times New Roman" w:cs="Times New Roman"/>
                <w:bCs/>
                <w:lang w:eastAsia="zh-CN"/>
              </w:rPr>
            </w:pPr>
          </w:p>
          <w:p w14:paraId="6D1F49DB">
            <w:pPr>
              <w:adjustRightInd w:val="0"/>
              <w:snapToGrid w:val="0"/>
              <w:ind w:left="0" w:leftChars="0" w:firstLine="0" w:firstLineChars="0"/>
              <w:rPr>
                <w:rFonts w:hint="default" w:ascii="Times New Roman" w:hAnsi="Times New Roman" w:cs="Times New Roman"/>
                <w:bCs/>
                <w:lang w:eastAsia="zh-CN"/>
              </w:rPr>
            </w:pPr>
          </w:p>
          <w:p w14:paraId="72028472">
            <w:pPr>
              <w:adjustRightInd w:val="0"/>
              <w:snapToGrid w:val="0"/>
              <w:ind w:left="0" w:leftChars="0" w:firstLine="0" w:firstLineChars="0"/>
              <w:rPr>
                <w:rFonts w:hint="default" w:ascii="Times New Roman" w:hAnsi="Times New Roman" w:cs="Times New Roman"/>
                <w:bCs/>
                <w:lang w:eastAsia="zh-CN"/>
              </w:rPr>
            </w:pPr>
          </w:p>
          <w:p w14:paraId="7FEAE83F">
            <w:pPr>
              <w:adjustRightInd w:val="0"/>
              <w:snapToGrid w:val="0"/>
              <w:ind w:left="0" w:leftChars="0" w:firstLine="0" w:firstLineChars="0"/>
              <w:rPr>
                <w:rFonts w:hint="default" w:ascii="Times New Roman" w:hAnsi="Times New Roman" w:cs="Times New Roman"/>
                <w:bCs/>
                <w:lang w:eastAsia="zh-CN"/>
              </w:rPr>
            </w:pPr>
          </w:p>
          <w:p w14:paraId="6CBBF6A6">
            <w:pPr>
              <w:adjustRightInd w:val="0"/>
              <w:snapToGrid w:val="0"/>
              <w:ind w:left="0" w:leftChars="0" w:firstLine="0" w:firstLineChars="0"/>
              <w:rPr>
                <w:rFonts w:hint="default" w:ascii="Times New Roman" w:hAnsi="Times New Roman" w:cs="Times New Roman"/>
                <w:bCs/>
                <w:lang w:eastAsia="zh-CN"/>
              </w:rPr>
            </w:pPr>
          </w:p>
          <w:p w14:paraId="67886832">
            <w:pPr>
              <w:adjustRightInd w:val="0"/>
              <w:snapToGrid w:val="0"/>
              <w:ind w:left="0" w:leftChars="0" w:firstLine="0" w:firstLineChars="0"/>
              <w:rPr>
                <w:rFonts w:hint="default" w:ascii="Times New Roman" w:hAnsi="Times New Roman" w:cs="Times New Roman"/>
                <w:bCs/>
                <w:lang w:eastAsia="zh-CN"/>
              </w:rPr>
            </w:pPr>
          </w:p>
          <w:p w14:paraId="01405F13">
            <w:pPr>
              <w:adjustRightInd w:val="0"/>
              <w:snapToGrid w:val="0"/>
              <w:ind w:left="0" w:leftChars="0" w:firstLine="0" w:firstLineChars="0"/>
              <w:rPr>
                <w:rFonts w:hint="default" w:ascii="Times New Roman" w:hAnsi="Times New Roman" w:cs="Times New Roman"/>
                <w:bCs/>
                <w:lang w:eastAsia="zh-CN"/>
              </w:rPr>
            </w:pPr>
          </w:p>
        </w:tc>
      </w:tr>
    </w:tbl>
    <w:p w14:paraId="3EC03948">
      <w:pPr>
        <w:adjustRightInd w:val="0"/>
        <w:snapToGrid w:val="0"/>
        <w:spacing w:line="360" w:lineRule="auto"/>
        <w:ind w:firstLine="562"/>
        <w:rPr>
          <w:rFonts w:hint="default" w:ascii="Times New Roman" w:hAnsi="Times New Roman" w:cs="Times New Roman"/>
          <w:b/>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70D635DC">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0"/>
        <w:rPr>
          <w:rFonts w:hint="default" w:ascii="Times New Roman" w:hAnsi="Times New Roman" w:cs="Times New Roman"/>
          <w:b/>
          <w:color w:val="000000"/>
          <w:sz w:val="24"/>
          <w:highlight w:val="none"/>
          <w:u w:val="none"/>
        </w:rPr>
      </w:pPr>
      <w:r>
        <w:rPr>
          <w:rFonts w:hint="default" w:ascii="Times New Roman" w:hAnsi="Times New Roman" w:cs="Times New Roman"/>
          <w:b/>
          <w:color w:val="000000"/>
          <w:sz w:val="24"/>
          <w:highlight w:val="none"/>
          <w:u w:val="none"/>
          <w:lang w:eastAsia="zh-CN"/>
        </w:rPr>
        <w:t>表</w:t>
      </w:r>
      <w:r>
        <w:rPr>
          <w:rFonts w:hint="default" w:ascii="Times New Roman" w:hAnsi="Times New Roman" w:cs="Times New Roman"/>
          <w:b/>
          <w:color w:val="000000"/>
          <w:sz w:val="24"/>
          <w:highlight w:val="none"/>
          <w:u w:val="none"/>
          <w:lang w:val="en-US" w:eastAsia="zh-CN"/>
        </w:rPr>
        <w:t>4-1   本</w:t>
      </w:r>
      <w:r>
        <w:rPr>
          <w:rFonts w:hint="eastAsia" w:cs="Times New Roman"/>
          <w:b/>
          <w:color w:val="000000"/>
          <w:sz w:val="24"/>
          <w:highlight w:val="none"/>
          <w:u w:val="none"/>
          <w:lang w:val="en-US" w:eastAsia="zh-CN"/>
        </w:rPr>
        <w:t>项目</w:t>
      </w:r>
      <w:r>
        <w:rPr>
          <w:rFonts w:hint="default" w:ascii="Times New Roman" w:hAnsi="Times New Roman" w:cs="Times New Roman"/>
          <w:b/>
          <w:color w:val="000000"/>
          <w:sz w:val="24"/>
          <w:highlight w:val="none"/>
          <w:u w:val="none"/>
        </w:rPr>
        <w:t>废气产排</w:t>
      </w:r>
      <w:r>
        <w:rPr>
          <w:rFonts w:hint="eastAsia" w:cs="Times New Roman"/>
          <w:b/>
          <w:color w:val="000000"/>
          <w:sz w:val="24"/>
          <w:highlight w:val="none"/>
          <w:u w:val="none"/>
          <w:lang w:eastAsia="zh-CN"/>
        </w:rPr>
        <w:t>及治理</w:t>
      </w:r>
      <w:r>
        <w:rPr>
          <w:rFonts w:hint="default" w:ascii="Times New Roman" w:hAnsi="Times New Roman" w:cs="Times New Roman"/>
          <w:b/>
          <w:color w:val="000000"/>
          <w:sz w:val="24"/>
          <w:highlight w:val="none"/>
          <w:u w:val="none"/>
        </w:rPr>
        <w:t>情况一览表</w:t>
      </w:r>
    </w:p>
    <w:tbl>
      <w:tblPr>
        <w:tblStyle w:val="15"/>
        <w:tblW w:w="541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73"/>
        <w:gridCol w:w="1342"/>
        <w:gridCol w:w="843"/>
        <w:gridCol w:w="935"/>
        <w:gridCol w:w="819"/>
        <w:gridCol w:w="849"/>
        <w:gridCol w:w="762"/>
        <w:gridCol w:w="1237"/>
        <w:gridCol w:w="1237"/>
        <w:gridCol w:w="891"/>
        <w:gridCol w:w="761"/>
        <w:gridCol w:w="841"/>
        <w:gridCol w:w="827"/>
        <w:gridCol w:w="897"/>
        <w:gridCol w:w="1102"/>
      </w:tblGrid>
      <w:tr w14:paraId="1D61E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jc w:val="center"/>
        </w:trPr>
        <w:tc>
          <w:tcPr>
            <w:tcW w:w="749" w:type="pct"/>
            <w:gridSpan w:val="2"/>
            <w:vMerge w:val="restart"/>
            <w:noWrap w:val="0"/>
            <w:vAlign w:val="center"/>
          </w:tcPr>
          <w:p w14:paraId="44ED5B7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污染源名称</w:t>
            </w:r>
          </w:p>
        </w:tc>
        <w:tc>
          <w:tcPr>
            <w:tcW w:w="298" w:type="pct"/>
            <w:vMerge w:val="restart"/>
            <w:noWrap w:val="0"/>
            <w:vAlign w:val="center"/>
          </w:tcPr>
          <w:p w14:paraId="42C42FE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废气量</w:t>
            </w:r>
          </w:p>
          <w:p w14:paraId="2B68ADD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w:t>
            </w:r>
            <w:r>
              <w:rPr>
                <w:rFonts w:ascii="Times New Roman" w:hAnsi="Times New Roman" w:eastAsia="宋体" w:cs="Times New Roman"/>
                <w:b w:val="0"/>
                <w:bCs/>
                <w:i w:val="0"/>
                <w:color w:val="auto"/>
                <w:kern w:val="0"/>
                <w:sz w:val="21"/>
                <w:szCs w:val="21"/>
                <w:u w:val="none" w:color="auto"/>
                <w:lang w:val="en-US" w:eastAsia="en-US" w:bidi="ar-SA"/>
              </w:rPr>
              <w:t>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r>
              <w:rPr>
                <w:rFonts w:ascii="Times New Roman" w:hAnsi="Times New Roman" w:eastAsia="宋体" w:cs="Times New Roman"/>
                <w:b w:val="0"/>
                <w:bCs/>
                <w:i w:val="0"/>
                <w:color w:val="auto"/>
                <w:kern w:val="0"/>
                <w:sz w:val="21"/>
                <w:szCs w:val="21"/>
                <w:u w:val="none" w:color="auto"/>
                <w:lang w:val="en-US" w:eastAsia="en-US" w:bidi="ar-SA"/>
              </w:rPr>
              <w:t>/h</w:t>
            </w: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331" w:type="pct"/>
            <w:vMerge w:val="restart"/>
            <w:noWrap w:val="0"/>
            <w:vAlign w:val="center"/>
          </w:tcPr>
          <w:p w14:paraId="1F073CF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污染因子</w:t>
            </w:r>
          </w:p>
        </w:tc>
        <w:tc>
          <w:tcPr>
            <w:tcW w:w="860" w:type="pct"/>
            <w:gridSpan w:val="3"/>
            <w:noWrap w:val="0"/>
            <w:vAlign w:val="center"/>
          </w:tcPr>
          <w:p w14:paraId="3D3D7E8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产生情况</w:t>
            </w:r>
          </w:p>
        </w:tc>
        <w:tc>
          <w:tcPr>
            <w:tcW w:w="876" w:type="pct"/>
            <w:gridSpan w:val="2"/>
            <w:vMerge w:val="restart"/>
            <w:noWrap w:val="0"/>
            <w:vAlign w:val="center"/>
          </w:tcPr>
          <w:p w14:paraId="6880CE4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治理措施</w:t>
            </w:r>
          </w:p>
        </w:tc>
        <w:tc>
          <w:tcPr>
            <w:tcW w:w="315" w:type="pct"/>
            <w:vMerge w:val="restart"/>
            <w:noWrap w:val="0"/>
            <w:vAlign w:val="center"/>
          </w:tcPr>
          <w:p w14:paraId="3A0D162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净化效率</w:t>
            </w:r>
          </w:p>
          <w:p w14:paraId="3D992E7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eastAsia="zh-CN"/>
              </w:rPr>
            </w:pPr>
            <w:r>
              <w:rPr>
                <w:rFonts w:ascii="Times New Roman" w:hAnsi="Times New Roman" w:eastAsia="宋体" w:cs="Times New Roman"/>
                <w:b w:val="0"/>
                <w:bCs/>
                <w:i w:val="0"/>
                <w:color w:val="auto"/>
                <w:kern w:val="0"/>
                <w:sz w:val="21"/>
                <w:szCs w:val="21"/>
                <w:u w:val="none" w:color="auto"/>
                <w:lang w:val="en-US" w:eastAsia="zh-CN" w:bidi="ar-SA"/>
              </w:rPr>
              <w:t>（</w:t>
            </w:r>
            <w:r>
              <w:rPr>
                <w:rFonts w:ascii="Times New Roman" w:hAnsi="Times New Roman" w:eastAsia="宋体" w:cs="Times New Roman"/>
                <w:b w:val="0"/>
                <w:bCs/>
                <w:i w:val="0"/>
                <w:color w:val="auto"/>
                <w:kern w:val="0"/>
                <w:sz w:val="21"/>
                <w:szCs w:val="21"/>
                <w:u w:val="none" w:color="auto"/>
                <w:lang w:val="en-US" w:eastAsia="en-US" w:bidi="ar-SA"/>
              </w:rPr>
              <w:t>%</w:t>
            </w: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269" w:type="pct"/>
            <w:vMerge w:val="restart"/>
            <w:noWrap w:val="0"/>
            <w:vAlign w:val="center"/>
          </w:tcPr>
          <w:p w14:paraId="359B8D7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eastAsia="zh-CN"/>
              </w:rPr>
            </w:pPr>
            <w:r>
              <w:rPr>
                <w:rFonts w:ascii="Times New Roman" w:hAnsi="Times New Roman" w:eastAsia="宋体" w:cs="Times New Roman"/>
                <w:b w:val="0"/>
                <w:bCs/>
                <w:i w:val="0"/>
                <w:color w:val="auto"/>
                <w:kern w:val="0"/>
                <w:sz w:val="21"/>
                <w:szCs w:val="21"/>
                <w:u w:val="none" w:color="auto"/>
                <w:lang w:val="en-US" w:eastAsia="zh-CN" w:bidi="ar-SA"/>
              </w:rPr>
              <w:t>运行时间（</w:t>
            </w:r>
            <w:r>
              <w:rPr>
                <w:rFonts w:ascii="Times New Roman" w:hAnsi="Times New Roman" w:eastAsia="宋体" w:cs="Times New Roman"/>
                <w:b w:val="0"/>
                <w:bCs/>
                <w:i w:val="0"/>
                <w:color w:val="auto"/>
                <w:kern w:val="0"/>
                <w:sz w:val="21"/>
                <w:szCs w:val="21"/>
                <w:u w:val="none" w:color="auto"/>
                <w:lang w:val="en-US" w:eastAsia="en-US" w:bidi="ar-SA"/>
              </w:rPr>
              <w:t>h</w:t>
            </w: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908" w:type="pct"/>
            <w:gridSpan w:val="3"/>
            <w:noWrap w:val="0"/>
            <w:vAlign w:val="center"/>
          </w:tcPr>
          <w:p w14:paraId="75A277F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排放情况</w:t>
            </w:r>
          </w:p>
        </w:tc>
        <w:tc>
          <w:tcPr>
            <w:tcW w:w="390" w:type="pct"/>
            <w:noWrap w:val="0"/>
            <w:vAlign w:val="center"/>
          </w:tcPr>
          <w:p w14:paraId="036F3AC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标准限值</w:t>
            </w:r>
          </w:p>
        </w:tc>
      </w:tr>
      <w:tr w14:paraId="1CB19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jc w:val="center"/>
        </w:trPr>
        <w:tc>
          <w:tcPr>
            <w:tcW w:w="749" w:type="pct"/>
            <w:gridSpan w:val="2"/>
            <w:vMerge w:val="continue"/>
            <w:noWrap w:val="0"/>
            <w:vAlign w:val="center"/>
          </w:tcPr>
          <w:p w14:paraId="4D66D491">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Times New Roman" w:hAnsi="Times New Roman" w:eastAsia="宋体" w:cs="Times New Roman"/>
                <w:b w:val="0"/>
                <w:bCs/>
                <w:i w:val="0"/>
                <w:color w:val="auto"/>
                <w:sz w:val="21"/>
                <w:szCs w:val="21"/>
                <w:u w:val="none" w:color="auto"/>
              </w:rPr>
            </w:pPr>
          </w:p>
        </w:tc>
        <w:tc>
          <w:tcPr>
            <w:tcW w:w="298" w:type="pct"/>
            <w:vMerge w:val="continue"/>
            <w:noWrap w:val="0"/>
            <w:vAlign w:val="center"/>
          </w:tcPr>
          <w:p w14:paraId="186B6751">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both"/>
              <w:outlineLvl w:val="9"/>
              <w:rPr>
                <w:rFonts w:hint="eastAsia" w:ascii="Times New Roman" w:hAnsi="Times New Roman" w:eastAsia="宋体" w:cs="Times New Roman"/>
                <w:b w:val="0"/>
                <w:bCs/>
                <w:i w:val="0"/>
                <w:color w:val="auto"/>
                <w:sz w:val="21"/>
                <w:szCs w:val="21"/>
                <w:u w:val="none" w:color="auto"/>
              </w:rPr>
            </w:pPr>
          </w:p>
        </w:tc>
        <w:tc>
          <w:tcPr>
            <w:tcW w:w="331" w:type="pct"/>
            <w:vMerge w:val="continue"/>
            <w:noWrap w:val="0"/>
            <w:vAlign w:val="center"/>
          </w:tcPr>
          <w:p w14:paraId="0D7D505E">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Times New Roman" w:hAnsi="Times New Roman" w:eastAsia="宋体" w:cs="Times New Roman"/>
                <w:b w:val="0"/>
                <w:bCs/>
                <w:i w:val="0"/>
                <w:color w:val="auto"/>
                <w:sz w:val="21"/>
                <w:szCs w:val="21"/>
                <w:u w:val="none" w:color="auto"/>
              </w:rPr>
            </w:pPr>
          </w:p>
        </w:tc>
        <w:tc>
          <w:tcPr>
            <w:tcW w:w="290" w:type="pct"/>
            <w:noWrap w:val="0"/>
            <w:vAlign w:val="center"/>
          </w:tcPr>
          <w:p w14:paraId="3E44ADE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c>
          <w:tcPr>
            <w:tcW w:w="300" w:type="pct"/>
            <w:noWrap w:val="0"/>
            <w:vAlign w:val="center"/>
          </w:tcPr>
          <w:p w14:paraId="5461324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kg/h</w:t>
            </w:r>
          </w:p>
        </w:tc>
        <w:tc>
          <w:tcPr>
            <w:tcW w:w="269" w:type="pct"/>
            <w:noWrap w:val="0"/>
            <w:vAlign w:val="center"/>
          </w:tcPr>
          <w:p w14:paraId="468C27B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t/a</w:t>
            </w:r>
          </w:p>
        </w:tc>
        <w:tc>
          <w:tcPr>
            <w:tcW w:w="876" w:type="pct"/>
            <w:gridSpan w:val="2"/>
            <w:vMerge w:val="continue"/>
            <w:noWrap w:val="0"/>
            <w:vAlign w:val="center"/>
          </w:tcPr>
          <w:p w14:paraId="4265501E">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Times New Roman" w:hAnsi="Times New Roman" w:eastAsia="宋体" w:cs="Times New Roman"/>
                <w:b w:val="0"/>
                <w:bCs/>
                <w:i w:val="0"/>
                <w:color w:val="auto"/>
                <w:sz w:val="21"/>
                <w:szCs w:val="21"/>
                <w:u w:val="none" w:color="auto"/>
              </w:rPr>
            </w:pPr>
          </w:p>
        </w:tc>
        <w:tc>
          <w:tcPr>
            <w:tcW w:w="315" w:type="pct"/>
            <w:vMerge w:val="continue"/>
            <w:noWrap w:val="0"/>
            <w:vAlign w:val="center"/>
          </w:tcPr>
          <w:p w14:paraId="38EBFCE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p>
        </w:tc>
        <w:tc>
          <w:tcPr>
            <w:tcW w:w="269" w:type="pct"/>
            <w:vMerge w:val="continue"/>
            <w:noWrap w:val="0"/>
            <w:vAlign w:val="center"/>
          </w:tcPr>
          <w:p w14:paraId="7E9B18C7">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Times New Roman" w:hAnsi="Times New Roman" w:eastAsia="宋体" w:cs="Times New Roman"/>
                <w:b w:val="0"/>
                <w:bCs/>
                <w:i w:val="0"/>
                <w:color w:val="auto"/>
                <w:sz w:val="21"/>
                <w:szCs w:val="21"/>
                <w:u w:val="none" w:color="auto"/>
              </w:rPr>
            </w:pPr>
          </w:p>
        </w:tc>
        <w:tc>
          <w:tcPr>
            <w:tcW w:w="297" w:type="pct"/>
            <w:noWrap w:val="0"/>
            <w:vAlign w:val="center"/>
          </w:tcPr>
          <w:p w14:paraId="0A4C43E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c>
          <w:tcPr>
            <w:tcW w:w="292" w:type="pct"/>
            <w:noWrap w:val="0"/>
            <w:vAlign w:val="center"/>
          </w:tcPr>
          <w:p w14:paraId="3CD88C1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kg/h</w:t>
            </w:r>
          </w:p>
        </w:tc>
        <w:tc>
          <w:tcPr>
            <w:tcW w:w="317" w:type="pct"/>
            <w:noWrap w:val="0"/>
            <w:vAlign w:val="center"/>
          </w:tcPr>
          <w:p w14:paraId="7DDF4A3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t/a</w:t>
            </w:r>
          </w:p>
        </w:tc>
        <w:tc>
          <w:tcPr>
            <w:tcW w:w="390" w:type="pct"/>
            <w:noWrap w:val="0"/>
            <w:vAlign w:val="center"/>
          </w:tcPr>
          <w:p w14:paraId="5D02C8A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r>
      <w:tr w14:paraId="73DD3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2" w:hRule="atLeast"/>
          <w:jc w:val="center"/>
        </w:trPr>
        <w:tc>
          <w:tcPr>
            <w:tcW w:w="273" w:type="pct"/>
            <w:vMerge w:val="restart"/>
            <w:noWrap w:val="0"/>
            <w:vAlign w:val="center"/>
          </w:tcPr>
          <w:p w14:paraId="4AC52BD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有组织</w:t>
            </w:r>
          </w:p>
        </w:tc>
        <w:tc>
          <w:tcPr>
            <w:tcW w:w="475" w:type="pct"/>
            <w:vMerge w:val="restart"/>
            <w:noWrap w:val="0"/>
            <w:vAlign w:val="center"/>
          </w:tcPr>
          <w:p w14:paraId="336CA92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加热成型废气</w:t>
            </w:r>
          </w:p>
        </w:tc>
        <w:tc>
          <w:tcPr>
            <w:tcW w:w="298" w:type="pct"/>
            <w:vMerge w:val="restart"/>
            <w:noWrap w:val="0"/>
            <w:vAlign w:val="center"/>
          </w:tcPr>
          <w:p w14:paraId="32C8B75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7000</w:t>
            </w:r>
          </w:p>
        </w:tc>
        <w:tc>
          <w:tcPr>
            <w:tcW w:w="331" w:type="pct"/>
            <w:noWrap w:val="0"/>
            <w:vAlign w:val="center"/>
          </w:tcPr>
          <w:p w14:paraId="7108DE3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非甲烷</w:t>
            </w:r>
          </w:p>
          <w:p w14:paraId="7532D42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总烃</w:t>
            </w:r>
          </w:p>
        </w:tc>
        <w:tc>
          <w:tcPr>
            <w:tcW w:w="290" w:type="pct"/>
            <w:noWrap w:val="0"/>
            <w:vAlign w:val="center"/>
          </w:tcPr>
          <w:p w14:paraId="3FADBE0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32.23</w:t>
            </w:r>
          </w:p>
        </w:tc>
        <w:tc>
          <w:tcPr>
            <w:tcW w:w="300" w:type="pct"/>
            <w:noWrap w:val="0"/>
            <w:vAlign w:val="center"/>
          </w:tcPr>
          <w:p w14:paraId="00C1C6E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0.2256</w:t>
            </w:r>
          </w:p>
        </w:tc>
        <w:tc>
          <w:tcPr>
            <w:tcW w:w="269" w:type="pct"/>
            <w:noWrap w:val="0"/>
            <w:vAlign w:val="center"/>
          </w:tcPr>
          <w:p w14:paraId="5BEFDBA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0.5415</w:t>
            </w:r>
          </w:p>
        </w:tc>
        <w:tc>
          <w:tcPr>
            <w:tcW w:w="438" w:type="pct"/>
            <w:vMerge w:val="restart"/>
            <w:noWrap w:val="0"/>
            <w:vAlign w:val="center"/>
          </w:tcPr>
          <w:p w14:paraId="74AA1C3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highlight w:val="green"/>
                <w:u w:val="none" w:color="auto"/>
                <w:lang w:val="en-US" w:eastAsia="zh-CN"/>
              </w:rPr>
            </w:pPr>
            <w:r>
              <w:rPr>
                <w:rFonts w:hint="eastAsia" w:cs="Times New Roman"/>
                <w:b w:val="0"/>
                <w:bCs/>
                <w:i w:val="0"/>
                <w:color w:val="auto"/>
                <w:sz w:val="21"/>
                <w:szCs w:val="21"/>
                <w:highlight w:val="none"/>
                <w:u w:val="none" w:color="auto"/>
                <w:lang w:val="en-US" w:eastAsia="zh-CN"/>
              </w:rPr>
              <w:t>成型机二次封闭+</w:t>
            </w:r>
            <w:r>
              <w:rPr>
                <w:rFonts w:hint="eastAsia" w:ascii="Times New Roman" w:hAnsi="Times New Roman" w:eastAsia="宋体" w:cs="Times New Roman"/>
                <w:b w:val="0"/>
                <w:bCs/>
                <w:i w:val="0"/>
                <w:color w:val="auto"/>
                <w:sz w:val="21"/>
                <w:szCs w:val="21"/>
                <w:highlight w:val="none"/>
                <w:u w:val="none" w:color="auto"/>
                <w:lang w:val="en-US" w:eastAsia="zh-CN"/>
              </w:rPr>
              <w:t>集气罩</w:t>
            </w:r>
          </w:p>
        </w:tc>
        <w:tc>
          <w:tcPr>
            <w:tcW w:w="438" w:type="pct"/>
            <w:vMerge w:val="restart"/>
            <w:noWrap w:val="0"/>
            <w:vAlign w:val="center"/>
          </w:tcPr>
          <w:p w14:paraId="19007BF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highlight w:val="none"/>
                <w:u w:val="none" w:color="auto"/>
                <w:lang w:val="en-US" w:eastAsia="zh-CN"/>
              </w:rPr>
            </w:pPr>
            <w:r>
              <w:rPr>
                <w:rFonts w:hint="eastAsia" w:ascii="Times New Roman" w:hAnsi="Times New Roman" w:eastAsia="宋体" w:cs="Times New Roman"/>
                <w:b w:val="0"/>
                <w:bCs/>
                <w:i w:val="0"/>
                <w:color w:val="auto"/>
                <w:sz w:val="21"/>
                <w:szCs w:val="21"/>
                <w:highlight w:val="none"/>
                <w:u w:val="none" w:color="auto"/>
                <w:lang w:val="en-US" w:eastAsia="zh-CN"/>
              </w:rPr>
              <w:t>两级活性炭吸附+15m</w:t>
            </w:r>
          </w:p>
          <w:p w14:paraId="45A6828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highlight w:val="none"/>
                <w:u w:val="none" w:color="auto"/>
                <w:lang w:val="en-US" w:eastAsia="zh-CN"/>
              </w:rPr>
            </w:pPr>
            <w:r>
              <w:rPr>
                <w:rFonts w:hint="eastAsia" w:ascii="Times New Roman" w:hAnsi="Times New Roman" w:eastAsia="宋体" w:cs="Times New Roman"/>
                <w:b w:val="0"/>
                <w:bCs/>
                <w:i w:val="0"/>
                <w:color w:val="auto"/>
                <w:sz w:val="21"/>
                <w:szCs w:val="21"/>
                <w:highlight w:val="none"/>
                <w:u w:val="none" w:color="auto"/>
                <w:lang w:val="en-US" w:eastAsia="zh-CN"/>
              </w:rPr>
              <w:t>高排气筒DA001</w:t>
            </w:r>
          </w:p>
        </w:tc>
        <w:tc>
          <w:tcPr>
            <w:tcW w:w="315" w:type="pct"/>
            <w:vMerge w:val="restart"/>
            <w:noWrap w:val="0"/>
            <w:vAlign w:val="center"/>
          </w:tcPr>
          <w:p w14:paraId="457AAD9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80</w:t>
            </w:r>
          </w:p>
        </w:tc>
        <w:tc>
          <w:tcPr>
            <w:tcW w:w="269" w:type="pct"/>
            <w:vMerge w:val="restart"/>
            <w:noWrap w:val="0"/>
            <w:vAlign w:val="center"/>
          </w:tcPr>
          <w:p w14:paraId="7E005C3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2400</w:t>
            </w:r>
          </w:p>
        </w:tc>
        <w:tc>
          <w:tcPr>
            <w:tcW w:w="297" w:type="pct"/>
            <w:noWrap w:val="0"/>
            <w:vAlign w:val="center"/>
          </w:tcPr>
          <w:p w14:paraId="7C54180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6.</w:t>
            </w:r>
            <w:r>
              <w:rPr>
                <w:rFonts w:hint="eastAsia" w:cs="Times New Roman"/>
                <w:b w:val="0"/>
                <w:bCs/>
                <w:i w:val="0"/>
                <w:color w:val="auto"/>
                <w:sz w:val="21"/>
                <w:szCs w:val="21"/>
                <w:u w:val="none" w:color="auto"/>
                <w:lang w:val="en-US" w:eastAsia="zh-CN"/>
              </w:rPr>
              <w:t>45</w:t>
            </w:r>
          </w:p>
        </w:tc>
        <w:tc>
          <w:tcPr>
            <w:tcW w:w="292" w:type="pct"/>
            <w:noWrap w:val="0"/>
            <w:vAlign w:val="center"/>
          </w:tcPr>
          <w:p w14:paraId="4EB2B1C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0.0451</w:t>
            </w:r>
          </w:p>
        </w:tc>
        <w:tc>
          <w:tcPr>
            <w:tcW w:w="317" w:type="pct"/>
            <w:noWrap w:val="0"/>
            <w:vAlign w:val="center"/>
          </w:tcPr>
          <w:p w14:paraId="7CC1701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0.1083</w:t>
            </w:r>
          </w:p>
        </w:tc>
        <w:tc>
          <w:tcPr>
            <w:tcW w:w="390" w:type="pct"/>
            <w:noWrap w:val="0"/>
            <w:vAlign w:val="center"/>
          </w:tcPr>
          <w:p w14:paraId="13476A7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highlight w:val="none"/>
                <w:u w:val="none" w:color="auto"/>
                <w:lang w:val="en-US"/>
              </w:rPr>
            </w:pPr>
            <w:r>
              <w:rPr>
                <w:rFonts w:hint="eastAsia" w:ascii="Times New Roman" w:hAnsi="Times New Roman" w:eastAsia="宋体" w:cs="Times New Roman"/>
                <w:b w:val="0"/>
                <w:bCs/>
                <w:i w:val="0"/>
                <w:color w:val="auto"/>
                <w:kern w:val="0"/>
                <w:sz w:val="21"/>
                <w:szCs w:val="21"/>
                <w:highlight w:val="none"/>
                <w:u w:val="none" w:color="auto"/>
                <w:lang w:val="en-US" w:eastAsia="zh-CN" w:bidi="ar-SA"/>
              </w:rPr>
              <w:t>20</w:t>
            </w:r>
          </w:p>
        </w:tc>
      </w:tr>
      <w:tr w14:paraId="0CFC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7" w:hRule="atLeast"/>
          <w:jc w:val="center"/>
        </w:trPr>
        <w:tc>
          <w:tcPr>
            <w:tcW w:w="273" w:type="pct"/>
            <w:vMerge w:val="continue"/>
            <w:noWrap w:val="0"/>
            <w:vAlign w:val="center"/>
          </w:tcPr>
          <w:p w14:paraId="01D2B20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475" w:type="pct"/>
            <w:vMerge w:val="continue"/>
            <w:noWrap w:val="0"/>
            <w:vAlign w:val="center"/>
          </w:tcPr>
          <w:p w14:paraId="0A749DD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98" w:type="pct"/>
            <w:vMerge w:val="continue"/>
            <w:noWrap w:val="0"/>
            <w:vAlign w:val="center"/>
          </w:tcPr>
          <w:p w14:paraId="01BDE26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31" w:type="pct"/>
            <w:noWrap w:val="0"/>
            <w:vAlign w:val="center"/>
          </w:tcPr>
          <w:p w14:paraId="606272E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苯乙烯</w:t>
            </w:r>
          </w:p>
        </w:tc>
        <w:tc>
          <w:tcPr>
            <w:tcW w:w="290" w:type="pct"/>
            <w:noWrap w:val="0"/>
            <w:vAlign w:val="center"/>
          </w:tcPr>
          <w:p w14:paraId="5320496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5.65</w:t>
            </w:r>
          </w:p>
        </w:tc>
        <w:tc>
          <w:tcPr>
            <w:tcW w:w="300" w:type="pct"/>
            <w:noWrap w:val="0"/>
            <w:vAlign w:val="center"/>
          </w:tcPr>
          <w:p w14:paraId="7897AE5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0.0396</w:t>
            </w:r>
          </w:p>
        </w:tc>
        <w:tc>
          <w:tcPr>
            <w:tcW w:w="269" w:type="pct"/>
            <w:noWrap w:val="0"/>
            <w:vAlign w:val="center"/>
          </w:tcPr>
          <w:p w14:paraId="0BC1D5F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0.095</w:t>
            </w:r>
          </w:p>
        </w:tc>
        <w:tc>
          <w:tcPr>
            <w:tcW w:w="438" w:type="pct"/>
            <w:vMerge w:val="continue"/>
            <w:noWrap w:val="0"/>
            <w:vAlign w:val="center"/>
          </w:tcPr>
          <w:p w14:paraId="5D38AE7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438" w:type="pct"/>
            <w:vMerge w:val="continue"/>
            <w:noWrap w:val="0"/>
            <w:vAlign w:val="center"/>
          </w:tcPr>
          <w:p w14:paraId="01149CA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315" w:type="pct"/>
            <w:vMerge w:val="continue"/>
            <w:noWrap w:val="0"/>
            <w:vAlign w:val="center"/>
          </w:tcPr>
          <w:p w14:paraId="6240F50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269" w:type="pct"/>
            <w:vMerge w:val="continue"/>
            <w:noWrap w:val="0"/>
            <w:vAlign w:val="center"/>
          </w:tcPr>
          <w:p w14:paraId="1FDEB1C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297" w:type="pct"/>
            <w:noWrap w:val="0"/>
            <w:vAlign w:val="center"/>
          </w:tcPr>
          <w:p w14:paraId="53B9F22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1.13</w:t>
            </w:r>
          </w:p>
        </w:tc>
        <w:tc>
          <w:tcPr>
            <w:tcW w:w="292" w:type="pct"/>
            <w:noWrap w:val="0"/>
            <w:vAlign w:val="center"/>
          </w:tcPr>
          <w:p w14:paraId="154FC94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0.0079</w:t>
            </w:r>
          </w:p>
        </w:tc>
        <w:tc>
          <w:tcPr>
            <w:tcW w:w="317" w:type="pct"/>
            <w:noWrap w:val="0"/>
            <w:vAlign w:val="center"/>
          </w:tcPr>
          <w:p w14:paraId="57C1FC8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0.019</w:t>
            </w:r>
          </w:p>
        </w:tc>
        <w:tc>
          <w:tcPr>
            <w:tcW w:w="390" w:type="pct"/>
            <w:noWrap w:val="0"/>
            <w:vAlign w:val="center"/>
          </w:tcPr>
          <w:p w14:paraId="5F308D6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20</w:t>
            </w:r>
          </w:p>
        </w:tc>
      </w:tr>
      <w:tr w14:paraId="30C48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2" w:hRule="atLeast"/>
          <w:jc w:val="center"/>
        </w:trPr>
        <w:tc>
          <w:tcPr>
            <w:tcW w:w="273" w:type="pct"/>
            <w:vMerge w:val="continue"/>
            <w:noWrap w:val="0"/>
            <w:vAlign w:val="center"/>
          </w:tcPr>
          <w:p w14:paraId="1A43A97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475" w:type="pct"/>
            <w:noWrap w:val="0"/>
            <w:vAlign w:val="center"/>
          </w:tcPr>
          <w:p w14:paraId="5D09033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eastAsia="宋体"/>
                <w:sz w:val="21"/>
                <w:szCs w:val="21"/>
                <w:highlight w:val="none"/>
                <w:lang w:eastAsia="zh-CN"/>
              </w:rPr>
            </w:pPr>
            <w:r>
              <w:rPr>
                <w:rFonts w:hint="eastAsia"/>
                <w:sz w:val="21"/>
                <w:szCs w:val="21"/>
                <w:highlight w:val="none"/>
                <w:lang w:eastAsia="zh-CN"/>
              </w:rPr>
              <w:t>危废间废气</w:t>
            </w:r>
          </w:p>
        </w:tc>
        <w:tc>
          <w:tcPr>
            <w:tcW w:w="298" w:type="pct"/>
            <w:noWrap w:val="0"/>
            <w:vAlign w:val="center"/>
          </w:tcPr>
          <w:p w14:paraId="25108EE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eastAsia="宋体"/>
                <w:sz w:val="21"/>
                <w:szCs w:val="21"/>
                <w:lang w:val="en-US" w:eastAsia="zh-CN"/>
              </w:rPr>
            </w:pPr>
            <w:r>
              <w:rPr>
                <w:rFonts w:hint="eastAsia"/>
                <w:sz w:val="21"/>
                <w:szCs w:val="21"/>
                <w:lang w:val="en-US" w:eastAsia="zh-CN"/>
              </w:rPr>
              <w:t>120</w:t>
            </w:r>
          </w:p>
        </w:tc>
        <w:tc>
          <w:tcPr>
            <w:tcW w:w="331" w:type="pct"/>
            <w:noWrap w:val="0"/>
            <w:vAlign w:val="center"/>
          </w:tcPr>
          <w:p w14:paraId="3492FC8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cs="Times New Roman"/>
                <w:b w:val="0"/>
                <w:bCs/>
                <w:i w:val="0"/>
                <w:color w:val="auto"/>
                <w:sz w:val="21"/>
                <w:szCs w:val="21"/>
                <w:u w:val="none" w:color="auto"/>
                <w:lang w:val="en-US" w:eastAsia="zh-CN"/>
              </w:rPr>
            </w:pPr>
            <w:r>
              <w:rPr>
                <w:rFonts w:hint="default" w:ascii="Times New Roman" w:hAnsi="Times New Roman" w:cs="Times New Roman"/>
                <w:b w:val="0"/>
                <w:bCs/>
                <w:kern w:val="0"/>
                <w:sz w:val="21"/>
                <w:szCs w:val="21"/>
                <w:highlight w:val="none"/>
                <w:lang w:val="en-US" w:eastAsia="zh-CN"/>
              </w:rPr>
              <w:t>VOCs</w:t>
            </w:r>
          </w:p>
        </w:tc>
        <w:tc>
          <w:tcPr>
            <w:tcW w:w="290" w:type="pct"/>
            <w:noWrap w:val="0"/>
            <w:vAlign w:val="center"/>
          </w:tcPr>
          <w:p w14:paraId="76D8FE8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14.58</w:t>
            </w:r>
          </w:p>
        </w:tc>
        <w:tc>
          <w:tcPr>
            <w:tcW w:w="300" w:type="pct"/>
            <w:noWrap w:val="0"/>
            <w:vAlign w:val="center"/>
          </w:tcPr>
          <w:p w14:paraId="42646C4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0.0018</w:t>
            </w:r>
          </w:p>
        </w:tc>
        <w:tc>
          <w:tcPr>
            <w:tcW w:w="269" w:type="pct"/>
            <w:noWrap w:val="0"/>
            <w:vAlign w:val="center"/>
          </w:tcPr>
          <w:p w14:paraId="5090985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0.0042</w:t>
            </w:r>
          </w:p>
        </w:tc>
        <w:tc>
          <w:tcPr>
            <w:tcW w:w="438" w:type="pct"/>
            <w:noWrap w:val="0"/>
            <w:vAlign w:val="center"/>
          </w:tcPr>
          <w:p w14:paraId="2F02548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highlight w:val="none"/>
                <w:u w:val="none" w:color="auto"/>
                <w:lang w:val="en-US" w:eastAsia="zh-CN"/>
              </w:rPr>
              <w:t>危废间上方加装</w:t>
            </w:r>
            <w:r>
              <w:rPr>
                <w:rFonts w:hint="eastAsia" w:cs="Times New Roman"/>
                <w:b w:val="0"/>
                <w:bCs/>
                <w:i w:val="0"/>
                <w:color w:val="auto"/>
                <w:sz w:val="21"/>
                <w:szCs w:val="21"/>
                <w:u w:val="none" w:color="auto"/>
                <w:lang w:val="en-US" w:eastAsia="zh-CN"/>
              </w:rPr>
              <w:t>集气</w:t>
            </w:r>
          </w:p>
          <w:p w14:paraId="71D935D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风管</w:t>
            </w:r>
          </w:p>
        </w:tc>
        <w:tc>
          <w:tcPr>
            <w:tcW w:w="438" w:type="pct"/>
            <w:vMerge w:val="continue"/>
            <w:noWrap w:val="0"/>
            <w:vAlign w:val="center"/>
          </w:tcPr>
          <w:p w14:paraId="5788208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315" w:type="pct"/>
            <w:vMerge w:val="continue"/>
            <w:noWrap w:val="0"/>
            <w:vAlign w:val="center"/>
          </w:tcPr>
          <w:p w14:paraId="0868D73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p>
        </w:tc>
        <w:tc>
          <w:tcPr>
            <w:tcW w:w="269" w:type="pct"/>
            <w:vMerge w:val="continue"/>
            <w:noWrap w:val="0"/>
            <w:vAlign w:val="center"/>
          </w:tcPr>
          <w:p w14:paraId="13337DA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p>
        </w:tc>
        <w:tc>
          <w:tcPr>
            <w:tcW w:w="297" w:type="pct"/>
            <w:noWrap w:val="0"/>
            <w:vAlign w:val="center"/>
          </w:tcPr>
          <w:p w14:paraId="6B2C0C6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2.78</w:t>
            </w:r>
          </w:p>
        </w:tc>
        <w:tc>
          <w:tcPr>
            <w:tcW w:w="292" w:type="pct"/>
            <w:noWrap w:val="0"/>
            <w:vAlign w:val="center"/>
          </w:tcPr>
          <w:p w14:paraId="06E9EFD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0.0003</w:t>
            </w:r>
          </w:p>
        </w:tc>
        <w:tc>
          <w:tcPr>
            <w:tcW w:w="317" w:type="pct"/>
            <w:noWrap w:val="0"/>
            <w:vAlign w:val="center"/>
          </w:tcPr>
          <w:p w14:paraId="4867DE7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0.0008</w:t>
            </w:r>
          </w:p>
        </w:tc>
        <w:tc>
          <w:tcPr>
            <w:tcW w:w="390" w:type="pct"/>
            <w:noWrap w:val="0"/>
            <w:vAlign w:val="center"/>
          </w:tcPr>
          <w:p w14:paraId="0132073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20</w:t>
            </w:r>
          </w:p>
        </w:tc>
      </w:tr>
      <w:tr w14:paraId="01738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75" w:hRule="atLeast"/>
          <w:jc w:val="center"/>
        </w:trPr>
        <w:tc>
          <w:tcPr>
            <w:tcW w:w="273" w:type="pct"/>
            <w:vMerge w:val="continue"/>
            <w:noWrap w:val="0"/>
            <w:vAlign w:val="center"/>
          </w:tcPr>
          <w:p w14:paraId="05D70B8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475" w:type="pct"/>
            <w:noWrap w:val="0"/>
            <w:vAlign w:val="center"/>
          </w:tcPr>
          <w:p w14:paraId="093B925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sz w:val="21"/>
                <w:szCs w:val="21"/>
                <w:highlight w:val="none"/>
                <w:lang w:val="en-US" w:eastAsia="zh-CN"/>
              </w:rPr>
            </w:pPr>
            <w:r>
              <w:rPr>
                <w:rFonts w:hint="eastAsia"/>
                <w:sz w:val="21"/>
                <w:szCs w:val="21"/>
                <w:highlight w:val="none"/>
                <w:lang w:val="en-US" w:eastAsia="zh-CN"/>
              </w:rPr>
              <w:t>DA001</w:t>
            </w:r>
          </w:p>
        </w:tc>
        <w:tc>
          <w:tcPr>
            <w:tcW w:w="298" w:type="pct"/>
            <w:noWrap w:val="0"/>
            <w:vAlign w:val="center"/>
          </w:tcPr>
          <w:p w14:paraId="0565E99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lang w:val="en-US" w:eastAsia="zh-CN"/>
              </w:rPr>
            </w:pPr>
            <w:r>
              <w:rPr>
                <w:rFonts w:hint="eastAsia"/>
                <w:sz w:val="21"/>
                <w:szCs w:val="21"/>
                <w:highlight w:val="none"/>
                <w:lang w:val="en-US" w:eastAsia="zh-CN"/>
              </w:rPr>
              <w:t>7120</w:t>
            </w:r>
          </w:p>
        </w:tc>
        <w:tc>
          <w:tcPr>
            <w:tcW w:w="331" w:type="pct"/>
            <w:noWrap w:val="0"/>
            <w:vAlign w:val="center"/>
          </w:tcPr>
          <w:p w14:paraId="041DDFA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cs="Times New Roman"/>
                <w:b w:val="0"/>
                <w:bCs/>
                <w:kern w:val="0"/>
                <w:sz w:val="24"/>
                <w:szCs w:val="20"/>
                <w:highlight w:val="none"/>
                <w:lang w:val="en-US" w:eastAsia="zh-CN"/>
              </w:rPr>
            </w:pPr>
            <w:r>
              <w:rPr>
                <w:rFonts w:hint="default" w:ascii="Times New Roman" w:hAnsi="Times New Roman" w:cs="Times New Roman"/>
                <w:b w:val="0"/>
                <w:bCs/>
                <w:kern w:val="0"/>
                <w:sz w:val="21"/>
                <w:szCs w:val="21"/>
                <w:highlight w:val="none"/>
                <w:lang w:val="en-US" w:eastAsia="zh-CN"/>
              </w:rPr>
              <w:t>VOCs</w:t>
            </w:r>
          </w:p>
        </w:tc>
        <w:tc>
          <w:tcPr>
            <w:tcW w:w="290" w:type="pct"/>
            <w:noWrap w:val="0"/>
            <w:vAlign w:val="center"/>
          </w:tcPr>
          <w:p w14:paraId="159F6FF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37.49</w:t>
            </w:r>
          </w:p>
        </w:tc>
        <w:tc>
          <w:tcPr>
            <w:tcW w:w="300" w:type="pct"/>
            <w:noWrap w:val="0"/>
            <w:vAlign w:val="center"/>
          </w:tcPr>
          <w:p w14:paraId="04646AD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0.267</w:t>
            </w:r>
          </w:p>
        </w:tc>
        <w:tc>
          <w:tcPr>
            <w:tcW w:w="269" w:type="pct"/>
            <w:noWrap w:val="0"/>
            <w:vAlign w:val="center"/>
          </w:tcPr>
          <w:p w14:paraId="3D34230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0.6407</w:t>
            </w:r>
          </w:p>
        </w:tc>
        <w:tc>
          <w:tcPr>
            <w:tcW w:w="876" w:type="pct"/>
            <w:gridSpan w:val="2"/>
            <w:noWrap w:val="0"/>
            <w:vAlign w:val="center"/>
          </w:tcPr>
          <w:p w14:paraId="73AB2C8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highlight w:val="none"/>
                <w:u w:val="none" w:color="auto"/>
                <w:lang w:val="en-US" w:eastAsia="zh-CN"/>
              </w:rPr>
            </w:pPr>
            <w:r>
              <w:rPr>
                <w:rFonts w:hint="eastAsia" w:cs="Times New Roman"/>
                <w:b w:val="0"/>
                <w:bCs/>
                <w:i w:val="0"/>
                <w:color w:val="auto"/>
                <w:sz w:val="21"/>
                <w:szCs w:val="21"/>
                <w:highlight w:val="none"/>
                <w:u w:val="none" w:color="auto"/>
                <w:lang w:val="en-US" w:eastAsia="zh-CN"/>
              </w:rPr>
              <w:t>成型机二次封闭+</w:t>
            </w:r>
            <w:r>
              <w:rPr>
                <w:rFonts w:hint="eastAsia" w:ascii="Times New Roman" w:hAnsi="Times New Roman" w:eastAsia="宋体" w:cs="Times New Roman"/>
                <w:b w:val="0"/>
                <w:bCs/>
                <w:i w:val="0"/>
                <w:color w:val="auto"/>
                <w:sz w:val="21"/>
                <w:szCs w:val="21"/>
                <w:highlight w:val="none"/>
                <w:u w:val="none" w:color="auto"/>
                <w:lang w:val="en-US" w:eastAsia="zh-CN"/>
              </w:rPr>
              <w:t>集气罩；危废间上方加装集气风管+两级活性炭吸附+15m</w:t>
            </w:r>
          </w:p>
          <w:p w14:paraId="076AA9F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highlight w:val="none"/>
                <w:u w:val="none" w:color="auto"/>
                <w:lang w:val="en-US" w:eastAsia="zh-CN"/>
              </w:rPr>
              <w:t>高排气筒DA001</w:t>
            </w:r>
          </w:p>
        </w:tc>
        <w:tc>
          <w:tcPr>
            <w:tcW w:w="315" w:type="pct"/>
            <w:noWrap w:val="0"/>
            <w:vAlign w:val="center"/>
          </w:tcPr>
          <w:p w14:paraId="3238257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80</w:t>
            </w:r>
          </w:p>
        </w:tc>
        <w:tc>
          <w:tcPr>
            <w:tcW w:w="269" w:type="pct"/>
            <w:noWrap w:val="0"/>
            <w:vAlign w:val="center"/>
          </w:tcPr>
          <w:p w14:paraId="5DDC9C0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2400</w:t>
            </w:r>
          </w:p>
        </w:tc>
        <w:tc>
          <w:tcPr>
            <w:tcW w:w="297" w:type="pct"/>
            <w:noWrap w:val="0"/>
            <w:vAlign w:val="center"/>
          </w:tcPr>
          <w:p w14:paraId="104FC23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7.50</w:t>
            </w:r>
          </w:p>
        </w:tc>
        <w:tc>
          <w:tcPr>
            <w:tcW w:w="292" w:type="pct"/>
            <w:noWrap w:val="0"/>
            <w:vAlign w:val="center"/>
          </w:tcPr>
          <w:p w14:paraId="306F6EA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0.0534</w:t>
            </w:r>
          </w:p>
        </w:tc>
        <w:tc>
          <w:tcPr>
            <w:tcW w:w="317" w:type="pct"/>
            <w:noWrap w:val="0"/>
            <w:vAlign w:val="center"/>
          </w:tcPr>
          <w:p w14:paraId="54D79A4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0.1281</w:t>
            </w:r>
          </w:p>
        </w:tc>
        <w:tc>
          <w:tcPr>
            <w:tcW w:w="390" w:type="pct"/>
            <w:noWrap w:val="0"/>
            <w:vAlign w:val="center"/>
          </w:tcPr>
          <w:p w14:paraId="1A9A821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20</w:t>
            </w:r>
          </w:p>
        </w:tc>
      </w:tr>
      <w:tr w14:paraId="4203C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46" w:hRule="atLeast"/>
          <w:jc w:val="center"/>
        </w:trPr>
        <w:tc>
          <w:tcPr>
            <w:tcW w:w="273" w:type="pct"/>
            <w:vMerge w:val="restart"/>
            <w:noWrap w:val="0"/>
            <w:vAlign w:val="center"/>
          </w:tcPr>
          <w:p w14:paraId="11785F3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无组织排放废气</w:t>
            </w:r>
          </w:p>
        </w:tc>
        <w:tc>
          <w:tcPr>
            <w:tcW w:w="475" w:type="pct"/>
            <w:vMerge w:val="restart"/>
            <w:noWrap w:val="0"/>
            <w:vAlign w:val="center"/>
          </w:tcPr>
          <w:p w14:paraId="047AD45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集气系统未收集</w:t>
            </w:r>
            <w:r>
              <w:rPr>
                <w:rFonts w:hint="eastAsia" w:ascii="Times New Roman" w:hAnsi="Times New Roman" w:eastAsia="宋体" w:cs="Times New Roman"/>
                <w:b w:val="0"/>
                <w:bCs/>
                <w:i w:val="0"/>
                <w:color w:val="auto"/>
                <w:kern w:val="0"/>
                <w:sz w:val="21"/>
                <w:szCs w:val="21"/>
                <w:u w:val="none" w:color="auto"/>
                <w:lang w:val="en-US" w:eastAsia="zh-CN" w:bidi="ar-SA"/>
              </w:rPr>
              <w:t>废气</w:t>
            </w:r>
          </w:p>
        </w:tc>
        <w:tc>
          <w:tcPr>
            <w:tcW w:w="298" w:type="pct"/>
            <w:vMerge w:val="restart"/>
            <w:noWrap w:val="0"/>
            <w:vAlign w:val="center"/>
          </w:tcPr>
          <w:p w14:paraId="21FB0C52">
            <w:pPr>
              <w:keepNext w:val="0"/>
              <w:keepLines w:val="0"/>
              <w:widowControl/>
              <w:suppressLineNumbers w:val="0"/>
              <w:jc w:val="both"/>
              <w:textAlignment w:val="center"/>
              <w:rPr>
                <w:rFonts w:hint="default" w:ascii="Times New Roman" w:hAnsi="Times New Roman" w:eastAsia="宋体" w:cs="Times New Roman"/>
                <w:b w:val="0"/>
                <w:bCs/>
                <w:i w:val="0"/>
                <w:color w:val="auto"/>
                <w:kern w:val="0"/>
                <w:sz w:val="21"/>
                <w:szCs w:val="21"/>
                <w:u w:val="none" w:color="auto"/>
                <w:lang w:val="en-US" w:eastAsia="zh-CN" w:bidi="ar-SA"/>
              </w:rPr>
            </w:pP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331" w:type="pct"/>
            <w:noWrap w:val="0"/>
            <w:vAlign w:val="center"/>
          </w:tcPr>
          <w:p w14:paraId="176B03A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非甲烷</w:t>
            </w:r>
          </w:p>
          <w:p w14:paraId="0ACCA00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2"/>
                <w:sz w:val="21"/>
                <w:szCs w:val="21"/>
                <w:u w:val="none" w:color="auto"/>
                <w:lang w:val="en-US" w:eastAsia="zh-CN" w:bidi="ar-SA"/>
              </w:rPr>
            </w:pPr>
            <w:r>
              <w:rPr>
                <w:rFonts w:hint="eastAsia" w:ascii="Times New Roman" w:hAnsi="Times New Roman" w:eastAsia="宋体" w:cs="Times New Roman"/>
                <w:b w:val="0"/>
                <w:bCs/>
                <w:i w:val="0"/>
                <w:color w:val="auto"/>
                <w:sz w:val="21"/>
                <w:szCs w:val="21"/>
                <w:u w:val="none" w:color="auto"/>
                <w:lang w:val="en-US" w:eastAsia="zh-CN"/>
              </w:rPr>
              <w:t>总烃</w:t>
            </w:r>
          </w:p>
        </w:tc>
        <w:tc>
          <w:tcPr>
            <w:tcW w:w="290" w:type="pct"/>
            <w:vMerge w:val="restart"/>
            <w:noWrap w:val="0"/>
            <w:vAlign w:val="center"/>
          </w:tcPr>
          <w:p w14:paraId="276A21A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kern w:val="2"/>
                <w:sz w:val="21"/>
                <w:szCs w:val="21"/>
                <w:u w:val="none" w:color="auto"/>
                <w:lang w:val="en-US" w:eastAsia="zh-CN" w:bidi="ar-SA"/>
              </w:rPr>
            </w:pPr>
            <w:r>
              <w:rPr>
                <w:rFonts w:hint="eastAsia" w:ascii="Times New Roman" w:hAnsi="Times New Roman" w:eastAsia="宋体" w:cs="Times New Roman"/>
                <w:b w:val="0"/>
                <w:bCs/>
                <w:i w:val="0"/>
                <w:color w:val="auto"/>
                <w:kern w:val="2"/>
                <w:sz w:val="21"/>
                <w:szCs w:val="21"/>
                <w:u w:val="none" w:color="auto"/>
                <w:lang w:val="en-US" w:eastAsia="zh-CN" w:bidi="ar-SA"/>
              </w:rPr>
              <w:t>/</w:t>
            </w:r>
          </w:p>
        </w:tc>
        <w:tc>
          <w:tcPr>
            <w:tcW w:w="300" w:type="pct"/>
            <w:vMerge w:val="restart"/>
            <w:noWrap w:val="0"/>
            <w:vAlign w:val="center"/>
          </w:tcPr>
          <w:p w14:paraId="4F59380B">
            <w:pPr>
              <w:keepNext w:val="0"/>
              <w:keepLines w:val="0"/>
              <w:widowControl/>
              <w:suppressLineNumbers w:val="0"/>
              <w:jc w:val="both"/>
              <w:textAlignment w:val="center"/>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269" w:type="pct"/>
            <w:noWrap w:val="0"/>
            <w:vAlign w:val="center"/>
          </w:tcPr>
          <w:p w14:paraId="3C3ADCD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0.0285</w:t>
            </w:r>
          </w:p>
        </w:tc>
        <w:tc>
          <w:tcPr>
            <w:tcW w:w="876" w:type="pct"/>
            <w:gridSpan w:val="2"/>
            <w:vMerge w:val="restart"/>
            <w:noWrap w:val="0"/>
            <w:vAlign w:val="center"/>
          </w:tcPr>
          <w:p w14:paraId="330985A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default" w:ascii="Times New Roman" w:hAnsi="Times New Roman" w:eastAsia="宋体" w:cs="Times New Roman"/>
                <w:b w:val="0"/>
                <w:bCs/>
                <w:i w:val="0"/>
                <w:color w:val="auto"/>
                <w:sz w:val="21"/>
                <w:szCs w:val="21"/>
                <w:u w:val="none" w:color="auto"/>
                <w:lang w:val="en-US" w:eastAsia="zh-CN"/>
              </w:rPr>
              <w:t>加强废气处理设施</w:t>
            </w:r>
            <w:r>
              <w:rPr>
                <w:rFonts w:hint="eastAsia" w:ascii="Times New Roman" w:hAnsi="Times New Roman" w:eastAsia="宋体" w:cs="Times New Roman"/>
                <w:b w:val="0"/>
                <w:bCs/>
                <w:i w:val="0"/>
                <w:color w:val="auto"/>
                <w:sz w:val="21"/>
                <w:szCs w:val="21"/>
                <w:u w:val="none" w:color="auto"/>
                <w:lang w:val="en-US" w:eastAsia="zh-CN"/>
              </w:rPr>
              <w:t>和生产设备</w:t>
            </w:r>
            <w:r>
              <w:rPr>
                <w:rFonts w:hint="default" w:ascii="Times New Roman" w:hAnsi="Times New Roman" w:eastAsia="宋体" w:cs="Times New Roman"/>
                <w:b w:val="0"/>
                <w:bCs/>
                <w:i w:val="0"/>
                <w:color w:val="auto"/>
                <w:sz w:val="21"/>
                <w:szCs w:val="21"/>
                <w:u w:val="none" w:color="auto"/>
                <w:lang w:val="en-US" w:eastAsia="zh-CN"/>
              </w:rPr>
              <w:t>的</w:t>
            </w:r>
            <w:r>
              <w:rPr>
                <w:rFonts w:hint="eastAsia" w:ascii="Times New Roman" w:hAnsi="Times New Roman" w:eastAsia="宋体" w:cs="Times New Roman"/>
                <w:b w:val="0"/>
                <w:bCs/>
                <w:i w:val="0"/>
                <w:color w:val="auto"/>
                <w:sz w:val="21"/>
                <w:szCs w:val="21"/>
                <w:u w:val="none" w:color="auto"/>
                <w:lang w:val="en-US" w:eastAsia="zh-CN"/>
              </w:rPr>
              <w:t>检查和</w:t>
            </w:r>
            <w:r>
              <w:rPr>
                <w:rFonts w:hint="default" w:ascii="Times New Roman" w:hAnsi="Times New Roman" w:eastAsia="宋体" w:cs="Times New Roman"/>
                <w:b w:val="0"/>
                <w:bCs/>
                <w:i w:val="0"/>
                <w:color w:val="auto"/>
                <w:sz w:val="21"/>
                <w:szCs w:val="21"/>
                <w:u w:val="none" w:color="auto"/>
                <w:lang w:val="en-US" w:eastAsia="zh-CN"/>
              </w:rPr>
              <w:t>维护，提高集气效率；</w:t>
            </w:r>
            <w:r>
              <w:rPr>
                <w:rFonts w:hint="eastAsia" w:ascii="Times New Roman" w:hAnsi="Times New Roman" w:eastAsia="宋体" w:cs="Times New Roman"/>
                <w:b w:val="0"/>
                <w:bCs/>
                <w:i w:val="0"/>
                <w:color w:val="auto"/>
                <w:sz w:val="21"/>
                <w:szCs w:val="21"/>
                <w:u w:val="none" w:color="auto"/>
                <w:lang w:val="en-US" w:eastAsia="zh-CN"/>
              </w:rPr>
              <w:t>加强车间密闭，</w:t>
            </w:r>
            <w:r>
              <w:rPr>
                <w:rFonts w:hint="default" w:ascii="Times New Roman" w:hAnsi="Times New Roman" w:eastAsia="宋体" w:cs="Times New Roman"/>
                <w:b w:val="0"/>
                <w:bCs/>
                <w:i w:val="0"/>
                <w:color w:val="auto"/>
                <w:sz w:val="21"/>
                <w:szCs w:val="21"/>
                <w:u w:val="none" w:color="auto"/>
                <w:lang w:val="en-US" w:eastAsia="zh-CN"/>
              </w:rPr>
              <w:t>安装视频监控，设置台账记录</w:t>
            </w:r>
          </w:p>
        </w:tc>
        <w:tc>
          <w:tcPr>
            <w:tcW w:w="315" w:type="pct"/>
            <w:vMerge w:val="restart"/>
            <w:noWrap w:val="0"/>
            <w:vAlign w:val="center"/>
          </w:tcPr>
          <w:p w14:paraId="1505DA2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269" w:type="pct"/>
            <w:vMerge w:val="restart"/>
            <w:noWrap w:val="0"/>
            <w:vAlign w:val="center"/>
          </w:tcPr>
          <w:p w14:paraId="3CFE6DC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rPr>
            </w:pP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297" w:type="pct"/>
            <w:vMerge w:val="restart"/>
            <w:noWrap w:val="0"/>
            <w:vAlign w:val="center"/>
          </w:tcPr>
          <w:p w14:paraId="55746716">
            <w:pPr>
              <w:keepNext w:val="0"/>
              <w:keepLines w:val="0"/>
              <w:widowControl/>
              <w:suppressLineNumbers w:val="0"/>
              <w:jc w:val="both"/>
              <w:textAlignment w:val="center"/>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292" w:type="pct"/>
            <w:vMerge w:val="restart"/>
            <w:noWrap w:val="0"/>
            <w:vAlign w:val="center"/>
          </w:tcPr>
          <w:p w14:paraId="34A5CEEE">
            <w:pPr>
              <w:keepNext w:val="0"/>
              <w:keepLines w:val="0"/>
              <w:widowControl/>
              <w:suppressLineNumbers w:val="0"/>
              <w:jc w:val="both"/>
              <w:textAlignment w:val="center"/>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317" w:type="pct"/>
            <w:noWrap w:val="0"/>
            <w:vAlign w:val="center"/>
          </w:tcPr>
          <w:p w14:paraId="6658CCA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0000FF"/>
                <w:kern w:val="2"/>
                <w:sz w:val="21"/>
                <w:szCs w:val="21"/>
                <w:u w:val="none" w:color="auto"/>
                <w:lang w:val="en-US" w:eastAsia="zh-CN" w:bidi="ar-SA"/>
              </w:rPr>
            </w:pPr>
            <w:r>
              <w:rPr>
                <w:rFonts w:hint="eastAsia" w:ascii="Times New Roman" w:hAnsi="Times New Roman" w:eastAsia="宋体" w:cs="Times New Roman"/>
                <w:b w:val="0"/>
                <w:bCs/>
                <w:i w:val="0"/>
                <w:color w:val="auto"/>
                <w:sz w:val="21"/>
                <w:szCs w:val="21"/>
                <w:u w:val="none" w:color="auto"/>
                <w:lang w:val="en-US" w:eastAsia="zh-CN"/>
              </w:rPr>
              <w:t>0.0285</w:t>
            </w:r>
          </w:p>
        </w:tc>
        <w:tc>
          <w:tcPr>
            <w:tcW w:w="390" w:type="pct"/>
            <w:noWrap w:val="0"/>
            <w:vAlign w:val="center"/>
          </w:tcPr>
          <w:p w14:paraId="1B8FB96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2.0</w:t>
            </w:r>
          </w:p>
        </w:tc>
      </w:tr>
      <w:tr w14:paraId="7E848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2" w:hRule="atLeast"/>
          <w:jc w:val="center"/>
        </w:trPr>
        <w:tc>
          <w:tcPr>
            <w:tcW w:w="273" w:type="pct"/>
            <w:vMerge w:val="continue"/>
            <w:noWrap w:val="0"/>
            <w:vAlign w:val="center"/>
          </w:tcPr>
          <w:p w14:paraId="6420694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475" w:type="pct"/>
            <w:vMerge w:val="continue"/>
            <w:noWrap w:val="0"/>
            <w:vAlign w:val="center"/>
          </w:tcPr>
          <w:p w14:paraId="574B085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298" w:type="pct"/>
            <w:vMerge w:val="continue"/>
            <w:noWrap w:val="0"/>
            <w:vAlign w:val="center"/>
          </w:tcPr>
          <w:p w14:paraId="70D208B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331" w:type="pct"/>
            <w:noWrap w:val="0"/>
            <w:vAlign w:val="center"/>
          </w:tcPr>
          <w:p w14:paraId="5CBA17A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eastAsia="宋体"/>
                <w:sz w:val="21"/>
                <w:szCs w:val="21"/>
                <w:lang w:eastAsia="zh-CN"/>
              </w:rPr>
            </w:pPr>
            <w:r>
              <w:rPr>
                <w:rFonts w:hint="eastAsia"/>
                <w:sz w:val="21"/>
                <w:szCs w:val="21"/>
                <w:lang w:eastAsia="zh-CN"/>
              </w:rPr>
              <w:t>苯乙烯</w:t>
            </w:r>
          </w:p>
        </w:tc>
        <w:tc>
          <w:tcPr>
            <w:tcW w:w="290" w:type="pct"/>
            <w:vMerge w:val="continue"/>
            <w:noWrap w:val="0"/>
            <w:vAlign w:val="center"/>
          </w:tcPr>
          <w:p w14:paraId="5AC1D0E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00" w:type="pct"/>
            <w:vMerge w:val="continue"/>
            <w:noWrap w:val="0"/>
            <w:vAlign w:val="center"/>
          </w:tcPr>
          <w:p w14:paraId="793B59C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69" w:type="pct"/>
            <w:noWrap w:val="0"/>
            <w:vAlign w:val="center"/>
          </w:tcPr>
          <w:p w14:paraId="5D0741C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eastAsia="宋体"/>
                <w:sz w:val="21"/>
                <w:szCs w:val="21"/>
                <w:lang w:val="en-US" w:eastAsia="zh-CN"/>
              </w:rPr>
            </w:pPr>
            <w:r>
              <w:rPr>
                <w:rFonts w:hint="eastAsia"/>
                <w:sz w:val="21"/>
                <w:szCs w:val="21"/>
                <w:lang w:val="en-US" w:eastAsia="zh-CN"/>
              </w:rPr>
              <w:t>0.005</w:t>
            </w:r>
          </w:p>
        </w:tc>
        <w:tc>
          <w:tcPr>
            <w:tcW w:w="876" w:type="pct"/>
            <w:gridSpan w:val="2"/>
            <w:vMerge w:val="continue"/>
            <w:noWrap w:val="0"/>
            <w:vAlign w:val="center"/>
          </w:tcPr>
          <w:p w14:paraId="537063F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15" w:type="pct"/>
            <w:vMerge w:val="continue"/>
            <w:noWrap w:val="0"/>
            <w:vAlign w:val="center"/>
          </w:tcPr>
          <w:p w14:paraId="6A39A0B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69" w:type="pct"/>
            <w:vMerge w:val="continue"/>
            <w:noWrap w:val="0"/>
            <w:vAlign w:val="center"/>
          </w:tcPr>
          <w:p w14:paraId="42BBB28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97" w:type="pct"/>
            <w:vMerge w:val="continue"/>
            <w:noWrap w:val="0"/>
            <w:vAlign w:val="center"/>
          </w:tcPr>
          <w:p w14:paraId="3EFA038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92" w:type="pct"/>
            <w:vMerge w:val="continue"/>
            <w:noWrap w:val="0"/>
            <w:vAlign w:val="center"/>
          </w:tcPr>
          <w:p w14:paraId="78551AD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17" w:type="pct"/>
            <w:noWrap w:val="0"/>
            <w:vAlign w:val="center"/>
          </w:tcPr>
          <w:p w14:paraId="1C302FB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eastAsia="宋体"/>
                <w:sz w:val="21"/>
                <w:szCs w:val="21"/>
                <w:lang w:val="en-US" w:eastAsia="zh-CN"/>
              </w:rPr>
            </w:pPr>
            <w:r>
              <w:rPr>
                <w:rFonts w:hint="eastAsia"/>
                <w:sz w:val="21"/>
                <w:szCs w:val="21"/>
                <w:lang w:val="en-US" w:eastAsia="zh-CN"/>
              </w:rPr>
              <w:t>0.005</w:t>
            </w:r>
          </w:p>
        </w:tc>
        <w:tc>
          <w:tcPr>
            <w:tcW w:w="390" w:type="pct"/>
            <w:noWrap w:val="0"/>
            <w:vAlign w:val="center"/>
          </w:tcPr>
          <w:p w14:paraId="4B48578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5.0</w:t>
            </w:r>
          </w:p>
        </w:tc>
      </w:tr>
    </w:tbl>
    <w:p w14:paraId="687875EF">
      <w:pPr>
        <w:pStyle w:val="2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
          <w:sz w:val="21"/>
          <w:szCs w:val="21"/>
          <w:highlight w:val="none"/>
          <w:lang w:eastAsia="zh-CN"/>
        </w:rPr>
      </w:pPr>
    </w:p>
    <w:p w14:paraId="7DF7641F">
      <w:pPr>
        <w:keepNext w:val="0"/>
        <w:keepLines w:val="0"/>
        <w:pageBreakBefore w:val="0"/>
        <w:kinsoku/>
        <w:overflowPunct/>
        <w:autoSpaceDE/>
        <w:autoSpaceDN/>
        <w:bidi w:val="0"/>
        <w:adjustRightInd w:val="0"/>
        <w:snapToGrid w:val="0"/>
        <w:spacing w:line="360" w:lineRule="auto"/>
        <w:ind w:firstLine="0" w:firstLineChars="0"/>
        <w:jc w:val="left"/>
        <w:textAlignment w:val="auto"/>
        <w:rPr>
          <w:rFonts w:hint="default" w:ascii="Times New Roman" w:hAnsi="Times New Roman" w:cs="Times New Roman"/>
          <w:b/>
          <w:kern w:val="0"/>
          <w:sz w:val="28"/>
          <w:szCs w:val="28"/>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15"/>
        <w:tblW w:w="959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5"/>
        <w:gridCol w:w="9031"/>
      </w:tblGrid>
      <w:tr w14:paraId="052EB4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25" w:hRule="atLeast"/>
          <w:jc w:val="center"/>
        </w:trPr>
        <w:tc>
          <w:tcPr>
            <w:tcW w:w="565" w:type="dxa"/>
            <w:noWrap w:val="0"/>
            <w:tcMar>
              <w:left w:w="28" w:type="dxa"/>
              <w:right w:w="28" w:type="dxa"/>
            </w:tcMar>
            <w:vAlign w:val="center"/>
          </w:tcPr>
          <w:p w14:paraId="73A82E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运营期环境影响和保护措施</w:t>
            </w:r>
          </w:p>
        </w:tc>
        <w:tc>
          <w:tcPr>
            <w:tcW w:w="9031" w:type="dxa"/>
            <w:noWrap w:val="0"/>
            <w:vAlign w:val="center"/>
          </w:tcPr>
          <w:p w14:paraId="4530BA97">
            <w:pPr>
              <w:keepNext w:val="0"/>
              <w:keepLines w:val="0"/>
              <w:pageBreakBefore w:val="0"/>
              <w:widowControl w:val="0"/>
              <w:kinsoku/>
              <w:wordWrap/>
              <w:overflowPunct/>
              <w:topLinePunct w:val="0"/>
              <w:autoSpaceDE/>
              <w:autoSpaceDN/>
              <w:bidi w:val="0"/>
              <w:adjustRightInd w:val="0"/>
              <w:snapToGrid w:val="0"/>
              <w:spacing w:line="520" w:lineRule="atLeast"/>
              <w:ind w:firstLine="480"/>
              <w:textAlignment w:val="auto"/>
              <w:rPr>
                <w:rFonts w:hint="default" w:ascii="Times New Roman" w:hAnsi="Times New Roman" w:eastAsia="宋体" w:cs="Times New Roman"/>
                <w:b/>
                <w:bCs/>
                <w:highlight w:val="none"/>
                <w:lang w:eastAsia="zh-CN"/>
              </w:rPr>
            </w:pPr>
            <w:r>
              <w:rPr>
                <w:rFonts w:hint="default" w:ascii="Times New Roman" w:hAnsi="Times New Roman" w:cs="Times New Roman"/>
                <w:b/>
                <w:bCs/>
                <w:highlight w:val="none"/>
                <w:lang w:val="en-US" w:eastAsia="zh-CN"/>
              </w:rPr>
              <w:t>1.3</w:t>
            </w:r>
            <w:r>
              <w:rPr>
                <w:rFonts w:hint="default" w:ascii="Times New Roman" w:hAnsi="Times New Roman" w:cs="Times New Roman"/>
                <w:b/>
                <w:bCs/>
                <w:highlight w:val="none"/>
                <w:lang w:eastAsia="zh-CN"/>
              </w:rPr>
              <w:t>废气</w:t>
            </w:r>
            <w:r>
              <w:rPr>
                <w:rFonts w:hint="default" w:ascii="Times New Roman" w:hAnsi="Times New Roman" w:cs="Times New Roman"/>
                <w:b/>
                <w:bCs/>
                <w:highlight w:val="none"/>
              </w:rPr>
              <w:t>治理措施可行性分析</w:t>
            </w:r>
            <w:r>
              <w:rPr>
                <w:rFonts w:hint="default" w:ascii="Times New Roman" w:hAnsi="Times New Roman" w:cs="Times New Roman"/>
                <w:b/>
                <w:bCs/>
                <w:highlight w:val="none"/>
                <w:lang w:eastAsia="zh-CN"/>
              </w:rPr>
              <w:t>：</w:t>
            </w:r>
          </w:p>
          <w:p w14:paraId="0D05FBC5">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sz w:val="24"/>
                <w:highlight w:val="none"/>
                <w:lang w:val="en-US" w:eastAsia="zh-CN" w:bidi="ar-SA"/>
              </w:rPr>
            </w:pPr>
            <w:r>
              <w:rPr>
                <w:rFonts w:hint="eastAsia" w:ascii="Times New Roman" w:hAnsi="Times New Roman" w:eastAsia="宋体" w:cs="Times New Roman"/>
                <w:color w:val="auto"/>
                <w:sz w:val="24"/>
                <w:szCs w:val="24"/>
                <w:highlight w:val="none"/>
                <w:lang w:val="en-US" w:eastAsia="zh-CN" w:bidi="ar-SA"/>
              </w:rPr>
              <w:t>活性炭是通过</w:t>
            </w:r>
            <w:r>
              <w:rPr>
                <w:rFonts w:hint="default" w:ascii="Times New Roman" w:hAnsi="Times New Roman" w:eastAsia="宋体" w:cs="Times New Roman"/>
                <w:color w:val="auto"/>
                <w:sz w:val="24"/>
                <w:szCs w:val="24"/>
                <w:highlight w:val="none"/>
                <w:lang w:val="en-US" w:eastAsia="zh-CN" w:bidi="ar-SA"/>
              </w:rPr>
              <w:t>多孔性</w:t>
            </w:r>
            <w:r>
              <w:rPr>
                <w:rFonts w:hint="eastAsia" w:ascii="Times New Roman" w:hAnsi="Times New Roman" w:eastAsia="宋体" w:cs="Times New Roman"/>
                <w:color w:val="auto"/>
                <w:sz w:val="24"/>
                <w:szCs w:val="24"/>
                <w:highlight w:val="none"/>
                <w:lang w:val="en-US" w:eastAsia="zh-CN" w:bidi="ar-SA"/>
              </w:rPr>
              <w:t>的特点去吸附废气，</w:t>
            </w:r>
            <w:r>
              <w:rPr>
                <w:rFonts w:hint="default" w:ascii="Times New Roman" w:hAnsi="Times New Roman" w:eastAsia="宋体" w:cs="Times New Roman"/>
                <w:color w:val="auto"/>
                <w:sz w:val="24"/>
                <w:szCs w:val="24"/>
                <w:highlight w:val="none"/>
                <w:lang w:val="en-US" w:eastAsia="zh-CN" w:bidi="ar-SA"/>
              </w:rPr>
              <w:t>能有效的去除工业废气中的有机类污染物质和色味等，广泛应用于工业有机废气净化的末端处理，净化效果良好。两级活性炭吸附主要包括两套活性炭吸附装置串联，有机废气进入“活性炭吸附装置”，在活性炭多微孔及巨大的表张力等作用下，将废气中的非甲烷总烃吸附，从而达到废气的净化，该套处理装置目前在塑料制品行业废气处理中应用较为广泛。两级活性炭串联对有机废气的去除率可达到</w:t>
            </w:r>
            <w:r>
              <w:rPr>
                <w:rFonts w:hint="default" w:ascii="Times New Roman" w:hAnsi="Times New Roman" w:eastAsia="黑体" w:cs="Times New Roman"/>
                <w:color w:val="auto"/>
                <w:sz w:val="24"/>
                <w:szCs w:val="24"/>
                <w:highlight w:val="none"/>
                <w:lang w:val="en-US" w:eastAsia="zh-CN" w:bidi="ar-SA"/>
              </w:rPr>
              <w:t>80%</w:t>
            </w:r>
            <w:r>
              <w:rPr>
                <w:rFonts w:hint="default" w:ascii="Times New Roman" w:hAnsi="Times New Roman" w:eastAsia="宋体" w:cs="Times New Roman"/>
                <w:color w:val="auto"/>
                <w:sz w:val="24"/>
                <w:szCs w:val="24"/>
                <w:highlight w:val="none"/>
                <w:lang w:val="en-US" w:eastAsia="zh-CN" w:bidi="ar-SA"/>
              </w:rPr>
              <w:t>以上。</w:t>
            </w:r>
            <w:r>
              <w:rPr>
                <w:rFonts w:hint="default" w:ascii="Times New Roman" w:hAnsi="Times New Roman" w:cs="Times New Roman"/>
                <w:sz w:val="24"/>
                <w:highlight w:val="none"/>
                <w:lang w:val="en-US" w:eastAsia="zh-CN" w:bidi="ar-SA"/>
              </w:rPr>
              <w:t>综上，从工作原理、适用范围、主要特点来分析，均满足本项目要求，因此该措施可行。</w:t>
            </w:r>
          </w:p>
          <w:p w14:paraId="7FA91B25">
            <w:pPr>
              <w:keepNext w:val="0"/>
              <w:keepLines w:val="0"/>
              <w:pageBreakBefore w:val="0"/>
              <w:widowControl w:val="0"/>
              <w:kinsoku/>
              <w:wordWrap/>
              <w:overflowPunct/>
              <w:topLinePunct w:val="0"/>
              <w:autoSpaceDE/>
              <w:autoSpaceDN/>
              <w:bidi w:val="0"/>
              <w:spacing w:line="520" w:lineRule="atLeast"/>
              <w:ind w:firstLine="482"/>
              <w:textAlignment w:val="auto"/>
              <w:rPr>
                <w:rFonts w:hint="default" w:ascii="Times New Roman" w:hAnsi="Times New Roman" w:cs="Times New Roman"/>
                <w:b/>
              </w:rPr>
            </w:pPr>
            <w:r>
              <w:rPr>
                <w:rFonts w:hint="default" w:ascii="Times New Roman" w:hAnsi="Times New Roman" w:cs="Times New Roman"/>
                <w:b/>
              </w:rPr>
              <w:t>1.</w:t>
            </w:r>
            <w:r>
              <w:rPr>
                <w:rFonts w:hint="default" w:ascii="Times New Roman" w:hAnsi="Times New Roman" w:cs="Times New Roman"/>
                <w:b/>
                <w:lang w:val="en-US" w:eastAsia="zh-CN"/>
              </w:rPr>
              <w:t>4</w:t>
            </w:r>
            <w:r>
              <w:rPr>
                <w:rFonts w:hint="default" w:ascii="Times New Roman" w:hAnsi="Times New Roman" w:cs="Times New Roman"/>
                <w:b/>
              </w:rPr>
              <w:t>污染源清单</w:t>
            </w:r>
          </w:p>
          <w:p w14:paraId="4D364646">
            <w:pPr>
              <w:keepNext w:val="0"/>
              <w:keepLines w:val="0"/>
              <w:pageBreakBefore w:val="0"/>
              <w:widowControl w:val="0"/>
              <w:kinsoku/>
              <w:wordWrap/>
              <w:overflowPunct/>
              <w:topLinePunct w:val="0"/>
              <w:autoSpaceDE/>
              <w:autoSpaceDN/>
              <w:bidi w:val="0"/>
              <w:spacing w:line="520" w:lineRule="atLeast"/>
              <w:ind w:firstLine="480"/>
              <w:textAlignment w:val="auto"/>
              <w:rPr>
                <w:rFonts w:hint="default" w:ascii="Times New Roman" w:hAnsi="Times New Roman" w:cs="Times New Roman"/>
              </w:rPr>
            </w:pPr>
            <w:r>
              <w:rPr>
                <w:rFonts w:hint="default" w:ascii="Times New Roman" w:hAnsi="Times New Roman" w:cs="Times New Roman"/>
              </w:rPr>
              <w:t>项目有组织和无组织主要污染源参数见下表。</w:t>
            </w:r>
          </w:p>
          <w:p w14:paraId="13ADE347">
            <w:pPr>
              <w:pStyle w:val="30"/>
              <w:keepNext w:val="0"/>
              <w:keepLines w:val="0"/>
              <w:pageBreakBefore w:val="0"/>
              <w:widowControl w:val="0"/>
              <w:kinsoku/>
              <w:wordWrap/>
              <w:overflowPunct/>
              <w:topLinePunct w:val="0"/>
              <w:autoSpaceDE/>
              <w:autoSpaceDN/>
              <w:bidi w:val="0"/>
              <w:adjustRightInd/>
              <w:snapToGrid/>
              <w:spacing w:before="0" w:beforeLines="0" w:line="520" w:lineRule="atLeast"/>
              <w:ind w:firstLine="0" w:firstLineChars="0"/>
              <w:textAlignment w:val="auto"/>
              <w:rPr>
                <w:rFonts w:hint="default" w:ascii="Times New Roman" w:hAnsi="Times New Roman" w:eastAsia="宋体" w:cs="Times New Roman"/>
                <w:b/>
                <w:bCs/>
                <w:highlight w:val="none"/>
              </w:rPr>
            </w:pPr>
            <w:r>
              <w:rPr>
                <w:rFonts w:hint="default" w:ascii="Times New Roman" w:hAnsi="Times New Roman" w:eastAsia="宋体" w:cs="Times New Roman"/>
                <w:b/>
                <w:bCs/>
                <w:highlight w:val="none"/>
              </w:rPr>
              <w:t>表4-</w:t>
            </w:r>
            <w:r>
              <w:rPr>
                <w:rFonts w:hint="eastAsia" w:eastAsia="宋体" w:cs="Times New Roman"/>
                <w:b/>
                <w:bCs/>
                <w:highlight w:val="none"/>
                <w:lang w:val="en-US" w:eastAsia="zh-CN"/>
              </w:rPr>
              <w:t>2</w:t>
            </w:r>
            <w:r>
              <w:rPr>
                <w:rFonts w:hint="default" w:ascii="Times New Roman" w:hAnsi="Times New Roman" w:eastAsia="宋体" w:cs="Times New Roman"/>
                <w:b/>
                <w:bCs/>
                <w:highlight w:val="none"/>
              </w:rPr>
              <w:t xml:space="preserve">  点源估算模式参数表</w:t>
            </w:r>
          </w:p>
          <w:tbl>
            <w:tblPr>
              <w:tblStyle w:val="15"/>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2"/>
              <w:gridCol w:w="1425"/>
              <w:gridCol w:w="1277"/>
              <w:gridCol w:w="852"/>
              <w:gridCol w:w="578"/>
              <w:gridCol w:w="715"/>
              <w:gridCol w:w="715"/>
              <w:gridCol w:w="729"/>
              <w:gridCol w:w="835"/>
              <w:gridCol w:w="942"/>
            </w:tblGrid>
            <w:tr w14:paraId="087F4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jc w:val="center"/>
              </w:trPr>
              <w:tc>
                <w:tcPr>
                  <w:tcW w:w="415" w:type="pct"/>
                  <w:vMerge w:val="restart"/>
                  <w:tcBorders>
                    <w:top w:val="single" w:color="000000" w:sz="4" w:space="0"/>
                    <w:left w:val="single" w:color="000000" w:sz="4" w:space="0"/>
                    <w:bottom w:val="single" w:color="000000" w:sz="4" w:space="0"/>
                    <w:right w:val="single" w:color="000000" w:sz="4" w:space="0"/>
                  </w:tcBorders>
                  <w:noWrap w:val="0"/>
                  <w:vAlign w:val="center"/>
                </w:tcPr>
                <w:p w14:paraId="7832B2D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rPr>
                  </w:pPr>
                  <w:r>
                    <w:rPr>
                      <w:rFonts w:hint="default" w:ascii="Times New Roman" w:hAnsi="Times New Roman" w:eastAsia="宋体" w:cs="Times New Roman"/>
                      <w:b w:val="0"/>
                      <w:bCs w:val="0"/>
                      <w:kern w:val="0"/>
                      <w:sz w:val="21"/>
                      <w:szCs w:val="18"/>
                    </w:rPr>
                    <w:t>排气筒编号</w:t>
                  </w:r>
                </w:p>
              </w:tc>
              <w:tc>
                <w:tcPr>
                  <w:tcW w:w="1535" w:type="pct"/>
                  <w:gridSpan w:val="2"/>
                  <w:tcBorders>
                    <w:top w:val="single" w:color="000000" w:sz="4" w:space="0"/>
                    <w:left w:val="single" w:color="000000" w:sz="4" w:space="0"/>
                    <w:bottom w:val="single" w:color="000000" w:sz="4" w:space="0"/>
                    <w:right w:val="single" w:color="000000" w:sz="4" w:space="0"/>
                  </w:tcBorders>
                  <w:noWrap w:val="0"/>
                  <w:vAlign w:val="center"/>
                </w:tcPr>
                <w:p w14:paraId="4A1644E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highlight w:val="none"/>
                      <w:lang w:val="zh-CN"/>
                    </w:rPr>
                  </w:pPr>
                  <w:r>
                    <w:rPr>
                      <w:rFonts w:hint="default" w:ascii="Times New Roman" w:hAnsi="Times New Roman" w:eastAsia="宋体" w:cs="Times New Roman"/>
                      <w:b w:val="0"/>
                      <w:bCs w:val="0"/>
                      <w:kern w:val="0"/>
                      <w:sz w:val="21"/>
                      <w:szCs w:val="18"/>
                      <w:highlight w:val="none"/>
                      <w:lang w:val="zh-CN"/>
                    </w:rPr>
                    <w:t>排气筒底部中心坐标/°</w:t>
                  </w:r>
                </w:p>
              </w:tc>
              <w:tc>
                <w:tcPr>
                  <w:tcW w:w="484" w:type="pct"/>
                  <w:vMerge w:val="restart"/>
                  <w:tcBorders>
                    <w:top w:val="single" w:color="000000" w:sz="4" w:space="0"/>
                    <w:left w:val="single" w:color="000000" w:sz="4" w:space="0"/>
                    <w:right w:val="single" w:color="000000" w:sz="4" w:space="0"/>
                  </w:tcBorders>
                  <w:noWrap w:val="0"/>
                  <w:vAlign w:val="center"/>
                </w:tcPr>
                <w:p w14:paraId="2C962D2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highlight w:val="none"/>
                      <w:lang w:val="zh-CN"/>
                    </w:rPr>
                  </w:pPr>
                  <w:r>
                    <w:rPr>
                      <w:rFonts w:hint="default" w:ascii="Times New Roman" w:hAnsi="Times New Roman" w:eastAsia="宋体" w:cs="Times New Roman"/>
                      <w:b w:val="0"/>
                      <w:bCs w:val="0"/>
                      <w:kern w:val="0"/>
                      <w:sz w:val="21"/>
                      <w:szCs w:val="18"/>
                      <w:highlight w:val="none"/>
                      <w:lang w:val="zh-CN"/>
                    </w:rPr>
                    <w:t>排气筒底部</w:t>
                  </w:r>
                  <w:r>
                    <w:rPr>
                      <w:rFonts w:hint="default" w:ascii="Times New Roman" w:hAnsi="Times New Roman" w:eastAsia="宋体" w:cs="Times New Roman"/>
                      <w:b w:val="0"/>
                      <w:bCs w:val="0"/>
                      <w:kern w:val="0"/>
                      <w:sz w:val="21"/>
                      <w:szCs w:val="18"/>
                      <w:highlight w:val="none"/>
                    </w:rPr>
                    <w:t>海拔</w:t>
                  </w:r>
                  <w:r>
                    <w:rPr>
                      <w:rFonts w:hint="default" w:ascii="Times New Roman" w:hAnsi="Times New Roman" w:eastAsia="宋体" w:cs="Times New Roman"/>
                      <w:b w:val="0"/>
                      <w:bCs w:val="0"/>
                      <w:kern w:val="0"/>
                      <w:sz w:val="21"/>
                      <w:szCs w:val="18"/>
                      <w:highlight w:val="none"/>
                      <w:lang w:val="zh-CN"/>
                    </w:rPr>
                    <w:t>高度/m</w:t>
                  </w:r>
                </w:p>
              </w:tc>
              <w:tc>
                <w:tcPr>
                  <w:tcW w:w="328" w:type="pct"/>
                  <w:vMerge w:val="restart"/>
                  <w:tcBorders>
                    <w:top w:val="single" w:color="000000" w:sz="4" w:space="0"/>
                    <w:left w:val="single" w:color="000000" w:sz="4" w:space="0"/>
                    <w:bottom w:val="single" w:color="000000" w:sz="4" w:space="0"/>
                    <w:right w:val="single" w:color="000000" w:sz="4" w:space="0"/>
                  </w:tcBorders>
                  <w:noWrap w:val="0"/>
                  <w:vAlign w:val="center"/>
                </w:tcPr>
                <w:p w14:paraId="5F69239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highlight w:val="none"/>
                      <w:lang w:val="zh-CN"/>
                    </w:rPr>
                  </w:pPr>
                  <w:r>
                    <w:rPr>
                      <w:rFonts w:hint="default" w:ascii="Times New Roman" w:hAnsi="Times New Roman" w:eastAsia="宋体" w:cs="Times New Roman"/>
                      <w:b w:val="0"/>
                      <w:bCs w:val="0"/>
                      <w:kern w:val="0"/>
                      <w:sz w:val="21"/>
                      <w:szCs w:val="18"/>
                      <w:highlight w:val="none"/>
                      <w:lang w:val="zh-CN"/>
                    </w:rPr>
                    <w:t>排气筒高度/m</w:t>
                  </w:r>
                </w:p>
              </w:tc>
              <w:tc>
                <w:tcPr>
                  <w:tcW w:w="406" w:type="pct"/>
                  <w:vMerge w:val="restart"/>
                  <w:tcBorders>
                    <w:top w:val="single" w:color="000000" w:sz="4" w:space="0"/>
                    <w:left w:val="single" w:color="000000" w:sz="4" w:space="0"/>
                    <w:bottom w:val="single" w:color="000000" w:sz="4" w:space="0"/>
                    <w:right w:val="single" w:color="000000" w:sz="4" w:space="0"/>
                  </w:tcBorders>
                  <w:noWrap w:val="0"/>
                  <w:vAlign w:val="center"/>
                </w:tcPr>
                <w:p w14:paraId="4CE89A6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highlight w:val="none"/>
                      <w:lang w:val="zh-CN"/>
                    </w:rPr>
                  </w:pPr>
                  <w:r>
                    <w:rPr>
                      <w:rFonts w:hint="default" w:ascii="Times New Roman" w:hAnsi="Times New Roman" w:eastAsia="宋体" w:cs="Times New Roman"/>
                      <w:b w:val="0"/>
                      <w:bCs w:val="0"/>
                      <w:kern w:val="0"/>
                      <w:sz w:val="21"/>
                      <w:szCs w:val="18"/>
                      <w:highlight w:val="none"/>
                      <w:lang w:val="zh-CN"/>
                    </w:rPr>
                    <w:t>排气筒出口内径/m</w:t>
                  </w:r>
                </w:p>
              </w:tc>
              <w:tc>
                <w:tcPr>
                  <w:tcW w:w="406" w:type="pct"/>
                  <w:vMerge w:val="restart"/>
                  <w:tcBorders>
                    <w:top w:val="single" w:color="000000" w:sz="4" w:space="0"/>
                    <w:left w:val="single" w:color="000000" w:sz="4" w:space="0"/>
                    <w:bottom w:val="single" w:color="000000" w:sz="4" w:space="0"/>
                    <w:right w:val="single" w:color="000000" w:sz="4" w:space="0"/>
                  </w:tcBorders>
                  <w:noWrap w:val="0"/>
                  <w:vAlign w:val="center"/>
                </w:tcPr>
                <w:p w14:paraId="5E2C11F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highlight w:val="none"/>
                      <w:lang w:val="zh-CN"/>
                    </w:rPr>
                  </w:pPr>
                  <w:r>
                    <w:rPr>
                      <w:rFonts w:hint="default" w:ascii="Times New Roman" w:hAnsi="Times New Roman" w:eastAsia="宋体" w:cs="Times New Roman"/>
                      <w:b w:val="0"/>
                      <w:bCs w:val="0"/>
                      <w:kern w:val="0"/>
                      <w:sz w:val="21"/>
                      <w:szCs w:val="18"/>
                      <w:highlight w:val="none"/>
                      <w:lang w:val="zh-CN"/>
                    </w:rPr>
                    <w:t>烟气流速/m/s</w:t>
                  </w:r>
                </w:p>
              </w:tc>
              <w:tc>
                <w:tcPr>
                  <w:tcW w:w="414" w:type="pct"/>
                  <w:vMerge w:val="restart"/>
                  <w:tcBorders>
                    <w:top w:val="single" w:color="000000" w:sz="4" w:space="0"/>
                    <w:left w:val="single" w:color="000000" w:sz="4" w:space="0"/>
                    <w:bottom w:val="single" w:color="000000" w:sz="4" w:space="0"/>
                    <w:right w:val="single" w:color="000000" w:sz="4" w:space="0"/>
                  </w:tcBorders>
                  <w:noWrap w:val="0"/>
                  <w:vAlign w:val="center"/>
                </w:tcPr>
                <w:p w14:paraId="21ACD48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lang w:val="zh-CN"/>
                    </w:rPr>
                  </w:pPr>
                  <w:r>
                    <w:rPr>
                      <w:rFonts w:hint="default" w:ascii="Times New Roman" w:hAnsi="Times New Roman" w:eastAsia="宋体" w:cs="Times New Roman"/>
                      <w:b w:val="0"/>
                      <w:bCs w:val="0"/>
                      <w:kern w:val="0"/>
                      <w:sz w:val="21"/>
                      <w:szCs w:val="18"/>
                      <w:lang w:val="zh-CN"/>
                    </w:rPr>
                    <w:t>烟气温度/℃</w:t>
                  </w:r>
                </w:p>
              </w:tc>
              <w:tc>
                <w:tcPr>
                  <w:tcW w:w="474" w:type="pct"/>
                  <w:vMerge w:val="restart"/>
                  <w:tcBorders>
                    <w:top w:val="single" w:color="000000" w:sz="4" w:space="0"/>
                    <w:left w:val="single" w:color="000000" w:sz="4" w:space="0"/>
                    <w:bottom w:val="single" w:color="000000" w:sz="4" w:space="0"/>
                    <w:right w:val="single" w:color="000000" w:sz="4" w:space="0"/>
                  </w:tcBorders>
                  <w:noWrap w:val="0"/>
                  <w:vAlign w:val="center"/>
                </w:tcPr>
                <w:p w14:paraId="13DBF91B">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rPr>
                  </w:pPr>
                  <w:r>
                    <w:rPr>
                      <w:rFonts w:hint="default" w:ascii="Times New Roman" w:hAnsi="Times New Roman" w:eastAsia="宋体" w:cs="Times New Roman"/>
                      <w:b w:val="0"/>
                      <w:bCs w:val="0"/>
                      <w:kern w:val="0"/>
                      <w:sz w:val="21"/>
                      <w:szCs w:val="18"/>
                    </w:rPr>
                    <w:t>污染物名称</w:t>
                  </w:r>
                </w:p>
              </w:tc>
              <w:tc>
                <w:tcPr>
                  <w:tcW w:w="535" w:type="pct"/>
                  <w:vMerge w:val="restart"/>
                  <w:tcBorders>
                    <w:top w:val="single" w:color="000000" w:sz="4" w:space="0"/>
                    <w:left w:val="single" w:color="000000" w:sz="4" w:space="0"/>
                    <w:right w:val="single" w:color="auto" w:sz="4" w:space="0"/>
                  </w:tcBorders>
                  <w:noWrap w:val="0"/>
                  <w:vAlign w:val="center"/>
                </w:tcPr>
                <w:p w14:paraId="552EC93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rPr>
                  </w:pPr>
                  <w:r>
                    <w:rPr>
                      <w:rFonts w:hint="default" w:ascii="Times New Roman" w:hAnsi="Times New Roman" w:eastAsia="宋体" w:cs="Times New Roman"/>
                      <w:b w:val="0"/>
                      <w:bCs w:val="0"/>
                      <w:kern w:val="0"/>
                      <w:sz w:val="21"/>
                      <w:szCs w:val="18"/>
                      <w:lang w:val="zh-CN"/>
                    </w:rPr>
                    <w:t>污染物排放速率/kg/h</w:t>
                  </w:r>
                </w:p>
              </w:tc>
            </w:tr>
            <w:tr w14:paraId="785E2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1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8583E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lang w:val="zh-CN"/>
                    </w:rPr>
                  </w:pPr>
                </w:p>
              </w:tc>
              <w:tc>
                <w:tcPr>
                  <w:tcW w:w="809" w:type="pct"/>
                  <w:tcBorders>
                    <w:top w:val="single" w:color="000000" w:sz="4" w:space="0"/>
                    <w:left w:val="single" w:color="000000" w:sz="4" w:space="0"/>
                    <w:bottom w:val="single" w:color="000000" w:sz="4" w:space="0"/>
                    <w:right w:val="single" w:color="000000" w:sz="4" w:space="0"/>
                  </w:tcBorders>
                  <w:noWrap w:val="0"/>
                  <w:vAlign w:val="center"/>
                </w:tcPr>
                <w:p w14:paraId="1616E1E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highlight w:val="none"/>
                      <w:lang w:val="zh-CN"/>
                    </w:rPr>
                  </w:pPr>
                  <w:r>
                    <w:rPr>
                      <w:rFonts w:hint="default" w:ascii="Times New Roman" w:hAnsi="Times New Roman" w:eastAsia="宋体" w:cs="Times New Roman"/>
                      <w:b w:val="0"/>
                      <w:bCs w:val="0"/>
                      <w:kern w:val="0"/>
                      <w:sz w:val="21"/>
                      <w:szCs w:val="18"/>
                      <w:highlight w:val="none"/>
                      <w:lang w:val="zh-CN"/>
                    </w:rPr>
                    <w:t>经度</w:t>
                  </w:r>
                </w:p>
              </w:tc>
              <w:tc>
                <w:tcPr>
                  <w:tcW w:w="725" w:type="pct"/>
                  <w:tcBorders>
                    <w:top w:val="single" w:color="000000" w:sz="4" w:space="0"/>
                    <w:left w:val="single" w:color="000000" w:sz="4" w:space="0"/>
                    <w:bottom w:val="single" w:color="000000" w:sz="4" w:space="0"/>
                    <w:right w:val="single" w:color="000000" w:sz="4" w:space="0"/>
                  </w:tcBorders>
                  <w:noWrap w:val="0"/>
                  <w:vAlign w:val="center"/>
                </w:tcPr>
                <w:p w14:paraId="0A8E4CE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b w:val="0"/>
                      <w:bCs w:val="0"/>
                      <w:kern w:val="0"/>
                      <w:sz w:val="21"/>
                      <w:szCs w:val="18"/>
                      <w:highlight w:val="none"/>
                      <w:lang w:val="zh-CN"/>
                    </w:rPr>
                  </w:pPr>
                  <w:r>
                    <w:rPr>
                      <w:rFonts w:hint="default" w:ascii="Times New Roman" w:hAnsi="Times New Roman" w:eastAsia="宋体" w:cs="Times New Roman"/>
                      <w:b w:val="0"/>
                      <w:bCs w:val="0"/>
                      <w:kern w:val="0"/>
                      <w:sz w:val="21"/>
                      <w:szCs w:val="18"/>
                      <w:highlight w:val="none"/>
                      <w:lang w:val="zh-CN"/>
                    </w:rPr>
                    <w:t>纬度</w:t>
                  </w:r>
                </w:p>
              </w:tc>
              <w:tc>
                <w:tcPr>
                  <w:tcW w:w="484" w:type="pct"/>
                  <w:vMerge w:val="continue"/>
                  <w:tcBorders>
                    <w:left w:val="single" w:color="000000" w:sz="4" w:space="0"/>
                    <w:bottom w:val="single" w:color="000000" w:sz="4" w:space="0"/>
                    <w:right w:val="single" w:color="000000" w:sz="4" w:space="0"/>
                  </w:tcBorders>
                  <w:noWrap w:val="0"/>
                  <w:vAlign w:val="center"/>
                </w:tcPr>
                <w:p w14:paraId="734168C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zh-CN"/>
                    </w:rPr>
                  </w:pPr>
                </w:p>
              </w:tc>
              <w:tc>
                <w:tcPr>
                  <w:tcW w:w="32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36800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zh-CN"/>
                    </w:rPr>
                  </w:pPr>
                </w:p>
              </w:tc>
              <w:tc>
                <w:tcPr>
                  <w:tcW w:w="40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A77D2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zh-CN"/>
                    </w:rPr>
                  </w:pPr>
                </w:p>
              </w:tc>
              <w:tc>
                <w:tcPr>
                  <w:tcW w:w="40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67BB4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zh-CN"/>
                    </w:rPr>
                  </w:pPr>
                </w:p>
              </w:tc>
              <w:tc>
                <w:tcPr>
                  <w:tcW w:w="41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87CCA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lang w:val="zh-CN"/>
                    </w:rPr>
                  </w:pPr>
                </w:p>
              </w:tc>
              <w:tc>
                <w:tcPr>
                  <w:tcW w:w="47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A9E20B">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lang w:val="zh-CN"/>
                    </w:rPr>
                  </w:pPr>
                </w:p>
              </w:tc>
              <w:tc>
                <w:tcPr>
                  <w:tcW w:w="535" w:type="pct"/>
                  <w:vMerge w:val="continue"/>
                  <w:tcBorders>
                    <w:left w:val="single" w:color="000000" w:sz="4" w:space="0"/>
                    <w:bottom w:val="single" w:color="000000" w:sz="4" w:space="0"/>
                    <w:right w:val="single" w:color="auto" w:sz="4" w:space="0"/>
                  </w:tcBorders>
                  <w:noWrap w:val="0"/>
                  <w:vAlign w:val="center"/>
                </w:tcPr>
                <w:p w14:paraId="549760F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rPr>
                  </w:pPr>
                </w:p>
              </w:tc>
            </w:tr>
            <w:tr w14:paraId="18420C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415" w:type="pct"/>
                  <w:vMerge w:val="restart"/>
                  <w:tcBorders>
                    <w:left w:val="single" w:color="000000" w:sz="4" w:space="0"/>
                    <w:right w:val="single" w:color="000000" w:sz="4" w:space="0"/>
                  </w:tcBorders>
                  <w:noWrap w:val="0"/>
                  <w:vAlign w:val="center"/>
                </w:tcPr>
                <w:p w14:paraId="472BAFA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lang w:val="en-US" w:eastAsia="zh-CN" w:bidi="ar-SA"/>
                    </w:rPr>
                  </w:pPr>
                  <w:r>
                    <w:rPr>
                      <w:rFonts w:hint="default" w:ascii="Times New Roman" w:hAnsi="Times New Roman" w:eastAsia="宋体" w:cs="Times New Roman"/>
                      <w:kern w:val="0"/>
                      <w:sz w:val="21"/>
                      <w:szCs w:val="18"/>
                    </w:rPr>
                    <w:t>DA00</w:t>
                  </w:r>
                  <w:r>
                    <w:rPr>
                      <w:rFonts w:hint="default" w:ascii="Times New Roman" w:hAnsi="Times New Roman" w:eastAsia="宋体" w:cs="Times New Roman"/>
                      <w:kern w:val="0"/>
                      <w:sz w:val="21"/>
                      <w:szCs w:val="18"/>
                      <w:lang w:val="en-US" w:eastAsia="zh-CN"/>
                    </w:rPr>
                    <w:t>1</w:t>
                  </w:r>
                </w:p>
              </w:tc>
              <w:tc>
                <w:tcPr>
                  <w:tcW w:w="809" w:type="pct"/>
                  <w:vMerge w:val="restart"/>
                  <w:tcBorders>
                    <w:left w:val="single" w:color="000000" w:sz="4" w:space="0"/>
                    <w:right w:val="single" w:color="000000" w:sz="4" w:space="0"/>
                  </w:tcBorders>
                  <w:noWrap w:val="0"/>
                  <w:vAlign w:val="center"/>
                </w:tcPr>
                <w:p w14:paraId="64C924D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bidi="ar-SA"/>
                    </w:rPr>
                  </w:pPr>
                  <w:r>
                    <w:rPr>
                      <w:rFonts w:hint="default" w:ascii="Times New Roman" w:hAnsi="Times New Roman" w:eastAsia="宋体" w:cs="Times New Roman"/>
                      <w:kern w:val="0"/>
                      <w:sz w:val="21"/>
                      <w:szCs w:val="18"/>
                      <w:highlight w:val="none"/>
                      <w:lang w:val="en-US" w:eastAsia="zh-CN"/>
                    </w:rPr>
                    <w:t>113.</w:t>
                  </w:r>
                  <w:r>
                    <w:rPr>
                      <w:rFonts w:hint="eastAsia" w:cs="Times New Roman"/>
                      <w:kern w:val="0"/>
                      <w:sz w:val="21"/>
                      <w:szCs w:val="18"/>
                      <w:highlight w:val="none"/>
                      <w:lang w:val="en-US" w:eastAsia="zh-CN"/>
                    </w:rPr>
                    <w:t>564283</w:t>
                  </w:r>
                </w:p>
              </w:tc>
              <w:tc>
                <w:tcPr>
                  <w:tcW w:w="725" w:type="pct"/>
                  <w:vMerge w:val="restart"/>
                  <w:tcBorders>
                    <w:left w:val="single" w:color="000000" w:sz="4" w:space="0"/>
                    <w:right w:val="single" w:color="000000" w:sz="4" w:space="0"/>
                  </w:tcBorders>
                  <w:noWrap w:val="0"/>
                  <w:vAlign w:val="center"/>
                </w:tcPr>
                <w:p w14:paraId="6CF1CDC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bidi="ar-SA"/>
                    </w:rPr>
                  </w:pPr>
                  <w:r>
                    <w:rPr>
                      <w:rFonts w:hint="default" w:ascii="Times New Roman" w:hAnsi="Times New Roman" w:eastAsia="宋体" w:cs="Times New Roman"/>
                      <w:kern w:val="0"/>
                      <w:sz w:val="21"/>
                      <w:szCs w:val="18"/>
                      <w:highlight w:val="none"/>
                      <w:lang w:val="en-US" w:eastAsia="zh-CN"/>
                    </w:rPr>
                    <w:t>35.</w:t>
                  </w:r>
                  <w:r>
                    <w:rPr>
                      <w:rFonts w:hint="eastAsia" w:cs="Times New Roman"/>
                      <w:kern w:val="0"/>
                      <w:sz w:val="21"/>
                      <w:szCs w:val="18"/>
                      <w:highlight w:val="none"/>
                      <w:lang w:val="en-US" w:eastAsia="zh-CN"/>
                    </w:rPr>
                    <w:t>048544</w:t>
                  </w:r>
                </w:p>
              </w:tc>
              <w:tc>
                <w:tcPr>
                  <w:tcW w:w="484" w:type="pct"/>
                  <w:vMerge w:val="restart"/>
                  <w:tcBorders>
                    <w:left w:val="single" w:color="000000" w:sz="4" w:space="0"/>
                    <w:right w:val="single" w:color="000000" w:sz="4" w:space="0"/>
                  </w:tcBorders>
                  <w:noWrap w:val="0"/>
                  <w:vAlign w:val="center"/>
                </w:tcPr>
                <w:p w14:paraId="3458061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cyan"/>
                      <w:lang w:val="en-US" w:eastAsia="zh-CN" w:bidi="ar-SA"/>
                    </w:rPr>
                  </w:pPr>
                  <w:r>
                    <w:rPr>
                      <w:rFonts w:hint="eastAsia" w:cs="Times New Roman"/>
                      <w:kern w:val="0"/>
                      <w:sz w:val="21"/>
                      <w:szCs w:val="18"/>
                      <w:highlight w:val="none"/>
                      <w:lang w:val="en-US" w:eastAsia="zh-CN"/>
                    </w:rPr>
                    <w:t>88.6</w:t>
                  </w:r>
                </w:p>
              </w:tc>
              <w:tc>
                <w:tcPr>
                  <w:tcW w:w="328" w:type="pct"/>
                  <w:vMerge w:val="restart"/>
                  <w:tcBorders>
                    <w:left w:val="single" w:color="000000" w:sz="4" w:space="0"/>
                    <w:right w:val="single" w:color="000000" w:sz="4" w:space="0"/>
                  </w:tcBorders>
                  <w:noWrap w:val="0"/>
                  <w:vAlign w:val="center"/>
                </w:tcPr>
                <w:p w14:paraId="78D82FA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bidi="ar-SA"/>
                    </w:rPr>
                  </w:pPr>
                  <w:r>
                    <w:rPr>
                      <w:rFonts w:hint="default" w:ascii="Times New Roman" w:hAnsi="Times New Roman" w:eastAsia="宋体" w:cs="Times New Roman"/>
                      <w:kern w:val="0"/>
                      <w:sz w:val="21"/>
                      <w:szCs w:val="18"/>
                      <w:highlight w:val="none"/>
                    </w:rPr>
                    <w:t>15</w:t>
                  </w:r>
                </w:p>
              </w:tc>
              <w:tc>
                <w:tcPr>
                  <w:tcW w:w="406" w:type="pct"/>
                  <w:vMerge w:val="restart"/>
                  <w:tcBorders>
                    <w:left w:val="single" w:color="000000" w:sz="4" w:space="0"/>
                    <w:right w:val="single" w:color="000000" w:sz="4" w:space="0"/>
                  </w:tcBorders>
                  <w:noWrap w:val="0"/>
                  <w:vAlign w:val="center"/>
                </w:tcPr>
                <w:p w14:paraId="2E445E2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w:t>
                  </w:r>
                  <w:r>
                    <w:rPr>
                      <w:rFonts w:hint="eastAsia" w:cs="Times New Roman"/>
                      <w:sz w:val="21"/>
                      <w:szCs w:val="21"/>
                      <w:highlight w:val="none"/>
                      <w:lang w:val="en-US" w:eastAsia="zh-CN"/>
                    </w:rPr>
                    <w:t>4</w:t>
                  </w:r>
                </w:p>
              </w:tc>
              <w:tc>
                <w:tcPr>
                  <w:tcW w:w="406" w:type="pct"/>
                  <w:vMerge w:val="restart"/>
                  <w:tcBorders>
                    <w:left w:val="single" w:color="000000" w:sz="4" w:space="0"/>
                    <w:right w:val="single" w:color="000000" w:sz="4" w:space="0"/>
                  </w:tcBorders>
                  <w:noWrap w:val="0"/>
                  <w:vAlign w:val="center"/>
                </w:tcPr>
                <w:p w14:paraId="5A0044F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15.3</w:t>
                  </w:r>
                  <w:r>
                    <w:rPr>
                      <w:rFonts w:hint="eastAsia" w:cs="Times New Roman"/>
                      <w:sz w:val="21"/>
                      <w:szCs w:val="21"/>
                      <w:highlight w:val="none"/>
                      <w:lang w:val="en-US" w:eastAsia="zh-CN"/>
                    </w:rPr>
                    <w:t>2</w:t>
                  </w:r>
                </w:p>
              </w:tc>
              <w:tc>
                <w:tcPr>
                  <w:tcW w:w="414" w:type="pct"/>
                  <w:vMerge w:val="restart"/>
                  <w:tcBorders>
                    <w:left w:val="single" w:color="000000" w:sz="4" w:space="0"/>
                    <w:right w:val="single" w:color="000000" w:sz="4" w:space="0"/>
                  </w:tcBorders>
                  <w:noWrap w:val="0"/>
                  <w:vAlign w:val="center"/>
                </w:tcPr>
                <w:p w14:paraId="1FAC0A9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25</w:t>
                  </w:r>
                </w:p>
              </w:tc>
              <w:tc>
                <w:tcPr>
                  <w:tcW w:w="474" w:type="pct"/>
                  <w:tcBorders>
                    <w:top w:val="single" w:color="000000" w:sz="4" w:space="0"/>
                    <w:left w:val="single" w:color="000000" w:sz="4" w:space="0"/>
                    <w:bottom w:val="single" w:color="000000" w:sz="4" w:space="0"/>
                    <w:right w:val="single" w:color="000000" w:sz="4" w:space="0"/>
                  </w:tcBorders>
                  <w:noWrap w:val="0"/>
                  <w:vAlign w:val="center"/>
                </w:tcPr>
                <w:p w14:paraId="52CB988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bidi="ar-SA"/>
                    </w:rPr>
                  </w:pPr>
                  <w:r>
                    <w:rPr>
                      <w:rFonts w:hint="eastAsia" w:cs="Times New Roman"/>
                      <w:kern w:val="0"/>
                      <w:sz w:val="21"/>
                      <w:szCs w:val="18"/>
                      <w:highlight w:val="none"/>
                      <w:lang w:val="en-US" w:eastAsia="zh-CN" w:bidi="ar-SA"/>
                    </w:rPr>
                    <w:t>非甲烷总烃</w:t>
                  </w:r>
                </w:p>
              </w:tc>
              <w:tc>
                <w:tcPr>
                  <w:tcW w:w="535" w:type="pct"/>
                  <w:tcBorders>
                    <w:top w:val="single" w:color="000000" w:sz="4" w:space="0"/>
                    <w:left w:val="single" w:color="000000" w:sz="4" w:space="0"/>
                    <w:bottom w:val="single" w:color="000000" w:sz="4" w:space="0"/>
                    <w:right w:val="single" w:color="000000" w:sz="4" w:space="0"/>
                  </w:tcBorders>
                  <w:noWrap w:val="0"/>
                  <w:vAlign w:val="center"/>
                </w:tcPr>
                <w:p w14:paraId="0FECEA7C">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w:t>
                  </w:r>
                  <w:r>
                    <w:rPr>
                      <w:rFonts w:hint="eastAsia" w:ascii="Times New Roman" w:hAnsi="Times New Roman" w:cs="Times New Roman"/>
                      <w:sz w:val="21"/>
                      <w:szCs w:val="21"/>
                      <w:highlight w:val="none"/>
                      <w:lang w:val="en-US" w:eastAsia="zh-CN"/>
                    </w:rPr>
                    <w:t>451</w:t>
                  </w:r>
                </w:p>
              </w:tc>
            </w:tr>
            <w:tr w14:paraId="2DB509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415" w:type="pct"/>
                  <w:vMerge w:val="continue"/>
                  <w:tcBorders>
                    <w:left w:val="single" w:color="000000" w:sz="4" w:space="0"/>
                    <w:right w:val="single" w:color="000000" w:sz="4" w:space="0"/>
                  </w:tcBorders>
                  <w:noWrap w:val="0"/>
                  <w:vAlign w:val="center"/>
                </w:tcPr>
                <w:p w14:paraId="2E337DE3">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809" w:type="pct"/>
                  <w:vMerge w:val="continue"/>
                  <w:tcBorders>
                    <w:left w:val="single" w:color="000000" w:sz="4" w:space="0"/>
                    <w:right w:val="single" w:color="000000" w:sz="4" w:space="0"/>
                  </w:tcBorders>
                  <w:noWrap w:val="0"/>
                  <w:vAlign w:val="center"/>
                </w:tcPr>
                <w:p w14:paraId="5AD6C848">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725" w:type="pct"/>
                  <w:vMerge w:val="continue"/>
                  <w:tcBorders>
                    <w:left w:val="single" w:color="000000" w:sz="4" w:space="0"/>
                    <w:right w:val="single" w:color="000000" w:sz="4" w:space="0"/>
                  </w:tcBorders>
                  <w:noWrap w:val="0"/>
                  <w:vAlign w:val="center"/>
                </w:tcPr>
                <w:p w14:paraId="6F87AED9">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84" w:type="pct"/>
                  <w:vMerge w:val="continue"/>
                  <w:tcBorders>
                    <w:left w:val="single" w:color="000000" w:sz="4" w:space="0"/>
                    <w:right w:val="single" w:color="000000" w:sz="4" w:space="0"/>
                  </w:tcBorders>
                  <w:noWrap w:val="0"/>
                  <w:vAlign w:val="center"/>
                </w:tcPr>
                <w:p w14:paraId="2991966E">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328" w:type="pct"/>
                  <w:vMerge w:val="continue"/>
                  <w:tcBorders>
                    <w:left w:val="single" w:color="000000" w:sz="4" w:space="0"/>
                    <w:right w:val="single" w:color="000000" w:sz="4" w:space="0"/>
                  </w:tcBorders>
                  <w:noWrap w:val="0"/>
                  <w:vAlign w:val="center"/>
                </w:tcPr>
                <w:p w14:paraId="01B518BA">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06" w:type="pct"/>
                  <w:vMerge w:val="continue"/>
                  <w:tcBorders>
                    <w:left w:val="single" w:color="000000" w:sz="4" w:space="0"/>
                    <w:right w:val="single" w:color="000000" w:sz="4" w:space="0"/>
                  </w:tcBorders>
                  <w:noWrap w:val="0"/>
                  <w:vAlign w:val="center"/>
                </w:tcPr>
                <w:p w14:paraId="313E54A5">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06" w:type="pct"/>
                  <w:vMerge w:val="continue"/>
                  <w:tcBorders>
                    <w:left w:val="single" w:color="000000" w:sz="4" w:space="0"/>
                    <w:right w:val="single" w:color="000000" w:sz="4" w:space="0"/>
                  </w:tcBorders>
                  <w:noWrap w:val="0"/>
                  <w:vAlign w:val="center"/>
                </w:tcPr>
                <w:p w14:paraId="12796121">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14" w:type="pct"/>
                  <w:vMerge w:val="continue"/>
                  <w:tcBorders>
                    <w:left w:val="single" w:color="000000" w:sz="4" w:space="0"/>
                    <w:right w:val="single" w:color="000000" w:sz="4" w:space="0"/>
                  </w:tcBorders>
                  <w:noWrap w:val="0"/>
                  <w:vAlign w:val="center"/>
                </w:tcPr>
                <w:p w14:paraId="2F3668C1">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highlight w:val="none"/>
                    </w:rPr>
                  </w:pPr>
                </w:p>
              </w:tc>
              <w:tc>
                <w:tcPr>
                  <w:tcW w:w="474" w:type="pct"/>
                  <w:tcBorders>
                    <w:top w:val="single" w:color="000000" w:sz="4" w:space="0"/>
                    <w:left w:val="single" w:color="000000" w:sz="4" w:space="0"/>
                    <w:bottom w:val="single" w:color="000000" w:sz="4" w:space="0"/>
                    <w:right w:val="single" w:color="000000" w:sz="4" w:space="0"/>
                  </w:tcBorders>
                  <w:noWrap w:val="0"/>
                  <w:vAlign w:val="center"/>
                </w:tcPr>
                <w:p w14:paraId="1022DA23">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cs="Times New Roman"/>
                      <w:kern w:val="0"/>
                      <w:sz w:val="21"/>
                      <w:szCs w:val="18"/>
                      <w:highlight w:val="none"/>
                      <w:lang w:val="en-US" w:eastAsia="zh-CN" w:bidi="ar-SA"/>
                    </w:rPr>
                  </w:pPr>
                  <w:r>
                    <w:rPr>
                      <w:rFonts w:hint="eastAsia" w:cs="Times New Roman"/>
                      <w:kern w:val="0"/>
                      <w:sz w:val="21"/>
                      <w:szCs w:val="18"/>
                      <w:highlight w:val="none"/>
                      <w:lang w:val="en-US" w:eastAsia="zh-CN" w:bidi="ar-SA"/>
                    </w:rPr>
                    <w:t>苯乙烯</w:t>
                  </w:r>
                </w:p>
              </w:tc>
              <w:tc>
                <w:tcPr>
                  <w:tcW w:w="535" w:type="pct"/>
                  <w:tcBorders>
                    <w:top w:val="single" w:color="000000" w:sz="4" w:space="0"/>
                    <w:left w:val="single" w:color="000000" w:sz="4" w:space="0"/>
                    <w:bottom w:val="single" w:color="000000" w:sz="4" w:space="0"/>
                    <w:right w:val="single" w:color="000000" w:sz="4" w:space="0"/>
                  </w:tcBorders>
                  <w:noWrap w:val="0"/>
                  <w:vAlign w:val="center"/>
                </w:tcPr>
                <w:p w14:paraId="3D51A1E5">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cs="Times New Roman"/>
                      <w:kern w:val="0"/>
                      <w:sz w:val="21"/>
                      <w:szCs w:val="18"/>
                      <w:lang w:val="en-US" w:eastAsia="zh-CN" w:bidi="ar-SA"/>
                    </w:rPr>
                  </w:pPr>
                  <w:r>
                    <w:rPr>
                      <w:rFonts w:hint="default" w:ascii="Times New Roman" w:hAnsi="Times New Roman" w:cs="Times New Roman"/>
                      <w:kern w:val="0"/>
                      <w:sz w:val="21"/>
                      <w:szCs w:val="18"/>
                      <w:lang w:val="en-US" w:eastAsia="zh-CN" w:bidi="ar-SA"/>
                    </w:rPr>
                    <w:t>0.00</w:t>
                  </w:r>
                  <w:r>
                    <w:rPr>
                      <w:rFonts w:hint="eastAsia" w:ascii="Times New Roman" w:hAnsi="Times New Roman" w:cs="Times New Roman"/>
                      <w:kern w:val="0"/>
                      <w:sz w:val="21"/>
                      <w:szCs w:val="18"/>
                      <w:lang w:val="en-US" w:eastAsia="zh-CN" w:bidi="ar-SA"/>
                    </w:rPr>
                    <w:t>79</w:t>
                  </w:r>
                </w:p>
              </w:tc>
            </w:tr>
            <w:tr w14:paraId="55CE5C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415" w:type="pct"/>
                  <w:vMerge w:val="continue"/>
                  <w:tcBorders>
                    <w:left w:val="single" w:color="000000" w:sz="4" w:space="0"/>
                    <w:right w:val="single" w:color="000000" w:sz="4" w:space="0"/>
                  </w:tcBorders>
                  <w:noWrap w:val="0"/>
                  <w:vAlign w:val="center"/>
                </w:tcPr>
                <w:p w14:paraId="05F20B5E">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809" w:type="pct"/>
                  <w:vMerge w:val="continue"/>
                  <w:tcBorders>
                    <w:left w:val="single" w:color="000000" w:sz="4" w:space="0"/>
                    <w:right w:val="single" w:color="000000" w:sz="4" w:space="0"/>
                  </w:tcBorders>
                  <w:noWrap w:val="0"/>
                  <w:vAlign w:val="center"/>
                </w:tcPr>
                <w:p w14:paraId="4DA9DD03">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725" w:type="pct"/>
                  <w:vMerge w:val="continue"/>
                  <w:tcBorders>
                    <w:left w:val="single" w:color="000000" w:sz="4" w:space="0"/>
                    <w:right w:val="single" w:color="000000" w:sz="4" w:space="0"/>
                  </w:tcBorders>
                  <w:noWrap w:val="0"/>
                  <w:vAlign w:val="center"/>
                </w:tcPr>
                <w:p w14:paraId="050755C8">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84" w:type="pct"/>
                  <w:vMerge w:val="continue"/>
                  <w:tcBorders>
                    <w:left w:val="single" w:color="000000" w:sz="4" w:space="0"/>
                    <w:right w:val="single" w:color="000000" w:sz="4" w:space="0"/>
                  </w:tcBorders>
                  <w:noWrap w:val="0"/>
                  <w:vAlign w:val="center"/>
                </w:tcPr>
                <w:p w14:paraId="2AD0F2F3">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328" w:type="pct"/>
                  <w:vMerge w:val="continue"/>
                  <w:tcBorders>
                    <w:left w:val="single" w:color="000000" w:sz="4" w:space="0"/>
                    <w:right w:val="single" w:color="000000" w:sz="4" w:space="0"/>
                  </w:tcBorders>
                  <w:noWrap w:val="0"/>
                  <w:vAlign w:val="center"/>
                </w:tcPr>
                <w:p w14:paraId="62AA7B9E">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06" w:type="pct"/>
                  <w:vMerge w:val="continue"/>
                  <w:tcBorders>
                    <w:left w:val="single" w:color="000000" w:sz="4" w:space="0"/>
                    <w:right w:val="single" w:color="000000" w:sz="4" w:space="0"/>
                  </w:tcBorders>
                  <w:noWrap w:val="0"/>
                  <w:vAlign w:val="center"/>
                </w:tcPr>
                <w:p w14:paraId="4420BE05">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06" w:type="pct"/>
                  <w:vMerge w:val="continue"/>
                  <w:tcBorders>
                    <w:left w:val="single" w:color="000000" w:sz="4" w:space="0"/>
                    <w:right w:val="single" w:color="000000" w:sz="4" w:space="0"/>
                  </w:tcBorders>
                  <w:noWrap w:val="0"/>
                  <w:vAlign w:val="center"/>
                </w:tcPr>
                <w:p w14:paraId="0CD23002">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414" w:type="pct"/>
                  <w:vMerge w:val="continue"/>
                  <w:tcBorders>
                    <w:left w:val="single" w:color="000000" w:sz="4" w:space="0"/>
                    <w:right w:val="single" w:color="000000" w:sz="4" w:space="0"/>
                  </w:tcBorders>
                  <w:noWrap w:val="0"/>
                  <w:vAlign w:val="center"/>
                </w:tcPr>
                <w:p w14:paraId="21A2EA13">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highlight w:val="none"/>
                    </w:rPr>
                  </w:pPr>
                </w:p>
              </w:tc>
              <w:tc>
                <w:tcPr>
                  <w:tcW w:w="474" w:type="pct"/>
                  <w:tcBorders>
                    <w:top w:val="single" w:color="000000" w:sz="4" w:space="0"/>
                    <w:left w:val="single" w:color="000000" w:sz="4" w:space="0"/>
                    <w:bottom w:val="single" w:color="000000" w:sz="4" w:space="0"/>
                    <w:right w:val="single" w:color="000000" w:sz="4" w:space="0"/>
                  </w:tcBorders>
                  <w:noWrap w:val="0"/>
                  <w:vAlign w:val="center"/>
                </w:tcPr>
                <w:p w14:paraId="5A638D5A">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kern w:val="0"/>
                      <w:sz w:val="21"/>
                      <w:szCs w:val="18"/>
                      <w:highlight w:val="none"/>
                      <w:lang w:val="en-US" w:eastAsia="zh-CN" w:bidi="ar-SA"/>
                    </w:rPr>
                  </w:pPr>
                  <w:r>
                    <w:rPr>
                      <w:rFonts w:hint="default" w:ascii="Times New Roman" w:hAnsi="Times New Roman" w:cs="Times New Roman"/>
                      <w:kern w:val="0"/>
                      <w:sz w:val="21"/>
                      <w:szCs w:val="18"/>
                      <w:highlight w:val="none"/>
                      <w:lang w:val="en-US" w:eastAsia="zh-CN" w:bidi="ar-SA"/>
                    </w:rPr>
                    <w:t>VOCs</w:t>
                  </w:r>
                </w:p>
              </w:tc>
              <w:tc>
                <w:tcPr>
                  <w:tcW w:w="535" w:type="pct"/>
                  <w:tcBorders>
                    <w:top w:val="single" w:color="000000" w:sz="4" w:space="0"/>
                    <w:left w:val="single" w:color="000000" w:sz="4" w:space="0"/>
                    <w:bottom w:val="single" w:color="000000" w:sz="4" w:space="0"/>
                    <w:right w:val="single" w:color="000000" w:sz="4" w:space="0"/>
                  </w:tcBorders>
                  <w:noWrap w:val="0"/>
                  <w:vAlign w:val="center"/>
                </w:tcPr>
                <w:p w14:paraId="08235558">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kern w:val="0"/>
                      <w:sz w:val="21"/>
                      <w:szCs w:val="18"/>
                      <w:lang w:val="en-US" w:eastAsia="zh-CN" w:bidi="ar-SA"/>
                    </w:rPr>
                  </w:pPr>
                  <w:r>
                    <w:rPr>
                      <w:rFonts w:hint="default" w:ascii="Times New Roman" w:hAnsi="Times New Roman" w:cs="Times New Roman"/>
                      <w:kern w:val="0"/>
                      <w:sz w:val="21"/>
                      <w:szCs w:val="18"/>
                      <w:lang w:val="en-US" w:eastAsia="zh-CN" w:bidi="ar-SA"/>
                    </w:rPr>
                    <w:t>0.0003</w:t>
                  </w:r>
                </w:p>
              </w:tc>
            </w:tr>
          </w:tbl>
          <w:p w14:paraId="5205880B">
            <w:pPr>
              <w:pStyle w:val="30"/>
              <w:keepNext w:val="0"/>
              <w:keepLines w:val="0"/>
              <w:pageBreakBefore w:val="0"/>
              <w:widowControl w:val="0"/>
              <w:kinsoku/>
              <w:wordWrap/>
              <w:overflowPunct/>
              <w:topLinePunct w:val="0"/>
              <w:autoSpaceDE/>
              <w:autoSpaceDN/>
              <w:bidi w:val="0"/>
              <w:adjustRightInd/>
              <w:snapToGrid/>
              <w:spacing w:before="0" w:beforeLines="0"/>
              <w:ind w:firstLine="0" w:firstLineChars="0"/>
              <w:textAlignment w:val="auto"/>
              <w:rPr>
                <w:rFonts w:hint="default" w:ascii="Times New Roman" w:hAnsi="Times New Roman" w:eastAsia="宋体" w:cs="Times New Roman"/>
                <w:b/>
                <w:bCs/>
                <w:highlight w:val="none"/>
              </w:rPr>
            </w:pPr>
            <w:r>
              <w:rPr>
                <w:rFonts w:hint="default" w:ascii="Times New Roman" w:hAnsi="Times New Roman" w:eastAsia="宋体" w:cs="Times New Roman"/>
                <w:b/>
                <w:bCs/>
                <w:highlight w:val="none"/>
              </w:rPr>
              <w:t>表4-</w:t>
            </w:r>
            <w:r>
              <w:rPr>
                <w:rFonts w:hint="eastAsia" w:eastAsia="宋体" w:cs="Times New Roman"/>
                <w:b/>
                <w:bCs/>
                <w:highlight w:val="none"/>
                <w:lang w:val="en-US" w:eastAsia="zh-CN"/>
              </w:rPr>
              <w:t>3</w:t>
            </w:r>
            <w:r>
              <w:rPr>
                <w:rFonts w:hint="default" w:ascii="Times New Roman" w:hAnsi="Times New Roman" w:eastAsia="宋体" w:cs="Times New Roman"/>
                <w:b/>
                <w:bCs/>
                <w:highlight w:val="none"/>
              </w:rPr>
              <w:t xml:space="preserve">  矩形面源参数表</w:t>
            </w:r>
          </w:p>
          <w:tbl>
            <w:tblPr>
              <w:tblStyle w:val="15"/>
              <w:tblW w:w="499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9"/>
              <w:gridCol w:w="1148"/>
              <w:gridCol w:w="1039"/>
              <w:gridCol w:w="634"/>
              <w:gridCol w:w="528"/>
              <w:gridCol w:w="542"/>
              <w:gridCol w:w="542"/>
              <w:gridCol w:w="659"/>
              <w:gridCol w:w="678"/>
              <w:gridCol w:w="586"/>
              <w:gridCol w:w="958"/>
              <w:gridCol w:w="930"/>
            </w:tblGrid>
            <w:tr w14:paraId="5B717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312" w:type="pct"/>
                  <w:vMerge w:val="restart"/>
                  <w:tcBorders>
                    <w:top w:val="single" w:color="000000" w:sz="4" w:space="0"/>
                    <w:left w:val="single" w:color="000000" w:sz="4" w:space="0"/>
                    <w:bottom w:val="single" w:color="000000" w:sz="4" w:space="0"/>
                    <w:right w:val="single" w:color="000000" w:sz="4" w:space="0"/>
                  </w:tcBorders>
                  <w:noWrap w:val="0"/>
                  <w:vAlign w:val="center"/>
                </w:tcPr>
                <w:p w14:paraId="000BE4E0">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名称</w:t>
                  </w:r>
                </w:p>
              </w:tc>
              <w:tc>
                <w:tcPr>
                  <w:tcW w:w="1243" w:type="pct"/>
                  <w:gridSpan w:val="2"/>
                  <w:tcBorders>
                    <w:top w:val="single" w:color="000000" w:sz="4" w:space="0"/>
                    <w:left w:val="single" w:color="000000" w:sz="4" w:space="0"/>
                    <w:bottom w:val="single" w:color="000000" w:sz="4" w:space="0"/>
                    <w:right w:val="single" w:color="000000" w:sz="4" w:space="0"/>
                  </w:tcBorders>
                  <w:noWrap w:val="0"/>
                  <w:vAlign w:val="center"/>
                </w:tcPr>
                <w:p w14:paraId="29426E27">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坐标（中心）</w:t>
                  </w:r>
                </w:p>
              </w:tc>
              <w:tc>
                <w:tcPr>
                  <w:tcW w:w="360" w:type="pct"/>
                  <w:vMerge w:val="restart"/>
                  <w:tcBorders>
                    <w:top w:val="single" w:color="000000" w:sz="4" w:space="0"/>
                    <w:left w:val="single" w:color="000000" w:sz="4" w:space="0"/>
                    <w:right w:val="single" w:color="000000" w:sz="4" w:space="0"/>
                  </w:tcBorders>
                  <w:noWrap w:val="0"/>
                  <w:vAlign w:val="center"/>
                </w:tcPr>
                <w:p w14:paraId="329FAD3F">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lang w:val="zh-CN"/>
                    </w:rPr>
                    <w:t>面源</w:t>
                  </w:r>
                  <w:r>
                    <w:rPr>
                      <w:rFonts w:hint="default" w:ascii="Times New Roman" w:hAnsi="Times New Roman" w:cs="Times New Roman"/>
                      <w:b w:val="0"/>
                      <w:bCs w:val="0"/>
                      <w:kern w:val="0"/>
                      <w:sz w:val="21"/>
                      <w:szCs w:val="18"/>
                    </w:rPr>
                    <w:t>海拔</w:t>
                  </w:r>
                  <w:r>
                    <w:rPr>
                      <w:rFonts w:hint="default" w:ascii="Times New Roman" w:hAnsi="Times New Roman" w:cs="Times New Roman"/>
                      <w:b w:val="0"/>
                      <w:bCs w:val="0"/>
                      <w:kern w:val="0"/>
                      <w:sz w:val="21"/>
                      <w:szCs w:val="18"/>
                      <w:lang w:val="zh-CN"/>
                    </w:rPr>
                    <w:t>高度/m</w:t>
                  </w:r>
                </w:p>
              </w:tc>
              <w:tc>
                <w:tcPr>
                  <w:tcW w:w="300" w:type="pct"/>
                  <w:vMerge w:val="restart"/>
                  <w:tcBorders>
                    <w:top w:val="single" w:color="000000" w:sz="4" w:space="0"/>
                    <w:left w:val="single" w:color="000000" w:sz="4" w:space="0"/>
                    <w:bottom w:val="single" w:color="000000" w:sz="4" w:space="0"/>
                    <w:right w:val="single" w:color="000000" w:sz="4" w:space="0"/>
                  </w:tcBorders>
                  <w:noWrap w:val="0"/>
                  <w:vAlign w:val="center"/>
                </w:tcPr>
                <w:p w14:paraId="07832536">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面源长度/m</w:t>
                  </w:r>
                </w:p>
              </w:tc>
              <w:tc>
                <w:tcPr>
                  <w:tcW w:w="308" w:type="pct"/>
                  <w:vMerge w:val="restart"/>
                  <w:tcBorders>
                    <w:top w:val="single" w:color="000000" w:sz="4" w:space="0"/>
                    <w:left w:val="single" w:color="000000" w:sz="4" w:space="0"/>
                    <w:bottom w:val="single" w:color="000000" w:sz="4" w:space="0"/>
                    <w:right w:val="single" w:color="000000" w:sz="4" w:space="0"/>
                  </w:tcBorders>
                  <w:noWrap w:val="0"/>
                  <w:vAlign w:val="center"/>
                </w:tcPr>
                <w:p w14:paraId="664DFD57">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面源宽度/m</w:t>
                  </w:r>
                </w:p>
              </w:tc>
              <w:tc>
                <w:tcPr>
                  <w:tcW w:w="308" w:type="pct"/>
                  <w:vMerge w:val="restart"/>
                  <w:tcBorders>
                    <w:top w:val="single" w:color="000000" w:sz="4" w:space="0"/>
                    <w:left w:val="single" w:color="000000" w:sz="4" w:space="0"/>
                    <w:bottom w:val="single" w:color="000000" w:sz="4" w:space="0"/>
                    <w:right w:val="single" w:color="000000" w:sz="4" w:space="0"/>
                  </w:tcBorders>
                  <w:noWrap w:val="0"/>
                  <w:vAlign w:val="center"/>
                </w:tcPr>
                <w:p w14:paraId="62148F0E">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与正北夹角/°</w:t>
                  </w:r>
                </w:p>
              </w:tc>
              <w:tc>
                <w:tcPr>
                  <w:tcW w:w="374" w:type="pct"/>
                  <w:vMerge w:val="restart"/>
                  <w:tcBorders>
                    <w:top w:val="single" w:color="000000" w:sz="4" w:space="0"/>
                    <w:left w:val="single" w:color="000000" w:sz="4" w:space="0"/>
                    <w:bottom w:val="single" w:color="000000" w:sz="4" w:space="0"/>
                    <w:right w:val="single" w:color="000000" w:sz="4" w:space="0"/>
                  </w:tcBorders>
                  <w:noWrap w:val="0"/>
                  <w:vAlign w:val="center"/>
                </w:tcPr>
                <w:p w14:paraId="5ACA5F45">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面源有效排放高度/m</w:t>
                  </w:r>
                </w:p>
              </w:tc>
              <w:tc>
                <w:tcPr>
                  <w:tcW w:w="385" w:type="pct"/>
                  <w:vMerge w:val="restart"/>
                  <w:tcBorders>
                    <w:top w:val="single" w:color="000000" w:sz="4" w:space="0"/>
                    <w:left w:val="single" w:color="000000" w:sz="4" w:space="0"/>
                    <w:bottom w:val="single" w:color="000000" w:sz="4" w:space="0"/>
                    <w:right w:val="single" w:color="000000" w:sz="4" w:space="0"/>
                  </w:tcBorders>
                  <w:noWrap w:val="0"/>
                  <w:vAlign w:val="center"/>
                </w:tcPr>
                <w:p w14:paraId="0C6E40D6">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年排放小时数/h</w:t>
                  </w:r>
                </w:p>
              </w:tc>
              <w:tc>
                <w:tcPr>
                  <w:tcW w:w="333" w:type="pct"/>
                  <w:vMerge w:val="restart"/>
                  <w:tcBorders>
                    <w:top w:val="single" w:color="000000" w:sz="4" w:space="0"/>
                    <w:left w:val="single" w:color="000000" w:sz="4" w:space="0"/>
                    <w:bottom w:val="single" w:color="000000" w:sz="4" w:space="0"/>
                    <w:right w:val="single" w:color="000000" w:sz="4" w:space="0"/>
                  </w:tcBorders>
                  <w:noWrap w:val="0"/>
                  <w:vAlign w:val="center"/>
                </w:tcPr>
                <w:p w14:paraId="06C5F551">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lang w:val="zh-CN"/>
                    </w:rPr>
                    <w:t>排放工况</w:t>
                  </w:r>
                </w:p>
              </w:tc>
              <w:tc>
                <w:tcPr>
                  <w:tcW w:w="544" w:type="pct"/>
                  <w:vMerge w:val="restart"/>
                  <w:tcBorders>
                    <w:top w:val="single" w:color="000000" w:sz="4" w:space="0"/>
                    <w:left w:val="single" w:color="000000" w:sz="4" w:space="0"/>
                    <w:right w:val="single" w:color="000000" w:sz="4" w:space="0"/>
                  </w:tcBorders>
                  <w:noWrap w:val="0"/>
                  <w:vAlign w:val="center"/>
                </w:tcPr>
                <w:p w14:paraId="757AC3F6">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lang w:val="zh-CN"/>
                    </w:rPr>
                    <w:t>污染物</w:t>
                  </w:r>
                  <w:r>
                    <w:rPr>
                      <w:rFonts w:hint="default" w:ascii="Times New Roman" w:hAnsi="Times New Roman" w:cs="Times New Roman"/>
                      <w:b w:val="0"/>
                      <w:bCs w:val="0"/>
                      <w:kern w:val="0"/>
                      <w:sz w:val="21"/>
                      <w:szCs w:val="18"/>
                    </w:rPr>
                    <w:t>年</w:t>
                  </w:r>
                  <w:r>
                    <w:rPr>
                      <w:rFonts w:hint="default" w:ascii="Times New Roman" w:hAnsi="Times New Roman" w:cs="Times New Roman"/>
                      <w:b w:val="0"/>
                      <w:bCs w:val="0"/>
                      <w:kern w:val="0"/>
                      <w:sz w:val="21"/>
                      <w:szCs w:val="18"/>
                      <w:lang w:val="zh-CN"/>
                    </w:rPr>
                    <w:t>排放</w:t>
                  </w:r>
                  <w:r>
                    <w:rPr>
                      <w:rFonts w:hint="default" w:ascii="Times New Roman" w:hAnsi="Times New Roman" w:cs="Times New Roman"/>
                      <w:b w:val="0"/>
                      <w:bCs w:val="0"/>
                      <w:kern w:val="0"/>
                      <w:sz w:val="21"/>
                      <w:szCs w:val="18"/>
                    </w:rPr>
                    <w:t>量（t/a）</w:t>
                  </w:r>
                </w:p>
              </w:tc>
              <w:tc>
                <w:tcPr>
                  <w:tcW w:w="528" w:type="pct"/>
                  <w:vMerge w:val="restart"/>
                  <w:tcBorders>
                    <w:top w:val="single" w:color="000000" w:sz="4" w:space="0"/>
                    <w:left w:val="single" w:color="000000" w:sz="4" w:space="0"/>
                    <w:right w:val="single" w:color="000000" w:sz="4" w:space="0"/>
                  </w:tcBorders>
                  <w:noWrap w:val="0"/>
                  <w:vAlign w:val="center"/>
                </w:tcPr>
                <w:p w14:paraId="789C7F08">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lang w:val="zh-CN"/>
                    </w:rPr>
                  </w:pPr>
                  <w:r>
                    <w:rPr>
                      <w:rFonts w:hint="default" w:ascii="Times New Roman" w:hAnsi="Times New Roman" w:cs="Times New Roman"/>
                      <w:b w:val="0"/>
                      <w:bCs w:val="0"/>
                      <w:kern w:val="0"/>
                      <w:sz w:val="21"/>
                      <w:szCs w:val="18"/>
                    </w:rPr>
                    <w:t>年</w:t>
                  </w:r>
                  <w:r>
                    <w:rPr>
                      <w:rFonts w:hint="default" w:ascii="Times New Roman" w:hAnsi="Times New Roman" w:cs="Times New Roman"/>
                      <w:b w:val="0"/>
                      <w:bCs w:val="0"/>
                      <w:kern w:val="0"/>
                      <w:sz w:val="21"/>
                      <w:szCs w:val="18"/>
                      <w:lang w:val="zh-CN"/>
                    </w:rPr>
                    <w:t>排放</w:t>
                  </w:r>
                  <w:r>
                    <w:rPr>
                      <w:rFonts w:hint="default" w:ascii="Times New Roman" w:hAnsi="Times New Roman" w:cs="Times New Roman"/>
                      <w:b w:val="0"/>
                      <w:bCs w:val="0"/>
                      <w:kern w:val="0"/>
                      <w:sz w:val="21"/>
                      <w:szCs w:val="18"/>
                    </w:rPr>
                    <w:t>量（t/a）</w:t>
                  </w:r>
                </w:p>
              </w:tc>
            </w:tr>
            <w:tr w14:paraId="5E724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 w:hRule="atLeast"/>
                <w:jc w:val="center"/>
              </w:trPr>
              <w:tc>
                <w:tcPr>
                  <w:tcW w:w="3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AC4FDA">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652" w:type="pct"/>
                  <w:tcBorders>
                    <w:top w:val="single" w:color="000000" w:sz="4" w:space="0"/>
                    <w:left w:val="single" w:color="000000" w:sz="4" w:space="0"/>
                    <w:bottom w:val="single" w:color="000000" w:sz="4" w:space="0"/>
                    <w:right w:val="single" w:color="000000" w:sz="4" w:space="0"/>
                  </w:tcBorders>
                  <w:noWrap w:val="0"/>
                  <w:vAlign w:val="center"/>
                </w:tcPr>
                <w:p w14:paraId="36D37EE4">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highlight w:val="none"/>
                      <w:lang w:val="zh-CN"/>
                    </w:rPr>
                  </w:pPr>
                  <w:r>
                    <w:rPr>
                      <w:rFonts w:hint="default" w:ascii="Times New Roman" w:hAnsi="Times New Roman" w:cs="Times New Roman"/>
                      <w:b w:val="0"/>
                      <w:bCs w:val="0"/>
                      <w:kern w:val="0"/>
                      <w:sz w:val="21"/>
                      <w:szCs w:val="18"/>
                      <w:highlight w:val="none"/>
                      <w:lang w:val="zh-CN"/>
                    </w:rPr>
                    <w:t>经度</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FA26A90">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b w:val="0"/>
                      <w:bCs w:val="0"/>
                      <w:kern w:val="0"/>
                      <w:sz w:val="21"/>
                      <w:szCs w:val="18"/>
                      <w:highlight w:val="none"/>
                      <w:lang w:val="zh-CN"/>
                    </w:rPr>
                  </w:pPr>
                  <w:r>
                    <w:rPr>
                      <w:rFonts w:hint="default" w:ascii="Times New Roman" w:hAnsi="Times New Roman" w:cs="Times New Roman"/>
                      <w:b w:val="0"/>
                      <w:bCs w:val="0"/>
                      <w:kern w:val="0"/>
                      <w:sz w:val="21"/>
                      <w:szCs w:val="18"/>
                      <w:highlight w:val="none"/>
                      <w:lang w:val="zh-CN"/>
                    </w:rPr>
                    <w:t>纬度</w:t>
                  </w:r>
                </w:p>
              </w:tc>
              <w:tc>
                <w:tcPr>
                  <w:tcW w:w="360" w:type="pct"/>
                  <w:vMerge w:val="continue"/>
                  <w:tcBorders>
                    <w:left w:val="single" w:color="000000" w:sz="4" w:space="0"/>
                    <w:bottom w:val="single" w:color="000000" w:sz="4" w:space="0"/>
                    <w:right w:val="single" w:color="000000" w:sz="4" w:space="0"/>
                  </w:tcBorders>
                  <w:noWrap w:val="0"/>
                  <w:vAlign w:val="center"/>
                </w:tcPr>
                <w:p w14:paraId="7F8D41C6">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p>
              </w:tc>
              <w:tc>
                <w:tcPr>
                  <w:tcW w:w="300"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4DD389">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p>
              </w:tc>
              <w:tc>
                <w:tcPr>
                  <w:tcW w:w="3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EB707A">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p>
              </w:tc>
              <w:tc>
                <w:tcPr>
                  <w:tcW w:w="3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DF20B2">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p>
              </w:tc>
              <w:tc>
                <w:tcPr>
                  <w:tcW w:w="37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83720B2">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32057C6">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p>
              </w:tc>
              <w:tc>
                <w:tcPr>
                  <w:tcW w:w="33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E44655">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p>
              </w:tc>
              <w:tc>
                <w:tcPr>
                  <w:tcW w:w="544" w:type="pct"/>
                  <w:vMerge w:val="continue"/>
                  <w:tcBorders>
                    <w:left w:val="single" w:color="000000" w:sz="4" w:space="0"/>
                    <w:bottom w:val="single" w:color="000000" w:sz="4" w:space="0"/>
                    <w:right w:val="single" w:color="000000" w:sz="4" w:space="0"/>
                  </w:tcBorders>
                  <w:noWrap w:val="0"/>
                  <w:vAlign w:val="center"/>
                </w:tcPr>
                <w:p w14:paraId="46346EAF">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lang w:val="zh-CN"/>
                    </w:rPr>
                  </w:pPr>
                </w:p>
              </w:tc>
              <w:tc>
                <w:tcPr>
                  <w:tcW w:w="528" w:type="pct"/>
                  <w:vMerge w:val="continue"/>
                  <w:tcBorders>
                    <w:left w:val="single" w:color="000000" w:sz="4" w:space="0"/>
                    <w:bottom w:val="single" w:color="000000" w:sz="4" w:space="0"/>
                    <w:right w:val="single" w:color="000000" w:sz="4" w:space="0"/>
                  </w:tcBorders>
                  <w:noWrap w:val="0"/>
                  <w:vAlign w:val="center"/>
                </w:tcPr>
                <w:p w14:paraId="5B0DC357">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lang w:val="zh-CN"/>
                    </w:rPr>
                  </w:pPr>
                </w:p>
              </w:tc>
            </w:tr>
            <w:tr w14:paraId="25BD5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jc w:val="center"/>
              </w:trPr>
              <w:tc>
                <w:tcPr>
                  <w:tcW w:w="312" w:type="pct"/>
                  <w:vMerge w:val="restart"/>
                  <w:tcBorders>
                    <w:top w:val="single" w:color="000000" w:sz="4" w:space="0"/>
                    <w:left w:val="single" w:color="000000" w:sz="4" w:space="0"/>
                    <w:right w:val="single" w:color="000000" w:sz="4" w:space="0"/>
                  </w:tcBorders>
                  <w:noWrap w:val="0"/>
                  <w:vAlign w:val="center"/>
                </w:tcPr>
                <w:p w14:paraId="537755CA">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生产车间</w:t>
                  </w:r>
                </w:p>
              </w:tc>
              <w:tc>
                <w:tcPr>
                  <w:tcW w:w="652" w:type="pct"/>
                  <w:vMerge w:val="restart"/>
                  <w:tcBorders>
                    <w:top w:val="single" w:color="000000" w:sz="4" w:space="0"/>
                    <w:left w:val="single" w:color="000000" w:sz="4" w:space="0"/>
                    <w:right w:val="single" w:color="000000" w:sz="4" w:space="0"/>
                  </w:tcBorders>
                  <w:noWrap w:val="0"/>
                  <w:vAlign w:val="center"/>
                </w:tcPr>
                <w:p w14:paraId="5BC134FA">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rPr>
                  </w:pPr>
                  <w:r>
                    <w:rPr>
                      <w:rFonts w:hint="default" w:ascii="Times New Roman" w:hAnsi="Times New Roman" w:cs="Times New Roman"/>
                      <w:kern w:val="0"/>
                      <w:sz w:val="21"/>
                      <w:szCs w:val="18"/>
                      <w:highlight w:val="none"/>
                      <w:lang w:val="en-US" w:eastAsia="zh-CN"/>
                    </w:rPr>
                    <w:t>113.</w:t>
                  </w:r>
                  <w:r>
                    <w:rPr>
                      <w:rFonts w:hint="eastAsia" w:cs="Times New Roman"/>
                      <w:kern w:val="0"/>
                      <w:sz w:val="21"/>
                      <w:szCs w:val="18"/>
                      <w:highlight w:val="none"/>
                      <w:lang w:val="en-US" w:eastAsia="zh-CN"/>
                    </w:rPr>
                    <w:t>563897</w:t>
                  </w:r>
                </w:p>
              </w:tc>
              <w:tc>
                <w:tcPr>
                  <w:tcW w:w="590" w:type="pct"/>
                  <w:vMerge w:val="restart"/>
                  <w:tcBorders>
                    <w:top w:val="single" w:color="000000" w:sz="4" w:space="0"/>
                    <w:left w:val="single" w:color="000000" w:sz="4" w:space="0"/>
                    <w:right w:val="single" w:color="000000" w:sz="4" w:space="0"/>
                  </w:tcBorders>
                  <w:noWrap w:val="0"/>
                  <w:vAlign w:val="center"/>
                </w:tcPr>
                <w:p w14:paraId="663E30D8">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rPr>
                  </w:pPr>
                  <w:r>
                    <w:rPr>
                      <w:rFonts w:hint="default" w:ascii="Times New Roman" w:hAnsi="Times New Roman" w:cs="Times New Roman"/>
                      <w:kern w:val="0"/>
                      <w:sz w:val="21"/>
                      <w:szCs w:val="18"/>
                      <w:highlight w:val="none"/>
                      <w:lang w:val="en-US" w:eastAsia="zh-CN"/>
                    </w:rPr>
                    <w:t>35.</w:t>
                  </w:r>
                  <w:r>
                    <w:rPr>
                      <w:rFonts w:hint="eastAsia" w:cs="Times New Roman"/>
                      <w:kern w:val="0"/>
                      <w:sz w:val="21"/>
                      <w:szCs w:val="18"/>
                      <w:highlight w:val="none"/>
                      <w:lang w:val="en-US" w:eastAsia="zh-CN"/>
                    </w:rPr>
                    <w:t>048536</w:t>
                  </w:r>
                </w:p>
              </w:tc>
              <w:tc>
                <w:tcPr>
                  <w:tcW w:w="360" w:type="pct"/>
                  <w:vMerge w:val="restart"/>
                  <w:tcBorders>
                    <w:top w:val="single" w:color="000000" w:sz="4" w:space="0"/>
                    <w:left w:val="single" w:color="000000" w:sz="4" w:space="0"/>
                    <w:right w:val="single" w:color="000000" w:sz="4" w:space="0"/>
                  </w:tcBorders>
                  <w:noWrap w:val="0"/>
                  <w:vAlign w:val="center"/>
                </w:tcPr>
                <w:p w14:paraId="72B808F8">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rPr>
                  </w:pPr>
                  <w:r>
                    <w:rPr>
                      <w:rFonts w:hint="eastAsia" w:cs="Times New Roman"/>
                      <w:kern w:val="0"/>
                      <w:sz w:val="21"/>
                      <w:szCs w:val="18"/>
                      <w:highlight w:val="none"/>
                      <w:lang w:val="en-US" w:eastAsia="zh-CN"/>
                    </w:rPr>
                    <w:t>88.9</w:t>
                  </w:r>
                </w:p>
              </w:tc>
              <w:tc>
                <w:tcPr>
                  <w:tcW w:w="300" w:type="pct"/>
                  <w:vMerge w:val="restart"/>
                  <w:tcBorders>
                    <w:top w:val="single" w:color="000000" w:sz="4" w:space="0"/>
                    <w:left w:val="single" w:color="000000" w:sz="4" w:space="0"/>
                    <w:right w:val="single" w:color="000000" w:sz="4" w:space="0"/>
                  </w:tcBorders>
                  <w:noWrap w:val="0"/>
                  <w:vAlign w:val="center"/>
                </w:tcPr>
                <w:p w14:paraId="600B5F76">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rPr>
                  </w:pPr>
                  <w:r>
                    <w:rPr>
                      <w:rFonts w:hint="eastAsia" w:cs="Times New Roman"/>
                      <w:kern w:val="0"/>
                      <w:sz w:val="21"/>
                      <w:szCs w:val="18"/>
                      <w:highlight w:val="none"/>
                      <w:lang w:val="en-US" w:eastAsia="zh-CN"/>
                    </w:rPr>
                    <w:t>70</w:t>
                  </w:r>
                </w:p>
              </w:tc>
              <w:tc>
                <w:tcPr>
                  <w:tcW w:w="308" w:type="pct"/>
                  <w:vMerge w:val="restart"/>
                  <w:tcBorders>
                    <w:top w:val="single" w:color="000000" w:sz="4" w:space="0"/>
                    <w:left w:val="single" w:color="000000" w:sz="4" w:space="0"/>
                    <w:right w:val="single" w:color="000000" w:sz="4" w:space="0"/>
                  </w:tcBorders>
                  <w:noWrap w:val="0"/>
                  <w:vAlign w:val="center"/>
                </w:tcPr>
                <w:p w14:paraId="2F517A3F">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rPr>
                  </w:pPr>
                  <w:r>
                    <w:rPr>
                      <w:rFonts w:hint="eastAsia" w:cs="Times New Roman"/>
                      <w:kern w:val="0"/>
                      <w:sz w:val="21"/>
                      <w:szCs w:val="18"/>
                      <w:highlight w:val="none"/>
                      <w:lang w:val="en-US" w:eastAsia="zh-CN"/>
                    </w:rPr>
                    <w:t>20</w:t>
                  </w:r>
                </w:p>
              </w:tc>
              <w:tc>
                <w:tcPr>
                  <w:tcW w:w="308" w:type="pct"/>
                  <w:vMerge w:val="restart"/>
                  <w:tcBorders>
                    <w:top w:val="single" w:color="000000" w:sz="4" w:space="0"/>
                    <w:left w:val="single" w:color="000000" w:sz="4" w:space="0"/>
                    <w:right w:val="single" w:color="000000" w:sz="4" w:space="0"/>
                  </w:tcBorders>
                  <w:noWrap w:val="0"/>
                  <w:vAlign w:val="center"/>
                </w:tcPr>
                <w:p w14:paraId="0C2F65C0">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rPr>
                  </w:pPr>
                  <w:r>
                    <w:rPr>
                      <w:rFonts w:hint="default" w:ascii="Times New Roman" w:hAnsi="Times New Roman" w:cs="Times New Roman"/>
                      <w:kern w:val="0"/>
                      <w:sz w:val="21"/>
                      <w:szCs w:val="18"/>
                      <w:highlight w:val="none"/>
                    </w:rPr>
                    <w:t>5</w:t>
                  </w:r>
                </w:p>
              </w:tc>
              <w:tc>
                <w:tcPr>
                  <w:tcW w:w="374" w:type="pct"/>
                  <w:vMerge w:val="restart"/>
                  <w:tcBorders>
                    <w:top w:val="single" w:color="000000" w:sz="4" w:space="0"/>
                    <w:left w:val="single" w:color="000000" w:sz="4" w:space="0"/>
                    <w:right w:val="single" w:color="000000" w:sz="4" w:space="0"/>
                  </w:tcBorders>
                  <w:noWrap w:val="0"/>
                  <w:vAlign w:val="center"/>
                </w:tcPr>
                <w:p w14:paraId="08789FDF">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rPr>
                  </w:pPr>
                  <w:r>
                    <w:rPr>
                      <w:rFonts w:hint="default" w:ascii="Times New Roman" w:hAnsi="Times New Roman" w:cs="Times New Roman"/>
                      <w:kern w:val="0"/>
                      <w:sz w:val="21"/>
                      <w:szCs w:val="18"/>
                      <w:highlight w:val="none"/>
                    </w:rPr>
                    <w:t>10</w:t>
                  </w:r>
                </w:p>
              </w:tc>
              <w:tc>
                <w:tcPr>
                  <w:tcW w:w="385" w:type="pct"/>
                  <w:vMerge w:val="restart"/>
                  <w:tcBorders>
                    <w:top w:val="single" w:color="000000" w:sz="4" w:space="0"/>
                    <w:left w:val="single" w:color="000000" w:sz="4" w:space="0"/>
                    <w:right w:val="single" w:color="000000" w:sz="4" w:space="0"/>
                  </w:tcBorders>
                  <w:noWrap w:val="0"/>
                  <w:vAlign w:val="center"/>
                </w:tcPr>
                <w:p w14:paraId="6BA9D366">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rPr>
                  </w:pPr>
                  <w:r>
                    <w:rPr>
                      <w:rFonts w:hint="default" w:ascii="Times New Roman" w:hAnsi="Times New Roman" w:cs="Times New Roman"/>
                      <w:kern w:val="0"/>
                      <w:sz w:val="21"/>
                      <w:szCs w:val="18"/>
                      <w:highlight w:val="none"/>
                    </w:rPr>
                    <w:t>2</w:t>
                  </w:r>
                  <w:r>
                    <w:rPr>
                      <w:rFonts w:hint="eastAsia" w:cs="Times New Roman"/>
                      <w:kern w:val="0"/>
                      <w:sz w:val="21"/>
                      <w:szCs w:val="18"/>
                      <w:highlight w:val="none"/>
                      <w:lang w:val="en-US" w:eastAsia="zh-CN"/>
                    </w:rPr>
                    <w:t>40</w:t>
                  </w:r>
                  <w:r>
                    <w:rPr>
                      <w:rFonts w:hint="default" w:ascii="Times New Roman" w:hAnsi="Times New Roman" w:cs="Times New Roman"/>
                      <w:kern w:val="0"/>
                      <w:sz w:val="21"/>
                      <w:szCs w:val="18"/>
                      <w:highlight w:val="none"/>
                      <w:lang w:val="en-US" w:eastAsia="zh-CN"/>
                    </w:rPr>
                    <w:t>0</w:t>
                  </w:r>
                </w:p>
              </w:tc>
              <w:tc>
                <w:tcPr>
                  <w:tcW w:w="333" w:type="pct"/>
                  <w:vMerge w:val="restart"/>
                  <w:tcBorders>
                    <w:top w:val="single" w:color="000000" w:sz="4" w:space="0"/>
                    <w:left w:val="single" w:color="000000" w:sz="4" w:space="0"/>
                    <w:right w:val="single" w:color="000000" w:sz="4" w:space="0"/>
                  </w:tcBorders>
                  <w:noWrap w:val="0"/>
                  <w:vAlign w:val="center"/>
                </w:tcPr>
                <w:p w14:paraId="61E25D88">
                  <w:pPr>
                    <w:keepLines w:val="0"/>
                    <w:pageBreakBefore w:val="0"/>
                    <w:widowControl w:val="0"/>
                    <w:kinsoku/>
                    <w:wordWrap/>
                    <w:topLinePunct w:val="0"/>
                    <w:autoSpaceDE w:val="0"/>
                    <w:autoSpaceDN w:val="0"/>
                    <w:bidi w:val="0"/>
                    <w:adjustRightInd w:val="0"/>
                    <w:spacing w:line="360" w:lineRule="exact"/>
                    <w:ind w:firstLine="0" w:firstLineChars="0"/>
                    <w:jc w:val="center"/>
                    <w:textAlignment w:val="auto"/>
                    <w:rPr>
                      <w:rFonts w:hint="default" w:ascii="Times New Roman" w:hAnsi="Times New Roman" w:cs="Times New Roman"/>
                      <w:kern w:val="0"/>
                      <w:sz w:val="21"/>
                      <w:szCs w:val="18"/>
                      <w:highlight w:val="none"/>
                      <w:lang w:val="zh-CN"/>
                    </w:rPr>
                  </w:pPr>
                  <w:r>
                    <w:rPr>
                      <w:rFonts w:hint="default" w:ascii="Times New Roman" w:hAnsi="Times New Roman" w:cs="Times New Roman"/>
                      <w:kern w:val="0"/>
                      <w:sz w:val="21"/>
                      <w:szCs w:val="18"/>
                      <w:highlight w:val="none"/>
                      <w:lang w:val="zh-CN"/>
                    </w:rPr>
                    <w:t>正常</w:t>
                  </w:r>
                </w:p>
              </w:tc>
              <w:tc>
                <w:tcPr>
                  <w:tcW w:w="544" w:type="pct"/>
                  <w:tcBorders>
                    <w:top w:val="single" w:color="000000" w:sz="4" w:space="0"/>
                    <w:left w:val="single" w:color="000000" w:sz="4" w:space="0"/>
                    <w:right w:val="single" w:color="000000" w:sz="4" w:space="0"/>
                  </w:tcBorders>
                  <w:noWrap w:val="0"/>
                  <w:vAlign w:val="center"/>
                </w:tcPr>
                <w:p w14:paraId="5EA5DC6C">
                  <w:pPr>
                    <w:pStyle w:val="2"/>
                    <w:keepLines w:val="0"/>
                    <w:pageBreakBefore w:val="0"/>
                    <w:widowControl w:val="0"/>
                    <w:kinsoku/>
                    <w:wordWrap/>
                    <w:topLinePunct w:val="0"/>
                    <w:bidi w:val="0"/>
                    <w:spacing w:line="360" w:lineRule="exact"/>
                    <w:ind w:left="0" w:leftChars="0" w:firstLine="0" w:firstLineChars="0"/>
                    <w:jc w:val="center"/>
                    <w:textAlignment w:val="auto"/>
                    <w:rPr>
                      <w:rFonts w:hint="eastAsia" w:eastAsia="宋体" w:cs="Times New Roman"/>
                      <w:kern w:val="0"/>
                      <w:sz w:val="21"/>
                      <w:szCs w:val="18"/>
                      <w:lang w:eastAsia="zh-CN"/>
                    </w:rPr>
                  </w:pPr>
                  <w:r>
                    <w:rPr>
                      <w:rFonts w:hint="eastAsia" w:eastAsia="宋体" w:cs="Times New Roman"/>
                      <w:kern w:val="0"/>
                      <w:sz w:val="21"/>
                      <w:szCs w:val="18"/>
                      <w:lang w:eastAsia="zh-CN"/>
                    </w:rPr>
                    <w:t>非甲烷</w:t>
                  </w:r>
                </w:p>
                <w:p w14:paraId="066CC45B">
                  <w:pPr>
                    <w:pStyle w:val="2"/>
                    <w:keepLines w:val="0"/>
                    <w:pageBreakBefore w:val="0"/>
                    <w:widowControl w:val="0"/>
                    <w:kinsoku/>
                    <w:wordWrap/>
                    <w:topLinePunct w:val="0"/>
                    <w:bidi w:val="0"/>
                    <w:spacing w:line="360" w:lineRule="exact"/>
                    <w:ind w:left="0" w:leftChars="0" w:firstLine="0" w:firstLineChars="0"/>
                    <w:jc w:val="center"/>
                    <w:textAlignment w:val="auto"/>
                    <w:rPr>
                      <w:rFonts w:hint="default" w:ascii="Times New Roman" w:hAnsi="Times New Roman" w:eastAsia="宋体" w:cs="Times New Roman"/>
                      <w:kern w:val="0"/>
                      <w:sz w:val="21"/>
                      <w:szCs w:val="18"/>
                      <w:lang w:eastAsia="zh-CN"/>
                    </w:rPr>
                  </w:pPr>
                  <w:r>
                    <w:rPr>
                      <w:rFonts w:hint="eastAsia" w:eastAsia="宋体" w:cs="Times New Roman"/>
                      <w:kern w:val="0"/>
                      <w:sz w:val="21"/>
                      <w:szCs w:val="18"/>
                      <w:lang w:eastAsia="zh-CN"/>
                    </w:rPr>
                    <w:t>总烃</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14:paraId="467E74AE">
                  <w:pPr>
                    <w:pStyle w:val="2"/>
                    <w:keepLines w:val="0"/>
                    <w:pageBreakBefore w:val="0"/>
                    <w:widowControl w:val="0"/>
                    <w:kinsoku/>
                    <w:wordWrap/>
                    <w:topLinePunct w:val="0"/>
                    <w:bidi w:val="0"/>
                    <w:spacing w:line="360" w:lineRule="exact"/>
                    <w:ind w:left="0" w:leftChars="0" w:firstLine="0" w:firstLineChars="0"/>
                    <w:jc w:val="center"/>
                    <w:textAlignment w:val="auto"/>
                    <w:rPr>
                      <w:rFonts w:hint="default" w:ascii="Times New Roman" w:hAnsi="Times New Roman" w:eastAsia="宋体" w:cs="Times New Roman"/>
                      <w:kern w:val="0"/>
                      <w:sz w:val="21"/>
                      <w:szCs w:val="18"/>
                      <w:lang w:val="en-US" w:eastAsia="zh-CN"/>
                    </w:rPr>
                  </w:pPr>
                  <w:r>
                    <w:rPr>
                      <w:rFonts w:hint="default" w:ascii="Times New Roman" w:hAnsi="Times New Roman" w:eastAsia="宋体" w:cs="Times New Roman"/>
                      <w:kern w:val="0"/>
                      <w:sz w:val="21"/>
                      <w:szCs w:val="18"/>
                      <w:lang w:val="en-US" w:eastAsia="zh-CN"/>
                    </w:rPr>
                    <w:t>0.0</w:t>
                  </w:r>
                  <w:r>
                    <w:rPr>
                      <w:rFonts w:hint="eastAsia" w:eastAsia="宋体" w:cs="Times New Roman"/>
                      <w:kern w:val="0"/>
                      <w:sz w:val="21"/>
                      <w:szCs w:val="18"/>
                      <w:lang w:val="en-US" w:eastAsia="zh-CN"/>
                    </w:rPr>
                    <w:t>285</w:t>
                  </w:r>
                </w:p>
              </w:tc>
            </w:tr>
            <w:tr w14:paraId="5068D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jc w:val="center"/>
              </w:trPr>
              <w:tc>
                <w:tcPr>
                  <w:tcW w:w="312" w:type="pct"/>
                  <w:vMerge w:val="continue"/>
                  <w:tcBorders>
                    <w:left w:val="single" w:color="000000" w:sz="4" w:space="0"/>
                    <w:right w:val="single" w:color="000000" w:sz="4" w:space="0"/>
                  </w:tcBorders>
                  <w:noWrap w:val="0"/>
                  <w:vAlign w:val="center"/>
                </w:tcPr>
                <w:p w14:paraId="12968535">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652" w:type="pct"/>
                  <w:vMerge w:val="continue"/>
                  <w:tcBorders>
                    <w:left w:val="single" w:color="000000" w:sz="4" w:space="0"/>
                    <w:right w:val="single" w:color="000000" w:sz="4" w:space="0"/>
                  </w:tcBorders>
                  <w:noWrap w:val="0"/>
                  <w:vAlign w:val="center"/>
                </w:tcPr>
                <w:p w14:paraId="3D827352">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590" w:type="pct"/>
                  <w:vMerge w:val="continue"/>
                  <w:tcBorders>
                    <w:left w:val="single" w:color="000000" w:sz="4" w:space="0"/>
                    <w:right w:val="single" w:color="000000" w:sz="4" w:space="0"/>
                  </w:tcBorders>
                  <w:noWrap w:val="0"/>
                  <w:vAlign w:val="center"/>
                </w:tcPr>
                <w:p w14:paraId="58B11B85">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360" w:type="pct"/>
                  <w:vMerge w:val="continue"/>
                  <w:tcBorders>
                    <w:left w:val="single" w:color="000000" w:sz="4" w:space="0"/>
                    <w:right w:val="single" w:color="000000" w:sz="4" w:space="0"/>
                  </w:tcBorders>
                  <w:noWrap w:val="0"/>
                  <w:vAlign w:val="center"/>
                </w:tcPr>
                <w:p w14:paraId="61F48B73">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300" w:type="pct"/>
                  <w:vMerge w:val="continue"/>
                  <w:tcBorders>
                    <w:left w:val="single" w:color="000000" w:sz="4" w:space="0"/>
                    <w:right w:val="single" w:color="000000" w:sz="4" w:space="0"/>
                  </w:tcBorders>
                  <w:noWrap w:val="0"/>
                  <w:vAlign w:val="center"/>
                </w:tcPr>
                <w:p w14:paraId="28950F4B">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308" w:type="pct"/>
                  <w:vMerge w:val="continue"/>
                  <w:tcBorders>
                    <w:left w:val="single" w:color="000000" w:sz="4" w:space="0"/>
                    <w:right w:val="single" w:color="000000" w:sz="4" w:space="0"/>
                  </w:tcBorders>
                  <w:noWrap w:val="0"/>
                  <w:vAlign w:val="center"/>
                </w:tcPr>
                <w:p w14:paraId="1FB3F72E">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308" w:type="pct"/>
                  <w:vMerge w:val="continue"/>
                  <w:tcBorders>
                    <w:left w:val="single" w:color="000000" w:sz="4" w:space="0"/>
                    <w:right w:val="single" w:color="000000" w:sz="4" w:space="0"/>
                  </w:tcBorders>
                  <w:noWrap w:val="0"/>
                  <w:vAlign w:val="center"/>
                </w:tcPr>
                <w:p w14:paraId="1EACA1EA">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374" w:type="pct"/>
                  <w:vMerge w:val="continue"/>
                  <w:tcBorders>
                    <w:left w:val="single" w:color="000000" w:sz="4" w:space="0"/>
                    <w:right w:val="single" w:color="000000" w:sz="4" w:space="0"/>
                  </w:tcBorders>
                  <w:noWrap w:val="0"/>
                  <w:vAlign w:val="center"/>
                </w:tcPr>
                <w:p w14:paraId="2F4F143B">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385" w:type="pct"/>
                  <w:vMerge w:val="continue"/>
                  <w:tcBorders>
                    <w:left w:val="single" w:color="000000" w:sz="4" w:space="0"/>
                    <w:right w:val="single" w:color="000000" w:sz="4" w:space="0"/>
                  </w:tcBorders>
                  <w:noWrap w:val="0"/>
                  <w:vAlign w:val="center"/>
                </w:tcPr>
                <w:p w14:paraId="24B13437">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333" w:type="pct"/>
                  <w:vMerge w:val="continue"/>
                  <w:tcBorders>
                    <w:left w:val="single" w:color="000000" w:sz="4" w:space="0"/>
                    <w:right w:val="single" w:color="000000" w:sz="4" w:space="0"/>
                  </w:tcBorders>
                  <w:noWrap w:val="0"/>
                  <w:vAlign w:val="center"/>
                </w:tcPr>
                <w:p w14:paraId="63FE59B6">
                  <w:pPr>
                    <w:pStyle w:val="2"/>
                    <w:keepLines w:val="0"/>
                    <w:pageBreakBefore w:val="0"/>
                    <w:widowControl w:val="0"/>
                    <w:kinsoku/>
                    <w:wordWrap/>
                    <w:topLinePunct w:val="0"/>
                    <w:bidi w:val="0"/>
                    <w:spacing w:line="360" w:lineRule="exact"/>
                    <w:ind w:left="0" w:leftChars="0" w:firstLine="0" w:firstLineChars="0"/>
                    <w:jc w:val="center"/>
                    <w:textAlignment w:val="auto"/>
                  </w:pPr>
                </w:p>
              </w:tc>
              <w:tc>
                <w:tcPr>
                  <w:tcW w:w="544" w:type="pct"/>
                  <w:tcBorders>
                    <w:top w:val="single" w:color="000000" w:sz="4" w:space="0"/>
                    <w:left w:val="single" w:color="000000" w:sz="4" w:space="0"/>
                    <w:right w:val="single" w:color="000000" w:sz="4" w:space="0"/>
                  </w:tcBorders>
                  <w:noWrap w:val="0"/>
                  <w:vAlign w:val="center"/>
                </w:tcPr>
                <w:p w14:paraId="77A30F33">
                  <w:pPr>
                    <w:pStyle w:val="2"/>
                    <w:keepLines w:val="0"/>
                    <w:pageBreakBefore w:val="0"/>
                    <w:widowControl w:val="0"/>
                    <w:kinsoku/>
                    <w:wordWrap/>
                    <w:topLinePunct w:val="0"/>
                    <w:bidi w:val="0"/>
                    <w:spacing w:line="360" w:lineRule="exact"/>
                    <w:ind w:left="0" w:leftChars="0" w:firstLine="0" w:firstLineChars="0"/>
                    <w:jc w:val="center"/>
                    <w:textAlignment w:val="auto"/>
                    <w:rPr>
                      <w:rFonts w:hint="eastAsia" w:eastAsia="宋体" w:cs="Times New Roman"/>
                      <w:kern w:val="0"/>
                      <w:sz w:val="21"/>
                      <w:szCs w:val="18"/>
                      <w:lang w:eastAsia="zh-CN"/>
                    </w:rPr>
                  </w:pPr>
                  <w:r>
                    <w:rPr>
                      <w:rFonts w:hint="eastAsia" w:eastAsia="宋体" w:cs="Times New Roman"/>
                      <w:kern w:val="0"/>
                      <w:sz w:val="21"/>
                      <w:szCs w:val="18"/>
                      <w:lang w:eastAsia="zh-CN"/>
                    </w:rPr>
                    <w:t>苯乙烯</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14:paraId="53734A39">
                  <w:pPr>
                    <w:pStyle w:val="2"/>
                    <w:keepLines w:val="0"/>
                    <w:pageBreakBefore w:val="0"/>
                    <w:widowControl w:val="0"/>
                    <w:kinsoku/>
                    <w:wordWrap/>
                    <w:topLinePunct w:val="0"/>
                    <w:bidi w:val="0"/>
                    <w:spacing w:line="360" w:lineRule="exact"/>
                    <w:ind w:left="0" w:leftChars="0" w:firstLine="0" w:firstLineChars="0"/>
                    <w:jc w:val="center"/>
                    <w:textAlignment w:val="auto"/>
                    <w:rPr>
                      <w:rFonts w:hint="default" w:eastAsia="宋体" w:cs="Times New Roman"/>
                      <w:kern w:val="0"/>
                      <w:sz w:val="21"/>
                      <w:szCs w:val="18"/>
                      <w:lang w:val="en-US" w:eastAsia="zh-CN"/>
                    </w:rPr>
                  </w:pPr>
                  <w:r>
                    <w:rPr>
                      <w:rFonts w:hint="eastAsia" w:eastAsia="宋体" w:cs="Times New Roman"/>
                      <w:kern w:val="0"/>
                      <w:sz w:val="21"/>
                      <w:szCs w:val="18"/>
                      <w:lang w:val="en-US" w:eastAsia="zh-CN"/>
                    </w:rPr>
                    <w:t>0.005</w:t>
                  </w:r>
                </w:p>
              </w:tc>
            </w:tr>
          </w:tbl>
          <w:p w14:paraId="57E9E4BD">
            <w:pPr>
              <w:keepNext w:val="0"/>
              <w:keepLines w:val="0"/>
              <w:pageBreakBefore w:val="0"/>
              <w:widowControl w:val="0"/>
              <w:kinsoku/>
              <w:wordWrap/>
              <w:overflowPunct/>
              <w:topLinePunct w:val="0"/>
              <w:autoSpaceDE/>
              <w:autoSpaceDN/>
              <w:bidi w:val="0"/>
              <w:adjustRightInd/>
              <w:snapToGrid/>
              <w:spacing w:line="520" w:lineRule="atLeast"/>
              <w:ind w:firstLine="482"/>
              <w:textAlignment w:val="auto"/>
              <w:rPr>
                <w:rFonts w:hint="default" w:ascii="Times New Roman" w:hAnsi="Times New Roman" w:cs="Times New Roman"/>
                <w:b/>
              </w:rPr>
            </w:pPr>
            <w:r>
              <w:rPr>
                <w:rFonts w:hint="default" w:ascii="Times New Roman" w:hAnsi="Times New Roman" w:cs="Times New Roman"/>
                <w:b/>
              </w:rPr>
              <w:t>1.</w:t>
            </w:r>
            <w:r>
              <w:rPr>
                <w:rFonts w:hint="default" w:ascii="Times New Roman" w:hAnsi="Times New Roman" w:cs="Times New Roman"/>
                <w:b/>
                <w:lang w:val="en-US" w:eastAsia="zh-CN"/>
              </w:rPr>
              <w:t>5</w:t>
            </w:r>
            <w:r>
              <w:rPr>
                <w:rFonts w:hint="default" w:ascii="Times New Roman" w:hAnsi="Times New Roman" w:cs="Times New Roman"/>
                <w:b/>
              </w:rPr>
              <w:t>非正常工况排放</w:t>
            </w:r>
          </w:p>
          <w:p w14:paraId="5BFE26B1">
            <w:pPr>
              <w:keepNext w:val="0"/>
              <w:keepLines w:val="0"/>
              <w:pageBreakBefore w:val="0"/>
              <w:widowControl w:val="0"/>
              <w:kinsoku/>
              <w:wordWrap/>
              <w:overflowPunct/>
              <w:topLinePunct w:val="0"/>
              <w:autoSpaceDE/>
              <w:autoSpaceDN/>
              <w:bidi w:val="0"/>
              <w:adjustRightInd/>
              <w:snapToGrid/>
              <w:spacing w:line="520" w:lineRule="atLeast"/>
              <w:ind w:firstLine="480"/>
              <w:textAlignment w:val="auto"/>
              <w:rPr>
                <w:rFonts w:hint="default" w:ascii="Times New Roman" w:hAnsi="Times New Roman" w:cs="Times New Roman"/>
              </w:rPr>
            </w:pPr>
            <w:r>
              <w:rPr>
                <w:rFonts w:hint="default" w:ascii="Times New Roman" w:hAnsi="Times New Roman" w:cs="Times New Roman"/>
              </w:rPr>
              <w:t>项目生产设备启动前按照程序先启动相应废气处理措施，废气处理措施正常运行后方可进行生产设备启动，故项目生产设施开停机正常情况下不会产生废气未经处理直接排放情况。根据一般企业生产经验，出现非正常工况排污的情况为废气处理设施突发故障，不能达到设计处理效率而产生的排放，发生频率1次/年，一般发现后可在1小时内抢修完成。本次评价以废气处理设备出现故障，</w:t>
            </w:r>
            <w:r>
              <w:rPr>
                <w:rFonts w:hint="default" w:ascii="Times New Roman" w:hAnsi="Times New Roman" w:cs="Times New Roman"/>
                <w:highlight w:val="none"/>
              </w:rPr>
              <w:t>处理效率</w:t>
            </w:r>
            <w:r>
              <w:rPr>
                <w:rFonts w:hint="default" w:ascii="Times New Roman" w:hAnsi="Times New Roman" w:cs="Times New Roman"/>
                <w:highlight w:val="none"/>
                <w:lang w:eastAsia="zh-CN"/>
              </w:rPr>
              <w:t>为</w:t>
            </w:r>
            <w:r>
              <w:rPr>
                <w:rFonts w:hint="default" w:ascii="Times New Roman" w:hAnsi="Times New Roman" w:cs="Times New Roman"/>
                <w:highlight w:val="none"/>
                <w:lang w:val="en-US" w:eastAsia="zh-CN"/>
              </w:rPr>
              <w:t>0</w:t>
            </w:r>
            <w:r>
              <w:rPr>
                <w:rFonts w:hint="default" w:ascii="Times New Roman" w:hAnsi="Times New Roman" w:cs="Times New Roman"/>
                <w:highlight w:val="none"/>
              </w:rPr>
              <w:t>进行统计，</w:t>
            </w:r>
            <w:r>
              <w:rPr>
                <w:rFonts w:hint="default" w:ascii="Times New Roman" w:hAnsi="Times New Roman" w:cs="Times New Roman"/>
              </w:rPr>
              <w:t>项目非正常工况排放情况见下表。</w:t>
            </w:r>
          </w:p>
          <w:p w14:paraId="037A30B3">
            <w:pPr>
              <w:pStyle w:val="8"/>
              <w:keepNext w:val="0"/>
              <w:keepLines w:val="0"/>
              <w:pageBreakBefore w:val="0"/>
              <w:widowControl w:val="0"/>
              <w:kinsoku/>
              <w:wordWrap/>
              <w:overflowPunct/>
              <w:topLinePunct w:val="0"/>
              <w:autoSpaceDE/>
              <w:autoSpaceDN/>
              <w:bidi w:val="0"/>
              <w:adjustRightInd/>
              <w:snapToGrid w:val="0"/>
              <w:spacing w:after="0" w:line="520" w:lineRule="exact"/>
              <w:ind w:left="0" w:leftChars="0" w:firstLine="0" w:firstLineChars="0"/>
              <w:jc w:val="center"/>
              <w:textAlignment w:val="auto"/>
              <w:rPr>
                <w:rFonts w:hint="default" w:ascii="Times New Roman" w:hAnsi="Times New Roman" w:cs="Times New Roman"/>
                <w:b/>
                <w:szCs w:val="22"/>
                <w:highlight w:val="none"/>
              </w:rPr>
            </w:pPr>
            <w:r>
              <w:rPr>
                <w:rFonts w:hint="default" w:ascii="Times New Roman" w:hAnsi="Times New Roman" w:cs="Times New Roman"/>
                <w:b/>
                <w:szCs w:val="22"/>
                <w:highlight w:val="none"/>
              </w:rPr>
              <w:t>表4-</w:t>
            </w:r>
            <w:r>
              <w:rPr>
                <w:rFonts w:hint="eastAsia" w:cs="Times New Roman"/>
                <w:b/>
                <w:szCs w:val="22"/>
                <w:highlight w:val="none"/>
                <w:lang w:val="en-US" w:eastAsia="zh-CN"/>
              </w:rPr>
              <w:t>4</w:t>
            </w:r>
            <w:r>
              <w:rPr>
                <w:rFonts w:hint="default" w:ascii="Times New Roman" w:hAnsi="Times New Roman" w:cs="Times New Roman"/>
                <w:b/>
                <w:szCs w:val="22"/>
                <w:highlight w:val="none"/>
              </w:rPr>
              <w:t xml:space="preserve">  </w:t>
            </w:r>
            <w:r>
              <w:rPr>
                <w:rFonts w:hint="default" w:ascii="Times New Roman" w:hAnsi="Times New Roman" w:cs="Times New Roman"/>
                <w:b/>
                <w:szCs w:val="22"/>
                <w:highlight w:val="none"/>
                <w:lang w:eastAsia="zh-CN"/>
              </w:rPr>
              <w:t>项目</w:t>
            </w:r>
            <w:r>
              <w:rPr>
                <w:rFonts w:hint="default" w:ascii="Times New Roman" w:hAnsi="Times New Roman" w:cs="Times New Roman"/>
                <w:b/>
                <w:szCs w:val="22"/>
                <w:highlight w:val="none"/>
              </w:rPr>
              <w:t>非正常情况下</w:t>
            </w:r>
            <w:r>
              <w:rPr>
                <w:rFonts w:hint="default" w:ascii="Times New Roman" w:hAnsi="Times New Roman" w:cs="Times New Roman"/>
                <w:b/>
                <w:szCs w:val="22"/>
                <w:highlight w:val="none"/>
                <w:lang w:eastAsia="zh-CN"/>
              </w:rPr>
              <w:t>排放参数表</w:t>
            </w:r>
          </w:p>
          <w:tbl>
            <w:tblPr>
              <w:tblStyle w:val="15"/>
              <w:tblW w:w="4988" w:type="pct"/>
              <w:tblInd w:w="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65"/>
              <w:gridCol w:w="1486"/>
              <w:gridCol w:w="1028"/>
              <w:gridCol w:w="1339"/>
              <w:gridCol w:w="1074"/>
              <w:gridCol w:w="895"/>
              <w:gridCol w:w="859"/>
              <w:gridCol w:w="1034"/>
            </w:tblGrid>
            <w:tr w14:paraId="551513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1" w:hRule="atLeast"/>
              </w:trPr>
              <w:tc>
                <w:tcPr>
                  <w:tcW w:w="606" w:type="pct"/>
                  <w:tcBorders>
                    <w:tl2br w:val="nil"/>
                    <w:tr2bl w:val="nil"/>
                  </w:tcBorders>
                  <w:noWrap w:val="0"/>
                  <w:vAlign w:val="center"/>
                </w:tcPr>
                <w:p w14:paraId="3DCBF1BC">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非正常</w:t>
                  </w:r>
                </w:p>
                <w:p w14:paraId="10D7E386">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排放参数</w:t>
                  </w:r>
                </w:p>
              </w:tc>
              <w:tc>
                <w:tcPr>
                  <w:tcW w:w="846" w:type="pct"/>
                  <w:tcBorders>
                    <w:tl2br w:val="nil"/>
                    <w:tr2bl w:val="nil"/>
                  </w:tcBorders>
                  <w:noWrap w:val="0"/>
                  <w:vAlign w:val="center"/>
                </w:tcPr>
                <w:p w14:paraId="3850C476">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非正常</w:t>
                  </w:r>
                </w:p>
                <w:p w14:paraId="2ED0FB3C">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排放原因</w:t>
                  </w:r>
                </w:p>
              </w:tc>
              <w:tc>
                <w:tcPr>
                  <w:tcW w:w="585" w:type="pct"/>
                  <w:tcBorders>
                    <w:tl2br w:val="nil"/>
                    <w:tr2bl w:val="nil"/>
                  </w:tcBorders>
                  <w:noWrap w:val="0"/>
                  <w:vAlign w:val="center"/>
                </w:tcPr>
                <w:p w14:paraId="1C6DC2DF">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污染物</w:t>
                  </w:r>
                </w:p>
              </w:tc>
              <w:tc>
                <w:tcPr>
                  <w:tcW w:w="762" w:type="pct"/>
                  <w:tcBorders>
                    <w:tl2br w:val="nil"/>
                    <w:tr2bl w:val="nil"/>
                  </w:tcBorders>
                  <w:noWrap w:val="0"/>
                  <w:vAlign w:val="center"/>
                </w:tcPr>
                <w:p w14:paraId="43E186AC">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非正常排放速率（kg/h)</w:t>
                  </w:r>
                </w:p>
              </w:tc>
              <w:tc>
                <w:tcPr>
                  <w:tcW w:w="611" w:type="pct"/>
                  <w:tcBorders>
                    <w:tl2br w:val="nil"/>
                    <w:tr2bl w:val="nil"/>
                  </w:tcBorders>
                  <w:noWrap w:val="0"/>
                  <w:vAlign w:val="center"/>
                </w:tcPr>
                <w:p w14:paraId="1B817E6E">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单次持续时间(h)</w:t>
                  </w:r>
                </w:p>
              </w:tc>
              <w:tc>
                <w:tcPr>
                  <w:tcW w:w="509" w:type="pct"/>
                  <w:tcBorders>
                    <w:tl2br w:val="nil"/>
                    <w:tr2bl w:val="nil"/>
                  </w:tcBorders>
                  <w:noWrap w:val="0"/>
                  <w:vAlign w:val="center"/>
                </w:tcPr>
                <w:p w14:paraId="21A3E727">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年发生</w:t>
                  </w:r>
                </w:p>
                <w:p w14:paraId="5AC75B8E">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频率</w:t>
                  </w:r>
                </w:p>
              </w:tc>
              <w:tc>
                <w:tcPr>
                  <w:tcW w:w="489" w:type="pct"/>
                  <w:tcBorders>
                    <w:tl2br w:val="nil"/>
                    <w:tr2bl w:val="nil"/>
                  </w:tcBorders>
                  <w:noWrap w:val="0"/>
                  <w:vAlign w:val="center"/>
                </w:tcPr>
                <w:p w14:paraId="624AD53E">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排放量（kg）</w:t>
                  </w:r>
                </w:p>
              </w:tc>
              <w:tc>
                <w:tcPr>
                  <w:tcW w:w="588" w:type="pct"/>
                  <w:tcBorders>
                    <w:tl2br w:val="nil"/>
                    <w:tr2bl w:val="nil"/>
                  </w:tcBorders>
                  <w:noWrap w:val="0"/>
                  <w:vAlign w:val="center"/>
                </w:tcPr>
                <w:p w14:paraId="6A04ED75">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应对</w:t>
                  </w:r>
                </w:p>
                <w:p w14:paraId="221C24EC">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措施</w:t>
                  </w:r>
                </w:p>
              </w:tc>
            </w:tr>
            <w:tr w14:paraId="6DE8D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606" w:type="pct"/>
                  <w:vMerge w:val="restart"/>
                  <w:tcBorders>
                    <w:tl2br w:val="nil"/>
                    <w:tr2bl w:val="nil"/>
                  </w:tcBorders>
                  <w:noWrap w:val="0"/>
                  <w:vAlign w:val="center"/>
                </w:tcPr>
                <w:p w14:paraId="190CE8AC">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DA001</w:t>
                  </w:r>
                </w:p>
              </w:tc>
              <w:tc>
                <w:tcPr>
                  <w:tcW w:w="846" w:type="pct"/>
                  <w:vMerge w:val="restart"/>
                  <w:tcBorders>
                    <w:tl2br w:val="nil"/>
                    <w:tr2bl w:val="nil"/>
                  </w:tcBorders>
                  <w:noWrap w:val="0"/>
                  <w:vAlign w:val="center"/>
                </w:tcPr>
                <w:p w14:paraId="36A5C158">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b w:val="0"/>
                      <w:bCs/>
                      <w:color w:val="auto"/>
                      <w:sz w:val="21"/>
                      <w:szCs w:val="21"/>
                      <w:u w:val="none"/>
                      <w:lang w:eastAsia="zh-CN"/>
                    </w:rPr>
                  </w:pPr>
                  <w:r>
                    <w:rPr>
                      <w:rFonts w:hint="default" w:ascii="Times New Roman" w:hAnsi="Times New Roman" w:eastAsia="宋体" w:cs="Times New Roman"/>
                      <w:b w:val="0"/>
                      <w:bCs/>
                      <w:color w:val="auto"/>
                      <w:sz w:val="21"/>
                      <w:szCs w:val="21"/>
                      <w:u w:val="none"/>
                      <w:lang w:eastAsia="zh-CN"/>
                    </w:rPr>
                    <w:t>废气处理</w:t>
                  </w:r>
                </w:p>
                <w:p w14:paraId="2595C547">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color w:val="auto"/>
                      <w:sz w:val="21"/>
                      <w:szCs w:val="21"/>
                      <w:u w:val="none"/>
                      <w:lang w:eastAsia="zh-CN"/>
                    </w:rPr>
                    <w:t>设施故障</w:t>
                  </w:r>
                </w:p>
              </w:tc>
              <w:tc>
                <w:tcPr>
                  <w:tcW w:w="585" w:type="pct"/>
                  <w:tcBorders>
                    <w:tl2br w:val="nil"/>
                    <w:tr2bl w:val="nil"/>
                  </w:tcBorders>
                  <w:noWrap w:val="0"/>
                  <w:vAlign w:val="center"/>
                </w:tcPr>
                <w:p w14:paraId="2371A23F">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非甲烷总烃</w:t>
                  </w:r>
                </w:p>
              </w:tc>
              <w:tc>
                <w:tcPr>
                  <w:tcW w:w="762" w:type="pct"/>
                  <w:tcBorders>
                    <w:tl2br w:val="nil"/>
                    <w:tr2bl w:val="nil"/>
                  </w:tcBorders>
                  <w:noWrap w:val="0"/>
                  <w:vAlign w:val="center"/>
                </w:tcPr>
                <w:p w14:paraId="00EAAC82">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eastAsia="宋体" w:cs="Times New Roman"/>
                      <w:bCs/>
                      <w:color w:val="000000"/>
                      <w:kern w:val="0"/>
                      <w:sz w:val="21"/>
                      <w:szCs w:val="21"/>
                      <w:highlight w:val="none"/>
                      <w:lang w:val="en-US" w:eastAsia="zh-CN" w:bidi="ar-SA"/>
                    </w:rPr>
                    <w:t>0.</w:t>
                  </w:r>
                  <w:r>
                    <w:rPr>
                      <w:rFonts w:hint="eastAsia" w:ascii="Times New Roman" w:hAnsi="Times New Roman" w:cs="Times New Roman"/>
                      <w:bCs/>
                      <w:color w:val="000000"/>
                      <w:kern w:val="0"/>
                      <w:sz w:val="21"/>
                      <w:szCs w:val="21"/>
                      <w:highlight w:val="none"/>
                      <w:lang w:val="en-US" w:eastAsia="zh-CN" w:bidi="ar-SA"/>
                    </w:rPr>
                    <w:t>2256</w:t>
                  </w:r>
                </w:p>
              </w:tc>
              <w:tc>
                <w:tcPr>
                  <w:tcW w:w="611" w:type="pct"/>
                  <w:vMerge w:val="restart"/>
                  <w:tcBorders>
                    <w:tl2br w:val="nil"/>
                    <w:tr2bl w:val="nil"/>
                  </w:tcBorders>
                  <w:noWrap w:val="0"/>
                  <w:vAlign w:val="center"/>
                </w:tcPr>
                <w:p w14:paraId="54103FBC">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509" w:type="pct"/>
                  <w:vMerge w:val="restart"/>
                  <w:tcBorders>
                    <w:tl2br w:val="nil"/>
                    <w:tr2bl w:val="nil"/>
                  </w:tcBorders>
                  <w:noWrap w:val="0"/>
                  <w:vAlign w:val="center"/>
                </w:tcPr>
                <w:p w14:paraId="6F9FCDC2">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1次</w:t>
                  </w:r>
                </w:p>
              </w:tc>
              <w:tc>
                <w:tcPr>
                  <w:tcW w:w="489" w:type="pct"/>
                  <w:tcBorders>
                    <w:tl2br w:val="nil"/>
                    <w:tr2bl w:val="nil"/>
                  </w:tcBorders>
                  <w:noWrap w:val="0"/>
                  <w:vAlign w:val="center"/>
                </w:tcPr>
                <w:p w14:paraId="5767C3E1">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eastAsia="宋体" w:cs="Times New Roman"/>
                      <w:bCs/>
                      <w:color w:val="000000"/>
                      <w:kern w:val="0"/>
                      <w:sz w:val="21"/>
                      <w:szCs w:val="21"/>
                      <w:highlight w:val="none"/>
                      <w:lang w:val="en-US" w:eastAsia="zh-CN" w:bidi="ar-SA"/>
                    </w:rPr>
                    <w:t>0.</w:t>
                  </w:r>
                  <w:r>
                    <w:rPr>
                      <w:rFonts w:hint="eastAsia" w:ascii="Times New Roman" w:hAnsi="Times New Roman" w:cs="Times New Roman"/>
                      <w:bCs/>
                      <w:color w:val="000000"/>
                      <w:kern w:val="0"/>
                      <w:sz w:val="21"/>
                      <w:szCs w:val="21"/>
                      <w:highlight w:val="none"/>
                      <w:lang w:val="en-US" w:eastAsia="zh-CN" w:bidi="ar-SA"/>
                    </w:rPr>
                    <w:t>2256</w:t>
                  </w:r>
                </w:p>
              </w:tc>
              <w:tc>
                <w:tcPr>
                  <w:tcW w:w="588" w:type="pct"/>
                  <w:vMerge w:val="restart"/>
                  <w:tcBorders>
                    <w:tl2br w:val="nil"/>
                    <w:tr2bl w:val="nil"/>
                  </w:tcBorders>
                  <w:noWrap w:val="0"/>
                  <w:vAlign w:val="center"/>
                </w:tcPr>
                <w:p w14:paraId="19E5DEB6">
                  <w:pPr>
                    <w:pStyle w:val="8"/>
                    <w:keepNext w:val="0"/>
                    <w:keepLines w:val="0"/>
                    <w:pageBreakBefore w:val="0"/>
                    <w:widowControl w:val="0"/>
                    <w:kinsoku/>
                    <w:wordWrap/>
                    <w:overflowPunct/>
                    <w:topLinePunct w:val="0"/>
                    <w:autoSpaceDE/>
                    <w:autoSpaceDN/>
                    <w:bidi w:val="0"/>
                    <w:adjustRightInd w:val="0"/>
                    <w:snapToGrid w:val="0"/>
                    <w:spacing w:after="0" w:line="360" w:lineRule="exact"/>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生产设备停产，待故障修复后生产</w:t>
                  </w:r>
                </w:p>
              </w:tc>
            </w:tr>
            <w:tr w14:paraId="30F034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606" w:type="pct"/>
                  <w:vMerge w:val="continue"/>
                  <w:tcBorders>
                    <w:tl2br w:val="nil"/>
                    <w:tr2bl w:val="nil"/>
                  </w:tcBorders>
                  <w:noWrap w:val="0"/>
                  <w:vAlign w:val="center"/>
                </w:tcPr>
                <w:p w14:paraId="29815EAD">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846" w:type="pct"/>
                  <w:vMerge w:val="continue"/>
                  <w:tcBorders>
                    <w:tl2br w:val="nil"/>
                    <w:tr2bl w:val="nil"/>
                  </w:tcBorders>
                  <w:noWrap w:val="0"/>
                  <w:vAlign w:val="center"/>
                </w:tcPr>
                <w:p w14:paraId="36EAE4CB">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585" w:type="pct"/>
                  <w:tcBorders>
                    <w:tl2br w:val="nil"/>
                    <w:tr2bl w:val="nil"/>
                  </w:tcBorders>
                  <w:noWrap w:val="0"/>
                  <w:vAlign w:val="center"/>
                </w:tcPr>
                <w:p w14:paraId="6C9F7511">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cs="Times New Roman"/>
                      <w:sz w:val="21"/>
                      <w:szCs w:val="21"/>
                      <w:lang w:eastAsia="zh-CN"/>
                    </w:rPr>
                  </w:pPr>
                  <w:r>
                    <w:rPr>
                      <w:rFonts w:hint="eastAsia" w:cs="Times New Roman"/>
                      <w:sz w:val="21"/>
                      <w:szCs w:val="21"/>
                      <w:lang w:eastAsia="zh-CN"/>
                    </w:rPr>
                    <w:t>苯乙烯</w:t>
                  </w:r>
                </w:p>
              </w:tc>
              <w:tc>
                <w:tcPr>
                  <w:tcW w:w="762" w:type="pct"/>
                  <w:tcBorders>
                    <w:tl2br w:val="nil"/>
                    <w:tr2bl w:val="nil"/>
                  </w:tcBorders>
                  <w:noWrap w:val="0"/>
                  <w:vAlign w:val="center"/>
                </w:tcPr>
                <w:p w14:paraId="67AF8158">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w:t>
                  </w:r>
                  <w:r>
                    <w:rPr>
                      <w:rFonts w:hint="eastAsia" w:ascii="Times New Roman" w:hAnsi="Times New Roman" w:cs="Times New Roman"/>
                      <w:sz w:val="21"/>
                      <w:szCs w:val="21"/>
                      <w:lang w:val="en-US" w:eastAsia="zh-CN"/>
                    </w:rPr>
                    <w:t>396</w:t>
                  </w:r>
                </w:p>
              </w:tc>
              <w:tc>
                <w:tcPr>
                  <w:tcW w:w="611" w:type="pct"/>
                  <w:vMerge w:val="continue"/>
                  <w:tcBorders>
                    <w:tl2br w:val="nil"/>
                    <w:tr2bl w:val="nil"/>
                  </w:tcBorders>
                  <w:noWrap w:val="0"/>
                  <w:vAlign w:val="center"/>
                </w:tcPr>
                <w:p w14:paraId="3961C324">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eastAsia="zh-CN"/>
                    </w:rPr>
                  </w:pPr>
                </w:p>
              </w:tc>
              <w:tc>
                <w:tcPr>
                  <w:tcW w:w="509" w:type="pct"/>
                  <w:vMerge w:val="continue"/>
                  <w:tcBorders>
                    <w:tl2br w:val="nil"/>
                    <w:tr2bl w:val="nil"/>
                  </w:tcBorders>
                  <w:noWrap w:val="0"/>
                  <w:vAlign w:val="center"/>
                </w:tcPr>
                <w:p w14:paraId="7AB74D35">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eastAsia="zh-CN"/>
                    </w:rPr>
                  </w:pPr>
                </w:p>
              </w:tc>
              <w:tc>
                <w:tcPr>
                  <w:tcW w:w="489" w:type="pct"/>
                  <w:tcBorders>
                    <w:tl2br w:val="nil"/>
                    <w:tr2bl w:val="nil"/>
                  </w:tcBorders>
                  <w:noWrap w:val="0"/>
                  <w:vAlign w:val="center"/>
                </w:tcPr>
                <w:p w14:paraId="651ACBFF">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r>
                    <w:rPr>
                      <w:rFonts w:hint="eastAsia" w:ascii="Times New Roman" w:hAnsi="Times New Roman" w:cs="Times New Roman"/>
                      <w:sz w:val="21"/>
                      <w:szCs w:val="21"/>
                      <w:lang w:val="en-US" w:eastAsia="zh-CN"/>
                    </w:rPr>
                    <w:t>0396</w:t>
                  </w:r>
                </w:p>
              </w:tc>
              <w:tc>
                <w:tcPr>
                  <w:tcW w:w="588" w:type="pct"/>
                  <w:vMerge w:val="continue"/>
                  <w:tcBorders>
                    <w:tl2br w:val="nil"/>
                    <w:tr2bl w:val="nil"/>
                  </w:tcBorders>
                  <w:noWrap w:val="0"/>
                  <w:vAlign w:val="center"/>
                </w:tcPr>
                <w:p w14:paraId="7A71A51E">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cs="Times New Roman"/>
                      <w:sz w:val="21"/>
                      <w:szCs w:val="21"/>
                      <w:lang w:eastAsia="zh-CN"/>
                    </w:rPr>
                  </w:pPr>
                </w:p>
              </w:tc>
            </w:tr>
            <w:tr w14:paraId="18D424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4" w:hRule="atLeast"/>
              </w:trPr>
              <w:tc>
                <w:tcPr>
                  <w:tcW w:w="606" w:type="pct"/>
                  <w:vMerge w:val="continue"/>
                  <w:tcBorders>
                    <w:tl2br w:val="nil"/>
                    <w:tr2bl w:val="nil"/>
                  </w:tcBorders>
                  <w:noWrap w:val="0"/>
                  <w:vAlign w:val="center"/>
                </w:tcPr>
                <w:p w14:paraId="2EB2C2A4">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846" w:type="pct"/>
                  <w:vMerge w:val="continue"/>
                  <w:tcBorders>
                    <w:tl2br w:val="nil"/>
                    <w:tr2bl w:val="nil"/>
                  </w:tcBorders>
                  <w:noWrap w:val="0"/>
                  <w:vAlign w:val="center"/>
                </w:tcPr>
                <w:p w14:paraId="4C046D2F">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pPr>
                </w:p>
              </w:tc>
              <w:tc>
                <w:tcPr>
                  <w:tcW w:w="585" w:type="pct"/>
                  <w:tcBorders>
                    <w:tl2br w:val="nil"/>
                    <w:tr2bl w:val="nil"/>
                  </w:tcBorders>
                  <w:noWrap w:val="0"/>
                  <w:vAlign w:val="center"/>
                </w:tcPr>
                <w:p w14:paraId="1C3BFCD7">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cs="Times New Roman"/>
                      <w:sz w:val="21"/>
                      <w:szCs w:val="21"/>
                      <w:lang w:eastAsia="zh-CN"/>
                    </w:rPr>
                  </w:pPr>
                  <w:r>
                    <w:rPr>
                      <w:rFonts w:hint="default" w:ascii="Times New Roman" w:hAnsi="Times New Roman" w:cs="Times New Roman"/>
                      <w:kern w:val="0"/>
                      <w:sz w:val="21"/>
                      <w:szCs w:val="18"/>
                      <w:highlight w:val="none"/>
                      <w:lang w:val="en-US" w:eastAsia="zh-CN" w:bidi="ar-SA"/>
                    </w:rPr>
                    <w:t>VOCs</w:t>
                  </w:r>
                </w:p>
              </w:tc>
              <w:tc>
                <w:tcPr>
                  <w:tcW w:w="762" w:type="pct"/>
                  <w:tcBorders>
                    <w:tl2br w:val="nil"/>
                    <w:tr2bl w:val="nil"/>
                  </w:tcBorders>
                  <w:noWrap w:val="0"/>
                  <w:vAlign w:val="center"/>
                </w:tcPr>
                <w:p w14:paraId="2C9C309B">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0.001</w:t>
                  </w:r>
                  <w:r>
                    <w:rPr>
                      <w:rFonts w:hint="eastAsia" w:ascii="Times New Roman" w:hAnsi="Times New Roman" w:cs="Times New Roman"/>
                      <w:sz w:val="21"/>
                      <w:szCs w:val="21"/>
                      <w:lang w:val="en-US" w:eastAsia="zh-CN"/>
                    </w:rPr>
                    <w:t>8</w:t>
                  </w:r>
                </w:p>
              </w:tc>
              <w:tc>
                <w:tcPr>
                  <w:tcW w:w="611" w:type="pct"/>
                  <w:vMerge w:val="continue"/>
                  <w:tcBorders>
                    <w:tl2br w:val="nil"/>
                    <w:tr2bl w:val="nil"/>
                  </w:tcBorders>
                  <w:noWrap w:val="0"/>
                  <w:vAlign w:val="center"/>
                </w:tcPr>
                <w:p w14:paraId="1241EE48">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eastAsia="zh-CN"/>
                    </w:rPr>
                  </w:pPr>
                </w:p>
              </w:tc>
              <w:tc>
                <w:tcPr>
                  <w:tcW w:w="509" w:type="pct"/>
                  <w:vMerge w:val="continue"/>
                  <w:tcBorders>
                    <w:tl2br w:val="nil"/>
                    <w:tr2bl w:val="nil"/>
                  </w:tcBorders>
                  <w:noWrap w:val="0"/>
                  <w:vAlign w:val="center"/>
                </w:tcPr>
                <w:p w14:paraId="0B48F092">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eastAsia="zh-CN"/>
                    </w:rPr>
                  </w:pPr>
                </w:p>
              </w:tc>
              <w:tc>
                <w:tcPr>
                  <w:tcW w:w="489" w:type="pct"/>
                  <w:tcBorders>
                    <w:tl2br w:val="nil"/>
                    <w:tr2bl w:val="nil"/>
                  </w:tcBorders>
                  <w:noWrap w:val="0"/>
                  <w:vAlign w:val="center"/>
                </w:tcPr>
                <w:p w14:paraId="06371459">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0.001</w:t>
                  </w:r>
                  <w:r>
                    <w:rPr>
                      <w:rFonts w:hint="eastAsia" w:ascii="Times New Roman" w:hAnsi="Times New Roman" w:cs="Times New Roman"/>
                      <w:sz w:val="21"/>
                      <w:szCs w:val="21"/>
                      <w:lang w:val="en-US" w:eastAsia="zh-CN"/>
                    </w:rPr>
                    <w:t>8</w:t>
                  </w:r>
                </w:p>
              </w:tc>
              <w:tc>
                <w:tcPr>
                  <w:tcW w:w="588" w:type="pct"/>
                  <w:vMerge w:val="continue"/>
                  <w:tcBorders>
                    <w:tl2br w:val="nil"/>
                    <w:tr2bl w:val="nil"/>
                  </w:tcBorders>
                  <w:noWrap w:val="0"/>
                  <w:vAlign w:val="center"/>
                </w:tcPr>
                <w:p w14:paraId="723177F7">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cs="Times New Roman"/>
                      <w:sz w:val="21"/>
                      <w:szCs w:val="21"/>
                      <w:lang w:eastAsia="zh-CN"/>
                    </w:rPr>
                  </w:pPr>
                </w:p>
              </w:tc>
            </w:tr>
          </w:tbl>
          <w:p w14:paraId="1AD09769">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企业应在日常生产中</w:t>
            </w:r>
            <w:r>
              <w:rPr>
                <w:rFonts w:hint="default" w:ascii="Times New Roman" w:hAnsi="Times New Roman" w:cs="Times New Roman"/>
                <w:highlight w:val="none"/>
              </w:rPr>
              <w:t>加强管理，制定严格的操作规章制度</w:t>
            </w:r>
            <w:r>
              <w:rPr>
                <w:rFonts w:hint="default" w:ascii="Times New Roman" w:hAnsi="Times New Roman" w:cs="Times New Roman"/>
              </w:rPr>
              <w:t>，确保生产设备开停机阶段不会出现非正常工况排放，同时对厂区内所有环保设施设备定期检修，发现隐患及时排除，减少非正常工况排放出现频率。一旦发生非正常工况排放，立即进行抢修，如在短时间内无法排除故障，应关停对应产污设备停产抢修，待故障完全排除后方可进行生产。</w:t>
            </w:r>
          </w:p>
          <w:p w14:paraId="343D3B4B">
            <w:pPr>
              <w:keepNext w:val="0"/>
              <w:keepLines w:val="0"/>
              <w:pageBreakBefore w:val="0"/>
              <w:widowControl w:val="0"/>
              <w:kinsoku/>
              <w:wordWrap/>
              <w:overflowPunct/>
              <w:topLinePunct w:val="0"/>
              <w:autoSpaceDE/>
              <w:autoSpaceDN/>
              <w:bidi w:val="0"/>
              <w:adjustRightInd/>
              <w:snapToGrid/>
              <w:spacing w:line="520" w:lineRule="exact"/>
              <w:ind w:firstLine="482"/>
              <w:textAlignment w:val="auto"/>
              <w:rPr>
                <w:rFonts w:hint="default" w:ascii="Times New Roman" w:hAnsi="Times New Roman" w:cs="Times New Roman"/>
                <w:b/>
                <w:bCs/>
              </w:rPr>
            </w:pPr>
            <w:r>
              <w:rPr>
                <w:rFonts w:hint="default" w:ascii="Times New Roman" w:hAnsi="Times New Roman" w:cs="Times New Roman"/>
                <w:b/>
                <w:bCs/>
              </w:rPr>
              <w:t>1.</w:t>
            </w:r>
            <w:r>
              <w:rPr>
                <w:rFonts w:hint="default" w:ascii="Times New Roman" w:hAnsi="Times New Roman" w:cs="Times New Roman"/>
                <w:b/>
                <w:bCs/>
                <w:lang w:val="en-US" w:eastAsia="zh-CN"/>
              </w:rPr>
              <w:t>6</w:t>
            </w:r>
            <w:r>
              <w:rPr>
                <w:rFonts w:hint="default" w:ascii="Times New Roman" w:hAnsi="Times New Roman" w:cs="Times New Roman"/>
                <w:b/>
                <w:bCs/>
              </w:rPr>
              <w:t>污染物排放量核算</w:t>
            </w:r>
          </w:p>
          <w:p w14:paraId="365DA23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根据工程分析，对本项目有组织及无组织排放污染物进行核算，具体的核算排放浓度、排放速率及污染物年排放量见下表。</w:t>
            </w:r>
          </w:p>
          <w:p w14:paraId="64175AA3">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Times New Roman"/>
                <w:b/>
              </w:rPr>
            </w:pPr>
            <w:r>
              <w:rPr>
                <w:rFonts w:hint="default" w:ascii="Times New Roman" w:hAnsi="Times New Roman" w:cs="Times New Roman"/>
                <w:b/>
              </w:rPr>
              <w:t>表4-</w:t>
            </w:r>
            <w:r>
              <w:rPr>
                <w:rFonts w:hint="eastAsia" w:cs="Times New Roman"/>
                <w:b/>
                <w:lang w:val="en-US" w:eastAsia="zh-CN"/>
              </w:rPr>
              <w:t>5</w:t>
            </w:r>
            <w:r>
              <w:rPr>
                <w:rFonts w:hint="default" w:ascii="Times New Roman" w:hAnsi="Times New Roman" w:cs="Times New Roman"/>
                <w:b/>
              </w:rPr>
              <w:t xml:space="preserve">  大气污染物有组织排放量核算表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364"/>
              <w:gridCol w:w="1382"/>
              <w:gridCol w:w="1609"/>
              <w:gridCol w:w="1976"/>
              <w:gridCol w:w="1749"/>
            </w:tblGrid>
            <w:tr w14:paraId="2BB8C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09" w:type="pct"/>
                  <w:noWrap w:val="0"/>
                  <w:vAlign w:val="center"/>
                </w:tcPr>
                <w:p w14:paraId="25A28B9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序号</w:t>
                  </w:r>
                </w:p>
              </w:tc>
              <w:tc>
                <w:tcPr>
                  <w:tcW w:w="775" w:type="pct"/>
                  <w:noWrap w:val="0"/>
                  <w:vAlign w:val="center"/>
                </w:tcPr>
                <w:p w14:paraId="541A836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排放口编号</w:t>
                  </w:r>
                </w:p>
              </w:tc>
              <w:tc>
                <w:tcPr>
                  <w:tcW w:w="785" w:type="pct"/>
                  <w:noWrap w:val="0"/>
                  <w:vAlign w:val="center"/>
                </w:tcPr>
                <w:p w14:paraId="2254FCA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污染物</w:t>
                  </w:r>
                </w:p>
              </w:tc>
              <w:tc>
                <w:tcPr>
                  <w:tcW w:w="914" w:type="pct"/>
                  <w:noWrap w:val="0"/>
                  <w:vAlign w:val="center"/>
                </w:tcPr>
                <w:p w14:paraId="38D9000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核算排放浓度（mg/m</w:t>
                  </w:r>
                  <w:r>
                    <w:rPr>
                      <w:rFonts w:hint="default" w:ascii="Times New Roman" w:hAnsi="Times New Roman" w:cs="Times New Roman"/>
                      <w:b w:val="0"/>
                      <w:bCs w:val="0"/>
                      <w:kern w:val="0"/>
                      <w:sz w:val="21"/>
                      <w:szCs w:val="18"/>
                      <w:vertAlign w:val="superscript"/>
                    </w:rPr>
                    <w:t>3</w:t>
                  </w:r>
                  <w:r>
                    <w:rPr>
                      <w:rFonts w:hint="default" w:ascii="Times New Roman" w:hAnsi="Times New Roman" w:cs="Times New Roman"/>
                      <w:b w:val="0"/>
                      <w:bCs w:val="0"/>
                      <w:kern w:val="0"/>
                      <w:sz w:val="21"/>
                      <w:szCs w:val="18"/>
                    </w:rPr>
                    <w:t>）</w:t>
                  </w:r>
                </w:p>
              </w:tc>
              <w:tc>
                <w:tcPr>
                  <w:tcW w:w="1122" w:type="pct"/>
                  <w:noWrap w:val="0"/>
                  <w:vAlign w:val="center"/>
                </w:tcPr>
                <w:p w14:paraId="7D7F29A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核算排放速率（kg/h）</w:t>
                  </w:r>
                </w:p>
              </w:tc>
              <w:tc>
                <w:tcPr>
                  <w:tcW w:w="993" w:type="pct"/>
                  <w:noWrap w:val="0"/>
                  <w:vAlign w:val="center"/>
                </w:tcPr>
                <w:p w14:paraId="4D71E1A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核算年排放量（t/a）</w:t>
                  </w:r>
                </w:p>
              </w:tc>
            </w:tr>
            <w:tr w14:paraId="7C2B0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000" w:type="pct"/>
                  <w:gridSpan w:val="6"/>
                  <w:noWrap w:val="0"/>
                  <w:vAlign w:val="center"/>
                </w:tcPr>
                <w:p w14:paraId="35F0525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一般排放口</w:t>
                  </w:r>
                </w:p>
              </w:tc>
            </w:tr>
            <w:tr w14:paraId="4846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09" w:type="pct"/>
                  <w:noWrap w:val="0"/>
                  <w:vAlign w:val="center"/>
                </w:tcPr>
                <w:p w14:paraId="2A8B4F3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1</w:t>
                  </w:r>
                </w:p>
              </w:tc>
              <w:tc>
                <w:tcPr>
                  <w:tcW w:w="775" w:type="pct"/>
                  <w:vMerge w:val="restart"/>
                  <w:noWrap w:val="0"/>
                  <w:vAlign w:val="center"/>
                </w:tcPr>
                <w:p w14:paraId="6C5710F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DA001</w:t>
                  </w:r>
                </w:p>
              </w:tc>
              <w:tc>
                <w:tcPr>
                  <w:tcW w:w="785" w:type="pct"/>
                  <w:noWrap w:val="0"/>
                  <w:vAlign w:val="center"/>
                </w:tcPr>
                <w:p w14:paraId="7701DDD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lang w:eastAsia="zh-CN"/>
                    </w:rPr>
                  </w:pPr>
                  <w:r>
                    <w:rPr>
                      <w:rFonts w:hint="eastAsia" w:cs="Times New Roman"/>
                      <w:kern w:val="0"/>
                      <w:sz w:val="21"/>
                      <w:szCs w:val="18"/>
                      <w:lang w:eastAsia="zh-CN"/>
                    </w:rPr>
                    <w:t>非甲烷总烃</w:t>
                  </w:r>
                </w:p>
              </w:tc>
              <w:tc>
                <w:tcPr>
                  <w:tcW w:w="914" w:type="pct"/>
                  <w:noWrap w:val="0"/>
                  <w:vAlign w:val="center"/>
                </w:tcPr>
                <w:p w14:paraId="66909B06">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6.45</w:t>
                  </w:r>
                </w:p>
              </w:tc>
              <w:tc>
                <w:tcPr>
                  <w:tcW w:w="1122" w:type="pct"/>
                  <w:noWrap w:val="0"/>
                  <w:vAlign w:val="center"/>
                </w:tcPr>
                <w:p w14:paraId="51BB901E">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default" w:ascii="Times New Roman" w:hAnsi="Times New Roman" w:cs="Times New Roman"/>
                      <w:b w:val="0"/>
                      <w:bCs w:val="0"/>
                      <w:color w:val="000000"/>
                      <w:kern w:val="0"/>
                      <w:sz w:val="21"/>
                      <w:szCs w:val="21"/>
                      <w:highlight w:val="none"/>
                      <w:u w:val="none" w:color="auto"/>
                      <w:lang w:val="en-US" w:eastAsia="zh-CN" w:bidi="ar"/>
                    </w:rPr>
                    <w:t>0.0</w:t>
                  </w:r>
                  <w:r>
                    <w:rPr>
                      <w:rFonts w:hint="eastAsia" w:cs="Times New Roman"/>
                      <w:b w:val="0"/>
                      <w:bCs w:val="0"/>
                      <w:color w:val="000000"/>
                      <w:kern w:val="0"/>
                      <w:sz w:val="21"/>
                      <w:szCs w:val="21"/>
                      <w:highlight w:val="none"/>
                      <w:u w:val="none" w:color="auto"/>
                      <w:lang w:val="en-US" w:eastAsia="zh-CN" w:bidi="ar"/>
                    </w:rPr>
                    <w:t>451</w:t>
                  </w:r>
                </w:p>
              </w:tc>
              <w:tc>
                <w:tcPr>
                  <w:tcW w:w="993" w:type="pct"/>
                  <w:noWrap w:val="0"/>
                  <w:vAlign w:val="center"/>
                </w:tcPr>
                <w:p w14:paraId="30F088BD">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default" w:ascii="Times New Roman" w:hAnsi="Times New Roman" w:cs="Times New Roman"/>
                      <w:b w:val="0"/>
                      <w:bCs w:val="0"/>
                      <w:color w:val="000000"/>
                      <w:kern w:val="0"/>
                      <w:sz w:val="21"/>
                      <w:szCs w:val="21"/>
                      <w:highlight w:val="none"/>
                      <w:u w:val="none" w:color="auto"/>
                      <w:lang w:val="en-US" w:eastAsia="zh-CN" w:bidi="ar"/>
                    </w:rPr>
                    <w:t>0.</w:t>
                  </w:r>
                  <w:r>
                    <w:rPr>
                      <w:rFonts w:hint="eastAsia" w:cs="Times New Roman"/>
                      <w:b w:val="0"/>
                      <w:bCs w:val="0"/>
                      <w:color w:val="000000"/>
                      <w:kern w:val="0"/>
                      <w:sz w:val="21"/>
                      <w:szCs w:val="21"/>
                      <w:highlight w:val="none"/>
                      <w:u w:val="none" w:color="auto"/>
                      <w:lang w:val="en-US" w:eastAsia="zh-CN" w:bidi="ar"/>
                    </w:rPr>
                    <w:t>1083</w:t>
                  </w:r>
                </w:p>
              </w:tc>
            </w:tr>
            <w:tr w14:paraId="21BF1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09" w:type="pct"/>
                  <w:noWrap w:val="0"/>
                  <w:vAlign w:val="center"/>
                </w:tcPr>
                <w:p w14:paraId="2202D84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Times New Roman" w:hAnsi="Times New Roman" w:eastAsia="宋体" w:cs="Times New Roman"/>
                      <w:kern w:val="0"/>
                      <w:sz w:val="21"/>
                      <w:szCs w:val="18"/>
                      <w:lang w:val="en-US" w:eastAsia="zh-CN"/>
                    </w:rPr>
                  </w:pPr>
                  <w:r>
                    <w:rPr>
                      <w:rFonts w:hint="eastAsia" w:cs="Times New Roman"/>
                      <w:kern w:val="0"/>
                      <w:sz w:val="21"/>
                      <w:szCs w:val="18"/>
                      <w:lang w:val="en-US" w:eastAsia="zh-CN"/>
                    </w:rPr>
                    <w:t>2</w:t>
                  </w:r>
                </w:p>
              </w:tc>
              <w:tc>
                <w:tcPr>
                  <w:tcW w:w="775" w:type="pct"/>
                  <w:vMerge w:val="continue"/>
                  <w:noWrap w:val="0"/>
                  <w:vAlign w:val="center"/>
                </w:tcPr>
                <w:p w14:paraId="7925822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785" w:type="pct"/>
                  <w:noWrap w:val="0"/>
                  <w:vAlign w:val="center"/>
                </w:tcPr>
                <w:p w14:paraId="371216B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cs="Times New Roman"/>
                      <w:kern w:val="0"/>
                      <w:sz w:val="21"/>
                      <w:szCs w:val="18"/>
                      <w:lang w:eastAsia="zh-CN"/>
                    </w:rPr>
                  </w:pPr>
                  <w:r>
                    <w:rPr>
                      <w:rFonts w:hint="eastAsia" w:cs="Times New Roman"/>
                      <w:kern w:val="0"/>
                      <w:sz w:val="21"/>
                      <w:szCs w:val="18"/>
                      <w:lang w:eastAsia="zh-CN"/>
                    </w:rPr>
                    <w:t>苯乙烯</w:t>
                  </w:r>
                </w:p>
              </w:tc>
              <w:tc>
                <w:tcPr>
                  <w:tcW w:w="914" w:type="pct"/>
                  <w:noWrap w:val="0"/>
                  <w:vAlign w:val="center"/>
                </w:tcPr>
                <w:p w14:paraId="7258C17F">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1.13</w:t>
                  </w:r>
                </w:p>
              </w:tc>
              <w:tc>
                <w:tcPr>
                  <w:tcW w:w="1122" w:type="pct"/>
                  <w:noWrap w:val="0"/>
                  <w:vAlign w:val="center"/>
                </w:tcPr>
                <w:p w14:paraId="63331B19">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0.0079</w:t>
                  </w:r>
                </w:p>
              </w:tc>
              <w:tc>
                <w:tcPr>
                  <w:tcW w:w="993" w:type="pct"/>
                  <w:noWrap w:val="0"/>
                  <w:vAlign w:val="center"/>
                </w:tcPr>
                <w:p w14:paraId="4DE93A09">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0.019</w:t>
                  </w:r>
                </w:p>
              </w:tc>
            </w:tr>
            <w:tr w14:paraId="1E26A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09" w:type="pct"/>
                  <w:noWrap w:val="0"/>
                  <w:vAlign w:val="center"/>
                </w:tcPr>
                <w:p w14:paraId="1F3B077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cs="Times New Roman"/>
                      <w:kern w:val="0"/>
                      <w:sz w:val="21"/>
                      <w:szCs w:val="18"/>
                      <w:lang w:val="en-US" w:eastAsia="zh-CN"/>
                    </w:rPr>
                  </w:pPr>
                  <w:r>
                    <w:rPr>
                      <w:rFonts w:hint="eastAsia" w:cs="Times New Roman"/>
                      <w:kern w:val="0"/>
                      <w:sz w:val="21"/>
                      <w:szCs w:val="18"/>
                      <w:lang w:val="en-US" w:eastAsia="zh-CN"/>
                    </w:rPr>
                    <w:t>3</w:t>
                  </w:r>
                </w:p>
              </w:tc>
              <w:tc>
                <w:tcPr>
                  <w:tcW w:w="775" w:type="pct"/>
                  <w:vMerge w:val="continue"/>
                  <w:noWrap w:val="0"/>
                  <w:vAlign w:val="center"/>
                </w:tcPr>
                <w:p w14:paraId="3EC26D8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785" w:type="pct"/>
                  <w:noWrap w:val="0"/>
                  <w:vAlign w:val="center"/>
                </w:tcPr>
                <w:p w14:paraId="5189F99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cs="Times New Roman"/>
                      <w:kern w:val="0"/>
                      <w:sz w:val="21"/>
                      <w:szCs w:val="18"/>
                      <w:highlight w:val="none"/>
                      <w:lang w:eastAsia="zh-CN"/>
                    </w:rPr>
                  </w:pPr>
                  <w:r>
                    <w:rPr>
                      <w:rFonts w:hint="default" w:ascii="Times New Roman" w:hAnsi="Times New Roman" w:cs="Times New Roman"/>
                      <w:kern w:val="0"/>
                      <w:sz w:val="21"/>
                      <w:szCs w:val="18"/>
                      <w:highlight w:val="none"/>
                      <w:lang w:val="en-US" w:eastAsia="zh-CN" w:bidi="ar-SA"/>
                    </w:rPr>
                    <w:t>VOCs</w:t>
                  </w:r>
                </w:p>
              </w:tc>
              <w:tc>
                <w:tcPr>
                  <w:tcW w:w="914" w:type="pct"/>
                  <w:shd w:val="clear" w:color="auto" w:fill="auto"/>
                  <w:noWrap w:val="0"/>
                  <w:vAlign w:val="center"/>
                </w:tcPr>
                <w:p w14:paraId="538A1B9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kern w:val="2"/>
                      <w:sz w:val="21"/>
                      <w:szCs w:val="21"/>
                      <w:highlight w:val="none"/>
                      <w:u w:val="none" w:color="auto"/>
                      <w:lang w:val="en-US" w:eastAsia="zh-CN" w:bidi="ar-SA"/>
                    </w:rPr>
                  </w:pPr>
                  <w:r>
                    <w:rPr>
                      <w:rFonts w:hint="eastAsia" w:cs="Times New Roman"/>
                      <w:b w:val="0"/>
                      <w:bCs/>
                      <w:i w:val="0"/>
                      <w:color w:val="auto"/>
                      <w:sz w:val="21"/>
                      <w:szCs w:val="21"/>
                      <w:highlight w:val="none"/>
                      <w:u w:val="none" w:color="auto"/>
                      <w:lang w:val="en-US" w:eastAsia="zh-CN"/>
                    </w:rPr>
                    <w:t>2.78</w:t>
                  </w:r>
                </w:p>
              </w:tc>
              <w:tc>
                <w:tcPr>
                  <w:tcW w:w="1122" w:type="pct"/>
                  <w:shd w:val="clear" w:color="auto" w:fill="auto"/>
                  <w:noWrap w:val="0"/>
                  <w:vAlign w:val="center"/>
                </w:tcPr>
                <w:p w14:paraId="36F4E94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2"/>
                      <w:sz w:val="21"/>
                      <w:szCs w:val="21"/>
                      <w:highlight w:val="none"/>
                      <w:u w:val="none" w:color="auto"/>
                      <w:lang w:val="en-US" w:eastAsia="zh-CN" w:bidi="ar-SA"/>
                    </w:rPr>
                  </w:pPr>
                  <w:r>
                    <w:rPr>
                      <w:rFonts w:hint="eastAsia" w:cs="Times New Roman"/>
                      <w:b w:val="0"/>
                      <w:bCs/>
                      <w:i w:val="0"/>
                      <w:color w:val="auto"/>
                      <w:sz w:val="21"/>
                      <w:szCs w:val="21"/>
                      <w:highlight w:val="none"/>
                      <w:u w:val="none" w:color="auto"/>
                      <w:lang w:val="en-US" w:eastAsia="zh-CN"/>
                    </w:rPr>
                    <w:t>0.0003</w:t>
                  </w:r>
                </w:p>
              </w:tc>
              <w:tc>
                <w:tcPr>
                  <w:tcW w:w="993" w:type="pct"/>
                  <w:shd w:val="clear" w:color="auto" w:fill="auto"/>
                  <w:noWrap w:val="0"/>
                  <w:vAlign w:val="center"/>
                </w:tcPr>
                <w:p w14:paraId="7C25715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2"/>
                      <w:sz w:val="21"/>
                      <w:szCs w:val="21"/>
                      <w:u w:val="none" w:color="auto"/>
                      <w:lang w:val="en-US" w:eastAsia="zh-CN" w:bidi="ar-SA"/>
                    </w:rPr>
                  </w:pPr>
                  <w:r>
                    <w:rPr>
                      <w:rFonts w:hint="eastAsia" w:cs="Times New Roman"/>
                      <w:b w:val="0"/>
                      <w:bCs/>
                      <w:i w:val="0"/>
                      <w:color w:val="auto"/>
                      <w:sz w:val="21"/>
                      <w:szCs w:val="21"/>
                      <w:u w:val="none" w:color="auto"/>
                      <w:lang w:val="en-US" w:eastAsia="zh-CN"/>
                    </w:rPr>
                    <w:t>0.0008</w:t>
                  </w:r>
                </w:p>
              </w:tc>
            </w:tr>
            <w:tr w14:paraId="6679A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184" w:type="pct"/>
                  <w:gridSpan w:val="2"/>
                  <w:vMerge w:val="restart"/>
                  <w:noWrap w:val="0"/>
                  <w:vAlign w:val="center"/>
                </w:tcPr>
                <w:p w14:paraId="42ABE760">
                  <w:pPr>
                    <w:pStyle w:val="29"/>
                    <w:ind w:firstLine="0" w:firstLineChars="0"/>
                    <w:rPr>
                      <w:rFonts w:hint="default" w:ascii="Times New Roman" w:hAnsi="Times New Roman" w:cs="Times New Roman"/>
                      <w:bCs/>
                      <w:color w:val="000000"/>
                      <w:kern w:val="2"/>
                      <w:sz w:val="21"/>
                      <w:szCs w:val="21"/>
                      <w:highlight w:val="none"/>
                      <w:lang w:val="en-US" w:eastAsia="zh-CN" w:bidi="ar-SA"/>
                    </w:rPr>
                  </w:pPr>
                  <w:r>
                    <w:rPr>
                      <w:rFonts w:hint="default" w:ascii="Times New Roman" w:hAnsi="Times New Roman" w:cs="Times New Roman"/>
                      <w:color w:val="000000"/>
                      <w:highlight w:val="none"/>
                    </w:rPr>
                    <w:t>一般排放口合计</w:t>
                  </w:r>
                </w:p>
              </w:tc>
              <w:tc>
                <w:tcPr>
                  <w:tcW w:w="2822" w:type="pct"/>
                  <w:gridSpan w:val="3"/>
                  <w:noWrap w:val="0"/>
                  <w:vAlign w:val="center"/>
                </w:tcPr>
                <w:p w14:paraId="4AC9FBC1">
                  <w:pPr>
                    <w:pStyle w:val="29"/>
                    <w:ind w:firstLine="0" w:firstLineChars="0"/>
                    <w:rPr>
                      <w:rFonts w:hint="default" w:ascii="Times New Roman" w:hAnsi="Times New Roman" w:cs="Times New Roman"/>
                      <w:bCs/>
                      <w:color w:val="000000"/>
                      <w:kern w:val="2"/>
                      <w:sz w:val="21"/>
                      <w:szCs w:val="21"/>
                      <w:highlight w:val="none"/>
                      <w:lang w:val="en-US" w:eastAsia="zh-CN" w:bidi="ar-SA"/>
                    </w:rPr>
                  </w:pPr>
                  <w:r>
                    <w:rPr>
                      <w:rFonts w:hint="eastAsia" w:cs="Times New Roman"/>
                      <w:bCs/>
                      <w:color w:val="000000"/>
                      <w:kern w:val="2"/>
                      <w:sz w:val="21"/>
                      <w:szCs w:val="21"/>
                      <w:highlight w:val="none"/>
                      <w:lang w:val="en-US" w:eastAsia="zh-CN" w:bidi="ar-SA"/>
                    </w:rPr>
                    <w:t>非甲烷总烃</w:t>
                  </w:r>
                </w:p>
              </w:tc>
              <w:tc>
                <w:tcPr>
                  <w:tcW w:w="993" w:type="pct"/>
                  <w:noWrap w:val="0"/>
                  <w:vAlign w:val="center"/>
                </w:tcPr>
                <w:p w14:paraId="5143CCBB">
                  <w:pPr>
                    <w:pStyle w:val="24"/>
                    <w:keepNext w:val="0"/>
                    <w:keepLines w:val="0"/>
                    <w:pageBreakBefore w:val="0"/>
                    <w:widowControl w:val="0"/>
                    <w:kinsoku/>
                    <w:wordWrap/>
                    <w:overflowPunct/>
                    <w:topLinePunct w:val="0"/>
                    <w:autoSpaceDE w:val="0"/>
                    <w:autoSpaceDN w:val="0"/>
                    <w:bidi w:val="0"/>
                    <w:adjustRightInd w:val="0"/>
                    <w:snapToGrid/>
                    <w:spacing w:line="360" w:lineRule="exact"/>
                    <w:ind w:left="0" w:leftChars="0" w:right="0" w:rightChars="0" w:firstLine="0" w:firstLineChars="0"/>
                    <w:textAlignment w:val="auto"/>
                    <w:rPr>
                      <w:rFonts w:hint="default" w:ascii="Times New Roman" w:hAnsi="Times New Roman" w:eastAsia="宋体" w:cs="Times New Roman"/>
                      <w:b w:val="0"/>
                      <w:bCs w:val="0"/>
                      <w:color w:val="000000"/>
                      <w:kern w:val="0"/>
                      <w:sz w:val="21"/>
                      <w:szCs w:val="21"/>
                      <w:highlight w:val="none"/>
                      <w:lang w:val="en-US" w:eastAsia="zh-CN" w:bidi="ar"/>
                    </w:rPr>
                  </w:pPr>
                  <w:r>
                    <w:rPr>
                      <w:rFonts w:hint="default" w:ascii="Times New Roman" w:hAnsi="Times New Roman" w:eastAsia="宋体" w:cs="Times New Roman"/>
                      <w:b w:val="0"/>
                      <w:bCs w:val="0"/>
                      <w:color w:val="000000"/>
                      <w:szCs w:val="21"/>
                      <w:highlight w:val="none"/>
                      <w:u w:val="none"/>
                      <w:lang w:val="en-US" w:eastAsia="zh-CN"/>
                    </w:rPr>
                    <w:t>0.</w:t>
                  </w:r>
                  <w:r>
                    <w:rPr>
                      <w:rFonts w:hint="eastAsia" w:ascii="Times New Roman" w:hAnsi="Times New Roman" w:cs="Times New Roman"/>
                      <w:b w:val="0"/>
                      <w:bCs w:val="0"/>
                      <w:color w:val="000000"/>
                      <w:szCs w:val="21"/>
                      <w:highlight w:val="none"/>
                      <w:u w:val="none"/>
                      <w:lang w:val="en-US" w:eastAsia="zh-CN"/>
                    </w:rPr>
                    <w:t>1083</w:t>
                  </w:r>
                </w:p>
              </w:tc>
            </w:tr>
            <w:tr w14:paraId="1CA85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84" w:type="pct"/>
                  <w:gridSpan w:val="2"/>
                  <w:vMerge w:val="continue"/>
                  <w:noWrap w:val="0"/>
                  <w:vAlign w:val="center"/>
                </w:tcPr>
                <w:p w14:paraId="19965577">
                  <w:pPr>
                    <w:pStyle w:val="29"/>
                    <w:ind w:firstLine="0" w:firstLineChars="0"/>
                    <w:rPr>
                      <w:rFonts w:hint="default" w:ascii="Times New Roman" w:hAnsi="Times New Roman" w:cs="Times New Roman"/>
                      <w:color w:val="000000"/>
                      <w:highlight w:val="none"/>
                    </w:rPr>
                  </w:pPr>
                </w:p>
              </w:tc>
              <w:tc>
                <w:tcPr>
                  <w:tcW w:w="2822" w:type="pct"/>
                  <w:gridSpan w:val="3"/>
                  <w:noWrap w:val="0"/>
                  <w:vAlign w:val="center"/>
                </w:tcPr>
                <w:p w14:paraId="28CF82C3">
                  <w:pPr>
                    <w:pStyle w:val="29"/>
                    <w:ind w:firstLine="0" w:firstLineChars="0"/>
                    <w:rPr>
                      <w:rFonts w:hint="eastAsia" w:cs="Times New Roman"/>
                      <w:bCs/>
                      <w:color w:val="000000"/>
                      <w:kern w:val="2"/>
                      <w:sz w:val="21"/>
                      <w:szCs w:val="21"/>
                      <w:highlight w:val="none"/>
                      <w:lang w:val="en-US" w:eastAsia="zh-CN" w:bidi="ar-SA"/>
                    </w:rPr>
                  </w:pPr>
                  <w:r>
                    <w:rPr>
                      <w:rFonts w:hint="eastAsia" w:cs="Times New Roman"/>
                      <w:bCs/>
                      <w:color w:val="000000"/>
                      <w:kern w:val="2"/>
                      <w:sz w:val="21"/>
                      <w:szCs w:val="21"/>
                      <w:highlight w:val="none"/>
                      <w:lang w:val="en-US" w:eastAsia="zh-CN" w:bidi="ar-SA"/>
                    </w:rPr>
                    <w:t>苯乙烯</w:t>
                  </w:r>
                </w:p>
              </w:tc>
              <w:tc>
                <w:tcPr>
                  <w:tcW w:w="993" w:type="pct"/>
                  <w:noWrap w:val="0"/>
                  <w:vAlign w:val="center"/>
                </w:tcPr>
                <w:p w14:paraId="417EEBBA">
                  <w:pPr>
                    <w:pStyle w:val="24"/>
                    <w:keepNext w:val="0"/>
                    <w:keepLines w:val="0"/>
                    <w:pageBreakBefore w:val="0"/>
                    <w:widowControl w:val="0"/>
                    <w:kinsoku/>
                    <w:wordWrap/>
                    <w:overflowPunct/>
                    <w:topLinePunct w:val="0"/>
                    <w:autoSpaceDE w:val="0"/>
                    <w:autoSpaceDN w:val="0"/>
                    <w:bidi w:val="0"/>
                    <w:adjustRightInd w:val="0"/>
                    <w:snapToGrid/>
                    <w:spacing w:line="360" w:lineRule="exact"/>
                    <w:ind w:left="0" w:leftChars="0" w:right="0" w:rightChars="0" w:firstLine="0" w:firstLineChars="0"/>
                    <w:textAlignment w:val="auto"/>
                    <w:rPr>
                      <w:rFonts w:hint="default" w:ascii="Times New Roman" w:hAnsi="Times New Roman" w:eastAsia="宋体" w:cs="Times New Roman"/>
                      <w:b w:val="0"/>
                      <w:bCs w:val="0"/>
                      <w:color w:val="000000"/>
                      <w:szCs w:val="21"/>
                      <w:highlight w:val="none"/>
                      <w:u w:val="none"/>
                      <w:lang w:val="en-US" w:eastAsia="zh-CN"/>
                    </w:rPr>
                  </w:pPr>
                  <w:r>
                    <w:rPr>
                      <w:rFonts w:hint="eastAsia" w:ascii="Times New Roman" w:hAnsi="Times New Roman" w:cs="Times New Roman"/>
                      <w:b w:val="0"/>
                      <w:bCs w:val="0"/>
                      <w:color w:val="000000"/>
                      <w:szCs w:val="21"/>
                      <w:highlight w:val="none"/>
                      <w:u w:val="none"/>
                      <w:lang w:val="en-US" w:eastAsia="zh-CN"/>
                    </w:rPr>
                    <w:t>0.019</w:t>
                  </w:r>
                </w:p>
              </w:tc>
            </w:tr>
            <w:tr w14:paraId="3F17C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84" w:type="pct"/>
                  <w:gridSpan w:val="2"/>
                  <w:vMerge w:val="continue"/>
                  <w:noWrap w:val="0"/>
                  <w:vAlign w:val="center"/>
                </w:tcPr>
                <w:p w14:paraId="7C68DFCD">
                  <w:pPr>
                    <w:pStyle w:val="29"/>
                    <w:ind w:firstLine="0" w:firstLineChars="0"/>
                    <w:rPr>
                      <w:rFonts w:hint="default" w:ascii="Times New Roman" w:hAnsi="Times New Roman" w:cs="Times New Roman"/>
                      <w:color w:val="000000"/>
                      <w:highlight w:val="none"/>
                    </w:rPr>
                  </w:pPr>
                </w:p>
              </w:tc>
              <w:tc>
                <w:tcPr>
                  <w:tcW w:w="2822" w:type="pct"/>
                  <w:gridSpan w:val="3"/>
                  <w:noWrap w:val="0"/>
                  <w:vAlign w:val="center"/>
                </w:tcPr>
                <w:p w14:paraId="1986BD6F">
                  <w:pPr>
                    <w:pStyle w:val="29"/>
                    <w:ind w:firstLine="0" w:firstLineChars="0"/>
                    <w:rPr>
                      <w:rFonts w:hint="eastAsia" w:cs="Times New Roman"/>
                      <w:bCs/>
                      <w:color w:val="000000"/>
                      <w:kern w:val="2"/>
                      <w:sz w:val="21"/>
                      <w:szCs w:val="21"/>
                      <w:highlight w:val="none"/>
                      <w:lang w:val="en-US" w:eastAsia="zh-CN" w:bidi="ar-SA"/>
                    </w:rPr>
                  </w:pPr>
                  <w:r>
                    <w:rPr>
                      <w:rFonts w:hint="default" w:ascii="Times New Roman" w:hAnsi="Times New Roman" w:cs="Times New Roman"/>
                      <w:kern w:val="0"/>
                      <w:sz w:val="21"/>
                      <w:szCs w:val="18"/>
                      <w:highlight w:val="none"/>
                      <w:lang w:val="en-US" w:eastAsia="zh-CN" w:bidi="ar-SA"/>
                    </w:rPr>
                    <w:t>VOCs</w:t>
                  </w:r>
                </w:p>
              </w:tc>
              <w:tc>
                <w:tcPr>
                  <w:tcW w:w="993" w:type="pct"/>
                  <w:noWrap w:val="0"/>
                  <w:vAlign w:val="center"/>
                </w:tcPr>
                <w:p w14:paraId="1018EC2E">
                  <w:pPr>
                    <w:pStyle w:val="24"/>
                    <w:keepNext w:val="0"/>
                    <w:keepLines w:val="0"/>
                    <w:pageBreakBefore w:val="0"/>
                    <w:widowControl w:val="0"/>
                    <w:kinsoku/>
                    <w:wordWrap/>
                    <w:overflowPunct/>
                    <w:topLinePunct w:val="0"/>
                    <w:autoSpaceDE w:val="0"/>
                    <w:autoSpaceDN w:val="0"/>
                    <w:bidi w:val="0"/>
                    <w:adjustRightInd w:val="0"/>
                    <w:snapToGrid/>
                    <w:spacing w:line="360" w:lineRule="exact"/>
                    <w:ind w:left="0" w:leftChars="0" w:right="0" w:rightChars="0" w:firstLine="0" w:firstLineChars="0"/>
                    <w:textAlignment w:val="auto"/>
                    <w:rPr>
                      <w:rFonts w:hint="default" w:ascii="Times New Roman" w:hAnsi="Times New Roman" w:cs="Times New Roman"/>
                      <w:b w:val="0"/>
                      <w:bCs w:val="0"/>
                      <w:color w:val="000000"/>
                      <w:szCs w:val="21"/>
                      <w:highlight w:val="none"/>
                      <w:u w:val="none"/>
                      <w:lang w:val="en-US" w:eastAsia="zh-CN"/>
                    </w:rPr>
                  </w:pPr>
                  <w:r>
                    <w:rPr>
                      <w:rFonts w:hint="eastAsia" w:ascii="Times New Roman" w:hAnsi="Times New Roman" w:cs="Times New Roman"/>
                      <w:b w:val="0"/>
                      <w:bCs w:val="0"/>
                      <w:color w:val="000000"/>
                      <w:szCs w:val="21"/>
                      <w:highlight w:val="none"/>
                      <w:u w:val="none"/>
                      <w:lang w:val="en-US" w:eastAsia="zh-CN"/>
                    </w:rPr>
                    <w:t>0.0008</w:t>
                  </w:r>
                </w:p>
              </w:tc>
            </w:tr>
          </w:tbl>
          <w:p w14:paraId="4E0B48EE">
            <w:pPr>
              <w:keepNext w:val="0"/>
              <w:keepLines w:val="0"/>
              <w:pageBreakBefore w:val="0"/>
              <w:widowControl w:val="0"/>
              <w:kinsoku/>
              <w:wordWrap/>
              <w:overflowPunct/>
              <w:topLinePunct w:val="0"/>
              <w:autoSpaceDE/>
              <w:autoSpaceDN/>
              <w:bidi w:val="0"/>
              <w:adjustRightInd/>
              <w:snapToGrid/>
              <w:spacing w:line="520" w:lineRule="atLeast"/>
              <w:ind w:firstLine="0" w:firstLineChars="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表4-</w:t>
            </w:r>
            <w:r>
              <w:rPr>
                <w:rFonts w:hint="eastAsia" w:cs="Times New Roman"/>
                <w:b/>
                <w:highlight w:val="none"/>
                <w:lang w:val="en-US" w:eastAsia="zh-CN"/>
              </w:rPr>
              <w:t>6</w:t>
            </w:r>
            <w:r>
              <w:rPr>
                <w:rFonts w:hint="default" w:ascii="Times New Roman" w:hAnsi="Times New Roman" w:cs="Times New Roman"/>
                <w:b/>
                <w:highlight w:val="none"/>
              </w:rPr>
              <w:t xml:space="preserve">  大气污染物无组织排放量核算表</w:t>
            </w:r>
          </w:p>
          <w:tbl>
            <w:tblPr>
              <w:tblStyle w:val="15"/>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94"/>
              <w:gridCol w:w="720"/>
              <w:gridCol w:w="522"/>
              <w:gridCol w:w="717"/>
              <w:gridCol w:w="1187"/>
              <w:gridCol w:w="3480"/>
              <w:gridCol w:w="931"/>
              <w:gridCol w:w="826"/>
            </w:tblGrid>
            <w:tr w14:paraId="7EB0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8" w:hRule="atLeast"/>
                <w:jc w:val="center"/>
              </w:trPr>
              <w:tc>
                <w:tcPr>
                  <w:tcW w:w="224" w:type="pct"/>
                  <w:vMerge w:val="restart"/>
                  <w:noWrap w:val="0"/>
                  <w:vAlign w:val="center"/>
                </w:tcPr>
                <w:p w14:paraId="297081A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序号</w:t>
                  </w:r>
                </w:p>
              </w:tc>
              <w:tc>
                <w:tcPr>
                  <w:tcW w:w="410" w:type="pct"/>
                  <w:vMerge w:val="restart"/>
                  <w:noWrap w:val="0"/>
                  <w:vAlign w:val="center"/>
                </w:tcPr>
                <w:p w14:paraId="235F1F4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排放口</w:t>
                  </w:r>
                </w:p>
                <w:p w14:paraId="5F25344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编号</w:t>
                  </w:r>
                </w:p>
              </w:tc>
              <w:tc>
                <w:tcPr>
                  <w:tcW w:w="297" w:type="pct"/>
                  <w:vMerge w:val="restart"/>
                  <w:noWrap w:val="0"/>
                  <w:vAlign w:val="center"/>
                </w:tcPr>
                <w:p w14:paraId="45DB435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产污环节</w:t>
                  </w:r>
                </w:p>
              </w:tc>
              <w:tc>
                <w:tcPr>
                  <w:tcW w:w="408" w:type="pct"/>
                  <w:vMerge w:val="restart"/>
                  <w:noWrap w:val="0"/>
                  <w:vAlign w:val="center"/>
                </w:tcPr>
                <w:p w14:paraId="71CFEFFB">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污染物</w:t>
                  </w:r>
                </w:p>
              </w:tc>
              <w:tc>
                <w:tcPr>
                  <w:tcW w:w="676" w:type="pct"/>
                  <w:vMerge w:val="restart"/>
                  <w:noWrap w:val="0"/>
                  <w:vAlign w:val="center"/>
                </w:tcPr>
                <w:p w14:paraId="473C3CE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主要污染</w:t>
                  </w:r>
                </w:p>
                <w:p w14:paraId="6AAE278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防治措施</w:t>
                  </w:r>
                </w:p>
              </w:tc>
              <w:tc>
                <w:tcPr>
                  <w:tcW w:w="2512" w:type="pct"/>
                  <w:gridSpan w:val="2"/>
                  <w:noWrap w:val="0"/>
                  <w:vAlign w:val="center"/>
                </w:tcPr>
                <w:p w14:paraId="687E935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国家或地方污染物排放标准</w:t>
                  </w:r>
                </w:p>
              </w:tc>
              <w:tc>
                <w:tcPr>
                  <w:tcW w:w="470" w:type="pct"/>
                  <w:vMerge w:val="restart"/>
                  <w:noWrap w:val="0"/>
                  <w:vAlign w:val="center"/>
                </w:tcPr>
                <w:p w14:paraId="0B3874DC">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年排放量（t/a）</w:t>
                  </w:r>
                </w:p>
              </w:tc>
            </w:tr>
            <w:tr w14:paraId="67D55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8" w:hRule="atLeast"/>
                <w:jc w:val="center"/>
              </w:trPr>
              <w:tc>
                <w:tcPr>
                  <w:tcW w:w="224" w:type="pct"/>
                  <w:vMerge w:val="continue"/>
                  <w:noWrap w:val="0"/>
                  <w:vAlign w:val="center"/>
                </w:tcPr>
                <w:p w14:paraId="766B66F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410" w:type="pct"/>
                  <w:vMerge w:val="continue"/>
                  <w:noWrap w:val="0"/>
                  <w:vAlign w:val="center"/>
                </w:tcPr>
                <w:p w14:paraId="356CD4A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297" w:type="pct"/>
                  <w:vMerge w:val="continue"/>
                  <w:noWrap w:val="0"/>
                  <w:vAlign w:val="center"/>
                </w:tcPr>
                <w:p w14:paraId="23B0808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408" w:type="pct"/>
                  <w:vMerge w:val="continue"/>
                  <w:noWrap w:val="0"/>
                  <w:vAlign w:val="center"/>
                </w:tcPr>
                <w:p w14:paraId="536C310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676" w:type="pct"/>
                  <w:vMerge w:val="continue"/>
                  <w:noWrap w:val="0"/>
                  <w:vAlign w:val="center"/>
                </w:tcPr>
                <w:p w14:paraId="7D2BE30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1982" w:type="pct"/>
                  <w:noWrap w:val="0"/>
                  <w:vAlign w:val="center"/>
                </w:tcPr>
                <w:p w14:paraId="452FB7F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标准名称</w:t>
                  </w:r>
                </w:p>
              </w:tc>
              <w:tc>
                <w:tcPr>
                  <w:tcW w:w="530" w:type="pct"/>
                  <w:noWrap w:val="0"/>
                  <w:vAlign w:val="center"/>
                </w:tcPr>
                <w:p w14:paraId="072A6B84">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浓度限值</w:t>
                  </w:r>
                </w:p>
              </w:tc>
              <w:tc>
                <w:tcPr>
                  <w:tcW w:w="470" w:type="pct"/>
                  <w:vMerge w:val="continue"/>
                  <w:noWrap w:val="0"/>
                  <w:vAlign w:val="center"/>
                </w:tcPr>
                <w:p w14:paraId="508B6E6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r>
            <w:tr w14:paraId="651A1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70" w:hRule="atLeast"/>
                <w:jc w:val="center"/>
              </w:trPr>
              <w:tc>
                <w:tcPr>
                  <w:tcW w:w="224" w:type="pct"/>
                  <w:noWrap w:val="0"/>
                  <w:vAlign w:val="center"/>
                </w:tcPr>
                <w:p w14:paraId="2A173505">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1</w:t>
                  </w:r>
                </w:p>
              </w:tc>
              <w:tc>
                <w:tcPr>
                  <w:tcW w:w="410" w:type="pct"/>
                  <w:vMerge w:val="restart"/>
                  <w:noWrap w:val="0"/>
                  <w:vAlign w:val="center"/>
                </w:tcPr>
                <w:p w14:paraId="5C86B51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面源</w:t>
                  </w:r>
                </w:p>
              </w:tc>
              <w:tc>
                <w:tcPr>
                  <w:tcW w:w="297" w:type="pct"/>
                  <w:vMerge w:val="restart"/>
                  <w:noWrap w:val="0"/>
                  <w:vAlign w:val="center"/>
                </w:tcPr>
                <w:p w14:paraId="406E752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生产车间</w:t>
                  </w:r>
                </w:p>
              </w:tc>
              <w:tc>
                <w:tcPr>
                  <w:tcW w:w="408" w:type="pct"/>
                  <w:noWrap w:val="0"/>
                  <w:vAlign w:val="center"/>
                </w:tcPr>
                <w:p w14:paraId="7B01FA4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黑体" w:cs="Times New Roman"/>
                      <w:lang w:eastAsia="zh-CN"/>
                    </w:rPr>
                  </w:pPr>
                  <w:r>
                    <w:rPr>
                      <w:rFonts w:hint="eastAsia" w:ascii="宋体" w:hAnsi="宋体" w:eastAsia="宋体" w:cs="宋体"/>
                      <w:sz w:val="21"/>
                      <w:szCs w:val="21"/>
                      <w:lang w:eastAsia="zh-CN"/>
                    </w:rPr>
                    <w:t>非甲烷总烃</w:t>
                  </w:r>
                </w:p>
              </w:tc>
              <w:tc>
                <w:tcPr>
                  <w:tcW w:w="676" w:type="pct"/>
                  <w:vMerge w:val="restart"/>
                  <w:noWrap w:val="0"/>
                  <w:vAlign w:val="center"/>
                </w:tcPr>
                <w:p w14:paraId="69BB60BE">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highlight w:val="none"/>
                    </w:rPr>
                  </w:pPr>
                  <w:r>
                    <w:rPr>
                      <w:rFonts w:hint="default" w:ascii="Times New Roman" w:hAnsi="Times New Roman" w:eastAsia="宋体" w:cs="Times New Roman"/>
                      <w:b w:val="0"/>
                      <w:bCs/>
                      <w:i w:val="0"/>
                      <w:color w:val="auto"/>
                      <w:sz w:val="21"/>
                      <w:szCs w:val="21"/>
                      <w:highlight w:val="none"/>
                      <w:u w:val="none" w:color="auto"/>
                      <w:lang w:val="en-US" w:eastAsia="zh-CN"/>
                    </w:rPr>
                    <w:t>加强废气处理设施</w:t>
                  </w:r>
                  <w:r>
                    <w:rPr>
                      <w:rFonts w:hint="eastAsia" w:ascii="Times New Roman" w:hAnsi="Times New Roman" w:eastAsia="宋体" w:cs="Times New Roman"/>
                      <w:b w:val="0"/>
                      <w:bCs/>
                      <w:i w:val="0"/>
                      <w:color w:val="auto"/>
                      <w:sz w:val="21"/>
                      <w:szCs w:val="21"/>
                      <w:highlight w:val="none"/>
                      <w:u w:val="none" w:color="auto"/>
                      <w:lang w:val="en-US" w:eastAsia="zh-CN"/>
                    </w:rPr>
                    <w:t>和生产设备</w:t>
                  </w:r>
                  <w:r>
                    <w:rPr>
                      <w:rFonts w:hint="default" w:ascii="Times New Roman" w:hAnsi="Times New Roman" w:eastAsia="宋体" w:cs="Times New Roman"/>
                      <w:b w:val="0"/>
                      <w:bCs/>
                      <w:i w:val="0"/>
                      <w:color w:val="auto"/>
                      <w:sz w:val="21"/>
                      <w:szCs w:val="21"/>
                      <w:highlight w:val="none"/>
                      <w:u w:val="none" w:color="auto"/>
                      <w:lang w:val="en-US" w:eastAsia="zh-CN"/>
                    </w:rPr>
                    <w:t>的</w:t>
                  </w:r>
                  <w:r>
                    <w:rPr>
                      <w:rFonts w:hint="eastAsia" w:ascii="Times New Roman" w:hAnsi="Times New Roman" w:eastAsia="宋体" w:cs="Times New Roman"/>
                      <w:b w:val="0"/>
                      <w:bCs/>
                      <w:i w:val="0"/>
                      <w:color w:val="auto"/>
                      <w:sz w:val="21"/>
                      <w:szCs w:val="21"/>
                      <w:highlight w:val="none"/>
                      <w:u w:val="none" w:color="auto"/>
                      <w:lang w:val="en-US" w:eastAsia="zh-CN"/>
                    </w:rPr>
                    <w:t>检查和</w:t>
                  </w:r>
                  <w:r>
                    <w:rPr>
                      <w:rFonts w:hint="default" w:ascii="Times New Roman" w:hAnsi="Times New Roman" w:eastAsia="宋体" w:cs="Times New Roman"/>
                      <w:b w:val="0"/>
                      <w:bCs/>
                      <w:i w:val="0"/>
                      <w:color w:val="auto"/>
                      <w:sz w:val="21"/>
                      <w:szCs w:val="21"/>
                      <w:highlight w:val="none"/>
                      <w:u w:val="none" w:color="auto"/>
                      <w:lang w:val="en-US" w:eastAsia="zh-CN"/>
                    </w:rPr>
                    <w:t>维护，提高集气效率；</w:t>
                  </w:r>
                  <w:r>
                    <w:rPr>
                      <w:rFonts w:hint="eastAsia" w:ascii="Times New Roman" w:hAnsi="Times New Roman" w:eastAsia="宋体" w:cs="Times New Roman"/>
                      <w:b w:val="0"/>
                      <w:bCs/>
                      <w:i w:val="0"/>
                      <w:color w:val="auto"/>
                      <w:sz w:val="21"/>
                      <w:szCs w:val="21"/>
                      <w:highlight w:val="none"/>
                      <w:u w:val="none" w:color="auto"/>
                      <w:lang w:val="en-US" w:eastAsia="zh-CN"/>
                    </w:rPr>
                    <w:t>加强车间密闭，</w:t>
                  </w:r>
                  <w:r>
                    <w:rPr>
                      <w:rFonts w:hint="default" w:ascii="Times New Roman" w:hAnsi="Times New Roman" w:eastAsia="宋体" w:cs="Times New Roman"/>
                      <w:b w:val="0"/>
                      <w:bCs/>
                      <w:i w:val="0"/>
                      <w:color w:val="auto"/>
                      <w:sz w:val="21"/>
                      <w:szCs w:val="21"/>
                      <w:highlight w:val="none"/>
                      <w:u w:val="none" w:color="auto"/>
                      <w:lang w:val="en-US" w:eastAsia="zh-CN"/>
                    </w:rPr>
                    <w:t>安装视频监控，设置台账记录</w:t>
                  </w:r>
                </w:p>
              </w:tc>
              <w:tc>
                <w:tcPr>
                  <w:tcW w:w="1982" w:type="pct"/>
                  <w:noWrap w:val="0"/>
                  <w:vAlign w:val="center"/>
                </w:tcPr>
                <w:p w14:paraId="3BECB1CD">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highlight w:val="none"/>
                      <w:lang w:val="zh-CN"/>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default" w:ascii="Times New Roman" w:hAnsi="Times New Roman" w:cs="Times New Roman"/>
                      <w:kern w:val="0"/>
                      <w:sz w:val="21"/>
                      <w:szCs w:val="18"/>
                      <w:highlight w:val="none"/>
                      <w:lang w:val="zh-CN"/>
                    </w:rPr>
                    <w:t>《关于河南省开展工业企业挥发性有机物专项治理工作中排放建议值的通知》豫环攻坚办[2017]162号</w:t>
                  </w:r>
                  <w:r>
                    <w:rPr>
                      <w:rFonts w:hint="eastAsia" w:cs="Times New Roman"/>
                      <w:kern w:val="0"/>
                      <w:sz w:val="21"/>
                      <w:szCs w:val="18"/>
                      <w:highlight w:val="none"/>
                      <w:lang w:val="zh-CN"/>
                    </w:rPr>
                    <w:t>、</w:t>
                  </w:r>
                  <w:r>
                    <w:rPr>
                      <w:rFonts w:hint="eastAsia" w:ascii="Times New Roman" w:hAnsi="Times New Roman" w:eastAsia="宋体" w:cs="Times New Roman"/>
                      <w:sz w:val="21"/>
                      <w:lang w:eastAsia="zh-CN"/>
                    </w:rPr>
                    <w:t>《挥发性有机物无组织排放控制标准》（GB37822-2019）</w:t>
                  </w:r>
                  <w:r>
                    <w:rPr>
                      <w:rFonts w:hint="eastAsia" w:cs="Times New Roman"/>
                      <w:kern w:val="0"/>
                      <w:sz w:val="21"/>
                      <w:szCs w:val="18"/>
                      <w:highlight w:val="none"/>
                      <w:lang w:val="zh-CN"/>
                    </w:rPr>
                    <w:t>、</w:t>
                  </w:r>
                  <w:r>
                    <w:rPr>
                      <w:rFonts w:hint="eastAsia" w:cs="Times New Roman"/>
                      <w:bCs/>
                      <w:kern w:val="0"/>
                      <w:sz w:val="21"/>
                      <w:szCs w:val="21"/>
                      <w:highlight w:val="none"/>
                      <w:lang w:eastAsia="zh-CN"/>
                    </w:rPr>
                    <w:t>《河南省重污染天气重点行业应急减排措施制定技术指南》（2024年修订版）“塑料制品企业绩效分级指标”限值要求</w:t>
                  </w:r>
                </w:p>
              </w:tc>
              <w:tc>
                <w:tcPr>
                  <w:tcW w:w="530" w:type="pct"/>
                  <w:noWrap w:val="0"/>
                  <w:vAlign w:val="center"/>
                </w:tcPr>
                <w:p w14:paraId="4DEEA7DC">
                  <w:pPr>
                    <w:keepNext w:val="0"/>
                    <w:keepLines w:val="0"/>
                    <w:pageBreakBefore w:val="0"/>
                    <w:widowControl w:val="0"/>
                    <w:kinsoku/>
                    <w:wordWrap w:val="0"/>
                    <w:overflowPunct/>
                    <w:topLinePunct w:val="0"/>
                    <w:autoSpaceDE/>
                    <w:autoSpaceDN/>
                    <w:bidi w:val="0"/>
                    <w:adjustRightInd/>
                    <w:snapToGrid w:val="0"/>
                    <w:spacing w:line="360" w:lineRule="exact"/>
                    <w:ind w:left="0" w:leftChars="0" w:right="0" w:rightChars="0" w:firstLine="0" w:firstLineChars="0"/>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企业边界大气污染物浓度限值</w:t>
                  </w:r>
                  <w:r>
                    <w:rPr>
                      <w:rFonts w:hint="eastAsia" w:cs="Times New Roman"/>
                      <w:b w:val="0"/>
                      <w:bCs w:val="0"/>
                      <w:color w:val="auto"/>
                      <w:sz w:val="21"/>
                      <w:szCs w:val="21"/>
                      <w:highlight w:val="none"/>
                      <w:lang w:val="en-US" w:eastAsia="zh-CN"/>
                    </w:rPr>
                    <w:t>2</w:t>
                  </w:r>
                  <w:r>
                    <w:rPr>
                      <w:rFonts w:hint="default" w:ascii="Times New Roman" w:hAnsi="Times New Roman" w:cs="Times New Roman"/>
                      <w:b w:val="0"/>
                      <w:bCs w:val="0"/>
                      <w:color w:val="auto"/>
                      <w:sz w:val="21"/>
                      <w:szCs w:val="21"/>
                      <w:highlight w:val="none"/>
                    </w:rPr>
                    <w:t>.0</w:t>
                  </w:r>
                </w:p>
                <w:p w14:paraId="603C647D">
                  <w:pPr>
                    <w:keepNext w:val="0"/>
                    <w:keepLines w:val="0"/>
                    <w:pageBreakBefore w:val="0"/>
                    <w:widowControl w:val="0"/>
                    <w:kinsoku/>
                    <w:wordWrap w:val="0"/>
                    <w:overflowPunct/>
                    <w:topLinePunct w:val="0"/>
                    <w:autoSpaceDE/>
                    <w:autoSpaceDN/>
                    <w:bidi w:val="0"/>
                    <w:adjustRightInd/>
                    <w:snapToGrid w:val="0"/>
                    <w:spacing w:line="360" w:lineRule="exact"/>
                    <w:ind w:left="0" w:leftChars="0" w:right="0" w:rightChars="0" w:firstLine="0" w:firstLineChars="0"/>
                    <w:jc w:val="center"/>
                    <w:textAlignment w:val="auto"/>
                    <w:rPr>
                      <w:rFonts w:hint="default" w:ascii="Times New Roman" w:hAnsi="Times New Roman" w:cs="Times New Roman"/>
                      <w:kern w:val="0"/>
                      <w:sz w:val="21"/>
                      <w:szCs w:val="21"/>
                      <w:highlight w:val="none"/>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c>
                <w:tcPr>
                  <w:tcW w:w="470" w:type="pct"/>
                  <w:noWrap w:val="0"/>
                  <w:vAlign w:val="center"/>
                </w:tcPr>
                <w:p w14:paraId="3A8604B0">
                  <w:pPr>
                    <w:pStyle w:val="24"/>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cs="Times New Roman"/>
                      <w:sz w:val="21"/>
                      <w:szCs w:val="21"/>
                      <w:lang w:val="en-US" w:eastAsia="zh-CN"/>
                    </w:rPr>
                    <w:t>0.0</w:t>
                  </w:r>
                  <w:r>
                    <w:rPr>
                      <w:rFonts w:hint="eastAsia" w:ascii="Times New Roman" w:hAnsi="Times New Roman" w:cs="Times New Roman"/>
                      <w:sz w:val="21"/>
                      <w:szCs w:val="21"/>
                      <w:lang w:val="en-US" w:eastAsia="zh-CN"/>
                    </w:rPr>
                    <w:t>285</w:t>
                  </w:r>
                </w:p>
              </w:tc>
            </w:tr>
            <w:tr w14:paraId="1B9FE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50" w:hRule="atLeast"/>
                <w:jc w:val="center"/>
              </w:trPr>
              <w:tc>
                <w:tcPr>
                  <w:tcW w:w="224" w:type="pct"/>
                  <w:noWrap w:val="0"/>
                  <w:vAlign w:val="center"/>
                </w:tcPr>
                <w:p w14:paraId="205B120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eastAsia="宋体"/>
                      <w:lang w:val="en-US" w:eastAsia="zh-CN"/>
                    </w:rPr>
                  </w:pPr>
                  <w:r>
                    <w:rPr>
                      <w:rFonts w:hint="eastAsia"/>
                      <w:lang w:val="en-US" w:eastAsia="zh-CN"/>
                    </w:rPr>
                    <w:t>2</w:t>
                  </w:r>
                </w:p>
              </w:tc>
              <w:tc>
                <w:tcPr>
                  <w:tcW w:w="410" w:type="pct"/>
                  <w:vMerge w:val="continue"/>
                  <w:noWrap w:val="0"/>
                  <w:vAlign w:val="center"/>
                </w:tcPr>
                <w:p w14:paraId="3FDBE95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pPr>
                </w:p>
              </w:tc>
              <w:tc>
                <w:tcPr>
                  <w:tcW w:w="297" w:type="pct"/>
                  <w:vMerge w:val="continue"/>
                  <w:noWrap w:val="0"/>
                  <w:vAlign w:val="center"/>
                </w:tcPr>
                <w:p w14:paraId="7816CD2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pPr>
                </w:p>
              </w:tc>
              <w:tc>
                <w:tcPr>
                  <w:tcW w:w="408" w:type="pct"/>
                  <w:noWrap w:val="0"/>
                  <w:vAlign w:val="center"/>
                </w:tcPr>
                <w:p w14:paraId="0359DE9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eastAsia="宋体"/>
                      <w:lang w:eastAsia="zh-CN"/>
                    </w:rPr>
                  </w:pPr>
                  <w:r>
                    <w:rPr>
                      <w:rFonts w:hint="eastAsia"/>
                      <w:sz w:val="21"/>
                      <w:szCs w:val="21"/>
                      <w:lang w:eastAsia="zh-CN"/>
                    </w:rPr>
                    <w:t>苯乙烯</w:t>
                  </w:r>
                </w:p>
              </w:tc>
              <w:tc>
                <w:tcPr>
                  <w:tcW w:w="676" w:type="pct"/>
                  <w:vMerge w:val="continue"/>
                  <w:noWrap w:val="0"/>
                  <w:vAlign w:val="center"/>
                </w:tcPr>
                <w:p w14:paraId="5046C09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pPr>
                </w:p>
              </w:tc>
              <w:tc>
                <w:tcPr>
                  <w:tcW w:w="1982" w:type="pct"/>
                  <w:noWrap w:val="0"/>
                  <w:vAlign w:val="center"/>
                </w:tcPr>
                <w:p w14:paraId="7947824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kern w:val="0"/>
                      <w:sz w:val="21"/>
                      <w:szCs w:val="18"/>
                      <w:highlight w:val="none"/>
                      <w:lang w:val="zh-CN"/>
                    </w:rPr>
                  </w:pPr>
                  <w:r>
                    <w:rPr>
                      <w:rFonts w:hint="eastAsia" w:ascii="Times New Roman" w:hAnsi="Times New Roman" w:eastAsia="宋体" w:cs="Times New Roman"/>
                      <w:sz w:val="21"/>
                      <w:lang w:eastAsia="zh-CN"/>
                    </w:rPr>
                    <w:t>《恶臭污染物排放标准》（GB 14554-93）</w:t>
                  </w:r>
                </w:p>
              </w:tc>
              <w:tc>
                <w:tcPr>
                  <w:tcW w:w="530" w:type="pct"/>
                  <w:noWrap w:val="0"/>
                  <w:vAlign w:val="center"/>
                </w:tcPr>
                <w:p w14:paraId="68068C0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highlight w:val="none"/>
                      <w:lang w:val="zh-CN"/>
                    </w:rPr>
                  </w:pPr>
                  <w:r>
                    <w:rPr>
                      <w:rFonts w:hint="eastAsia" w:cs="Times New Roman"/>
                      <w:sz w:val="21"/>
                      <w:lang w:val="en-US" w:eastAsia="zh-CN"/>
                    </w:rPr>
                    <w:t>厂界标准限值</w:t>
                  </w:r>
                  <w:r>
                    <w:rPr>
                      <w:rFonts w:hint="eastAsia" w:cs="Times New Roman"/>
                      <w:b w:val="0"/>
                      <w:bCs w:val="0"/>
                      <w:color w:val="auto"/>
                      <w:sz w:val="21"/>
                      <w:szCs w:val="21"/>
                      <w:highlight w:val="none"/>
                      <w:lang w:val="en-US" w:eastAsia="zh-CN"/>
                    </w:rPr>
                    <w:t>5</w:t>
                  </w:r>
                  <w:r>
                    <w:rPr>
                      <w:rFonts w:hint="default" w:ascii="Times New Roman" w:hAnsi="Times New Roman" w:cs="Times New Roman"/>
                      <w:b w:val="0"/>
                      <w:bCs w:val="0"/>
                      <w:color w:val="auto"/>
                      <w:sz w:val="21"/>
                      <w:szCs w:val="21"/>
                      <w:highlight w:val="none"/>
                    </w:rPr>
                    <w:t>.0mg/m</w:t>
                  </w:r>
                  <w:r>
                    <w:rPr>
                      <w:rFonts w:hint="default" w:ascii="Times New Roman" w:hAnsi="Times New Roman" w:cs="Times New Roman"/>
                      <w:b w:val="0"/>
                      <w:bCs w:val="0"/>
                      <w:color w:val="auto"/>
                      <w:sz w:val="21"/>
                      <w:szCs w:val="21"/>
                      <w:highlight w:val="none"/>
                      <w:vertAlign w:val="superscript"/>
                    </w:rPr>
                    <w:t>3</w:t>
                  </w:r>
                </w:p>
              </w:tc>
              <w:tc>
                <w:tcPr>
                  <w:tcW w:w="470" w:type="pct"/>
                  <w:noWrap w:val="0"/>
                  <w:vAlign w:val="center"/>
                </w:tcPr>
                <w:p w14:paraId="3924C3D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highlight w:val="none"/>
                      <w:lang w:val="en-US" w:eastAsia="zh-CN"/>
                    </w:rPr>
                  </w:pPr>
                  <w:r>
                    <w:rPr>
                      <w:rFonts w:hint="eastAsia" w:cs="Times New Roman"/>
                      <w:kern w:val="0"/>
                      <w:sz w:val="21"/>
                      <w:szCs w:val="18"/>
                      <w:highlight w:val="none"/>
                      <w:lang w:val="en-US" w:eastAsia="zh-CN"/>
                    </w:rPr>
                    <w:t>0.005</w:t>
                  </w:r>
                </w:p>
              </w:tc>
            </w:tr>
          </w:tbl>
          <w:p w14:paraId="1B796C64">
            <w:pPr>
              <w:spacing w:line="520" w:lineRule="atLeast"/>
              <w:ind w:firstLine="0" w:firstLineChars="0"/>
              <w:jc w:val="center"/>
              <w:rPr>
                <w:rFonts w:hint="default" w:ascii="Times New Roman" w:hAnsi="Times New Roman" w:cs="Times New Roman"/>
                <w:b/>
              </w:rPr>
            </w:pPr>
            <w:r>
              <w:rPr>
                <w:rFonts w:hint="default" w:ascii="Times New Roman" w:hAnsi="Times New Roman" w:cs="Times New Roman"/>
                <w:b/>
              </w:rPr>
              <w:t>表4-</w:t>
            </w:r>
            <w:r>
              <w:rPr>
                <w:rFonts w:hint="eastAsia" w:cs="Times New Roman"/>
                <w:b/>
                <w:lang w:val="en-US" w:eastAsia="zh-CN"/>
              </w:rPr>
              <w:t>7</w:t>
            </w:r>
            <w:r>
              <w:rPr>
                <w:rFonts w:hint="default" w:ascii="Times New Roman" w:hAnsi="Times New Roman" w:cs="Times New Roman"/>
                <w:b/>
              </w:rPr>
              <w:t xml:space="preserve">  大气污染物年排放量核算表（有组织+无组织）</w:t>
            </w:r>
          </w:p>
          <w:tbl>
            <w:tblPr>
              <w:tblStyle w:val="15"/>
              <w:tblW w:w="8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2508"/>
              <w:gridCol w:w="5035"/>
            </w:tblGrid>
            <w:tr w14:paraId="35734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4" w:type="pct"/>
                  <w:noWrap w:val="0"/>
                  <w:vAlign w:val="center"/>
                </w:tcPr>
                <w:p w14:paraId="5A5BF4F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b w:val="0"/>
                      <w:bCs w:val="0"/>
                      <w:sz w:val="21"/>
                      <w:szCs w:val="21"/>
                      <w:lang w:eastAsia="zh-CN"/>
                    </w:rPr>
                  </w:pPr>
                  <w:r>
                    <w:rPr>
                      <w:rFonts w:hint="eastAsia" w:cs="Times New Roman"/>
                      <w:b w:val="0"/>
                      <w:bCs w:val="0"/>
                      <w:sz w:val="21"/>
                      <w:szCs w:val="21"/>
                      <w:lang w:eastAsia="zh-CN"/>
                    </w:rPr>
                    <w:t>序号</w:t>
                  </w:r>
                </w:p>
              </w:tc>
              <w:tc>
                <w:tcPr>
                  <w:tcW w:w="1428" w:type="pct"/>
                  <w:noWrap w:val="0"/>
                  <w:vAlign w:val="center"/>
                </w:tcPr>
                <w:p w14:paraId="0922FD2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cs="Times New Roman"/>
                      <w:b w:val="0"/>
                      <w:bCs w:val="0"/>
                      <w:sz w:val="21"/>
                      <w:szCs w:val="21"/>
                      <w:highlight w:val="none"/>
                    </w:rPr>
                  </w:pPr>
                  <w:r>
                    <w:rPr>
                      <w:rFonts w:hint="default" w:ascii="Times New Roman" w:hAnsi="Times New Roman" w:cs="Times New Roman"/>
                      <w:b w:val="0"/>
                      <w:bCs w:val="0"/>
                      <w:sz w:val="21"/>
                      <w:szCs w:val="21"/>
                      <w:highlight w:val="none"/>
                    </w:rPr>
                    <w:t>污染物名称</w:t>
                  </w:r>
                </w:p>
              </w:tc>
              <w:tc>
                <w:tcPr>
                  <w:tcW w:w="2867" w:type="pct"/>
                  <w:noWrap w:val="0"/>
                  <w:vAlign w:val="center"/>
                </w:tcPr>
                <w:p w14:paraId="79A043E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cs="Times New Roman"/>
                      <w:b w:val="0"/>
                      <w:bCs w:val="0"/>
                      <w:sz w:val="21"/>
                      <w:szCs w:val="21"/>
                      <w:highlight w:val="none"/>
                    </w:rPr>
                  </w:pPr>
                  <w:r>
                    <w:rPr>
                      <w:rFonts w:hint="default" w:ascii="Times New Roman" w:hAnsi="Times New Roman" w:cs="Times New Roman"/>
                      <w:b w:val="0"/>
                      <w:bCs w:val="0"/>
                      <w:sz w:val="21"/>
                      <w:szCs w:val="21"/>
                      <w:highlight w:val="none"/>
                    </w:rPr>
                    <w:t>排放量（t/a）</w:t>
                  </w:r>
                </w:p>
              </w:tc>
            </w:tr>
            <w:tr w14:paraId="7BAC7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04" w:type="pct"/>
                  <w:noWrap w:val="0"/>
                  <w:vAlign w:val="center"/>
                </w:tcPr>
                <w:p w14:paraId="03BCAFE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val="en-US" w:eastAsia="zh-CN"/>
                    </w:rPr>
                    <w:t>1</w:t>
                  </w:r>
                </w:p>
              </w:tc>
              <w:tc>
                <w:tcPr>
                  <w:tcW w:w="1428" w:type="pct"/>
                  <w:noWrap w:val="0"/>
                  <w:vAlign w:val="center"/>
                </w:tcPr>
                <w:p w14:paraId="03E1337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非甲烷总烃</w:t>
                  </w:r>
                </w:p>
              </w:tc>
              <w:tc>
                <w:tcPr>
                  <w:tcW w:w="2867" w:type="pct"/>
                  <w:noWrap w:val="0"/>
                  <w:vAlign w:val="center"/>
                </w:tcPr>
                <w:p w14:paraId="15C04ED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1368</w:t>
                  </w:r>
                </w:p>
              </w:tc>
            </w:tr>
            <w:tr w14:paraId="2BAFC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04" w:type="pct"/>
                  <w:noWrap w:val="0"/>
                  <w:vAlign w:val="center"/>
                </w:tcPr>
                <w:p w14:paraId="5495146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w:t>
                  </w:r>
                </w:p>
              </w:tc>
              <w:tc>
                <w:tcPr>
                  <w:tcW w:w="1428" w:type="pct"/>
                  <w:noWrap w:val="0"/>
                  <w:vAlign w:val="center"/>
                </w:tcPr>
                <w:p w14:paraId="4CC31D1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s="Times New Roman"/>
                      <w:sz w:val="21"/>
                      <w:szCs w:val="21"/>
                      <w:lang w:eastAsia="zh-CN"/>
                    </w:rPr>
                  </w:pPr>
                  <w:r>
                    <w:rPr>
                      <w:rFonts w:hint="eastAsia" w:cs="Times New Roman"/>
                      <w:sz w:val="21"/>
                      <w:szCs w:val="21"/>
                      <w:lang w:eastAsia="zh-CN"/>
                    </w:rPr>
                    <w:t>苯乙烯</w:t>
                  </w:r>
                </w:p>
              </w:tc>
              <w:tc>
                <w:tcPr>
                  <w:tcW w:w="2867" w:type="pct"/>
                  <w:noWrap w:val="0"/>
                  <w:vAlign w:val="center"/>
                </w:tcPr>
                <w:p w14:paraId="51E48C8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0.024</w:t>
                  </w:r>
                </w:p>
              </w:tc>
            </w:tr>
            <w:tr w14:paraId="5761B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04" w:type="pct"/>
                  <w:noWrap w:val="0"/>
                  <w:vAlign w:val="center"/>
                </w:tcPr>
                <w:p w14:paraId="49E7992B">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3</w:t>
                  </w:r>
                </w:p>
              </w:tc>
              <w:tc>
                <w:tcPr>
                  <w:tcW w:w="1428" w:type="pct"/>
                  <w:noWrap w:val="0"/>
                  <w:vAlign w:val="center"/>
                </w:tcPr>
                <w:p w14:paraId="38AEC16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s="Times New Roman"/>
                      <w:sz w:val="21"/>
                      <w:szCs w:val="21"/>
                      <w:highlight w:val="none"/>
                      <w:lang w:eastAsia="zh-CN"/>
                    </w:rPr>
                  </w:pPr>
                  <w:r>
                    <w:rPr>
                      <w:rFonts w:hint="default" w:ascii="Times New Roman" w:hAnsi="Times New Roman" w:cs="Times New Roman"/>
                      <w:kern w:val="0"/>
                      <w:sz w:val="21"/>
                      <w:szCs w:val="18"/>
                      <w:highlight w:val="none"/>
                      <w:lang w:val="en-US" w:eastAsia="zh-CN" w:bidi="ar-SA"/>
                    </w:rPr>
                    <w:t>VOCs</w:t>
                  </w:r>
                </w:p>
              </w:tc>
              <w:tc>
                <w:tcPr>
                  <w:tcW w:w="2867" w:type="pct"/>
                  <w:noWrap w:val="0"/>
                  <w:vAlign w:val="center"/>
                </w:tcPr>
                <w:p w14:paraId="6C0E5AD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0.0008</w:t>
                  </w:r>
                </w:p>
              </w:tc>
            </w:tr>
          </w:tbl>
          <w:p w14:paraId="77EDF0B7">
            <w:pPr>
              <w:spacing w:line="520" w:lineRule="atLeast"/>
              <w:ind w:firstLine="482"/>
              <w:rPr>
                <w:rFonts w:hint="default" w:ascii="Times New Roman" w:hAnsi="Times New Roman" w:cs="Times New Roman"/>
                <w:b/>
                <w:bCs/>
              </w:rPr>
            </w:pPr>
            <w:r>
              <w:rPr>
                <w:rFonts w:hint="default" w:ascii="Times New Roman" w:hAnsi="Times New Roman" w:cs="Times New Roman"/>
                <w:b/>
                <w:bCs/>
              </w:rPr>
              <w:t>1.</w:t>
            </w:r>
            <w:r>
              <w:rPr>
                <w:rFonts w:hint="default" w:ascii="Times New Roman" w:hAnsi="Times New Roman" w:cs="Times New Roman"/>
                <w:b/>
                <w:bCs/>
                <w:lang w:val="en-US" w:eastAsia="zh-CN"/>
              </w:rPr>
              <w:t>7</w:t>
            </w:r>
            <w:r>
              <w:rPr>
                <w:rFonts w:hint="default" w:ascii="Times New Roman" w:hAnsi="Times New Roman" w:cs="Times New Roman"/>
                <w:b/>
                <w:bCs/>
              </w:rPr>
              <w:t>监测要求</w:t>
            </w:r>
          </w:p>
          <w:p w14:paraId="4F10BB80">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highlight w:val="none"/>
                <w:lang w:val="en-US" w:eastAsia="zh-CN" w:bidi="ar-SA"/>
              </w:rPr>
            </w:pPr>
            <w:r>
              <w:rPr>
                <w:rFonts w:hint="default" w:ascii="Times New Roman" w:hAnsi="Times New Roman" w:cs="Times New Roman"/>
                <w:highlight w:val="none"/>
              </w:rPr>
              <w:t>根据《排污</w:t>
            </w:r>
            <w:r>
              <w:rPr>
                <w:rFonts w:hint="default" w:ascii="Times New Roman" w:hAnsi="Times New Roman" w:cs="Times New Roman"/>
              </w:rPr>
              <w:t>单位自行监测技术指南 总则》（HJ 819-2017）</w:t>
            </w:r>
            <w:r>
              <w:rPr>
                <w:rFonts w:hint="eastAsia" w:cs="Times New Roman"/>
                <w:lang w:eastAsia="zh-CN"/>
              </w:rPr>
              <w:t>、</w:t>
            </w:r>
            <w:r>
              <w:rPr>
                <w:rFonts w:hint="default" w:ascii="Times New Roman" w:hAnsi="Times New Roman" w:cs="Times New Roman"/>
                <w:bCs/>
                <w:color w:val="000000"/>
                <w:sz w:val="24"/>
                <w:highlight w:val="none"/>
                <w:lang w:val="en-US" w:eastAsia="zh-CN" w:bidi="ar-SA"/>
              </w:rPr>
              <w:t>《排污单位自行监测</w:t>
            </w:r>
            <w:r>
              <w:rPr>
                <w:rFonts w:hint="eastAsia" w:cs="Times New Roman"/>
                <w:bCs/>
                <w:color w:val="000000"/>
                <w:sz w:val="24"/>
                <w:highlight w:val="none"/>
                <w:lang w:val="en-US" w:eastAsia="zh-CN" w:bidi="ar-SA"/>
              </w:rPr>
              <w:t>技术</w:t>
            </w:r>
            <w:r>
              <w:rPr>
                <w:rFonts w:hint="default" w:ascii="Times New Roman" w:hAnsi="Times New Roman" w:cs="Times New Roman"/>
                <w:bCs/>
                <w:color w:val="000000"/>
                <w:sz w:val="24"/>
                <w:highlight w:val="none"/>
                <w:lang w:val="en-US" w:eastAsia="zh-CN" w:bidi="ar-SA"/>
              </w:rPr>
              <w:t xml:space="preserve">指南 </w:t>
            </w:r>
            <w:r>
              <w:rPr>
                <w:rFonts w:hint="eastAsia" w:cs="Times New Roman"/>
                <w:bCs/>
                <w:color w:val="000000"/>
                <w:sz w:val="24"/>
                <w:highlight w:val="none"/>
                <w:lang w:val="en-US" w:eastAsia="zh-CN" w:bidi="ar-SA"/>
              </w:rPr>
              <w:t>橡胶和塑料制品</w:t>
            </w:r>
            <w:r>
              <w:rPr>
                <w:rFonts w:hint="default" w:ascii="Times New Roman" w:hAnsi="Times New Roman" w:cs="Times New Roman"/>
                <w:bCs/>
                <w:color w:val="000000"/>
                <w:sz w:val="24"/>
                <w:highlight w:val="none"/>
                <w:lang w:val="en-US" w:eastAsia="zh-CN" w:bidi="ar-SA"/>
              </w:rPr>
              <w:t>》（HJ</w:t>
            </w:r>
            <w:r>
              <w:rPr>
                <w:rFonts w:hint="eastAsia" w:cs="Times New Roman"/>
                <w:bCs/>
                <w:color w:val="000000"/>
                <w:sz w:val="24"/>
                <w:highlight w:val="none"/>
                <w:lang w:val="en-US" w:eastAsia="zh-CN" w:bidi="ar-SA"/>
              </w:rPr>
              <w:t>1207</w:t>
            </w:r>
            <w:r>
              <w:rPr>
                <w:rFonts w:hint="default" w:ascii="Times New Roman" w:hAnsi="Times New Roman" w:cs="Times New Roman"/>
                <w:bCs/>
                <w:color w:val="000000"/>
                <w:sz w:val="24"/>
                <w:highlight w:val="none"/>
                <w:lang w:val="en-US" w:eastAsia="zh-CN" w:bidi="ar-SA"/>
              </w:rPr>
              <w:t>-20</w:t>
            </w:r>
            <w:r>
              <w:rPr>
                <w:rFonts w:hint="eastAsia" w:cs="Times New Roman"/>
                <w:bCs/>
                <w:color w:val="000000"/>
                <w:sz w:val="24"/>
                <w:highlight w:val="none"/>
                <w:lang w:val="en-US" w:eastAsia="zh-CN" w:bidi="ar-SA"/>
              </w:rPr>
              <w:t>21</w:t>
            </w:r>
            <w:r>
              <w:rPr>
                <w:rFonts w:hint="default" w:ascii="Times New Roman" w:hAnsi="Times New Roman" w:cs="Times New Roman"/>
                <w:bCs/>
                <w:color w:val="000000"/>
                <w:sz w:val="24"/>
                <w:highlight w:val="none"/>
                <w:lang w:val="en-US" w:eastAsia="zh-CN" w:bidi="ar-SA"/>
              </w:rPr>
              <w:t>）</w:t>
            </w:r>
            <w:r>
              <w:rPr>
                <w:rFonts w:hint="default" w:ascii="Times New Roman" w:hAnsi="Times New Roman" w:cs="Times New Roman"/>
                <w:highlight w:val="none"/>
                <w:lang w:val="en-US" w:eastAsia="zh-CN" w:bidi="ar-SA"/>
              </w:rPr>
              <w:t>中要求</w:t>
            </w:r>
            <w:r>
              <w:rPr>
                <w:rFonts w:hint="default" w:ascii="Times New Roman" w:hAnsi="Times New Roman" w:cs="Times New Roman"/>
              </w:rPr>
              <w:t>，</w:t>
            </w:r>
            <w:r>
              <w:rPr>
                <w:rFonts w:hint="default" w:ascii="Times New Roman" w:hAnsi="Times New Roman" w:cs="Times New Roman"/>
                <w:highlight w:val="none"/>
                <w:lang w:val="en-US" w:eastAsia="zh-CN" w:bidi="ar-SA"/>
              </w:rPr>
              <w:t>建设单位应设立环境监测计划。建设单位应开展自行监测活动，结合具体情况，建设单位可委托其他监测机构代其开展自行监测，排污单位对委托监测的数据负总责。</w:t>
            </w:r>
          </w:p>
          <w:p w14:paraId="3CAC8338">
            <w:pPr>
              <w:spacing w:line="520" w:lineRule="atLeast"/>
              <w:ind w:firstLine="0" w:firstLineChars="0"/>
              <w:jc w:val="center"/>
              <w:rPr>
                <w:rFonts w:hint="default" w:ascii="Times New Roman" w:hAnsi="Times New Roman" w:cs="Times New Roman"/>
                <w:b/>
                <w:bCs/>
                <w:szCs w:val="22"/>
              </w:rPr>
            </w:pPr>
            <w:r>
              <w:rPr>
                <w:rFonts w:hint="default" w:ascii="Times New Roman" w:hAnsi="Times New Roman" w:cs="Times New Roman"/>
                <w:b/>
                <w:bCs/>
                <w:szCs w:val="22"/>
              </w:rPr>
              <w:t>表4-</w:t>
            </w:r>
            <w:r>
              <w:rPr>
                <w:rFonts w:hint="eastAsia" w:cs="Times New Roman"/>
                <w:b/>
                <w:bCs/>
                <w:szCs w:val="22"/>
                <w:lang w:val="en-US" w:eastAsia="zh-CN"/>
              </w:rPr>
              <w:t>8</w:t>
            </w:r>
            <w:r>
              <w:rPr>
                <w:rFonts w:hint="default" w:ascii="Times New Roman" w:hAnsi="Times New Roman" w:cs="Times New Roman"/>
                <w:b/>
                <w:bCs/>
                <w:szCs w:val="22"/>
              </w:rPr>
              <w:t xml:space="preserve">  本项目废气例行监测要求一览表</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786"/>
              <w:gridCol w:w="1032"/>
              <w:gridCol w:w="1384"/>
              <w:gridCol w:w="1100"/>
              <w:gridCol w:w="3787"/>
              <w:gridCol w:w="711"/>
            </w:tblGrid>
            <w:tr w14:paraId="5B486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34" w:hRule="atLeast"/>
              </w:trPr>
              <w:tc>
                <w:tcPr>
                  <w:tcW w:w="446" w:type="pct"/>
                  <w:vMerge w:val="restart"/>
                  <w:noWrap w:val="0"/>
                  <w:vAlign w:val="center"/>
                </w:tcPr>
                <w:p w14:paraId="476EE69C">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环境</w:t>
                  </w:r>
                </w:p>
                <w:p w14:paraId="1E6A582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要素</w:t>
                  </w:r>
                </w:p>
              </w:tc>
              <w:tc>
                <w:tcPr>
                  <w:tcW w:w="586" w:type="pct"/>
                  <w:vMerge w:val="restart"/>
                  <w:noWrap w:val="0"/>
                  <w:vAlign w:val="center"/>
                </w:tcPr>
                <w:p w14:paraId="467B633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监测点</w:t>
                  </w:r>
                </w:p>
              </w:tc>
              <w:tc>
                <w:tcPr>
                  <w:tcW w:w="786" w:type="pct"/>
                  <w:vMerge w:val="restart"/>
                  <w:noWrap w:val="0"/>
                  <w:vAlign w:val="center"/>
                </w:tcPr>
                <w:p w14:paraId="4E48D442">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监测因子</w:t>
                  </w:r>
                </w:p>
              </w:tc>
              <w:tc>
                <w:tcPr>
                  <w:tcW w:w="625" w:type="pct"/>
                  <w:vMerge w:val="restart"/>
                  <w:noWrap w:val="0"/>
                  <w:vAlign w:val="center"/>
                </w:tcPr>
                <w:p w14:paraId="49805504">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监测</w:t>
                  </w:r>
                </w:p>
                <w:p w14:paraId="3D68275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频率</w:t>
                  </w:r>
                </w:p>
              </w:tc>
              <w:tc>
                <w:tcPr>
                  <w:tcW w:w="2555" w:type="pct"/>
                  <w:gridSpan w:val="2"/>
                  <w:noWrap w:val="0"/>
                  <w:vAlign w:val="center"/>
                </w:tcPr>
                <w:p w14:paraId="375955B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执行排放标准</w:t>
                  </w:r>
                </w:p>
              </w:tc>
            </w:tr>
            <w:tr w14:paraId="411ED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73" w:hRule="atLeast"/>
              </w:trPr>
              <w:tc>
                <w:tcPr>
                  <w:tcW w:w="446" w:type="pct"/>
                  <w:vMerge w:val="continue"/>
                  <w:noWrap w:val="0"/>
                  <w:vAlign w:val="center"/>
                </w:tcPr>
                <w:p w14:paraId="7479E7EC">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586" w:type="pct"/>
                  <w:vMerge w:val="continue"/>
                  <w:noWrap w:val="0"/>
                  <w:vAlign w:val="center"/>
                </w:tcPr>
                <w:p w14:paraId="31D1FCB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786" w:type="pct"/>
                  <w:vMerge w:val="continue"/>
                  <w:noWrap w:val="0"/>
                  <w:vAlign w:val="center"/>
                </w:tcPr>
                <w:p w14:paraId="7D798918">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625" w:type="pct"/>
                  <w:vMerge w:val="continue"/>
                  <w:noWrap w:val="0"/>
                  <w:vAlign w:val="center"/>
                </w:tcPr>
                <w:p w14:paraId="064C9362">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2151" w:type="pct"/>
                  <w:noWrap w:val="0"/>
                  <w:vAlign w:val="center"/>
                </w:tcPr>
                <w:p w14:paraId="3E22460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标准名称</w:t>
                  </w:r>
                </w:p>
              </w:tc>
              <w:tc>
                <w:tcPr>
                  <w:tcW w:w="403" w:type="pct"/>
                  <w:noWrap w:val="0"/>
                  <w:vAlign w:val="center"/>
                </w:tcPr>
                <w:p w14:paraId="60290B3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限值</w:t>
                  </w:r>
                </w:p>
              </w:tc>
            </w:tr>
            <w:tr w14:paraId="3955D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20" w:hRule="atLeast"/>
              </w:trPr>
              <w:tc>
                <w:tcPr>
                  <w:tcW w:w="446" w:type="pct"/>
                  <w:vMerge w:val="restart"/>
                  <w:noWrap w:val="0"/>
                  <w:vAlign w:val="center"/>
                </w:tcPr>
                <w:p w14:paraId="3C0A748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有组织废气</w:t>
                  </w:r>
                </w:p>
              </w:tc>
              <w:tc>
                <w:tcPr>
                  <w:tcW w:w="586" w:type="pct"/>
                  <w:vMerge w:val="restart"/>
                  <w:noWrap w:val="0"/>
                  <w:vAlign w:val="center"/>
                </w:tcPr>
                <w:p w14:paraId="643202C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排放口DA001</w:t>
                  </w:r>
                </w:p>
              </w:tc>
              <w:tc>
                <w:tcPr>
                  <w:tcW w:w="786" w:type="pct"/>
                  <w:noWrap w:val="0"/>
                  <w:vAlign w:val="center"/>
                </w:tcPr>
                <w:p w14:paraId="7DB774D2">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eastAsia="宋体" w:cs="Times New Roman"/>
                      <w:bCs/>
                      <w:kern w:val="0"/>
                      <w:sz w:val="21"/>
                      <w:szCs w:val="20"/>
                      <w:lang w:eastAsia="zh-CN"/>
                    </w:rPr>
                  </w:pPr>
                  <w:r>
                    <w:rPr>
                      <w:rFonts w:hint="default" w:ascii="Times New Roman" w:hAnsi="Times New Roman" w:eastAsia="宋体" w:cs="Times New Roman"/>
                      <w:bCs/>
                      <w:sz w:val="21"/>
                      <w:szCs w:val="21"/>
                      <w:highlight w:val="none"/>
                    </w:rPr>
                    <w:t>非甲烷总烃排放浓度、排放速率和废气量</w:t>
                  </w:r>
                </w:p>
              </w:tc>
              <w:tc>
                <w:tcPr>
                  <w:tcW w:w="625" w:type="pct"/>
                  <w:noWrap w:val="0"/>
                  <w:vAlign w:val="center"/>
                </w:tcPr>
                <w:p w14:paraId="4A2F7FED">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eastAsia="宋体" w:cs="Times New Roman"/>
                      <w:bCs/>
                      <w:sz w:val="21"/>
                      <w:szCs w:val="21"/>
                      <w:highlight w:val="none"/>
                    </w:rPr>
                    <w:t>1次/</w:t>
                  </w:r>
                  <w:r>
                    <w:rPr>
                      <w:rFonts w:hint="eastAsia" w:cs="Times New Roman"/>
                      <w:bCs/>
                      <w:sz w:val="21"/>
                      <w:szCs w:val="21"/>
                      <w:highlight w:val="none"/>
                      <w:lang w:eastAsia="zh-CN"/>
                    </w:rPr>
                    <w:t>半</w:t>
                  </w:r>
                  <w:r>
                    <w:rPr>
                      <w:rFonts w:hint="default" w:ascii="Times New Roman" w:hAnsi="Times New Roman" w:eastAsia="宋体" w:cs="Times New Roman"/>
                      <w:bCs/>
                      <w:sz w:val="21"/>
                      <w:szCs w:val="21"/>
                      <w:highlight w:val="none"/>
                    </w:rPr>
                    <w:t>年</w:t>
                  </w:r>
                  <w:r>
                    <w:rPr>
                      <w:rFonts w:hint="eastAsia" w:ascii="Times New Roman" w:hAnsi="Times New Roman" w:eastAsia="宋体" w:cs="Times New Roman"/>
                      <w:bCs/>
                      <w:sz w:val="21"/>
                      <w:szCs w:val="21"/>
                      <w:highlight w:val="none"/>
                      <w:lang w:eastAsia="zh-CN"/>
                    </w:rPr>
                    <w:t>，</w:t>
                  </w:r>
                  <w:r>
                    <w:rPr>
                      <w:rFonts w:hint="default" w:ascii="Times New Roman" w:hAnsi="Times New Roman" w:cs="Times New Roman"/>
                      <w:sz w:val="21"/>
                      <w:szCs w:val="21"/>
                      <w:highlight w:val="none"/>
                      <w:u w:val="none" w:color="auto"/>
                    </w:rPr>
                    <w:t>每次连续监测2天</w:t>
                  </w:r>
                </w:p>
              </w:tc>
              <w:tc>
                <w:tcPr>
                  <w:tcW w:w="2151" w:type="pct"/>
                  <w:noWrap w:val="0"/>
                  <w:vAlign w:val="center"/>
                </w:tcPr>
                <w:p w14:paraId="428AF11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eastAsia" w:cs="Times New Roman"/>
                      <w:bCs/>
                      <w:kern w:val="0"/>
                      <w:sz w:val="21"/>
                      <w:szCs w:val="21"/>
                      <w:lang w:eastAsia="zh-CN"/>
                    </w:rPr>
                    <w:t>《河南省重污染天气重点行业应急减排措施制定技术指南》（2024年修订版）“塑料制品企业绩效分级指标”限值要求</w:t>
                  </w:r>
                </w:p>
              </w:tc>
              <w:tc>
                <w:tcPr>
                  <w:tcW w:w="403" w:type="pct"/>
                  <w:noWrap w:val="0"/>
                  <w:vAlign w:val="center"/>
                </w:tcPr>
                <w:p w14:paraId="3CCCA888">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20</w:t>
                  </w:r>
                </w:p>
                <w:p w14:paraId="655C5034">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default" w:ascii="Times New Roman" w:hAnsi="Times New Roman" w:eastAsia="宋体" w:cs="Times New Roman"/>
                      <w:bCs/>
                      <w:kern w:val="0"/>
                      <w:sz w:val="21"/>
                      <w:szCs w:val="21"/>
                      <w:lang w:eastAsia="zh-CN"/>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57BC0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46" w:hRule="atLeast"/>
              </w:trPr>
              <w:tc>
                <w:tcPr>
                  <w:tcW w:w="446" w:type="pct"/>
                  <w:vMerge w:val="continue"/>
                  <w:noWrap w:val="0"/>
                  <w:vAlign w:val="center"/>
                </w:tcPr>
                <w:p w14:paraId="46AB0C98">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86" w:type="pct"/>
                  <w:vMerge w:val="continue"/>
                  <w:noWrap w:val="0"/>
                  <w:vAlign w:val="center"/>
                </w:tcPr>
                <w:p w14:paraId="05055EF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786" w:type="pct"/>
                  <w:noWrap w:val="0"/>
                  <w:vAlign w:val="center"/>
                </w:tcPr>
                <w:p w14:paraId="675F006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r>
                    <w:rPr>
                      <w:rFonts w:hint="eastAsia" w:ascii="Times New Roman" w:hAnsi="Times New Roman" w:eastAsia="宋体" w:cs="Times New Roman"/>
                      <w:bCs/>
                      <w:sz w:val="21"/>
                      <w:szCs w:val="21"/>
                      <w:highlight w:val="none"/>
                      <w:lang w:eastAsia="zh-CN"/>
                    </w:rPr>
                    <w:t>苯乙烯</w:t>
                  </w:r>
                  <w:r>
                    <w:rPr>
                      <w:rFonts w:hint="default" w:ascii="Times New Roman" w:hAnsi="Times New Roman" w:eastAsia="宋体" w:cs="Times New Roman"/>
                      <w:bCs/>
                      <w:sz w:val="21"/>
                      <w:szCs w:val="21"/>
                      <w:highlight w:val="none"/>
                    </w:rPr>
                    <w:t>排放浓度、排放速率和废气量</w:t>
                  </w:r>
                </w:p>
              </w:tc>
              <w:tc>
                <w:tcPr>
                  <w:tcW w:w="625" w:type="pct"/>
                  <w:noWrap w:val="0"/>
                  <w:vAlign w:val="center"/>
                </w:tcPr>
                <w:p w14:paraId="2EBBA9D8">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sz w:val="21"/>
                      <w:szCs w:val="21"/>
                      <w:highlight w:val="none"/>
                      <w:u w:val="none" w:color="auto"/>
                    </w:rPr>
                  </w:pPr>
                  <w:r>
                    <w:rPr>
                      <w:rFonts w:hint="default" w:ascii="Times New Roman" w:hAnsi="Times New Roman" w:eastAsia="宋体" w:cs="Times New Roman"/>
                      <w:bCs/>
                      <w:sz w:val="21"/>
                      <w:szCs w:val="21"/>
                      <w:highlight w:val="none"/>
                    </w:rPr>
                    <w:t>1次/年</w:t>
                  </w:r>
                  <w:r>
                    <w:rPr>
                      <w:rFonts w:hint="eastAsia" w:ascii="Times New Roman" w:hAnsi="Times New Roman" w:eastAsia="宋体" w:cs="Times New Roman"/>
                      <w:bCs/>
                      <w:sz w:val="21"/>
                      <w:szCs w:val="21"/>
                      <w:highlight w:val="none"/>
                      <w:lang w:eastAsia="zh-CN"/>
                    </w:rPr>
                    <w:t>，</w:t>
                  </w:r>
                  <w:r>
                    <w:rPr>
                      <w:rFonts w:hint="default" w:ascii="Times New Roman" w:hAnsi="Times New Roman" w:cs="Times New Roman"/>
                      <w:sz w:val="21"/>
                      <w:szCs w:val="21"/>
                      <w:highlight w:val="none"/>
                      <w:u w:val="none" w:color="auto"/>
                    </w:rPr>
                    <w:t>每次连续监测2天</w:t>
                  </w:r>
                </w:p>
              </w:tc>
              <w:tc>
                <w:tcPr>
                  <w:tcW w:w="2151" w:type="pct"/>
                  <w:noWrap w:val="0"/>
                  <w:vAlign w:val="center"/>
                </w:tcPr>
                <w:p w14:paraId="712A9D42">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u w:val="none" w:color="auto"/>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cs="Times New Roman"/>
                      <w:sz w:val="21"/>
                      <w:szCs w:val="21"/>
                      <w:highlight w:val="none"/>
                      <w:u w:val="none" w:color="auto"/>
                      <w:lang w:eastAsia="zh-CN"/>
                    </w:rPr>
                    <w:t>、</w:t>
                  </w:r>
                  <w:r>
                    <w:rPr>
                      <w:rFonts w:hint="default" w:ascii="Times New Roman" w:hAnsi="Times New Roman" w:cs="Times New Roman"/>
                      <w:sz w:val="21"/>
                      <w:szCs w:val="21"/>
                      <w:highlight w:val="none"/>
                      <w:u w:val="none" w:color="auto"/>
                    </w:rPr>
                    <w:t>《恶臭污染物排放标准》（GB 14554-93）的限值要求</w:t>
                  </w:r>
                </w:p>
              </w:tc>
              <w:tc>
                <w:tcPr>
                  <w:tcW w:w="403" w:type="pct"/>
                  <w:noWrap w:val="0"/>
                  <w:vAlign w:val="center"/>
                </w:tcPr>
                <w:p w14:paraId="381533CC">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20</w:t>
                  </w:r>
                </w:p>
                <w:p w14:paraId="36CABDA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u w:val="none" w:color="auto"/>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1618E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9" w:hRule="atLeast"/>
              </w:trPr>
              <w:tc>
                <w:tcPr>
                  <w:tcW w:w="446" w:type="pct"/>
                  <w:vMerge w:val="restart"/>
                  <w:noWrap w:val="0"/>
                  <w:vAlign w:val="center"/>
                </w:tcPr>
                <w:p w14:paraId="6512FFC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无组织废气</w:t>
                  </w:r>
                </w:p>
              </w:tc>
              <w:tc>
                <w:tcPr>
                  <w:tcW w:w="586" w:type="pct"/>
                  <w:noWrap w:val="0"/>
                  <w:vAlign w:val="center"/>
                </w:tcPr>
                <w:p w14:paraId="70C1E0D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val="en-US" w:eastAsia="zh-CN"/>
                    </w:rPr>
                  </w:pPr>
                  <w:r>
                    <w:rPr>
                      <w:rFonts w:hint="eastAsia" w:cs="Times New Roman"/>
                      <w:bCs/>
                      <w:kern w:val="0"/>
                      <w:sz w:val="21"/>
                      <w:szCs w:val="20"/>
                      <w:lang w:val="en-US" w:eastAsia="zh-CN"/>
                    </w:rPr>
                    <w:t>车间外</w:t>
                  </w:r>
                </w:p>
              </w:tc>
              <w:tc>
                <w:tcPr>
                  <w:tcW w:w="786" w:type="pct"/>
                  <w:noWrap w:val="0"/>
                  <w:vAlign w:val="center"/>
                </w:tcPr>
                <w:p w14:paraId="3823A8C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eastAsia="宋体" w:cs="Times New Roman"/>
                      <w:bCs/>
                      <w:kern w:val="0"/>
                      <w:sz w:val="21"/>
                      <w:szCs w:val="20"/>
                      <w:lang w:eastAsia="zh-CN"/>
                    </w:rPr>
                  </w:pPr>
                  <w:r>
                    <w:rPr>
                      <w:rFonts w:hint="eastAsia" w:cs="Times New Roman"/>
                      <w:bCs/>
                      <w:kern w:val="0"/>
                      <w:sz w:val="21"/>
                      <w:szCs w:val="20"/>
                      <w:lang w:eastAsia="zh-CN"/>
                    </w:rPr>
                    <w:t>非甲烷总烃</w:t>
                  </w:r>
                </w:p>
              </w:tc>
              <w:tc>
                <w:tcPr>
                  <w:tcW w:w="625" w:type="pct"/>
                  <w:vMerge w:val="restart"/>
                  <w:noWrap w:val="0"/>
                  <w:vAlign w:val="center"/>
                </w:tcPr>
                <w:p w14:paraId="744EAA6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eastAsia="zh-CN"/>
                    </w:rPr>
                  </w:pPr>
                  <w:r>
                    <w:rPr>
                      <w:rFonts w:hint="default" w:ascii="Times New Roman" w:hAnsi="Times New Roman" w:cs="Times New Roman"/>
                      <w:bCs/>
                      <w:kern w:val="0"/>
                      <w:sz w:val="21"/>
                      <w:szCs w:val="20"/>
                    </w:rPr>
                    <w:t>1次/年</w:t>
                  </w:r>
                  <w:r>
                    <w:rPr>
                      <w:rFonts w:hint="eastAsia" w:cs="Times New Roman"/>
                      <w:bCs/>
                      <w:kern w:val="0"/>
                      <w:sz w:val="21"/>
                      <w:szCs w:val="20"/>
                      <w:lang w:eastAsia="zh-CN"/>
                    </w:rPr>
                    <w:t>，</w:t>
                  </w:r>
                  <w:r>
                    <w:rPr>
                      <w:rFonts w:hint="default" w:ascii="Times New Roman" w:hAnsi="Times New Roman" w:cs="Times New Roman"/>
                      <w:sz w:val="21"/>
                      <w:szCs w:val="21"/>
                      <w:highlight w:val="none"/>
                      <w:u w:val="none" w:color="auto"/>
                    </w:rPr>
                    <w:t>每次连续监测2天</w:t>
                  </w:r>
                </w:p>
              </w:tc>
              <w:tc>
                <w:tcPr>
                  <w:tcW w:w="2151" w:type="pct"/>
                  <w:noWrap w:val="0"/>
                  <w:vAlign w:val="center"/>
                </w:tcPr>
                <w:p w14:paraId="2D9CF69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eastAsia="zh-CN"/>
                    </w:rPr>
                  </w:pPr>
                  <w:r>
                    <w:rPr>
                      <w:rFonts w:hint="default" w:ascii="Times New Roman" w:hAnsi="Times New Roman" w:cs="Times New Roman"/>
                      <w:bCs/>
                      <w:kern w:val="0"/>
                      <w:sz w:val="21"/>
                      <w:szCs w:val="20"/>
                    </w:rPr>
                    <w:t>《关于河南省开展工业企业挥发性有机物专项治理工作中排放建议值的通知》豫环攻坚办[2017]</w:t>
                  </w:r>
                  <w:r>
                    <w:rPr>
                      <w:rFonts w:hint="default" w:ascii="Times New Roman" w:hAnsi="Times New Roman" w:cs="Times New Roman"/>
                      <w:bCs/>
                      <w:kern w:val="0"/>
                      <w:sz w:val="21"/>
                      <w:szCs w:val="20"/>
                      <w:highlight w:val="none"/>
                    </w:rPr>
                    <w:t>162号</w:t>
                  </w:r>
                </w:p>
              </w:tc>
              <w:tc>
                <w:tcPr>
                  <w:tcW w:w="403" w:type="pct"/>
                  <w:noWrap w:val="0"/>
                  <w:vAlign w:val="center"/>
                </w:tcPr>
                <w:p w14:paraId="51605405">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val="0"/>
                      <w:color w:val="auto"/>
                      <w:sz w:val="21"/>
                      <w:szCs w:val="21"/>
                      <w:highlight w:val="none"/>
                    </w:rPr>
                  </w:pPr>
                  <w:r>
                    <w:rPr>
                      <w:rFonts w:hint="eastAsia" w:cs="Times New Roman"/>
                      <w:b w:val="0"/>
                      <w:bCs w:val="0"/>
                      <w:color w:val="auto"/>
                      <w:sz w:val="21"/>
                      <w:szCs w:val="21"/>
                      <w:highlight w:val="none"/>
                      <w:lang w:val="en-US" w:eastAsia="zh-CN"/>
                    </w:rPr>
                    <w:t>4</w:t>
                  </w:r>
                  <w:r>
                    <w:rPr>
                      <w:rFonts w:hint="default" w:ascii="Times New Roman" w:hAnsi="Times New Roman" w:cs="Times New Roman"/>
                      <w:b w:val="0"/>
                      <w:bCs w:val="0"/>
                      <w:color w:val="auto"/>
                      <w:sz w:val="21"/>
                      <w:szCs w:val="21"/>
                      <w:highlight w:val="none"/>
                    </w:rPr>
                    <w:t>.0</w:t>
                  </w:r>
                </w:p>
                <w:p w14:paraId="40EBFE1E">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4C995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435" w:hRule="atLeast"/>
              </w:trPr>
              <w:tc>
                <w:tcPr>
                  <w:tcW w:w="446" w:type="pct"/>
                  <w:vMerge w:val="continue"/>
                  <w:noWrap w:val="0"/>
                  <w:vAlign w:val="center"/>
                </w:tcPr>
                <w:p w14:paraId="7A3BEBA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86" w:type="pct"/>
                  <w:vMerge w:val="restart"/>
                  <w:noWrap w:val="0"/>
                  <w:vAlign w:val="center"/>
                </w:tcPr>
                <w:p w14:paraId="263F90E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厂界外上风向设1个监测点位、下风向设3个监测点位</w:t>
                  </w:r>
                </w:p>
              </w:tc>
              <w:tc>
                <w:tcPr>
                  <w:tcW w:w="786" w:type="pct"/>
                  <w:noWrap w:val="0"/>
                  <w:vAlign w:val="center"/>
                </w:tcPr>
                <w:p w14:paraId="760FC662">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eastAsia" w:cs="Times New Roman"/>
                      <w:bCs/>
                      <w:kern w:val="0"/>
                      <w:sz w:val="21"/>
                      <w:szCs w:val="20"/>
                      <w:lang w:eastAsia="zh-CN"/>
                    </w:rPr>
                    <w:t>非甲烷总烃</w:t>
                  </w:r>
                </w:p>
              </w:tc>
              <w:tc>
                <w:tcPr>
                  <w:tcW w:w="625" w:type="pct"/>
                  <w:vMerge w:val="continue"/>
                  <w:noWrap w:val="0"/>
                  <w:vAlign w:val="center"/>
                </w:tcPr>
                <w:p w14:paraId="62A164F7">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2151" w:type="pct"/>
                  <w:noWrap w:val="0"/>
                  <w:vAlign w:val="center"/>
                </w:tcPr>
                <w:p w14:paraId="7D7D4C9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default" w:ascii="Times New Roman" w:hAnsi="Times New Roman" w:cs="Times New Roman"/>
                      <w:bCs/>
                      <w:kern w:val="0"/>
                      <w:sz w:val="21"/>
                      <w:szCs w:val="20"/>
                    </w:rPr>
                    <w:t>《关于河南省开展工业企业挥发性有机物专项治理工作中排放建议值的通知》豫环攻坚办[2017]</w:t>
                  </w:r>
                  <w:r>
                    <w:rPr>
                      <w:rFonts w:hint="default" w:ascii="Times New Roman" w:hAnsi="Times New Roman" w:cs="Times New Roman"/>
                      <w:bCs/>
                      <w:kern w:val="0"/>
                      <w:sz w:val="21"/>
                      <w:szCs w:val="20"/>
                      <w:highlight w:val="none"/>
                    </w:rPr>
                    <w:t>162号</w:t>
                  </w:r>
                  <w:r>
                    <w:rPr>
                      <w:rFonts w:hint="eastAsia" w:cs="Times New Roman"/>
                      <w:bCs/>
                      <w:kern w:val="0"/>
                      <w:sz w:val="21"/>
                      <w:szCs w:val="20"/>
                      <w:highlight w:val="none"/>
                      <w:lang w:eastAsia="zh-CN"/>
                    </w:rPr>
                    <w:t>、</w:t>
                  </w:r>
                  <w:r>
                    <w:rPr>
                      <w:rFonts w:hint="eastAsia" w:ascii="Times New Roman" w:hAnsi="Times New Roman" w:eastAsia="宋体" w:cs="Times New Roman"/>
                      <w:sz w:val="21"/>
                      <w:lang w:eastAsia="zh-CN"/>
                    </w:rPr>
                    <w:t>《挥发性有机物无组织排放控制标准》（GB37822-2019）</w:t>
                  </w:r>
                  <w:r>
                    <w:rPr>
                      <w:rFonts w:hint="eastAsia" w:cs="Times New Roman"/>
                      <w:bCs/>
                      <w:kern w:val="0"/>
                      <w:sz w:val="21"/>
                      <w:szCs w:val="20"/>
                      <w:highlight w:val="none"/>
                      <w:lang w:eastAsia="zh-CN"/>
                    </w:rPr>
                    <w:t>、</w:t>
                  </w:r>
                  <w:r>
                    <w:rPr>
                      <w:rFonts w:hint="eastAsia" w:cs="Times New Roman"/>
                      <w:bCs/>
                      <w:kern w:val="0"/>
                      <w:sz w:val="21"/>
                      <w:szCs w:val="21"/>
                      <w:highlight w:val="none"/>
                      <w:lang w:eastAsia="zh-CN"/>
                    </w:rPr>
                    <w:t>《河南省重污染天气重点行业应急减排措施制定技术指南》（2024年修订版）“塑料制品企业绩效分级指标”限值要求</w:t>
                  </w:r>
                </w:p>
              </w:tc>
              <w:tc>
                <w:tcPr>
                  <w:tcW w:w="403" w:type="pct"/>
                  <w:noWrap w:val="0"/>
                  <w:vAlign w:val="center"/>
                </w:tcPr>
                <w:p w14:paraId="1E417FC4">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val="0"/>
                      <w:color w:val="auto"/>
                      <w:sz w:val="21"/>
                      <w:szCs w:val="21"/>
                      <w:highlight w:val="none"/>
                    </w:rPr>
                  </w:pPr>
                  <w:r>
                    <w:rPr>
                      <w:rFonts w:hint="eastAsia" w:cs="Times New Roman"/>
                      <w:b w:val="0"/>
                      <w:bCs w:val="0"/>
                      <w:color w:val="auto"/>
                      <w:sz w:val="21"/>
                      <w:szCs w:val="21"/>
                      <w:highlight w:val="none"/>
                      <w:lang w:val="en-US" w:eastAsia="zh-CN"/>
                    </w:rPr>
                    <w:t>2</w:t>
                  </w:r>
                  <w:r>
                    <w:rPr>
                      <w:rFonts w:hint="default" w:ascii="Times New Roman" w:hAnsi="Times New Roman" w:cs="Times New Roman"/>
                      <w:b w:val="0"/>
                      <w:bCs w:val="0"/>
                      <w:color w:val="auto"/>
                      <w:sz w:val="21"/>
                      <w:szCs w:val="21"/>
                      <w:highlight w:val="none"/>
                    </w:rPr>
                    <w:t>.0</w:t>
                  </w:r>
                </w:p>
                <w:p w14:paraId="632BD40E">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6EE11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7" w:hRule="atLeast"/>
              </w:trPr>
              <w:tc>
                <w:tcPr>
                  <w:tcW w:w="446" w:type="pct"/>
                  <w:vMerge w:val="continue"/>
                  <w:noWrap w:val="0"/>
                  <w:vAlign w:val="center"/>
                </w:tcPr>
                <w:p w14:paraId="46621BCB">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86" w:type="pct"/>
                  <w:vMerge w:val="continue"/>
                  <w:noWrap w:val="0"/>
                  <w:vAlign w:val="center"/>
                </w:tcPr>
                <w:p w14:paraId="012915AC">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786" w:type="pct"/>
                  <w:noWrap w:val="0"/>
                  <w:vAlign w:val="center"/>
                </w:tcPr>
                <w:p w14:paraId="5394385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r>
                    <w:rPr>
                      <w:rFonts w:hint="eastAsia" w:cs="Times New Roman"/>
                      <w:bCs/>
                      <w:kern w:val="0"/>
                      <w:sz w:val="21"/>
                      <w:szCs w:val="20"/>
                      <w:lang w:eastAsia="zh-CN"/>
                    </w:rPr>
                    <w:t>苯乙烯</w:t>
                  </w:r>
                </w:p>
              </w:tc>
              <w:tc>
                <w:tcPr>
                  <w:tcW w:w="625" w:type="pct"/>
                  <w:vMerge w:val="continue"/>
                  <w:noWrap w:val="0"/>
                  <w:vAlign w:val="center"/>
                </w:tcPr>
                <w:p w14:paraId="141262C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p>
              </w:tc>
              <w:tc>
                <w:tcPr>
                  <w:tcW w:w="2151" w:type="pct"/>
                  <w:noWrap w:val="0"/>
                  <w:vAlign w:val="center"/>
                </w:tcPr>
                <w:p w14:paraId="7328D71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r>
                    <w:rPr>
                      <w:rFonts w:hint="default" w:ascii="Times New Roman" w:hAnsi="Times New Roman" w:cs="Times New Roman"/>
                      <w:sz w:val="21"/>
                      <w:szCs w:val="21"/>
                      <w:highlight w:val="none"/>
                      <w:u w:val="none" w:color="auto"/>
                    </w:rPr>
                    <w:t>《恶臭污染物排放标准》（GB 14554-93）</w:t>
                  </w:r>
                  <w:r>
                    <w:rPr>
                      <w:rFonts w:hint="eastAsia" w:cs="Times New Roman"/>
                      <w:bCs/>
                      <w:kern w:val="0"/>
                      <w:sz w:val="21"/>
                      <w:szCs w:val="21"/>
                      <w:lang w:eastAsia="zh-CN"/>
                    </w:rPr>
                    <w:t>限值要求</w:t>
                  </w:r>
                </w:p>
              </w:tc>
              <w:tc>
                <w:tcPr>
                  <w:tcW w:w="403" w:type="pct"/>
                  <w:noWrap w:val="0"/>
                  <w:vAlign w:val="center"/>
                </w:tcPr>
                <w:p w14:paraId="5372A515">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val="0"/>
                      <w:color w:val="auto"/>
                      <w:sz w:val="21"/>
                      <w:szCs w:val="21"/>
                      <w:highlight w:val="none"/>
                    </w:rPr>
                  </w:pPr>
                  <w:r>
                    <w:rPr>
                      <w:rFonts w:hint="eastAsia" w:ascii="Times New Roman" w:hAnsi="Times New Roman" w:cs="Times New Roman"/>
                      <w:b w:val="0"/>
                      <w:bCs w:val="0"/>
                      <w:color w:val="auto"/>
                      <w:sz w:val="21"/>
                      <w:szCs w:val="21"/>
                      <w:highlight w:val="none"/>
                      <w:lang w:val="en-US" w:eastAsia="zh-CN"/>
                    </w:rPr>
                    <w:t>5</w:t>
                  </w:r>
                  <w:r>
                    <w:rPr>
                      <w:rFonts w:hint="default" w:ascii="Times New Roman" w:hAnsi="Times New Roman" w:cs="Times New Roman"/>
                      <w:b w:val="0"/>
                      <w:bCs w:val="0"/>
                      <w:color w:val="auto"/>
                      <w:sz w:val="21"/>
                      <w:szCs w:val="21"/>
                      <w:highlight w:val="none"/>
                    </w:rPr>
                    <w:t>.0</w:t>
                  </w:r>
                </w:p>
                <w:p w14:paraId="350362D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bl>
          <w:p w14:paraId="299735B4">
            <w:pPr>
              <w:pageBreakBefore w:val="0"/>
              <w:widowControl w:val="0"/>
              <w:kinsoku/>
              <w:wordWrap/>
              <w:overflowPunct/>
              <w:topLinePunct w:val="0"/>
              <w:autoSpaceDE/>
              <w:autoSpaceDN/>
              <w:bidi w:val="0"/>
              <w:adjustRightInd/>
              <w:spacing w:line="520" w:lineRule="exact"/>
              <w:ind w:firstLine="480" w:firstLineChars="200"/>
              <w:textAlignment w:val="auto"/>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建设单位应配合相关管理部门做好监督工作，认真落实环境监测计划，并建立台帐制度，如实记录监测数据。</w:t>
            </w:r>
          </w:p>
          <w:p w14:paraId="6B84EAAF">
            <w:pPr>
              <w:pageBreakBefore w:val="0"/>
              <w:widowControl w:val="0"/>
              <w:kinsoku/>
              <w:wordWrap/>
              <w:overflowPunct/>
              <w:topLinePunct w:val="0"/>
              <w:autoSpaceDE/>
              <w:autoSpaceDN/>
              <w:bidi w:val="0"/>
              <w:adjustRightInd/>
              <w:spacing w:line="520" w:lineRule="exact"/>
              <w:ind w:firstLine="480" w:firstLineChars="200"/>
              <w:textAlignment w:val="auto"/>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综上所述，经采取以上措施后，项目排放废气对周围环境影响可以接受。</w:t>
            </w:r>
          </w:p>
          <w:p w14:paraId="5CDD4BDB">
            <w:pPr>
              <w:keepNext/>
              <w:keepLines/>
              <w:pageBreakBefore w:val="0"/>
              <w:widowControl w:val="0"/>
              <w:kinsoku/>
              <w:wordWrap/>
              <w:overflowPunct/>
              <w:topLinePunct w:val="0"/>
              <w:autoSpaceDE/>
              <w:autoSpaceDN/>
              <w:bidi w:val="0"/>
              <w:adjustRightInd/>
              <w:spacing w:line="520" w:lineRule="exact"/>
              <w:ind w:firstLine="0" w:firstLineChars="0"/>
              <w:textAlignment w:val="auto"/>
              <w:outlineLvl w:val="1"/>
              <w:rPr>
                <w:rFonts w:hint="default" w:ascii="Times New Roman" w:hAnsi="Times New Roman" w:cs="Times New Roman"/>
                <w:b/>
                <w:highlight w:val="none"/>
              </w:rPr>
            </w:pPr>
            <w:r>
              <w:rPr>
                <w:rFonts w:hint="eastAsia" w:cs="Times New Roman"/>
                <w:b/>
                <w:highlight w:val="none"/>
                <w:lang w:eastAsia="zh-CN"/>
              </w:rPr>
              <w:t>二</w:t>
            </w:r>
            <w:r>
              <w:rPr>
                <w:rFonts w:hint="default" w:ascii="Times New Roman" w:hAnsi="Times New Roman" w:cs="Times New Roman"/>
                <w:b/>
                <w:highlight w:val="none"/>
              </w:rPr>
              <w:t>、</w:t>
            </w:r>
            <w:r>
              <w:rPr>
                <w:rFonts w:hint="eastAsia" w:cs="Times New Roman"/>
                <w:b/>
                <w:highlight w:val="none"/>
                <w:lang w:eastAsia="zh-CN"/>
              </w:rPr>
              <w:t>地表</w:t>
            </w:r>
            <w:r>
              <w:rPr>
                <w:rFonts w:hint="default" w:ascii="Times New Roman" w:hAnsi="Times New Roman" w:cs="Times New Roman"/>
                <w:b/>
                <w:highlight w:val="none"/>
              </w:rPr>
              <w:t>水环境影响分析</w:t>
            </w:r>
          </w:p>
          <w:p w14:paraId="7C5E010D">
            <w:pPr>
              <w:pageBreakBefore w:val="0"/>
              <w:widowControl w:val="0"/>
              <w:kinsoku/>
              <w:wordWrap/>
              <w:overflowPunct/>
              <w:topLinePunct w:val="0"/>
              <w:autoSpaceDE/>
              <w:autoSpaceDN/>
              <w:bidi w:val="0"/>
              <w:adjustRightInd/>
              <w:spacing w:line="520" w:lineRule="exact"/>
              <w:ind w:firstLine="482"/>
              <w:textAlignment w:val="auto"/>
              <w:rPr>
                <w:rFonts w:hint="default" w:ascii="Times New Roman" w:hAnsi="Times New Roman" w:cs="Times New Roman"/>
                <w:b/>
                <w:highlight w:val="none"/>
              </w:rPr>
            </w:pPr>
            <w:r>
              <w:rPr>
                <w:rFonts w:hint="eastAsia"/>
                <w:lang w:eastAsia="zh-CN"/>
              </w:rPr>
              <w:t>本</w:t>
            </w:r>
            <w:r>
              <w:rPr>
                <w:rFonts w:hint="default"/>
              </w:rPr>
              <w:t>项目</w:t>
            </w:r>
            <w:r>
              <w:rPr>
                <w:rFonts w:hint="eastAsia"/>
                <w:lang w:val="en-US" w:eastAsia="zh-CN"/>
              </w:rPr>
              <w:t>用</w:t>
            </w:r>
            <w:r>
              <w:rPr>
                <w:rFonts w:hint="default"/>
              </w:rPr>
              <w:t>水主要为生活</w:t>
            </w:r>
            <w:r>
              <w:rPr>
                <w:rFonts w:hint="eastAsia"/>
                <w:lang w:val="en-US" w:eastAsia="zh-CN"/>
              </w:rPr>
              <w:t>用水。</w:t>
            </w:r>
          </w:p>
          <w:p w14:paraId="382AB632">
            <w:pPr>
              <w:pageBreakBefore w:val="0"/>
              <w:widowControl w:val="0"/>
              <w:kinsoku/>
              <w:wordWrap/>
              <w:overflowPunct/>
              <w:topLinePunct w:val="0"/>
              <w:autoSpaceDE/>
              <w:autoSpaceDN/>
              <w:bidi w:val="0"/>
              <w:adjustRightInd/>
              <w:spacing w:line="520" w:lineRule="exact"/>
              <w:ind w:firstLine="482"/>
              <w:textAlignment w:val="auto"/>
              <w:rPr>
                <w:rFonts w:hint="default" w:ascii="Times New Roman" w:hAnsi="Times New Roman" w:cs="Times New Roman"/>
                <w:b/>
                <w:highlight w:val="none"/>
              </w:rPr>
            </w:pPr>
            <w:r>
              <w:rPr>
                <w:rFonts w:hint="default" w:ascii="Times New Roman" w:hAnsi="Times New Roman" w:cs="Times New Roman"/>
                <w:b/>
                <w:highlight w:val="none"/>
              </w:rPr>
              <w:t>2.1废水产排情况分析</w:t>
            </w:r>
          </w:p>
          <w:p w14:paraId="4F2AB4C8">
            <w:pPr>
              <w:pStyle w:val="26"/>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bCs/>
                <w:highlight w:val="none"/>
              </w:rPr>
            </w:pPr>
            <w:r>
              <w:rPr>
                <w:rFonts w:hint="default" w:ascii="Times New Roman" w:hAnsi="Times New Roman" w:cs="Times New Roman"/>
                <w:bCs/>
                <w:highlight w:val="none"/>
              </w:rPr>
              <w:t>本项目劳动定员</w:t>
            </w:r>
            <w:r>
              <w:rPr>
                <w:rFonts w:hint="eastAsia" w:cs="Times New Roman"/>
                <w:bCs/>
                <w:highlight w:val="none"/>
                <w:lang w:eastAsia="zh-CN"/>
              </w:rPr>
              <w:t>为</w:t>
            </w:r>
            <w:r>
              <w:rPr>
                <w:rFonts w:hint="eastAsia" w:cs="Times New Roman"/>
                <w:bCs/>
                <w:highlight w:val="none"/>
                <w:lang w:val="en-US" w:eastAsia="zh-CN"/>
              </w:rPr>
              <w:t>1</w:t>
            </w:r>
            <w:r>
              <w:rPr>
                <w:rFonts w:hint="default" w:ascii="Times New Roman" w:hAnsi="Times New Roman" w:cs="Times New Roman"/>
                <w:bCs/>
                <w:highlight w:val="none"/>
              </w:rPr>
              <w:t>0人，均不在厂区食宿。结合项目实际情况，参照《河南省地方标准 工业与城镇生活用水定额》（DB41/T 385-2020），生活用水定额按照</w:t>
            </w:r>
            <w:r>
              <w:rPr>
                <w:rFonts w:hint="default" w:ascii="Times New Roman" w:hAnsi="Times New Roman" w:cs="Times New Roman"/>
                <w:bCs/>
                <w:highlight w:val="none"/>
                <w:lang w:val="en-US" w:eastAsia="zh-CN"/>
              </w:rPr>
              <w:t>5</w:t>
            </w:r>
            <w:r>
              <w:rPr>
                <w:rFonts w:hint="default" w:ascii="Times New Roman" w:hAnsi="Times New Roman" w:cs="Times New Roman"/>
                <w:bCs/>
                <w:highlight w:val="none"/>
              </w:rPr>
              <w:t>0</w:t>
            </w:r>
            <w:r>
              <w:rPr>
                <w:rFonts w:hint="default" w:ascii="Times New Roman" w:hAnsi="Times New Roman" w:cs="Times New Roman"/>
                <w:bCs/>
                <w:highlight w:val="none"/>
                <w:lang w:val="en-US" w:eastAsia="zh-CN"/>
              </w:rPr>
              <w:t>L</w:t>
            </w:r>
            <w:r>
              <w:rPr>
                <w:rFonts w:hint="default" w:ascii="Times New Roman" w:hAnsi="Times New Roman" w:cs="Times New Roman"/>
                <w:bCs/>
                <w:highlight w:val="none"/>
              </w:rPr>
              <w:t>/人·d计，则本项目生活用水量为</w:t>
            </w:r>
            <w:r>
              <w:rPr>
                <w:rFonts w:hint="eastAsia" w:cs="Times New Roman"/>
                <w:bCs/>
                <w:highlight w:val="none"/>
                <w:lang w:val="en-US" w:eastAsia="zh-CN"/>
              </w:rPr>
              <w:t>0.5</w:t>
            </w:r>
            <w:r>
              <w:rPr>
                <w:rFonts w:hint="default" w:ascii="Times New Roman" w:hAnsi="Times New Roman" w:cs="Times New Roman"/>
                <w:b w:val="0"/>
                <w:color w:val="auto"/>
                <w:szCs w:val="24"/>
                <w:highlight w:val="none"/>
              </w:rPr>
              <w:t>m</w:t>
            </w:r>
            <w:r>
              <w:rPr>
                <w:rFonts w:hint="default" w:ascii="Times New Roman" w:hAnsi="Times New Roman" w:cs="Times New Roman"/>
                <w:b w:val="0"/>
                <w:color w:val="auto"/>
                <w:szCs w:val="24"/>
                <w:highlight w:val="none"/>
                <w:vertAlign w:val="superscript"/>
              </w:rPr>
              <w:t>3</w:t>
            </w:r>
            <w:r>
              <w:rPr>
                <w:rFonts w:hint="default" w:ascii="Times New Roman" w:hAnsi="Times New Roman" w:cs="Times New Roman"/>
                <w:b w:val="0"/>
                <w:color w:val="auto"/>
                <w:szCs w:val="24"/>
                <w:highlight w:val="none"/>
              </w:rPr>
              <w:t>/d（</w:t>
            </w:r>
            <w:r>
              <w:rPr>
                <w:rFonts w:hint="eastAsia" w:cs="Times New Roman"/>
                <w:b w:val="0"/>
                <w:color w:val="auto"/>
                <w:szCs w:val="24"/>
                <w:highlight w:val="none"/>
                <w:lang w:val="en-US" w:eastAsia="zh-CN"/>
              </w:rPr>
              <w:t>150</w:t>
            </w:r>
            <w:r>
              <w:rPr>
                <w:rFonts w:hint="default" w:ascii="Times New Roman" w:hAnsi="Times New Roman" w:cs="Times New Roman"/>
                <w:b w:val="0"/>
                <w:color w:val="auto"/>
                <w:szCs w:val="24"/>
                <w:highlight w:val="none"/>
              </w:rPr>
              <w:t>m</w:t>
            </w:r>
            <w:r>
              <w:rPr>
                <w:rFonts w:hint="default" w:ascii="Times New Roman" w:hAnsi="Times New Roman" w:cs="Times New Roman"/>
                <w:b w:val="0"/>
                <w:color w:val="auto"/>
                <w:szCs w:val="24"/>
                <w:highlight w:val="none"/>
                <w:vertAlign w:val="superscript"/>
              </w:rPr>
              <w:t>3</w:t>
            </w:r>
            <w:r>
              <w:rPr>
                <w:rFonts w:hint="default" w:ascii="Times New Roman" w:hAnsi="Times New Roman" w:cs="Times New Roman"/>
                <w:b w:val="0"/>
                <w:color w:val="auto"/>
                <w:szCs w:val="24"/>
                <w:highlight w:val="none"/>
              </w:rPr>
              <w:t>/a）</w:t>
            </w:r>
            <w:r>
              <w:rPr>
                <w:rFonts w:hint="default" w:ascii="Times New Roman" w:hAnsi="Times New Roman" w:cs="Times New Roman"/>
                <w:bCs/>
                <w:highlight w:val="none"/>
              </w:rPr>
              <w:t>。</w:t>
            </w:r>
          </w:p>
          <w:p w14:paraId="51D19251">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highlight w:val="none"/>
              </w:rPr>
            </w:pPr>
            <w:r>
              <w:rPr>
                <w:rFonts w:hint="default" w:ascii="Times New Roman" w:hAnsi="Times New Roman" w:cs="Times New Roman"/>
                <w:highlight w:val="none"/>
              </w:rPr>
              <w:t>本项目外排废水为生活污水。</w:t>
            </w:r>
            <w:r>
              <w:rPr>
                <w:rFonts w:hint="default" w:ascii="Times New Roman" w:hAnsi="Times New Roman" w:cs="Times New Roman"/>
                <w:color w:val="auto"/>
              </w:rPr>
              <w:t>生活用水散失量为</w:t>
            </w:r>
            <w:r>
              <w:rPr>
                <w:rFonts w:hint="default" w:ascii="Times New Roman" w:hAnsi="Times New Roman" w:cs="Times New Roman"/>
                <w:color w:val="auto"/>
                <w:lang w:val="en-US" w:eastAsia="zh-CN"/>
              </w:rPr>
              <w:t>0.</w:t>
            </w:r>
            <w:r>
              <w:rPr>
                <w:rFonts w:hint="eastAsia" w:cs="Times New Roman"/>
                <w:color w:val="auto"/>
                <w:lang w:val="en-US" w:eastAsia="zh-CN"/>
              </w:rPr>
              <w:t>1</w:t>
            </w:r>
            <w:r>
              <w:rPr>
                <w:rFonts w:hint="default" w:ascii="Times New Roman" w:hAnsi="Times New Roman" w:cs="Times New Roman"/>
                <w:b w:val="0"/>
                <w:color w:val="auto"/>
                <w:szCs w:val="24"/>
                <w:highlight w:val="none"/>
              </w:rPr>
              <w:t>m</w:t>
            </w:r>
            <w:r>
              <w:rPr>
                <w:rFonts w:hint="default" w:ascii="Times New Roman" w:hAnsi="Times New Roman" w:cs="Times New Roman"/>
                <w:b w:val="0"/>
                <w:color w:val="auto"/>
                <w:szCs w:val="24"/>
                <w:highlight w:val="none"/>
                <w:vertAlign w:val="superscript"/>
              </w:rPr>
              <w:t>3</w:t>
            </w:r>
            <w:r>
              <w:rPr>
                <w:rFonts w:hint="default" w:ascii="Times New Roman" w:hAnsi="Times New Roman" w:cs="Times New Roman"/>
                <w:b w:val="0"/>
                <w:color w:val="auto"/>
                <w:szCs w:val="24"/>
                <w:highlight w:val="none"/>
              </w:rPr>
              <w:t>/d（</w:t>
            </w:r>
            <w:r>
              <w:rPr>
                <w:rFonts w:hint="eastAsia" w:cs="Times New Roman"/>
                <w:b w:val="0"/>
                <w:color w:val="auto"/>
                <w:szCs w:val="24"/>
                <w:highlight w:val="none"/>
                <w:lang w:val="en-US" w:eastAsia="zh-CN"/>
              </w:rPr>
              <w:t>30</w:t>
            </w:r>
            <w:r>
              <w:rPr>
                <w:rFonts w:hint="default" w:ascii="Times New Roman" w:hAnsi="Times New Roman" w:cs="Times New Roman"/>
                <w:b w:val="0"/>
                <w:color w:val="auto"/>
                <w:szCs w:val="24"/>
                <w:highlight w:val="none"/>
              </w:rPr>
              <w:t>m</w:t>
            </w:r>
            <w:r>
              <w:rPr>
                <w:rFonts w:hint="default" w:ascii="Times New Roman" w:hAnsi="Times New Roman" w:cs="Times New Roman"/>
                <w:b w:val="0"/>
                <w:color w:val="auto"/>
                <w:szCs w:val="24"/>
                <w:highlight w:val="none"/>
                <w:vertAlign w:val="superscript"/>
              </w:rPr>
              <w:t>3</w:t>
            </w:r>
            <w:r>
              <w:rPr>
                <w:rFonts w:hint="default" w:ascii="Times New Roman" w:hAnsi="Times New Roman" w:cs="Times New Roman"/>
                <w:b w:val="0"/>
                <w:color w:val="auto"/>
                <w:szCs w:val="24"/>
                <w:highlight w:val="none"/>
              </w:rPr>
              <w:t>/a）</w:t>
            </w:r>
            <w:r>
              <w:rPr>
                <w:rFonts w:hint="default" w:ascii="Times New Roman" w:hAnsi="Times New Roman" w:cs="Times New Roman"/>
                <w:bCs/>
              </w:rPr>
              <w:t>，</w:t>
            </w:r>
            <w:r>
              <w:rPr>
                <w:rFonts w:hint="default" w:ascii="Times New Roman" w:hAnsi="Times New Roman" w:cs="Times New Roman"/>
              </w:rPr>
              <w:t>生活污水产生量为</w:t>
            </w:r>
            <w:r>
              <w:rPr>
                <w:rFonts w:hint="default" w:ascii="Times New Roman" w:hAnsi="Times New Roman" w:cs="Times New Roman"/>
                <w:lang w:val="en-US" w:eastAsia="zh-CN"/>
              </w:rPr>
              <w:t>0.</w:t>
            </w:r>
            <w:r>
              <w:rPr>
                <w:rFonts w:hint="eastAsia" w:cs="Times New Roman"/>
                <w:lang w:val="en-US" w:eastAsia="zh-CN"/>
              </w:rPr>
              <w:t>4</w:t>
            </w:r>
            <w:r>
              <w:rPr>
                <w:rFonts w:hint="default" w:ascii="Times New Roman" w:hAnsi="Times New Roman" w:cs="Times New Roman"/>
                <w:b w:val="0"/>
                <w:color w:val="auto"/>
                <w:szCs w:val="24"/>
                <w:highlight w:val="none"/>
              </w:rPr>
              <w:t>m</w:t>
            </w:r>
            <w:r>
              <w:rPr>
                <w:rFonts w:hint="default" w:ascii="Times New Roman" w:hAnsi="Times New Roman" w:cs="Times New Roman"/>
                <w:b w:val="0"/>
                <w:color w:val="auto"/>
                <w:szCs w:val="24"/>
                <w:highlight w:val="none"/>
                <w:vertAlign w:val="superscript"/>
              </w:rPr>
              <w:t>3</w:t>
            </w:r>
            <w:r>
              <w:rPr>
                <w:rFonts w:hint="default" w:ascii="Times New Roman" w:hAnsi="Times New Roman" w:cs="Times New Roman"/>
                <w:b w:val="0"/>
                <w:color w:val="auto"/>
                <w:szCs w:val="24"/>
                <w:highlight w:val="none"/>
              </w:rPr>
              <w:t>/d（</w:t>
            </w:r>
            <w:r>
              <w:rPr>
                <w:rFonts w:hint="eastAsia" w:cs="Times New Roman"/>
                <w:b w:val="0"/>
                <w:color w:val="auto"/>
                <w:szCs w:val="24"/>
                <w:highlight w:val="none"/>
                <w:lang w:val="en-US" w:eastAsia="zh-CN"/>
              </w:rPr>
              <w:t>120</w:t>
            </w:r>
            <w:r>
              <w:rPr>
                <w:rFonts w:hint="default" w:ascii="Times New Roman" w:hAnsi="Times New Roman" w:cs="Times New Roman"/>
                <w:b w:val="0"/>
                <w:color w:val="auto"/>
                <w:szCs w:val="24"/>
                <w:highlight w:val="none"/>
              </w:rPr>
              <w:t>m</w:t>
            </w:r>
            <w:r>
              <w:rPr>
                <w:rFonts w:hint="default" w:ascii="Times New Roman" w:hAnsi="Times New Roman" w:cs="Times New Roman"/>
                <w:b w:val="0"/>
                <w:color w:val="auto"/>
                <w:szCs w:val="24"/>
                <w:highlight w:val="none"/>
                <w:vertAlign w:val="superscript"/>
              </w:rPr>
              <w:t>3</w:t>
            </w:r>
            <w:r>
              <w:rPr>
                <w:rFonts w:hint="default" w:ascii="Times New Roman" w:hAnsi="Times New Roman" w:cs="Times New Roman"/>
                <w:b w:val="0"/>
                <w:color w:val="auto"/>
                <w:szCs w:val="24"/>
                <w:highlight w:val="none"/>
              </w:rPr>
              <w:t>/a）</w:t>
            </w:r>
            <w:r>
              <w:rPr>
                <w:rFonts w:hint="default" w:ascii="Times New Roman" w:hAnsi="Times New Roman" w:cs="Times New Roman"/>
              </w:rPr>
              <w:t>。根据相关资料，生</w:t>
            </w:r>
            <w:r>
              <w:rPr>
                <w:rFonts w:hint="default" w:ascii="Times New Roman" w:hAnsi="Times New Roman" w:cs="Times New Roman"/>
                <w:highlight w:val="none"/>
              </w:rPr>
              <w:t>活污水产生浓度如下：COD：250mg/L、</w:t>
            </w:r>
            <w:r>
              <w:rPr>
                <w:rFonts w:hint="default" w:ascii="Times New Roman" w:hAnsi="Times New Roman" w:cs="Times New Roman"/>
                <w:highlight w:val="none"/>
                <w:lang w:val="en-US" w:eastAsia="zh-CN"/>
              </w:rPr>
              <w:t>SS：</w:t>
            </w:r>
            <w:r>
              <w:rPr>
                <w:rFonts w:hint="default" w:ascii="Times New Roman" w:hAnsi="Times New Roman" w:cs="Times New Roman"/>
                <w:b w:val="0"/>
                <w:bCs w:val="0"/>
                <w:color w:val="auto"/>
                <w:highlight w:val="none"/>
              </w:rPr>
              <w:t>2</w:t>
            </w:r>
            <w:r>
              <w:rPr>
                <w:rFonts w:hint="eastAsia" w:cs="Times New Roman"/>
                <w:b w:val="0"/>
                <w:bCs w:val="0"/>
                <w:color w:val="auto"/>
                <w:highlight w:val="none"/>
                <w:lang w:val="en-US" w:eastAsia="zh-CN"/>
              </w:rPr>
              <w:t>0</w:t>
            </w:r>
            <w:r>
              <w:rPr>
                <w:rFonts w:hint="default" w:ascii="Times New Roman" w:hAnsi="Times New Roman" w:cs="Times New Roman"/>
                <w:b w:val="0"/>
                <w:bCs w:val="0"/>
                <w:color w:val="auto"/>
                <w:highlight w:val="none"/>
              </w:rPr>
              <w:t>0mg/L</w:t>
            </w:r>
            <w:r>
              <w:rPr>
                <w:rFonts w:hint="default" w:ascii="Times New Roman" w:hAnsi="Times New Roman" w:cs="Times New Roman"/>
                <w:b w:val="0"/>
                <w:bCs w:val="0"/>
                <w:color w:val="auto"/>
                <w:highlight w:val="none"/>
                <w:lang w:eastAsia="zh-CN"/>
              </w:rPr>
              <w:t>、</w:t>
            </w:r>
            <w:r>
              <w:rPr>
                <w:rFonts w:hint="default" w:ascii="Times New Roman" w:hAnsi="Times New Roman" w:cs="Times New Roman"/>
                <w:highlight w:val="none"/>
              </w:rPr>
              <w:t>氨氮：30mg/L、总磷：</w:t>
            </w:r>
            <w:r>
              <w:rPr>
                <w:rFonts w:hint="eastAsia" w:ascii="Times New Roman" w:hAnsi="Times New Roman" w:cs="Times New Roman"/>
                <w:highlight w:val="none"/>
                <w:lang w:val="en-US" w:eastAsia="zh-CN"/>
              </w:rPr>
              <w:t>1.</w:t>
            </w:r>
            <w:r>
              <w:rPr>
                <w:rFonts w:hint="eastAsia" w:cs="Times New Roman"/>
                <w:highlight w:val="none"/>
                <w:lang w:val="en-US" w:eastAsia="zh-CN"/>
              </w:rPr>
              <w:t>2</w:t>
            </w:r>
            <w:r>
              <w:rPr>
                <w:rFonts w:hint="default" w:ascii="Times New Roman" w:hAnsi="Times New Roman" w:cs="Times New Roman"/>
                <w:highlight w:val="none"/>
              </w:rPr>
              <w:t>mg/L。</w:t>
            </w:r>
            <w:r>
              <w:rPr>
                <w:rFonts w:hint="default" w:ascii="Times New Roman" w:hAnsi="Times New Roman" w:cs="Times New Roman"/>
                <w:sz w:val="24"/>
                <w:szCs w:val="24"/>
                <w:highlight w:val="none"/>
              </w:rPr>
              <w:t>生活污水进入</w:t>
            </w:r>
            <w:r>
              <w:rPr>
                <w:rFonts w:hint="eastAsia" w:cs="Times New Roman"/>
                <w:sz w:val="24"/>
                <w:szCs w:val="24"/>
                <w:highlight w:val="none"/>
                <w:lang w:eastAsia="zh-CN"/>
              </w:rPr>
              <w:t>本项目</w:t>
            </w:r>
            <w:r>
              <w:rPr>
                <w:rFonts w:hint="default" w:ascii="Times New Roman" w:hAnsi="Times New Roman" w:cs="Times New Roman"/>
                <w:sz w:val="24"/>
                <w:szCs w:val="24"/>
                <w:highlight w:val="none"/>
              </w:rPr>
              <w:t>化粪池</w:t>
            </w:r>
            <w:r>
              <w:rPr>
                <w:rFonts w:hint="default" w:ascii="Times New Roman" w:hAnsi="Times New Roman" w:cs="Times New Roman"/>
                <w:sz w:val="24"/>
                <w:szCs w:val="24"/>
                <w:highlight w:val="none"/>
                <w:lang w:eastAsia="zh-CN"/>
              </w:rPr>
              <w:t>（</w:t>
            </w:r>
            <w:r>
              <w:rPr>
                <w:rFonts w:hint="eastAsia" w:cs="Times New Roman"/>
                <w:sz w:val="24"/>
                <w:szCs w:val="24"/>
                <w:highlight w:val="none"/>
                <w:lang w:val="en-US" w:eastAsia="zh-CN"/>
              </w:rPr>
              <w:t>5</w:t>
            </w:r>
            <w:r>
              <w:rPr>
                <w:rFonts w:hint="default" w:ascii="Times New Roman" w:hAnsi="Times New Roman" w:cs="Times New Roman"/>
                <w:sz w:val="24"/>
                <w:szCs w:val="24"/>
                <w:highlight w:val="none"/>
                <w:lang w:val="en-US" w:eastAsia="zh-CN"/>
              </w:rPr>
              <w:t>m</w:t>
            </w:r>
            <w:r>
              <w:rPr>
                <w:rFonts w:hint="default" w:ascii="Times New Roman" w:hAnsi="Times New Roman" w:cs="Times New Roman"/>
                <w:sz w:val="24"/>
                <w:szCs w:val="24"/>
                <w:highlight w:val="none"/>
                <w:vertAlign w:val="superscript"/>
                <w:lang w:val="en-US" w:eastAsia="zh-CN"/>
              </w:rPr>
              <w:t>3</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处理后</w:t>
            </w:r>
            <w:r>
              <w:rPr>
                <w:rFonts w:hint="eastAsia" w:cs="Times New Roman"/>
                <w:sz w:val="24"/>
                <w:szCs w:val="24"/>
                <w:highlight w:val="none"/>
                <w:lang w:eastAsia="zh-CN"/>
              </w:rPr>
              <w:t>，</w:t>
            </w:r>
            <w:r>
              <w:rPr>
                <w:rFonts w:hint="default" w:ascii="Times New Roman" w:hAnsi="Times New Roman" w:cs="Times New Roman"/>
                <w:bCs/>
                <w:color w:val="000000"/>
                <w:sz w:val="24"/>
                <w:szCs w:val="24"/>
                <w:highlight w:val="none"/>
              </w:rPr>
              <w:t>通</w:t>
            </w:r>
            <w:r>
              <w:rPr>
                <w:rFonts w:hint="eastAsia" w:cs="Times New Roman"/>
                <w:bCs/>
                <w:color w:val="000000"/>
                <w:sz w:val="24"/>
                <w:szCs w:val="24"/>
                <w:highlight w:val="none"/>
                <w:lang w:eastAsia="zh-CN"/>
              </w:rPr>
              <w:t>经</w:t>
            </w:r>
            <w:r>
              <w:rPr>
                <w:rFonts w:hint="default" w:ascii="Times New Roman" w:hAnsi="Times New Roman" w:cs="Times New Roman"/>
                <w:bCs/>
                <w:color w:val="000000"/>
                <w:sz w:val="24"/>
                <w:szCs w:val="24"/>
                <w:highlight w:val="none"/>
                <w:lang w:eastAsia="zh-CN"/>
              </w:rPr>
              <w:t>产业园区</w:t>
            </w:r>
            <w:r>
              <w:rPr>
                <w:rFonts w:hint="default" w:ascii="Times New Roman" w:hAnsi="Times New Roman" w:cs="Times New Roman"/>
                <w:bCs/>
                <w:color w:val="000000"/>
                <w:sz w:val="24"/>
                <w:szCs w:val="24"/>
                <w:highlight w:val="none"/>
              </w:rPr>
              <w:t>污水管网</w:t>
            </w:r>
            <w:r>
              <w:rPr>
                <w:rFonts w:hint="default" w:ascii="Times New Roman" w:hAnsi="Times New Roman" w:cs="Times New Roman"/>
                <w:bCs/>
                <w:color w:val="000000"/>
                <w:sz w:val="24"/>
                <w:szCs w:val="24"/>
                <w:highlight w:val="none"/>
                <w:lang w:eastAsia="zh-CN"/>
              </w:rPr>
              <w:t>外排</w:t>
            </w:r>
            <w:r>
              <w:rPr>
                <w:rFonts w:hint="default" w:ascii="Times New Roman" w:hAnsi="Times New Roman" w:cs="Times New Roman"/>
                <w:highlight w:val="none"/>
              </w:rPr>
              <w:t>，化粪池对COD、</w:t>
            </w:r>
            <w:r>
              <w:rPr>
                <w:rFonts w:hint="default" w:ascii="Times New Roman" w:hAnsi="Times New Roman" w:cs="Times New Roman"/>
                <w:highlight w:val="none"/>
                <w:lang w:val="en-US" w:eastAsia="zh-CN"/>
              </w:rPr>
              <w:t>SS、</w:t>
            </w:r>
            <w:r>
              <w:rPr>
                <w:rFonts w:hint="default" w:ascii="Times New Roman" w:hAnsi="Times New Roman" w:cs="Times New Roman"/>
                <w:highlight w:val="none"/>
              </w:rPr>
              <w:t>NH</w:t>
            </w:r>
            <w:r>
              <w:rPr>
                <w:rFonts w:hint="default" w:ascii="Times New Roman" w:hAnsi="Times New Roman" w:cs="Times New Roman"/>
                <w:highlight w:val="none"/>
                <w:vertAlign w:val="subscript"/>
              </w:rPr>
              <w:t>3</w:t>
            </w:r>
            <w:r>
              <w:rPr>
                <w:rFonts w:hint="default" w:ascii="Times New Roman" w:hAnsi="Times New Roman" w:cs="Times New Roman"/>
                <w:highlight w:val="none"/>
              </w:rPr>
              <w:t>-N和总磷的去除效率分别为</w:t>
            </w:r>
            <w:r>
              <w:rPr>
                <w:rFonts w:hint="eastAsia" w:cs="Times New Roman"/>
                <w:highlight w:val="none"/>
                <w:lang w:val="en-US" w:eastAsia="zh-CN"/>
              </w:rPr>
              <w:t>4</w:t>
            </w:r>
            <w:r>
              <w:rPr>
                <w:rFonts w:hint="default" w:ascii="Times New Roman" w:hAnsi="Times New Roman" w:cs="Times New Roman"/>
                <w:highlight w:val="none"/>
              </w:rPr>
              <w:t>0%、50%</w:t>
            </w:r>
            <w:r>
              <w:rPr>
                <w:rFonts w:hint="default" w:ascii="Times New Roman" w:hAnsi="Times New Roman" w:cs="Times New Roman"/>
                <w:highlight w:val="none"/>
                <w:lang w:eastAsia="zh-CN"/>
              </w:rPr>
              <w:t>、</w:t>
            </w:r>
            <w:r>
              <w:rPr>
                <w:rFonts w:hint="eastAsia" w:cs="Times New Roman"/>
                <w:highlight w:val="none"/>
                <w:lang w:val="en-US" w:eastAsia="zh-CN"/>
              </w:rPr>
              <w:t>3</w:t>
            </w:r>
            <w:r>
              <w:rPr>
                <w:rFonts w:hint="default" w:ascii="Times New Roman" w:hAnsi="Times New Roman" w:cs="Times New Roman"/>
                <w:highlight w:val="none"/>
              </w:rPr>
              <w:t>0%、</w:t>
            </w:r>
            <w:r>
              <w:rPr>
                <w:rFonts w:hint="eastAsia" w:cs="Times New Roman"/>
                <w:highlight w:val="none"/>
                <w:lang w:val="en-US" w:eastAsia="zh-CN"/>
              </w:rPr>
              <w:t>3</w:t>
            </w:r>
            <w:r>
              <w:rPr>
                <w:rFonts w:hint="default" w:ascii="Times New Roman" w:hAnsi="Times New Roman" w:cs="Times New Roman"/>
                <w:highlight w:val="none"/>
              </w:rPr>
              <w:t>0%。</w:t>
            </w:r>
          </w:p>
          <w:p w14:paraId="0EF67FA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本项目建成后生活污水总量为</w:t>
            </w:r>
            <w:r>
              <w:rPr>
                <w:rFonts w:hint="eastAsia" w:cs="Times New Roman"/>
                <w:lang w:val="en-US" w:eastAsia="zh-CN"/>
              </w:rPr>
              <w:t>120</w:t>
            </w:r>
            <w:r>
              <w:rPr>
                <w:rFonts w:hint="default" w:ascii="Times New Roman" w:hAnsi="Times New Roman" w:cs="Times New Roman"/>
                <w:bCs/>
              </w:rPr>
              <w:t>m</w:t>
            </w:r>
            <w:r>
              <w:rPr>
                <w:rFonts w:hint="default" w:ascii="Times New Roman" w:hAnsi="Times New Roman" w:cs="Times New Roman"/>
                <w:bCs/>
                <w:vertAlign w:val="superscript"/>
              </w:rPr>
              <w:t>3</w:t>
            </w:r>
            <w:r>
              <w:rPr>
                <w:rFonts w:hint="default" w:ascii="Times New Roman" w:hAnsi="Times New Roman" w:cs="Times New Roman"/>
                <w:bCs/>
              </w:rPr>
              <w:t>/a</w:t>
            </w:r>
            <w:r>
              <w:rPr>
                <w:rFonts w:hint="eastAsia" w:ascii="Times New Roman" w:hAnsi="Times New Roman" w:cs="Times New Roman"/>
                <w:bCs/>
                <w:lang w:eastAsia="zh-CN"/>
              </w:rPr>
              <w:t>（</w:t>
            </w:r>
            <w:r>
              <w:rPr>
                <w:rFonts w:hint="eastAsia" w:ascii="Times New Roman" w:hAnsi="Times New Roman" w:cs="Times New Roman"/>
                <w:bCs/>
                <w:lang w:val="en-US" w:eastAsia="zh-CN"/>
              </w:rPr>
              <w:t>0.4</w:t>
            </w:r>
            <w:r>
              <w:rPr>
                <w:rFonts w:hint="default" w:ascii="Times New Roman" w:hAnsi="Times New Roman" w:cs="Times New Roman"/>
                <w:bCs/>
              </w:rPr>
              <w:t>m</w:t>
            </w:r>
            <w:r>
              <w:rPr>
                <w:rFonts w:hint="default" w:ascii="Times New Roman" w:hAnsi="Times New Roman" w:cs="Times New Roman"/>
                <w:bCs/>
                <w:vertAlign w:val="superscript"/>
              </w:rPr>
              <w:t>3</w:t>
            </w:r>
            <w:r>
              <w:rPr>
                <w:rFonts w:hint="default" w:ascii="Times New Roman" w:hAnsi="Times New Roman" w:cs="Times New Roman"/>
                <w:bCs/>
              </w:rPr>
              <w:t>/</w:t>
            </w:r>
            <w:r>
              <w:rPr>
                <w:rFonts w:hint="eastAsia" w:ascii="Times New Roman" w:hAnsi="Times New Roman" w:cs="Times New Roman"/>
                <w:bCs/>
                <w:lang w:val="en-US" w:eastAsia="zh-CN"/>
              </w:rPr>
              <w:t>d</w:t>
            </w:r>
            <w:r>
              <w:rPr>
                <w:rFonts w:hint="eastAsia" w:ascii="Times New Roman" w:hAnsi="Times New Roman" w:cs="Times New Roman"/>
                <w:bCs/>
                <w:lang w:eastAsia="zh-CN"/>
              </w:rPr>
              <w:t>）</w:t>
            </w:r>
            <w:r>
              <w:rPr>
                <w:rFonts w:hint="default" w:ascii="Times New Roman" w:hAnsi="Times New Roman" w:cs="Times New Roman"/>
              </w:rPr>
              <w:t>，</w:t>
            </w:r>
            <w:r>
              <w:rPr>
                <w:rFonts w:hint="eastAsia" w:ascii="Times New Roman" w:hAnsi="Times New Roman" w:cs="Times New Roman"/>
                <w:lang w:eastAsia="zh-CN"/>
              </w:rPr>
              <w:t>新建化粪池容积为</w:t>
            </w:r>
            <w:r>
              <w:rPr>
                <w:rFonts w:hint="eastAsia" w:ascii="Times New Roman" w:hAnsi="Times New Roman" w:cs="Times New Roman"/>
                <w:lang w:val="en-US" w:eastAsia="zh-CN"/>
              </w:rPr>
              <w:t>5</w:t>
            </w:r>
            <w:r>
              <w:rPr>
                <w:rFonts w:hint="default" w:ascii="Times New Roman" w:hAnsi="Times New Roman" w:cs="Times New Roman"/>
                <w:highlight w:val="none"/>
                <w:lang w:val="en-US" w:eastAsia="zh-CN"/>
              </w:rPr>
              <w:t>m</w:t>
            </w:r>
            <w:r>
              <w:rPr>
                <w:rFonts w:hint="default" w:ascii="Times New Roman" w:hAnsi="Times New Roman" w:cs="Times New Roman"/>
                <w:highlight w:val="none"/>
                <w:vertAlign w:val="superscript"/>
                <w:lang w:val="en-US" w:eastAsia="zh-CN"/>
              </w:rPr>
              <w:t>3</w:t>
            </w:r>
            <w:r>
              <w:rPr>
                <w:rFonts w:hint="eastAsia" w:ascii="Times New Roman" w:hAnsi="Times New Roman" w:cs="Times New Roman"/>
                <w:highlight w:val="none"/>
                <w:lang w:eastAsia="zh-CN"/>
              </w:rPr>
              <w:t>，本项目</w:t>
            </w:r>
            <w:r>
              <w:rPr>
                <w:rFonts w:hint="eastAsia" w:cs="Times New Roman"/>
                <w:highlight w:val="none"/>
                <w:lang w:eastAsia="zh-CN"/>
              </w:rPr>
              <w:t>正常生产运行期间</w:t>
            </w:r>
            <w:r>
              <w:rPr>
                <w:rFonts w:hint="eastAsia" w:ascii="Times New Roman" w:hAnsi="Times New Roman" w:cs="Times New Roman"/>
                <w:highlight w:val="none"/>
                <w:lang w:eastAsia="zh-CN"/>
              </w:rPr>
              <w:t>，该化粪池</w:t>
            </w:r>
            <w:r>
              <w:rPr>
                <w:rFonts w:hint="default" w:ascii="Times New Roman" w:hAnsi="Times New Roman" w:cs="Times New Roman"/>
                <w:highlight w:val="none"/>
                <w:lang w:eastAsia="zh-CN"/>
              </w:rPr>
              <w:t>（</w:t>
            </w:r>
            <w:r>
              <w:rPr>
                <w:rFonts w:hint="eastAsia" w:cs="Times New Roman"/>
                <w:highlight w:val="none"/>
                <w:lang w:val="en-US" w:eastAsia="zh-CN"/>
              </w:rPr>
              <w:t>5</w:t>
            </w:r>
            <w:r>
              <w:rPr>
                <w:rFonts w:hint="default" w:ascii="Times New Roman" w:hAnsi="Times New Roman" w:cs="Times New Roman"/>
                <w:highlight w:val="none"/>
                <w:lang w:val="en-US" w:eastAsia="zh-CN"/>
              </w:rPr>
              <w:t>m</w:t>
            </w:r>
            <w:r>
              <w:rPr>
                <w:rFonts w:hint="default" w:ascii="Times New Roman" w:hAnsi="Times New Roman" w:cs="Times New Roman"/>
                <w:highlight w:val="none"/>
                <w:vertAlign w:val="superscript"/>
                <w:lang w:val="en-US" w:eastAsia="zh-CN"/>
              </w:rPr>
              <w:t>3</w:t>
            </w:r>
            <w:r>
              <w:rPr>
                <w:rFonts w:hint="default" w:ascii="Times New Roman" w:hAnsi="Times New Roman" w:cs="Times New Roman"/>
                <w:highlight w:val="none"/>
                <w:lang w:eastAsia="zh-CN"/>
              </w:rPr>
              <w:t>）</w:t>
            </w:r>
            <w:r>
              <w:rPr>
                <w:rFonts w:hint="eastAsia" w:ascii="Times New Roman" w:hAnsi="Times New Roman" w:cs="Times New Roman"/>
                <w:highlight w:val="none"/>
                <w:lang w:eastAsia="zh-CN"/>
              </w:rPr>
              <w:t>无其它企业利用，</w:t>
            </w:r>
            <w:r>
              <w:rPr>
                <w:rFonts w:hint="eastAsia" w:cs="Times New Roman"/>
                <w:highlight w:val="none"/>
                <w:lang w:eastAsia="zh-CN"/>
              </w:rPr>
              <w:t>生活污水经</w:t>
            </w:r>
            <w:r>
              <w:rPr>
                <w:rFonts w:hint="default" w:ascii="Times New Roman" w:hAnsi="Times New Roman" w:cs="Times New Roman"/>
                <w:highlight w:val="none"/>
                <w:lang w:eastAsia="zh-CN"/>
              </w:rPr>
              <w:t>化粪池处</w:t>
            </w:r>
            <w:r>
              <w:rPr>
                <w:rFonts w:hint="default" w:ascii="Times New Roman" w:hAnsi="Times New Roman" w:cs="Times New Roman"/>
                <w:lang w:eastAsia="zh-CN"/>
              </w:rPr>
              <w:t>理后</w:t>
            </w:r>
            <w:r>
              <w:rPr>
                <w:rFonts w:hint="eastAsia" w:ascii="Times New Roman" w:hAnsi="Times New Roman" w:cs="Times New Roman"/>
                <w:lang w:eastAsia="zh-CN"/>
              </w:rPr>
              <w:t>排</w:t>
            </w:r>
            <w:r>
              <w:rPr>
                <w:rFonts w:hint="default" w:ascii="Times New Roman" w:hAnsi="Times New Roman" w:cs="Times New Roman"/>
                <w:lang w:eastAsia="zh-CN"/>
              </w:rPr>
              <w:t>入</w:t>
            </w:r>
            <w:r>
              <w:rPr>
                <w:rFonts w:hint="eastAsia" w:ascii="Times New Roman" w:hAnsi="Times New Roman" w:cs="Times New Roman"/>
                <w:lang w:eastAsia="zh-CN"/>
              </w:rPr>
              <w:t>园区</w:t>
            </w:r>
            <w:r>
              <w:rPr>
                <w:rFonts w:hint="default" w:ascii="Times New Roman" w:hAnsi="Times New Roman" w:cs="Times New Roman"/>
                <w:lang w:eastAsia="zh-CN"/>
              </w:rPr>
              <w:t>污水管道</w:t>
            </w:r>
            <w:r>
              <w:rPr>
                <w:rFonts w:hint="eastAsia" w:ascii="Times New Roman" w:hAnsi="Times New Roman" w:cs="Times New Roman"/>
                <w:lang w:eastAsia="zh-CN"/>
              </w:rPr>
              <w:t>，最终</w:t>
            </w:r>
            <w:r>
              <w:rPr>
                <w:rFonts w:hint="default" w:ascii="Times New Roman" w:hAnsi="Times New Roman" w:cs="Times New Roman"/>
                <w:lang w:eastAsia="zh-CN"/>
              </w:rPr>
              <w:t>排入</w:t>
            </w:r>
            <w:r>
              <w:rPr>
                <w:rFonts w:hint="eastAsia" w:cs="Times New Roman"/>
                <w:lang w:eastAsia="zh-CN"/>
              </w:rPr>
              <w:t>詹店镇</w:t>
            </w:r>
            <w:r>
              <w:rPr>
                <w:rFonts w:hint="default" w:ascii="Times New Roman" w:hAnsi="Times New Roman" w:cs="Times New Roman"/>
                <w:lang w:eastAsia="zh-CN"/>
              </w:rPr>
              <w:t>污水处理厂进一步处理</w:t>
            </w:r>
            <w:r>
              <w:rPr>
                <w:rFonts w:hint="eastAsia" w:cs="Times New Roman"/>
                <w:lang w:eastAsia="zh-CN"/>
              </w:rPr>
              <w:t>，该</w:t>
            </w:r>
            <w:r>
              <w:rPr>
                <w:rFonts w:hint="default" w:ascii="Times New Roman" w:hAnsi="Times New Roman" w:cs="Times New Roman"/>
                <w:lang w:eastAsia="zh-CN"/>
              </w:rPr>
              <w:t>化粪池</w:t>
            </w:r>
            <w:r>
              <w:rPr>
                <w:rFonts w:hint="default" w:ascii="Times New Roman" w:hAnsi="Times New Roman" w:cs="Times New Roman"/>
              </w:rPr>
              <w:t>能够满足本项目使用。</w:t>
            </w:r>
          </w:p>
          <w:p w14:paraId="467C2E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本项目废水污染物产生及排放情况见下表。</w:t>
            </w:r>
          </w:p>
          <w:p w14:paraId="4FF32816">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Times New Roman"/>
                <w:b/>
                <w:bCs/>
                <w:szCs w:val="22"/>
              </w:rPr>
            </w:pPr>
            <w:r>
              <w:rPr>
                <w:rFonts w:hint="default" w:ascii="Times New Roman" w:hAnsi="Times New Roman" w:cs="Times New Roman"/>
                <w:b/>
                <w:bCs/>
                <w:szCs w:val="22"/>
              </w:rPr>
              <w:t>表4-</w:t>
            </w:r>
            <w:r>
              <w:rPr>
                <w:rFonts w:hint="eastAsia" w:cs="Times New Roman"/>
                <w:b/>
                <w:bCs/>
                <w:szCs w:val="22"/>
                <w:lang w:val="en-US" w:eastAsia="zh-CN"/>
              </w:rPr>
              <w:t>9</w:t>
            </w:r>
            <w:r>
              <w:rPr>
                <w:rFonts w:hint="default" w:ascii="Times New Roman" w:hAnsi="Times New Roman" w:cs="Times New Roman"/>
                <w:b/>
                <w:bCs/>
                <w:szCs w:val="22"/>
              </w:rPr>
              <w:t xml:space="preserve">  废水污染物产生及排放情况一览表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749"/>
              <w:gridCol w:w="949"/>
              <w:gridCol w:w="1075"/>
              <w:gridCol w:w="1020"/>
              <w:gridCol w:w="750"/>
              <w:gridCol w:w="750"/>
              <w:gridCol w:w="980"/>
              <w:gridCol w:w="940"/>
              <w:gridCol w:w="769"/>
            </w:tblGrid>
            <w:tr w14:paraId="65B47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 w:type="pct"/>
                  <w:noWrap w:val="0"/>
                  <w:vAlign w:val="center"/>
                </w:tcPr>
                <w:p w14:paraId="584FD85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污染源</w:t>
                  </w:r>
                </w:p>
              </w:tc>
              <w:tc>
                <w:tcPr>
                  <w:tcW w:w="425" w:type="pct"/>
                  <w:noWrap w:val="0"/>
                  <w:vAlign w:val="center"/>
                </w:tcPr>
                <w:p w14:paraId="33686F1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污染物</w:t>
                  </w:r>
                </w:p>
              </w:tc>
              <w:tc>
                <w:tcPr>
                  <w:tcW w:w="538" w:type="pct"/>
                  <w:noWrap w:val="0"/>
                  <w:vAlign w:val="center"/>
                </w:tcPr>
                <w:p w14:paraId="3B9F353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废水量(m</w:t>
                  </w:r>
                  <w:r>
                    <w:rPr>
                      <w:rFonts w:hint="default" w:ascii="Times New Roman" w:hAnsi="Times New Roman" w:cs="Times New Roman"/>
                      <w:b w:val="0"/>
                      <w:bCs/>
                      <w:kern w:val="0"/>
                      <w:sz w:val="21"/>
                      <w:szCs w:val="20"/>
                      <w:vertAlign w:val="superscript"/>
                    </w:rPr>
                    <w:t>3</w:t>
                  </w:r>
                  <w:r>
                    <w:rPr>
                      <w:rFonts w:hint="default" w:ascii="Times New Roman" w:hAnsi="Times New Roman" w:cs="Times New Roman"/>
                      <w:b w:val="0"/>
                      <w:bCs/>
                      <w:kern w:val="0"/>
                      <w:sz w:val="21"/>
                      <w:szCs w:val="20"/>
                    </w:rPr>
                    <w:t>/a)</w:t>
                  </w:r>
                </w:p>
              </w:tc>
              <w:tc>
                <w:tcPr>
                  <w:tcW w:w="610" w:type="pct"/>
                  <w:noWrap w:val="0"/>
                  <w:vAlign w:val="center"/>
                </w:tcPr>
                <w:p w14:paraId="0E1AF60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产生浓度(mg/L)</w:t>
                  </w:r>
                </w:p>
              </w:tc>
              <w:tc>
                <w:tcPr>
                  <w:tcW w:w="579" w:type="pct"/>
                  <w:noWrap w:val="0"/>
                  <w:vAlign w:val="center"/>
                </w:tcPr>
                <w:p w14:paraId="08E7E4E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highlight w:val="none"/>
                    </w:rPr>
                  </w:pPr>
                  <w:r>
                    <w:rPr>
                      <w:rFonts w:hint="default" w:ascii="Times New Roman" w:hAnsi="Times New Roman" w:cs="Times New Roman"/>
                      <w:b w:val="0"/>
                      <w:bCs/>
                      <w:kern w:val="0"/>
                      <w:sz w:val="21"/>
                      <w:szCs w:val="20"/>
                      <w:highlight w:val="none"/>
                    </w:rPr>
                    <w:t>产生量(t/a)</w:t>
                  </w:r>
                </w:p>
              </w:tc>
              <w:tc>
                <w:tcPr>
                  <w:tcW w:w="425" w:type="pct"/>
                  <w:noWrap w:val="0"/>
                  <w:vAlign w:val="center"/>
                </w:tcPr>
                <w:p w14:paraId="399BFC9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highlight w:val="none"/>
                    </w:rPr>
                  </w:pPr>
                  <w:r>
                    <w:rPr>
                      <w:rFonts w:hint="default" w:ascii="Times New Roman" w:hAnsi="Times New Roman" w:cs="Times New Roman"/>
                      <w:b w:val="0"/>
                      <w:bCs/>
                      <w:kern w:val="0"/>
                      <w:sz w:val="21"/>
                      <w:szCs w:val="20"/>
                      <w:highlight w:val="none"/>
                    </w:rPr>
                    <w:t>治理设施</w:t>
                  </w:r>
                </w:p>
              </w:tc>
              <w:tc>
                <w:tcPr>
                  <w:tcW w:w="425" w:type="pct"/>
                  <w:noWrap w:val="0"/>
                  <w:vAlign w:val="center"/>
                </w:tcPr>
                <w:p w14:paraId="6D157E5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highlight w:val="none"/>
                    </w:rPr>
                  </w:pPr>
                  <w:r>
                    <w:rPr>
                      <w:rFonts w:hint="default" w:ascii="Times New Roman" w:hAnsi="Times New Roman" w:cs="Times New Roman"/>
                      <w:b w:val="0"/>
                      <w:bCs/>
                      <w:kern w:val="0"/>
                      <w:sz w:val="21"/>
                      <w:szCs w:val="20"/>
                      <w:highlight w:val="none"/>
                    </w:rPr>
                    <w:t>排放量(m</w:t>
                  </w:r>
                  <w:r>
                    <w:rPr>
                      <w:rFonts w:hint="default" w:ascii="Times New Roman" w:hAnsi="Times New Roman" w:cs="Times New Roman"/>
                      <w:b w:val="0"/>
                      <w:bCs/>
                      <w:kern w:val="0"/>
                      <w:sz w:val="21"/>
                      <w:szCs w:val="20"/>
                      <w:highlight w:val="none"/>
                      <w:vertAlign w:val="superscript"/>
                    </w:rPr>
                    <w:t>3</w:t>
                  </w:r>
                  <w:r>
                    <w:rPr>
                      <w:rFonts w:hint="default" w:ascii="Times New Roman" w:hAnsi="Times New Roman" w:cs="Times New Roman"/>
                      <w:b w:val="0"/>
                      <w:bCs/>
                      <w:kern w:val="0"/>
                      <w:sz w:val="21"/>
                      <w:szCs w:val="20"/>
                      <w:highlight w:val="none"/>
                    </w:rPr>
                    <w:t>/a)</w:t>
                  </w:r>
                </w:p>
              </w:tc>
              <w:tc>
                <w:tcPr>
                  <w:tcW w:w="556" w:type="pct"/>
                  <w:noWrap w:val="0"/>
                  <w:vAlign w:val="center"/>
                </w:tcPr>
                <w:p w14:paraId="2C1772A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highlight w:val="none"/>
                    </w:rPr>
                  </w:pPr>
                  <w:r>
                    <w:rPr>
                      <w:rFonts w:hint="default" w:ascii="Times New Roman" w:hAnsi="Times New Roman" w:cs="Times New Roman"/>
                      <w:b w:val="0"/>
                      <w:bCs/>
                      <w:kern w:val="0"/>
                      <w:sz w:val="21"/>
                      <w:szCs w:val="20"/>
                      <w:highlight w:val="none"/>
                    </w:rPr>
                    <w:t>排放</w:t>
                  </w:r>
                </w:p>
                <w:p w14:paraId="473CBCD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highlight w:val="none"/>
                    </w:rPr>
                  </w:pPr>
                  <w:r>
                    <w:rPr>
                      <w:rFonts w:hint="default" w:ascii="Times New Roman" w:hAnsi="Times New Roman" w:cs="Times New Roman"/>
                      <w:b w:val="0"/>
                      <w:bCs/>
                      <w:kern w:val="0"/>
                      <w:sz w:val="21"/>
                      <w:szCs w:val="20"/>
                      <w:highlight w:val="none"/>
                    </w:rPr>
                    <w:t>浓度(mg/L)</w:t>
                  </w:r>
                </w:p>
              </w:tc>
              <w:tc>
                <w:tcPr>
                  <w:tcW w:w="533" w:type="pct"/>
                  <w:noWrap w:val="0"/>
                  <w:vAlign w:val="center"/>
                </w:tcPr>
                <w:p w14:paraId="201CD82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highlight w:val="none"/>
                    </w:rPr>
                  </w:pPr>
                  <w:r>
                    <w:rPr>
                      <w:rFonts w:hint="default" w:ascii="Times New Roman" w:hAnsi="Times New Roman" w:cs="Times New Roman"/>
                      <w:b w:val="0"/>
                      <w:bCs/>
                      <w:kern w:val="0"/>
                      <w:sz w:val="21"/>
                      <w:szCs w:val="20"/>
                      <w:highlight w:val="none"/>
                    </w:rPr>
                    <w:t>排放量(t/a)</w:t>
                  </w:r>
                </w:p>
              </w:tc>
              <w:tc>
                <w:tcPr>
                  <w:tcW w:w="436" w:type="pct"/>
                  <w:noWrap w:val="0"/>
                  <w:vAlign w:val="center"/>
                </w:tcPr>
                <w:p w14:paraId="5062EB3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排放去向</w:t>
                  </w:r>
                </w:p>
              </w:tc>
            </w:tr>
            <w:tr w14:paraId="7F509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 w:type="pct"/>
                  <w:vMerge w:val="restart"/>
                  <w:noWrap w:val="0"/>
                  <w:vAlign w:val="center"/>
                </w:tcPr>
                <w:p w14:paraId="624BFCA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生活污水</w:t>
                  </w:r>
                </w:p>
              </w:tc>
              <w:tc>
                <w:tcPr>
                  <w:tcW w:w="425" w:type="pct"/>
                  <w:noWrap w:val="0"/>
                  <w:vAlign w:val="center"/>
                </w:tcPr>
                <w:p w14:paraId="7EABF0E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COD</w:t>
                  </w:r>
                </w:p>
              </w:tc>
              <w:tc>
                <w:tcPr>
                  <w:tcW w:w="538" w:type="pct"/>
                  <w:vMerge w:val="restart"/>
                  <w:noWrap w:val="0"/>
                  <w:vAlign w:val="center"/>
                </w:tcPr>
                <w:p w14:paraId="081E425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eastAsia" w:cs="Times New Roman"/>
                      <w:bCs/>
                      <w:kern w:val="0"/>
                      <w:sz w:val="21"/>
                      <w:szCs w:val="20"/>
                      <w:lang w:val="en-US" w:eastAsia="zh-CN"/>
                    </w:rPr>
                    <w:t>120</w:t>
                  </w:r>
                </w:p>
              </w:tc>
              <w:tc>
                <w:tcPr>
                  <w:tcW w:w="610" w:type="pct"/>
                  <w:noWrap w:val="0"/>
                  <w:vAlign w:val="center"/>
                </w:tcPr>
                <w:p w14:paraId="5BBFD8F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250</w:t>
                  </w:r>
                </w:p>
              </w:tc>
              <w:tc>
                <w:tcPr>
                  <w:tcW w:w="579" w:type="pct"/>
                  <w:noWrap w:val="0"/>
                  <w:vAlign w:val="center"/>
                </w:tcPr>
                <w:p w14:paraId="0BFD0F0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rPr>
                    <w:t>0.</w:t>
                  </w:r>
                  <w:r>
                    <w:rPr>
                      <w:rFonts w:hint="default" w:ascii="Times New Roman" w:hAnsi="Times New Roman" w:cs="Times New Roman"/>
                      <w:bCs/>
                      <w:kern w:val="0"/>
                      <w:sz w:val="21"/>
                      <w:szCs w:val="20"/>
                      <w:lang w:val="en-US" w:eastAsia="zh-CN"/>
                    </w:rPr>
                    <w:t>0</w:t>
                  </w:r>
                  <w:r>
                    <w:rPr>
                      <w:rFonts w:hint="eastAsia" w:cs="Times New Roman"/>
                      <w:bCs/>
                      <w:kern w:val="0"/>
                      <w:sz w:val="21"/>
                      <w:szCs w:val="20"/>
                      <w:lang w:val="en-US" w:eastAsia="zh-CN"/>
                    </w:rPr>
                    <w:t>3</w:t>
                  </w:r>
                </w:p>
              </w:tc>
              <w:tc>
                <w:tcPr>
                  <w:tcW w:w="425" w:type="pct"/>
                  <w:vMerge w:val="restart"/>
                  <w:noWrap w:val="0"/>
                  <w:vAlign w:val="center"/>
                </w:tcPr>
                <w:p w14:paraId="5E16C89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sz w:val="21"/>
                      <w:szCs w:val="21"/>
                      <w:lang w:eastAsia="zh-CN"/>
                    </w:rPr>
                  </w:pPr>
                  <w:r>
                    <w:rPr>
                      <w:rFonts w:hint="default" w:ascii="Times New Roman" w:hAnsi="Times New Roman" w:cs="Times New Roman"/>
                      <w:bCs/>
                      <w:kern w:val="0"/>
                      <w:sz w:val="21"/>
                      <w:szCs w:val="20"/>
                    </w:rPr>
                    <w:t>化粪池</w:t>
                  </w:r>
                  <w:r>
                    <w:rPr>
                      <w:rFonts w:hint="default" w:ascii="Times New Roman" w:hAnsi="Times New Roman" w:cs="Times New Roman"/>
                      <w:sz w:val="21"/>
                      <w:szCs w:val="21"/>
                      <w:lang w:eastAsia="zh-CN"/>
                    </w:rPr>
                    <w:t>（</w:t>
                  </w:r>
                </w:p>
                <w:p w14:paraId="7564C98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eastAsia" w:cs="Times New Roman"/>
                      <w:sz w:val="21"/>
                      <w:szCs w:val="21"/>
                      <w:lang w:val="en-US" w:eastAsia="zh-CN"/>
                    </w:rPr>
                    <w:t>5</w:t>
                  </w:r>
                  <w:r>
                    <w:rPr>
                      <w:rFonts w:hint="default" w:ascii="Times New Roman" w:hAnsi="Times New Roman" w:cs="Times New Roman"/>
                      <w:sz w:val="21"/>
                      <w:szCs w:val="21"/>
                      <w:lang w:val="en-US" w:eastAsia="zh-CN"/>
                    </w:rPr>
                    <w:t>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lang w:eastAsia="zh-CN"/>
                    </w:rPr>
                    <w:t>）</w:t>
                  </w:r>
                </w:p>
              </w:tc>
              <w:tc>
                <w:tcPr>
                  <w:tcW w:w="425" w:type="pct"/>
                  <w:vMerge w:val="restart"/>
                  <w:noWrap w:val="0"/>
                  <w:vAlign w:val="center"/>
                </w:tcPr>
                <w:p w14:paraId="093E70A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eastAsia" w:cs="Times New Roman"/>
                      <w:bCs/>
                      <w:kern w:val="0"/>
                      <w:sz w:val="21"/>
                      <w:szCs w:val="20"/>
                      <w:lang w:val="en-US" w:eastAsia="zh-CN"/>
                    </w:rPr>
                    <w:t>120</w:t>
                  </w:r>
                </w:p>
              </w:tc>
              <w:tc>
                <w:tcPr>
                  <w:tcW w:w="556" w:type="pct"/>
                  <w:noWrap w:val="0"/>
                  <w:vAlign w:val="center"/>
                </w:tcPr>
                <w:p w14:paraId="63A346D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eastAsia" w:cs="Times New Roman"/>
                      <w:bCs/>
                      <w:kern w:val="0"/>
                      <w:sz w:val="21"/>
                      <w:szCs w:val="20"/>
                      <w:lang w:val="en-US" w:eastAsia="zh-CN"/>
                    </w:rPr>
                    <w:t>150</w:t>
                  </w:r>
                </w:p>
              </w:tc>
              <w:tc>
                <w:tcPr>
                  <w:tcW w:w="533" w:type="pct"/>
                  <w:noWrap w:val="0"/>
                  <w:vAlign w:val="center"/>
                </w:tcPr>
                <w:p w14:paraId="1790021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rPr>
                    <w:t>0.0</w:t>
                  </w:r>
                  <w:r>
                    <w:rPr>
                      <w:rFonts w:hint="eastAsia" w:cs="Times New Roman"/>
                      <w:bCs/>
                      <w:kern w:val="0"/>
                      <w:sz w:val="21"/>
                      <w:szCs w:val="20"/>
                      <w:lang w:val="en-US" w:eastAsia="zh-CN"/>
                    </w:rPr>
                    <w:t>18</w:t>
                  </w:r>
                </w:p>
              </w:tc>
              <w:tc>
                <w:tcPr>
                  <w:tcW w:w="436" w:type="pct"/>
                  <w:vMerge w:val="restart"/>
                  <w:noWrap w:val="0"/>
                  <w:vAlign w:val="center"/>
                </w:tcPr>
                <w:p w14:paraId="16ABA6A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eastAsia" w:cs="Times New Roman"/>
                      <w:bCs/>
                      <w:iCs/>
                      <w:kern w:val="0"/>
                      <w:sz w:val="21"/>
                      <w:szCs w:val="20"/>
                      <w:lang w:eastAsia="zh-CN"/>
                    </w:rPr>
                    <w:t>詹店镇</w:t>
                  </w:r>
                  <w:r>
                    <w:rPr>
                      <w:rFonts w:hint="default" w:ascii="Times New Roman" w:hAnsi="Times New Roman" w:cs="Times New Roman"/>
                      <w:bCs/>
                      <w:iCs/>
                      <w:kern w:val="0"/>
                      <w:sz w:val="21"/>
                      <w:szCs w:val="20"/>
                    </w:rPr>
                    <w:t>污水处理厂</w:t>
                  </w:r>
                </w:p>
              </w:tc>
            </w:tr>
            <w:tr w14:paraId="11C7E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 w:type="pct"/>
                  <w:vMerge w:val="continue"/>
                  <w:noWrap w:val="0"/>
                  <w:vAlign w:val="center"/>
                </w:tcPr>
                <w:p w14:paraId="27055E5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425" w:type="pct"/>
                  <w:noWrap w:val="0"/>
                  <w:vAlign w:val="center"/>
                </w:tcPr>
                <w:p w14:paraId="4E4DB94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lang w:val="en-US" w:eastAsia="zh-CN"/>
                    </w:rPr>
                    <w:t>SS</w:t>
                  </w:r>
                </w:p>
              </w:tc>
              <w:tc>
                <w:tcPr>
                  <w:tcW w:w="538" w:type="pct"/>
                  <w:vMerge w:val="continue"/>
                  <w:noWrap w:val="0"/>
                  <w:vAlign w:val="center"/>
                </w:tcPr>
                <w:p w14:paraId="7237A4D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p>
              </w:tc>
              <w:tc>
                <w:tcPr>
                  <w:tcW w:w="610" w:type="pct"/>
                  <w:noWrap w:val="0"/>
                  <w:vAlign w:val="center"/>
                </w:tcPr>
                <w:p w14:paraId="53ED725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lang w:val="en-US" w:eastAsia="zh-CN"/>
                    </w:rPr>
                    <w:t>2</w:t>
                  </w:r>
                  <w:r>
                    <w:rPr>
                      <w:rFonts w:hint="eastAsia" w:cs="Times New Roman"/>
                      <w:bCs/>
                      <w:kern w:val="0"/>
                      <w:sz w:val="21"/>
                      <w:szCs w:val="20"/>
                      <w:lang w:val="en-US" w:eastAsia="zh-CN"/>
                    </w:rPr>
                    <w:t>0</w:t>
                  </w:r>
                  <w:r>
                    <w:rPr>
                      <w:rFonts w:hint="default" w:ascii="Times New Roman" w:hAnsi="Times New Roman" w:cs="Times New Roman"/>
                      <w:bCs/>
                      <w:kern w:val="0"/>
                      <w:sz w:val="21"/>
                      <w:szCs w:val="20"/>
                      <w:lang w:val="en-US" w:eastAsia="zh-CN"/>
                    </w:rPr>
                    <w:t>0</w:t>
                  </w:r>
                </w:p>
              </w:tc>
              <w:tc>
                <w:tcPr>
                  <w:tcW w:w="579" w:type="pct"/>
                  <w:noWrap w:val="0"/>
                  <w:vAlign w:val="center"/>
                </w:tcPr>
                <w:p w14:paraId="36DAAB4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lang w:val="en-US" w:eastAsia="zh-CN"/>
                    </w:rPr>
                    <w:t>0.0</w:t>
                  </w:r>
                  <w:r>
                    <w:rPr>
                      <w:rFonts w:hint="eastAsia" w:cs="Times New Roman"/>
                      <w:bCs/>
                      <w:kern w:val="0"/>
                      <w:sz w:val="21"/>
                      <w:szCs w:val="20"/>
                      <w:lang w:val="en-US" w:eastAsia="zh-CN"/>
                    </w:rPr>
                    <w:t>24</w:t>
                  </w:r>
                </w:p>
              </w:tc>
              <w:tc>
                <w:tcPr>
                  <w:tcW w:w="425" w:type="pct"/>
                  <w:vMerge w:val="continue"/>
                  <w:noWrap w:val="0"/>
                  <w:vAlign w:val="center"/>
                </w:tcPr>
                <w:p w14:paraId="2CB4B28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425" w:type="pct"/>
                  <w:vMerge w:val="continue"/>
                  <w:noWrap w:val="0"/>
                  <w:vAlign w:val="center"/>
                </w:tcPr>
                <w:p w14:paraId="72B8AD3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p>
              </w:tc>
              <w:tc>
                <w:tcPr>
                  <w:tcW w:w="556" w:type="pct"/>
                  <w:noWrap w:val="0"/>
                  <w:vAlign w:val="center"/>
                </w:tcPr>
                <w:p w14:paraId="03427EA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lang w:val="en-US" w:eastAsia="zh-CN"/>
                    </w:rPr>
                    <w:t>1</w:t>
                  </w:r>
                  <w:r>
                    <w:rPr>
                      <w:rFonts w:hint="eastAsia" w:cs="Times New Roman"/>
                      <w:bCs/>
                      <w:kern w:val="0"/>
                      <w:sz w:val="21"/>
                      <w:szCs w:val="20"/>
                      <w:lang w:val="en-US" w:eastAsia="zh-CN"/>
                    </w:rPr>
                    <w:t>00</w:t>
                  </w:r>
                </w:p>
              </w:tc>
              <w:tc>
                <w:tcPr>
                  <w:tcW w:w="533" w:type="pct"/>
                  <w:noWrap w:val="0"/>
                  <w:vAlign w:val="center"/>
                </w:tcPr>
                <w:p w14:paraId="38707F9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lang w:val="en-US" w:eastAsia="zh-CN"/>
                    </w:rPr>
                    <w:t>0.0</w:t>
                  </w:r>
                  <w:r>
                    <w:rPr>
                      <w:rFonts w:hint="eastAsia" w:cs="Times New Roman"/>
                      <w:bCs/>
                      <w:kern w:val="0"/>
                      <w:sz w:val="21"/>
                      <w:szCs w:val="20"/>
                      <w:lang w:val="en-US" w:eastAsia="zh-CN"/>
                    </w:rPr>
                    <w:t>12</w:t>
                  </w:r>
                </w:p>
              </w:tc>
              <w:tc>
                <w:tcPr>
                  <w:tcW w:w="436" w:type="pct"/>
                  <w:vMerge w:val="continue"/>
                  <w:noWrap w:val="0"/>
                  <w:vAlign w:val="center"/>
                </w:tcPr>
                <w:p w14:paraId="30382A0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iCs/>
                      <w:kern w:val="0"/>
                      <w:sz w:val="21"/>
                      <w:szCs w:val="20"/>
                    </w:rPr>
                  </w:pPr>
                </w:p>
              </w:tc>
            </w:tr>
            <w:tr w14:paraId="5BA95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 w:type="pct"/>
                  <w:vMerge w:val="continue"/>
                  <w:noWrap w:val="0"/>
                  <w:vAlign w:val="center"/>
                </w:tcPr>
                <w:p w14:paraId="241E716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425" w:type="pct"/>
                  <w:noWrap w:val="0"/>
                  <w:vAlign w:val="center"/>
                </w:tcPr>
                <w:p w14:paraId="385477D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氨氮</w:t>
                  </w:r>
                </w:p>
              </w:tc>
              <w:tc>
                <w:tcPr>
                  <w:tcW w:w="538" w:type="pct"/>
                  <w:vMerge w:val="continue"/>
                  <w:noWrap w:val="0"/>
                  <w:vAlign w:val="center"/>
                </w:tcPr>
                <w:p w14:paraId="1CD496F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610" w:type="pct"/>
                  <w:noWrap w:val="0"/>
                  <w:vAlign w:val="center"/>
                </w:tcPr>
                <w:p w14:paraId="5A7CC7B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30</w:t>
                  </w:r>
                </w:p>
              </w:tc>
              <w:tc>
                <w:tcPr>
                  <w:tcW w:w="579" w:type="pct"/>
                  <w:noWrap w:val="0"/>
                  <w:vAlign w:val="center"/>
                </w:tcPr>
                <w:p w14:paraId="6E1A6F6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rPr>
                    <w:t>0.0</w:t>
                  </w:r>
                  <w:r>
                    <w:rPr>
                      <w:rFonts w:hint="default" w:ascii="Times New Roman" w:hAnsi="Times New Roman" w:cs="Times New Roman"/>
                      <w:bCs/>
                      <w:kern w:val="0"/>
                      <w:sz w:val="21"/>
                      <w:szCs w:val="20"/>
                      <w:lang w:val="en-US" w:eastAsia="zh-CN"/>
                    </w:rPr>
                    <w:t>0</w:t>
                  </w:r>
                  <w:r>
                    <w:rPr>
                      <w:rFonts w:hint="eastAsia" w:cs="Times New Roman"/>
                      <w:bCs/>
                      <w:kern w:val="0"/>
                      <w:sz w:val="21"/>
                      <w:szCs w:val="20"/>
                      <w:lang w:val="en-US" w:eastAsia="zh-CN"/>
                    </w:rPr>
                    <w:t>36</w:t>
                  </w:r>
                </w:p>
              </w:tc>
              <w:tc>
                <w:tcPr>
                  <w:tcW w:w="425" w:type="pct"/>
                  <w:vMerge w:val="continue"/>
                  <w:noWrap w:val="0"/>
                  <w:vAlign w:val="center"/>
                </w:tcPr>
                <w:p w14:paraId="4BBA17D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425" w:type="pct"/>
                  <w:vMerge w:val="continue"/>
                  <w:noWrap w:val="0"/>
                  <w:vAlign w:val="center"/>
                </w:tcPr>
                <w:p w14:paraId="36A2FF7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556" w:type="pct"/>
                  <w:noWrap w:val="0"/>
                  <w:vAlign w:val="center"/>
                </w:tcPr>
                <w:p w14:paraId="31F57D3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eastAsia" w:cs="Times New Roman"/>
                      <w:bCs/>
                      <w:kern w:val="0"/>
                      <w:sz w:val="21"/>
                      <w:szCs w:val="20"/>
                      <w:lang w:val="en-US" w:eastAsia="zh-CN"/>
                    </w:rPr>
                    <w:t>21</w:t>
                  </w:r>
                </w:p>
              </w:tc>
              <w:tc>
                <w:tcPr>
                  <w:tcW w:w="533" w:type="pct"/>
                  <w:noWrap w:val="0"/>
                  <w:vAlign w:val="center"/>
                </w:tcPr>
                <w:p w14:paraId="347C502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rPr>
                    <w:t>0.00</w:t>
                  </w:r>
                  <w:r>
                    <w:rPr>
                      <w:rFonts w:hint="eastAsia" w:cs="Times New Roman"/>
                      <w:bCs/>
                      <w:kern w:val="0"/>
                      <w:sz w:val="21"/>
                      <w:szCs w:val="20"/>
                      <w:lang w:val="en-US" w:eastAsia="zh-CN"/>
                    </w:rPr>
                    <w:t>52</w:t>
                  </w:r>
                </w:p>
              </w:tc>
              <w:tc>
                <w:tcPr>
                  <w:tcW w:w="436" w:type="pct"/>
                  <w:vMerge w:val="continue"/>
                  <w:noWrap w:val="0"/>
                  <w:vAlign w:val="center"/>
                </w:tcPr>
                <w:p w14:paraId="67BEB4C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r>
            <w:tr w14:paraId="5C037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 w:type="pct"/>
                  <w:vMerge w:val="continue"/>
                  <w:noWrap w:val="0"/>
                  <w:vAlign w:val="center"/>
                </w:tcPr>
                <w:p w14:paraId="51CAF8A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425" w:type="pct"/>
                  <w:noWrap w:val="0"/>
                  <w:vAlign w:val="center"/>
                </w:tcPr>
                <w:p w14:paraId="3FDD35D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总磷</w:t>
                  </w:r>
                </w:p>
              </w:tc>
              <w:tc>
                <w:tcPr>
                  <w:tcW w:w="538" w:type="pct"/>
                  <w:vMerge w:val="continue"/>
                  <w:noWrap w:val="0"/>
                  <w:vAlign w:val="center"/>
                </w:tcPr>
                <w:p w14:paraId="5758390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610" w:type="pct"/>
                  <w:noWrap w:val="0"/>
                  <w:vAlign w:val="center"/>
                </w:tcPr>
                <w:p w14:paraId="61E86A3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eastAsia" w:ascii="Times New Roman" w:hAnsi="Times New Roman" w:cs="Times New Roman"/>
                      <w:bCs/>
                      <w:kern w:val="0"/>
                      <w:sz w:val="21"/>
                      <w:szCs w:val="20"/>
                      <w:lang w:val="en-US" w:eastAsia="zh-CN"/>
                    </w:rPr>
                    <w:t>1.</w:t>
                  </w:r>
                  <w:r>
                    <w:rPr>
                      <w:rFonts w:hint="eastAsia" w:cs="Times New Roman"/>
                      <w:bCs/>
                      <w:kern w:val="0"/>
                      <w:sz w:val="21"/>
                      <w:szCs w:val="20"/>
                      <w:lang w:val="en-US" w:eastAsia="zh-CN"/>
                    </w:rPr>
                    <w:t>2</w:t>
                  </w:r>
                </w:p>
              </w:tc>
              <w:tc>
                <w:tcPr>
                  <w:tcW w:w="579" w:type="pct"/>
                  <w:noWrap w:val="0"/>
                  <w:vAlign w:val="center"/>
                </w:tcPr>
                <w:p w14:paraId="5A150C9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rPr>
                    <w:t>0.00</w:t>
                  </w:r>
                  <w:r>
                    <w:rPr>
                      <w:rFonts w:hint="eastAsia" w:ascii="Times New Roman" w:hAnsi="Times New Roman" w:cs="Times New Roman"/>
                      <w:bCs/>
                      <w:kern w:val="0"/>
                      <w:sz w:val="21"/>
                      <w:szCs w:val="20"/>
                      <w:lang w:val="en-US" w:eastAsia="zh-CN"/>
                    </w:rPr>
                    <w:t>0</w:t>
                  </w:r>
                  <w:r>
                    <w:rPr>
                      <w:rFonts w:hint="eastAsia" w:cs="Times New Roman"/>
                      <w:bCs/>
                      <w:kern w:val="0"/>
                      <w:sz w:val="21"/>
                      <w:szCs w:val="20"/>
                      <w:lang w:val="en-US" w:eastAsia="zh-CN"/>
                    </w:rPr>
                    <w:t>144</w:t>
                  </w:r>
                </w:p>
              </w:tc>
              <w:tc>
                <w:tcPr>
                  <w:tcW w:w="425" w:type="pct"/>
                  <w:vMerge w:val="continue"/>
                  <w:noWrap w:val="0"/>
                  <w:vAlign w:val="center"/>
                </w:tcPr>
                <w:p w14:paraId="01EA5FE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425" w:type="pct"/>
                  <w:vMerge w:val="continue"/>
                  <w:noWrap w:val="0"/>
                  <w:vAlign w:val="center"/>
                </w:tcPr>
                <w:p w14:paraId="5E7E875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556" w:type="pct"/>
                  <w:noWrap w:val="0"/>
                  <w:vAlign w:val="center"/>
                </w:tcPr>
                <w:p w14:paraId="6D2EFBD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eastAsia" w:ascii="Times New Roman" w:hAnsi="Times New Roman" w:cs="Times New Roman"/>
                      <w:bCs/>
                      <w:kern w:val="0"/>
                      <w:sz w:val="21"/>
                      <w:szCs w:val="20"/>
                      <w:lang w:val="en-US" w:eastAsia="zh-CN"/>
                    </w:rPr>
                    <w:t>0.</w:t>
                  </w:r>
                  <w:r>
                    <w:rPr>
                      <w:rFonts w:hint="eastAsia" w:cs="Times New Roman"/>
                      <w:bCs/>
                      <w:kern w:val="0"/>
                      <w:sz w:val="21"/>
                      <w:szCs w:val="20"/>
                      <w:lang w:val="en-US" w:eastAsia="zh-CN"/>
                    </w:rPr>
                    <w:t>84</w:t>
                  </w:r>
                </w:p>
              </w:tc>
              <w:tc>
                <w:tcPr>
                  <w:tcW w:w="533" w:type="pct"/>
                  <w:noWrap w:val="0"/>
                  <w:vAlign w:val="center"/>
                </w:tcPr>
                <w:p w14:paraId="3CDA951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rPr>
                  </w:pPr>
                  <w:r>
                    <w:rPr>
                      <w:rFonts w:hint="default" w:ascii="Times New Roman" w:hAnsi="Times New Roman" w:cs="Times New Roman"/>
                      <w:bCs/>
                      <w:kern w:val="0"/>
                      <w:sz w:val="21"/>
                      <w:szCs w:val="20"/>
                    </w:rPr>
                    <w:t>0.00</w:t>
                  </w:r>
                  <w:r>
                    <w:rPr>
                      <w:rFonts w:hint="default" w:ascii="Times New Roman" w:hAnsi="Times New Roman" w:cs="Times New Roman"/>
                      <w:bCs/>
                      <w:kern w:val="0"/>
                      <w:sz w:val="21"/>
                      <w:szCs w:val="20"/>
                      <w:lang w:val="en-US" w:eastAsia="zh-CN"/>
                    </w:rPr>
                    <w:t>0</w:t>
                  </w:r>
                  <w:r>
                    <w:rPr>
                      <w:rFonts w:hint="eastAsia" w:cs="Times New Roman"/>
                      <w:bCs/>
                      <w:kern w:val="0"/>
                      <w:sz w:val="21"/>
                      <w:szCs w:val="20"/>
                      <w:lang w:val="en-US" w:eastAsia="zh-CN"/>
                    </w:rPr>
                    <w:t>1</w:t>
                  </w:r>
                </w:p>
              </w:tc>
              <w:tc>
                <w:tcPr>
                  <w:tcW w:w="436" w:type="pct"/>
                  <w:vMerge w:val="continue"/>
                  <w:noWrap w:val="0"/>
                  <w:vAlign w:val="center"/>
                </w:tcPr>
                <w:p w14:paraId="52F8D1F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r>
          </w:tbl>
          <w:p w14:paraId="3806C334">
            <w:pPr>
              <w:keepNext/>
              <w:keepLines/>
              <w:pageBreakBefore w:val="0"/>
              <w:widowControl w:val="0"/>
              <w:kinsoku/>
              <w:wordWrap/>
              <w:overflowPunct/>
              <w:topLinePunct w:val="0"/>
              <w:autoSpaceDE/>
              <w:autoSpaceDN/>
              <w:bidi w:val="0"/>
              <w:adjustRightInd/>
              <w:snapToGrid/>
              <w:spacing w:line="520" w:lineRule="exact"/>
              <w:ind w:firstLine="480" w:firstLineChars="0"/>
              <w:textAlignment w:val="auto"/>
              <w:outlineLvl w:val="1"/>
              <w:rPr>
                <w:rFonts w:hint="default" w:ascii="Times New Roman" w:hAnsi="Times New Roman" w:cs="Times New Roman"/>
                <w:b/>
              </w:rPr>
            </w:pPr>
            <w:r>
              <w:rPr>
                <w:rFonts w:hint="default" w:ascii="Times New Roman" w:hAnsi="Times New Roman" w:cs="Times New Roman"/>
                <w:b/>
              </w:rPr>
              <w:t>2.2废水处理措施可行性分析</w:t>
            </w:r>
          </w:p>
          <w:p w14:paraId="5E78F9A4">
            <w:pPr>
              <w:pageBreakBefore w:val="0"/>
              <w:widowControl w:val="0"/>
              <w:kinsoku/>
              <w:wordWrap/>
              <w:overflowPunct/>
              <w:topLinePunct w:val="0"/>
              <w:autoSpaceDE/>
              <w:autoSpaceDN/>
              <w:bidi w:val="0"/>
              <w:adjustRightInd/>
              <w:snapToGrid/>
              <w:spacing w:line="520" w:lineRule="exact"/>
              <w:ind w:firstLine="480"/>
              <w:textAlignment w:val="auto"/>
              <w:rPr>
                <w:rFonts w:hint="eastAsia" w:ascii="Times New Roman" w:hAnsi="Times New Roman" w:eastAsia="宋体" w:cs="Times New Roman"/>
                <w:bCs/>
                <w:lang w:eastAsia="zh-CN"/>
              </w:rPr>
            </w:pPr>
            <w:r>
              <w:rPr>
                <w:rFonts w:hint="default" w:ascii="Times New Roman" w:hAnsi="Times New Roman" w:cs="Times New Roman"/>
                <w:bCs/>
              </w:rPr>
              <w:t>项目周边管网配套情况分析</w:t>
            </w:r>
            <w:r>
              <w:rPr>
                <w:rFonts w:hint="eastAsia" w:cs="Times New Roman"/>
                <w:bCs/>
                <w:lang w:eastAsia="zh-CN"/>
              </w:rPr>
              <w:t>：</w:t>
            </w:r>
          </w:p>
          <w:p w14:paraId="22C667E8">
            <w:pPr>
              <w:pageBreakBefore w:val="0"/>
              <w:widowControl w:val="0"/>
              <w:kinsoku/>
              <w:wordWrap/>
              <w:overflowPunct/>
              <w:topLinePunct w:val="0"/>
              <w:autoSpaceDE/>
              <w:autoSpaceDN/>
              <w:bidi w:val="0"/>
              <w:adjustRightInd/>
              <w:snapToGrid/>
              <w:spacing w:line="520" w:lineRule="exact"/>
              <w:ind w:firstLine="480"/>
              <w:textAlignment w:val="auto"/>
              <w:rPr>
                <w:rFonts w:hint="eastAsia" w:ascii="Times New Roman" w:hAnsi="Times New Roman" w:eastAsia="宋体" w:cs="宋体"/>
                <w:sz w:val="24"/>
                <w:lang w:val="en-US" w:eastAsia="zh-CN"/>
              </w:rPr>
            </w:pPr>
            <w:r>
              <w:rPr>
                <w:rFonts w:hint="eastAsia" w:ascii="Times New Roman" w:hAnsi="Times New Roman" w:eastAsia="宋体" w:cs="宋体"/>
                <w:sz w:val="24"/>
                <w:lang w:val="en-US" w:eastAsia="zh-CN"/>
              </w:rPr>
              <w:t>詹店镇污水处理厂位于詹店镇一干排与京广铁路交叉口西北方向600m处，规划污水处理能力5万m</w:t>
            </w:r>
            <w:r>
              <w:rPr>
                <w:rFonts w:hint="eastAsia" w:ascii="Times New Roman" w:hAnsi="Times New Roman" w:eastAsia="宋体" w:cs="宋体"/>
                <w:sz w:val="24"/>
                <w:vertAlign w:val="superscript"/>
                <w:lang w:val="en-US" w:eastAsia="zh-CN"/>
              </w:rPr>
              <w:t>3</w:t>
            </w:r>
            <w:r>
              <w:rPr>
                <w:rFonts w:hint="eastAsia" w:ascii="Times New Roman" w:hAnsi="Times New Roman" w:eastAsia="宋体" w:cs="宋体"/>
                <w:sz w:val="24"/>
                <w:lang w:val="en-US" w:eastAsia="zh-CN"/>
              </w:rPr>
              <w:t>/d，近期规划规模为2.5万m</w:t>
            </w:r>
            <w:r>
              <w:rPr>
                <w:rFonts w:hint="eastAsia" w:ascii="Times New Roman" w:hAnsi="Times New Roman" w:eastAsia="宋体" w:cs="宋体"/>
                <w:sz w:val="24"/>
                <w:vertAlign w:val="superscript"/>
                <w:lang w:val="en-US" w:eastAsia="zh-CN"/>
              </w:rPr>
              <w:t>3</w:t>
            </w:r>
            <w:r>
              <w:rPr>
                <w:rFonts w:hint="eastAsia" w:ascii="Times New Roman" w:hAnsi="Times New Roman" w:eastAsia="宋体" w:cs="宋体"/>
                <w:sz w:val="24"/>
                <w:lang w:val="en-US" w:eastAsia="zh-CN"/>
              </w:rPr>
              <w:t>/d，主要接纳武陟县产业集聚区东区的生产生活污水。处理工艺采用改良型氧化沟工艺，深度处理工艺采用机械混合池+机械反应池+平流沉淀池+滤池工艺，污泥处理处置工艺采用重力浓缩+机械深度脱水+外运卫生填埋工艺，消毒工艺采用二氧化氯消毒工艺。设计进水水质COD：360mg/L、SS：400mg/L、NH3-N：38mg/L、TP：4mg/L。本项目废水经詹店镇污水处理厂处理后通过一干排汇入共产主义渠，詹店镇污水处理厂出水水质能够达《城镇污水处理厂污染物排放标准》（GB18918-2002）一级A要求。</w:t>
            </w:r>
          </w:p>
          <w:p w14:paraId="1BC7DFFB">
            <w:pPr>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color w:val="auto"/>
                <w:sz w:val="24"/>
                <w:szCs w:val="24"/>
                <w:u w:val="none"/>
              </w:rPr>
            </w:pPr>
            <w:r>
              <w:rPr>
                <w:rFonts w:hint="eastAsia" w:ascii="Times New Roman" w:hAnsi="Times New Roman" w:eastAsia="宋体" w:cs="宋体"/>
                <w:sz w:val="24"/>
                <w:lang w:val="en-US" w:eastAsia="zh-CN"/>
              </w:rPr>
              <w:t>本项目厂</w:t>
            </w:r>
            <w:r>
              <w:rPr>
                <w:rFonts w:hint="eastAsia" w:ascii="Times New Roman" w:hAnsi="Times New Roman" w:eastAsia="宋体" w:cs="宋体"/>
                <w:color w:val="auto"/>
                <w:sz w:val="24"/>
                <w:lang w:val="en-US" w:eastAsia="zh-CN"/>
              </w:rPr>
              <w:t>址区域污水管网已铺设完成，</w:t>
            </w:r>
            <w:r>
              <w:rPr>
                <w:rFonts w:hint="eastAsia" w:ascii="Times New Roman" w:hAnsi="Times New Roman" w:eastAsia="宋体" w:cs="宋体"/>
                <w:sz w:val="24"/>
                <w:lang w:val="en-US" w:eastAsia="zh-CN"/>
              </w:rPr>
              <w:t>项目废水可以通过管网进入詹店镇污水处理厂。</w:t>
            </w:r>
            <w:r>
              <w:rPr>
                <w:rFonts w:hint="eastAsia" w:ascii="Times New Roman" w:hAnsi="Times New Roman" w:eastAsia="宋体" w:cs="宋体"/>
                <w:color w:val="auto"/>
                <w:sz w:val="24"/>
                <w:lang w:val="en-US" w:eastAsia="zh-CN"/>
              </w:rPr>
              <w:t>外排废水仅为生活污水，日排放污水量约为0.4m</w:t>
            </w:r>
            <w:r>
              <w:rPr>
                <w:rFonts w:hint="eastAsia" w:ascii="Times New Roman" w:hAnsi="Times New Roman" w:eastAsia="宋体" w:cs="宋体"/>
                <w:color w:val="auto"/>
                <w:sz w:val="24"/>
                <w:vertAlign w:val="superscript"/>
                <w:lang w:val="en-US" w:eastAsia="zh-CN"/>
              </w:rPr>
              <w:t>3</w:t>
            </w:r>
            <w:r>
              <w:rPr>
                <w:rFonts w:hint="eastAsia" w:ascii="Times New Roman" w:hAnsi="Times New Roman" w:eastAsia="宋体" w:cs="宋体"/>
                <w:color w:val="auto"/>
                <w:sz w:val="24"/>
                <w:lang w:val="en-US" w:eastAsia="zh-CN"/>
              </w:rPr>
              <w:t>/d，</w:t>
            </w:r>
            <w:r>
              <w:rPr>
                <w:rFonts w:hint="eastAsia" w:ascii="Times New Roman" w:hAnsi="Times New Roman" w:eastAsia="宋体" w:cs="宋体"/>
                <w:sz w:val="24"/>
                <w:lang w:val="en-US" w:eastAsia="zh-CN"/>
              </w:rPr>
              <w:t>不含重金属等影响生化处理工艺的污染因子，适合詹店镇污水处理厂的工艺要求，且本项目废水排放量占污水处理厂收水量比例很小，不会对污水处理厂的处理能力及污染物的处理负荷造成冲击。</w:t>
            </w:r>
            <w:r>
              <w:rPr>
                <w:rFonts w:hint="default" w:ascii="Times New Roman" w:hAnsi="Times New Roman" w:cs="Times New Roman"/>
                <w:color w:val="auto"/>
                <w:sz w:val="24"/>
                <w:szCs w:val="24"/>
                <w:u w:val="none"/>
              </w:rPr>
              <w:t>评价认为</w:t>
            </w:r>
            <w:r>
              <w:rPr>
                <w:rFonts w:hint="eastAsia" w:ascii="Times New Roman" w:hAnsi="Times New Roman" w:cs="Times New Roman"/>
                <w:color w:val="auto"/>
                <w:sz w:val="24"/>
                <w:szCs w:val="24"/>
                <w:u w:val="none"/>
                <w:lang w:eastAsia="zh-CN"/>
              </w:rPr>
              <w:t>本项目</w:t>
            </w:r>
            <w:r>
              <w:rPr>
                <w:rFonts w:hint="default" w:ascii="Times New Roman" w:hAnsi="Times New Roman" w:cs="Times New Roman"/>
                <w:color w:val="auto"/>
                <w:sz w:val="24"/>
                <w:szCs w:val="24"/>
                <w:u w:val="none"/>
              </w:rPr>
              <w:t>废水进入</w:t>
            </w:r>
            <w:r>
              <w:rPr>
                <w:rFonts w:hint="eastAsia" w:ascii="Times New Roman" w:hAnsi="Times New Roman" w:cs="Times New Roman"/>
                <w:color w:val="auto"/>
                <w:sz w:val="24"/>
                <w:szCs w:val="24"/>
                <w:u w:val="none"/>
                <w:lang w:eastAsia="zh-CN"/>
              </w:rPr>
              <w:t>詹店镇</w:t>
            </w:r>
            <w:r>
              <w:rPr>
                <w:rFonts w:hint="default" w:ascii="Times New Roman" w:hAnsi="Times New Roman" w:cs="Times New Roman"/>
                <w:color w:val="auto"/>
                <w:sz w:val="24"/>
                <w:szCs w:val="24"/>
                <w:u w:val="none"/>
              </w:rPr>
              <w:t>污水处理厂处理的方案可行。</w:t>
            </w:r>
          </w:p>
          <w:p w14:paraId="54DBBDEE">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Times New Roman"/>
                <w:b/>
                <w:bCs/>
                <w:szCs w:val="22"/>
              </w:rPr>
            </w:pPr>
            <w:r>
              <w:rPr>
                <w:rFonts w:hint="default" w:ascii="Times New Roman" w:hAnsi="Times New Roman" w:cs="Times New Roman"/>
                <w:b/>
                <w:bCs/>
                <w:szCs w:val="22"/>
              </w:rPr>
              <w:t>表4-1</w:t>
            </w:r>
            <w:r>
              <w:rPr>
                <w:rFonts w:hint="eastAsia" w:cs="Times New Roman"/>
                <w:b/>
                <w:bCs/>
                <w:szCs w:val="22"/>
                <w:lang w:val="en-US" w:eastAsia="zh-CN"/>
              </w:rPr>
              <w:t>0</w:t>
            </w:r>
            <w:r>
              <w:rPr>
                <w:rFonts w:hint="default" w:ascii="Times New Roman" w:hAnsi="Times New Roman" w:cs="Times New Roman"/>
                <w:b/>
                <w:bCs/>
                <w:szCs w:val="22"/>
              </w:rPr>
              <w:t xml:space="preserve">  本项目</w:t>
            </w:r>
            <w:r>
              <w:rPr>
                <w:rFonts w:hint="eastAsia" w:cs="Times New Roman"/>
                <w:b/>
                <w:bCs/>
                <w:szCs w:val="22"/>
                <w:lang w:eastAsia="zh-CN"/>
              </w:rPr>
              <w:t>废水进入</w:t>
            </w:r>
            <w:r>
              <w:rPr>
                <w:rFonts w:hint="default" w:ascii="Times New Roman" w:hAnsi="Times New Roman" w:cs="Times New Roman"/>
                <w:b/>
                <w:bCs/>
                <w:szCs w:val="22"/>
              </w:rPr>
              <w:t>污水处理厂可行性分析</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2701"/>
              <w:gridCol w:w="2879"/>
              <w:gridCol w:w="2377"/>
            </w:tblGrid>
            <w:tr w14:paraId="4E1D1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1" w:type="pct"/>
                  <w:noWrap w:val="0"/>
                  <w:vAlign w:val="center"/>
                </w:tcPr>
                <w:p w14:paraId="05324A8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项目</w:t>
                  </w:r>
                </w:p>
              </w:tc>
              <w:tc>
                <w:tcPr>
                  <w:tcW w:w="1533" w:type="pct"/>
                  <w:noWrap w:val="0"/>
                  <w:vAlign w:val="center"/>
                </w:tcPr>
                <w:p w14:paraId="135E4A9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污水处理厂设计</w:t>
                  </w:r>
                </w:p>
              </w:tc>
              <w:tc>
                <w:tcPr>
                  <w:tcW w:w="1634" w:type="pct"/>
                  <w:noWrap w:val="0"/>
                  <w:vAlign w:val="center"/>
                </w:tcPr>
                <w:p w14:paraId="4BAB4B8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本项目排水情况</w:t>
                  </w:r>
                </w:p>
              </w:tc>
              <w:tc>
                <w:tcPr>
                  <w:tcW w:w="1349" w:type="pct"/>
                  <w:noWrap w:val="0"/>
                  <w:vAlign w:val="center"/>
                </w:tcPr>
                <w:p w14:paraId="0318EE3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是否可行</w:t>
                  </w:r>
                </w:p>
              </w:tc>
            </w:tr>
            <w:tr w14:paraId="202D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1" w:type="pct"/>
                  <w:noWrap w:val="0"/>
                  <w:vAlign w:val="center"/>
                </w:tcPr>
                <w:p w14:paraId="09FDC74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处理</w:t>
                  </w:r>
                </w:p>
                <w:p w14:paraId="661E2F3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能力</w:t>
                  </w:r>
                </w:p>
              </w:tc>
              <w:tc>
                <w:tcPr>
                  <w:tcW w:w="1533" w:type="pct"/>
                  <w:noWrap w:val="0"/>
                  <w:vAlign w:val="center"/>
                </w:tcPr>
                <w:p w14:paraId="107AB9C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eastAsia" w:cs="Times New Roman"/>
                      <w:bCs/>
                      <w:kern w:val="0"/>
                      <w:sz w:val="21"/>
                      <w:szCs w:val="20"/>
                      <w:lang w:eastAsia="zh-CN"/>
                    </w:rPr>
                    <w:t>詹店镇</w:t>
                  </w:r>
                  <w:r>
                    <w:rPr>
                      <w:rFonts w:hint="default" w:ascii="Times New Roman" w:hAnsi="Times New Roman" w:cs="Times New Roman"/>
                      <w:bCs/>
                      <w:kern w:val="0"/>
                      <w:sz w:val="21"/>
                      <w:szCs w:val="20"/>
                    </w:rPr>
                    <w:t>污水处理厂</w:t>
                  </w:r>
                </w:p>
                <w:p w14:paraId="28B72F4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color w:val="auto"/>
                      <w:sz w:val="21"/>
                      <w:szCs w:val="21"/>
                      <w:highlight w:val="none"/>
                    </w:rPr>
                    <w:t>余量</w:t>
                  </w:r>
                  <w:r>
                    <w:rPr>
                      <w:rFonts w:hint="default" w:ascii="Times New Roman" w:hAnsi="Times New Roman" w:cs="Times New Roman"/>
                      <w:color w:val="auto"/>
                      <w:sz w:val="21"/>
                      <w:szCs w:val="21"/>
                    </w:rPr>
                    <w:t>0.5万m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/d</w:t>
                  </w:r>
                </w:p>
              </w:tc>
              <w:tc>
                <w:tcPr>
                  <w:tcW w:w="1634" w:type="pct"/>
                  <w:noWrap w:val="0"/>
                  <w:vAlign w:val="center"/>
                </w:tcPr>
                <w:p w14:paraId="39A21FB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eastAsia" w:cs="Times New Roman"/>
                      <w:bCs/>
                      <w:kern w:val="0"/>
                      <w:sz w:val="21"/>
                      <w:szCs w:val="20"/>
                      <w:lang w:eastAsia="zh-CN"/>
                    </w:rPr>
                    <w:t>詹店镇</w:t>
                  </w:r>
                  <w:r>
                    <w:rPr>
                      <w:rFonts w:hint="default" w:ascii="Times New Roman" w:hAnsi="Times New Roman" w:cs="Times New Roman"/>
                      <w:bCs/>
                      <w:kern w:val="0"/>
                      <w:sz w:val="21"/>
                      <w:szCs w:val="20"/>
                    </w:rPr>
                    <w:t>污水处理厂污水处理量为5000t/d，本项目废水排放量为</w:t>
                  </w:r>
                  <w:r>
                    <w:rPr>
                      <w:rFonts w:hint="eastAsia" w:cs="Times New Roman"/>
                      <w:bCs/>
                      <w:kern w:val="0"/>
                      <w:sz w:val="21"/>
                      <w:szCs w:val="20"/>
                      <w:lang w:val="en-US" w:eastAsia="zh-CN"/>
                    </w:rPr>
                    <w:t>120</w:t>
                  </w:r>
                  <w:r>
                    <w:rPr>
                      <w:rFonts w:hint="default" w:ascii="Times New Roman" w:hAnsi="Times New Roman" w:cs="Times New Roman"/>
                      <w:bCs/>
                      <w:kern w:val="0"/>
                      <w:sz w:val="21"/>
                      <w:szCs w:val="20"/>
                    </w:rPr>
                    <w:t>m</w:t>
                  </w:r>
                  <w:r>
                    <w:rPr>
                      <w:rFonts w:hint="default" w:ascii="Times New Roman" w:hAnsi="Times New Roman" w:cs="Times New Roman"/>
                      <w:bCs/>
                      <w:kern w:val="0"/>
                      <w:sz w:val="21"/>
                      <w:szCs w:val="20"/>
                      <w:vertAlign w:val="superscript"/>
                    </w:rPr>
                    <w:t>3</w:t>
                  </w:r>
                  <w:r>
                    <w:rPr>
                      <w:rFonts w:hint="default" w:ascii="Times New Roman" w:hAnsi="Times New Roman" w:cs="Times New Roman"/>
                      <w:bCs/>
                      <w:kern w:val="0"/>
                      <w:sz w:val="21"/>
                      <w:szCs w:val="20"/>
                    </w:rPr>
                    <w:t>/a</w:t>
                  </w:r>
                </w:p>
              </w:tc>
              <w:tc>
                <w:tcPr>
                  <w:tcW w:w="1349" w:type="pct"/>
                  <w:noWrap w:val="0"/>
                  <w:vAlign w:val="center"/>
                </w:tcPr>
                <w:p w14:paraId="5CD40BB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占比污水处理总量的</w:t>
                  </w:r>
                  <w:r>
                    <w:rPr>
                      <w:rFonts w:hint="default" w:ascii="Times New Roman" w:hAnsi="Times New Roman" w:cs="Times New Roman"/>
                      <w:bCs/>
                      <w:kern w:val="0"/>
                      <w:sz w:val="21"/>
                      <w:szCs w:val="20"/>
                      <w:highlight w:val="none"/>
                    </w:rPr>
                    <w:t>0.</w:t>
                  </w:r>
                  <w:r>
                    <w:rPr>
                      <w:rFonts w:hint="default" w:ascii="Times New Roman" w:hAnsi="Times New Roman" w:cs="Times New Roman"/>
                      <w:bCs/>
                      <w:kern w:val="0"/>
                      <w:sz w:val="21"/>
                      <w:szCs w:val="20"/>
                      <w:highlight w:val="none"/>
                      <w:lang w:val="en-US" w:eastAsia="zh-CN"/>
                    </w:rPr>
                    <w:t>0</w:t>
                  </w:r>
                  <w:r>
                    <w:rPr>
                      <w:rFonts w:hint="eastAsia" w:cs="Times New Roman"/>
                      <w:bCs/>
                      <w:kern w:val="0"/>
                      <w:sz w:val="21"/>
                      <w:szCs w:val="20"/>
                      <w:highlight w:val="none"/>
                      <w:lang w:val="en-US" w:eastAsia="zh-CN"/>
                    </w:rPr>
                    <w:t>08</w:t>
                  </w:r>
                  <w:r>
                    <w:rPr>
                      <w:rFonts w:hint="default" w:ascii="Times New Roman" w:hAnsi="Times New Roman" w:cs="Times New Roman"/>
                      <w:bCs/>
                      <w:kern w:val="0"/>
                      <w:sz w:val="21"/>
                      <w:szCs w:val="20"/>
                      <w:highlight w:val="none"/>
                    </w:rPr>
                    <w:t>%，项</w:t>
                  </w:r>
                  <w:r>
                    <w:rPr>
                      <w:rFonts w:hint="default" w:ascii="Times New Roman" w:hAnsi="Times New Roman" w:cs="Times New Roman"/>
                      <w:bCs/>
                      <w:kern w:val="0"/>
                      <w:sz w:val="21"/>
                      <w:szCs w:val="20"/>
                    </w:rPr>
                    <w:t>目区域位于其设计收水范围，可行</w:t>
                  </w:r>
                </w:p>
              </w:tc>
            </w:tr>
            <w:tr w14:paraId="3D069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481" w:type="pct"/>
                  <w:noWrap w:val="0"/>
                  <w:vAlign w:val="center"/>
                </w:tcPr>
                <w:p w14:paraId="40E4AA6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收水</w:t>
                  </w:r>
                </w:p>
                <w:p w14:paraId="5A4CF23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水质</w:t>
                  </w:r>
                </w:p>
              </w:tc>
              <w:tc>
                <w:tcPr>
                  <w:tcW w:w="1533" w:type="pct"/>
                  <w:noWrap w:val="0"/>
                  <w:vAlign w:val="center"/>
                </w:tcPr>
                <w:p w14:paraId="2B6B120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COD：</w:t>
                  </w:r>
                  <w:r>
                    <w:rPr>
                      <w:rFonts w:hint="eastAsia" w:cs="Times New Roman"/>
                      <w:bCs/>
                      <w:kern w:val="0"/>
                      <w:sz w:val="21"/>
                      <w:szCs w:val="20"/>
                      <w:lang w:val="en-US" w:eastAsia="zh-CN"/>
                    </w:rPr>
                    <w:t>360</w:t>
                  </w:r>
                  <w:r>
                    <w:rPr>
                      <w:rFonts w:hint="default" w:ascii="Times New Roman" w:hAnsi="Times New Roman" w:cs="Times New Roman"/>
                      <w:bCs/>
                      <w:kern w:val="0"/>
                      <w:sz w:val="21"/>
                      <w:szCs w:val="20"/>
                    </w:rPr>
                    <w:t>mg/L；</w:t>
                  </w:r>
                  <w:r>
                    <w:rPr>
                      <w:rFonts w:hint="default" w:ascii="Times New Roman" w:hAnsi="Times New Roman" w:cs="Times New Roman"/>
                      <w:bCs/>
                      <w:kern w:val="0"/>
                      <w:sz w:val="21"/>
                      <w:szCs w:val="20"/>
                      <w:lang w:val="en-US" w:eastAsia="zh-CN"/>
                    </w:rPr>
                    <w:t>SS</w:t>
                  </w:r>
                  <w:r>
                    <w:rPr>
                      <w:rFonts w:hint="default" w:ascii="Times New Roman" w:hAnsi="Times New Roman" w:cs="Times New Roman"/>
                      <w:bCs/>
                      <w:kern w:val="0"/>
                      <w:sz w:val="21"/>
                      <w:szCs w:val="20"/>
                    </w:rPr>
                    <w:t>：</w:t>
                  </w:r>
                  <w:r>
                    <w:rPr>
                      <w:rFonts w:hint="eastAsia" w:ascii="Times New Roman" w:hAnsi="Times New Roman" w:cs="Times New Roman"/>
                      <w:bCs/>
                      <w:kern w:val="0"/>
                      <w:sz w:val="21"/>
                      <w:szCs w:val="20"/>
                      <w:lang w:val="en-US" w:eastAsia="zh-CN"/>
                    </w:rPr>
                    <w:t>400</w:t>
                  </w:r>
                  <w:r>
                    <w:rPr>
                      <w:rFonts w:hint="default" w:ascii="Times New Roman" w:hAnsi="Times New Roman" w:cs="Times New Roman"/>
                      <w:bCs/>
                      <w:kern w:val="0"/>
                      <w:sz w:val="21"/>
                      <w:szCs w:val="20"/>
                    </w:rPr>
                    <w:t>mg/L</w:t>
                  </w:r>
                  <w:r>
                    <w:rPr>
                      <w:rFonts w:hint="eastAsia" w:ascii="Times New Roman" w:hAnsi="Times New Roman" w:cs="Times New Roman"/>
                      <w:bCs/>
                      <w:kern w:val="0"/>
                      <w:sz w:val="21"/>
                      <w:szCs w:val="20"/>
                      <w:lang w:eastAsia="zh-CN"/>
                    </w:rPr>
                    <w:t>、</w:t>
                  </w:r>
                  <w:r>
                    <w:rPr>
                      <w:rFonts w:hint="default" w:ascii="Times New Roman" w:hAnsi="Times New Roman" w:cs="Times New Roman"/>
                      <w:bCs/>
                      <w:kern w:val="0"/>
                      <w:sz w:val="21"/>
                      <w:szCs w:val="20"/>
                    </w:rPr>
                    <w:t>NH</w:t>
                  </w:r>
                  <w:r>
                    <w:rPr>
                      <w:rFonts w:hint="default" w:ascii="Times New Roman" w:hAnsi="Times New Roman" w:cs="Times New Roman"/>
                      <w:bCs/>
                      <w:kern w:val="0"/>
                      <w:sz w:val="21"/>
                      <w:szCs w:val="20"/>
                      <w:vertAlign w:val="subscript"/>
                    </w:rPr>
                    <w:t>3</w:t>
                  </w:r>
                  <w:r>
                    <w:rPr>
                      <w:rFonts w:hint="default" w:ascii="Times New Roman" w:hAnsi="Times New Roman" w:cs="Times New Roman"/>
                      <w:bCs/>
                      <w:kern w:val="0"/>
                      <w:sz w:val="21"/>
                      <w:szCs w:val="20"/>
                    </w:rPr>
                    <w:t>-N：</w:t>
                  </w:r>
                  <w:r>
                    <w:rPr>
                      <w:rFonts w:hint="eastAsia" w:cs="Times New Roman"/>
                      <w:bCs/>
                      <w:kern w:val="0"/>
                      <w:sz w:val="21"/>
                      <w:szCs w:val="20"/>
                      <w:lang w:val="en-US" w:eastAsia="zh-CN"/>
                    </w:rPr>
                    <w:t>38</w:t>
                  </w:r>
                  <w:r>
                    <w:rPr>
                      <w:rFonts w:hint="default" w:ascii="Times New Roman" w:hAnsi="Times New Roman" w:cs="Times New Roman"/>
                      <w:bCs/>
                      <w:kern w:val="0"/>
                      <w:sz w:val="21"/>
                      <w:szCs w:val="20"/>
                    </w:rPr>
                    <w:t>mg/L，总磷</w:t>
                  </w:r>
                  <w:r>
                    <w:rPr>
                      <w:rFonts w:hint="eastAsia" w:cs="Times New Roman"/>
                      <w:bCs/>
                      <w:kern w:val="0"/>
                      <w:sz w:val="21"/>
                      <w:szCs w:val="20"/>
                      <w:lang w:val="en-US" w:eastAsia="zh-CN"/>
                    </w:rPr>
                    <w:t>4</w:t>
                  </w:r>
                  <w:r>
                    <w:rPr>
                      <w:rFonts w:hint="default" w:ascii="Times New Roman" w:hAnsi="Times New Roman" w:cs="Times New Roman"/>
                      <w:bCs/>
                      <w:kern w:val="0"/>
                      <w:sz w:val="21"/>
                      <w:szCs w:val="20"/>
                    </w:rPr>
                    <w:t>.0mg/L</w:t>
                  </w:r>
                </w:p>
              </w:tc>
              <w:tc>
                <w:tcPr>
                  <w:tcW w:w="1634" w:type="pct"/>
                  <w:noWrap w:val="0"/>
                  <w:vAlign w:val="center"/>
                </w:tcPr>
                <w:p w14:paraId="45DA1F7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color w:val="FF0000"/>
                      <w:kern w:val="0"/>
                      <w:sz w:val="21"/>
                      <w:szCs w:val="20"/>
                    </w:rPr>
                  </w:pPr>
                  <w:r>
                    <w:rPr>
                      <w:rFonts w:hint="default" w:ascii="Times New Roman" w:hAnsi="Times New Roman" w:cs="Times New Roman"/>
                      <w:bCs/>
                      <w:kern w:val="0"/>
                      <w:sz w:val="21"/>
                      <w:szCs w:val="20"/>
                    </w:rPr>
                    <w:t>COD：1</w:t>
                  </w:r>
                  <w:r>
                    <w:rPr>
                      <w:rFonts w:hint="eastAsia" w:cs="Times New Roman"/>
                      <w:bCs/>
                      <w:kern w:val="0"/>
                      <w:sz w:val="21"/>
                      <w:szCs w:val="20"/>
                      <w:lang w:val="en-US" w:eastAsia="zh-CN"/>
                    </w:rPr>
                    <w:t>50</w:t>
                  </w:r>
                  <w:r>
                    <w:rPr>
                      <w:rFonts w:hint="default" w:ascii="Times New Roman" w:hAnsi="Times New Roman" w:cs="Times New Roman"/>
                      <w:bCs/>
                      <w:kern w:val="0"/>
                      <w:sz w:val="21"/>
                      <w:szCs w:val="20"/>
                    </w:rPr>
                    <w:t>mg/L、</w:t>
                  </w:r>
                  <w:r>
                    <w:rPr>
                      <w:rFonts w:hint="default" w:ascii="Times New Roman" w:hAnsi="Times New Roman" w:cs="Times New Roman"/>
                      <w:bCs/>
                      <w:kern w:val="0"/>
                      <w:sz w:val="21"/>
                      <w:szCs w:val="20"/>
                      <w:lang w:val="en-US" w:eastAsia="zh-CN"/>
                    </w:rPr>
                    <w:t>SS</w:t>
                  </w:r>
                  <w:r>
                    <w:rPr>
                      <w:rFonts w:hint="default" w:ascii="Times New Roman" w:hAnsi="Times New Roman" w:cs="Times New Roman"/>
                      <w:bCs/>
                      <w:kern w:val="0"/>
                      <w:sz w:val="21"/>
                      <w:szCs w:val="20"/>
                    </w:rPr>
                    <w:t>：</w:t>
                  </w:r>
                  <w:r>
                    <w:rPr>
                      <w:rFonts w:hint="eastAsia" w:cs="Times New Roman"/>
                      <w:bCs/>
                      <w:kern w:val="0"/>
                      <w:sz w:val="21"/>
                      <w:szCs w:val="20"/>
                      <w:lang w:val="en-US" w:eastAsia="zh-CN"/>
                    </w:rPr>
                    <w:t>100</w:t>
                  </w:r>
                  <w:r>
                    <w:rPr>
                      <w:rFonts w:hint="default" w:ascii="Times New Roman" w:hAnsi="Times New Roman" w:cs="Times New Roman"/>
                      <w:bCs/>
                      <w:kern w:val="0"/>
                      <w:sz w:val="21"/>
                      <w:szCs w:val="20"/>
                    </w:rPr>
                    <w:t>mg/L</w:t>
                  </w:r>
                  <w:r>
                    <w:rPr>
                      <w:rFonts w:hint="default" w:ascii="Times New Roman" w:hAnsi="Times New Roman" w:cs="Times New Roman"/>
                      <w:bCs/>
                      <w:kern w:val="0"/>
                      <w:sz w:val="21"/>
                      <w:szCs w:val="20"/>
                      <w:lang w:eastAsia="zh-CN"/>
                    </w:rPr>
                    <w:t>、</w:t>
                  </w:r>
                  <w:r>
                    <w:rPr>
                      <w:rFonts w:hint="default" w:ascii="Times New Roman" w:hAnsi="Times New Roman" w:cs="Times New Roman"/>
                      <w:bCs/>
                      <w:kern w:val="0"/>
                      <w:sz w:val="21"/>
                      <w:szCs w:val="20"/>
                    </w:rPr>
                    <w:t>NH</w:t>
                  </w:r>
                  <w:r>
                    <w:rPr>
                      <w:rFonts w:hint="default" w:ascii="Times New Roman" w:hAnsi="Times New Roman" w:cs="Times New Roman"/>
                      <w:bCs/>
                      <w:kern w:val="0"/>
                      <w:sz w:val="21"/>
                      <w:szCs w:val="20"/>
                      <w:vertAlign w:val="subscript"/>
                    </w:rPr>
                    <w:t>3</w:t>
                  </w:r>
                  <w:r>
                    <w:rPr>
                      <w:rFonts w:hint="default" w:ascii="Times New Roman" w:hAnsi="Times New Roman" w:cs="Times New Roman"/>
                      <w:bCs/>
                      <w:kern w:val="0"/>
                      <w:sz w:val="21"/>
                      <w:szCs w:val="20"/>
                    </w:rPr>
                    <w:t>-N：</w:t>
                  </w:r>
                  <w:r>
                    <w:rPr>
                      <w:rFonts w:hint="eastAsia" w:cs="Times New Roman"/>
                      <w:bCs/>
                      <w:kern w:val="0"/>
                      <w:sz w:val="21"/>
                      <w:szCs w:val="20"/>
                      <w:lang w:val="en-US" w:eastAsia="zh-CN"/>
                    </w:rPr>
                    <w:t>21</w:t>
                  </w:r>
                  <w:r>
                    <w:rPr>
                      <w:rFonts w:hint="default" w:ascii="Times New Roman" w:hAnsi="Times New Roman" w:cs="Times New Roman"/>
                      <w:bCs/>
                      <w:kern w:val="0"/>
                      <w:sz w:val="21"/>
                      <w:szCs w:val="20"/>
                    </w:rPr>
                    <w:t>mg/L，总磷</w:t>
                  </w:r>
                  <w:r>
                    <w:rPr>
                      <w:rFonts w:hint="eastAsia" w:cs="Times New Roman"/>
                      <w:bCs/>
                      <w:kern w:val="0"/>
                      <w:sz w:val="21"/>
                      <w:szCs w:val="20"/>
                      <w:lang w:val="en-US" w:eastAsia="zh-CN"/>
                    </w:rPr>
                    <w:t>0.84</w:t>
                  </w:r>
                  <w:r>
                    <w:rPr>
                      <w:rFonts w:hint="default" w:ascii="Times New Roman" w:hAnsi="Times New Roman" w:cs="Times New Roman"/>
                      <w:bCs/>
                      <w:kern w:val="0"/>
                      <w:sz w:val="21"/>
                      <w:szCs w:val="20"/>
                    </w:rPr>
                    <w:t>mg/L</w:t>
                  </w:r>
                </w:p>
              </w:tc>
              <w:tc>
                <w:tcPr>
                  <w:tcW w:w="1349" w:type="pct"/>
                  <w:vMerge w:val="restart"/>
                  <w:noWrap w:val="0"/>
                  <w:vAlign w:val="center"/>
                </w:tcPr>
                <w:p w14:paraId="0BE9BAF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可行</w:t>
                  </w:r>
                </w:p>
              </w:tc>
            </w:tr>
            <w:tr w14:paraId="69187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81" w:type="pct"/>
                  <w:noWrap w:val="0"/>
                  <w:vAlign w:val="center"/>
                </w:tcPr>
                <w:p w14:paraId="7B8705F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出水</w:t>
                  </w:r>
                </w:p>
                <w:p w14:paraId="440D7C6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水质</w:t>
                  </w:r>
                </w:p>
              </w:tc>
              <w:tc>
                <w:tcPr>
                  <w:tcW w:w="3168" w:type="pct"/>
                  <w:gridSpan w:val="2"/>
                  <w:noWrap w:val="0"/>
                  <w:vAlign w:val="center"/>
                </w:tcPr>
                <w:p w14:paraId="18391B5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《城镇污水处理厂污染物排放标准》</w:t>
                  </w:r>
                  <w:r>
                    <w:rPr>
                      <w:rFonts w:hint="default" w:ascii="Times New Roman" w:hAnsi="Times New Roman" w:cs="Times New Roman"/>
                      <w:bCs/>
                      <w:kern w:val="0"/>
                      <w:sz w:val="21"/>
                      <w:szCs w:val="20"/>
                      <w:lang w:eastAsia="zh-CN"/>
                    </w:rPr>
                    <w:t>（</w:t>
                  </w:r>
                  <w:r>
                    <w:rPr>
                      <w:rFonts w:hint="default" w:ascii="Times New Roman" w:hAnsi="Times New Roman" w:cs="Times New Roman"/>
                      <w:bCs/>
                      <w:kern w:val="0"/>
                      <w:sz w:val="21"/>
                      <w:szCs w:val="20"/>
                    </w:rPr>
                    <w:t>GB18918-2002</w:t>
                  </w:r>
                  <w:r>
                    <w:rPr>
                      <w:rFonts w:hint="default" w:ascii="Times New Roman" w:hAnsi="Times New Roman" w:cs="Times New Roman"/>
                      <w:bCs/>
                      <w:kern w:val="0"/>
                      <w:sz w:val="21"/>
                      <w:szCs w:val="20"/>
                      <w:lang w:eastAsia="zh-CN"/>
                    </w:rPr>
                    <w:t>）</w:t>
                  </w:r>
                  <w:r>
                    <w:rPr>
                      <w:rFonts w:hint="default" w:ascii="Times New Roman" w:hAnsi="Times New Roman" w:cs="Times New Roman"/>
                      <w:bCs/>
                      <w:kern w:val="0"/>
                      <w:sz w:val="21"/>
                      <w:szCs w:val="20"/>
                    </w:rPr>
                    <w:t>中一级A标准COD：50mg/L；</w:t>
                  </w:r>
                  <w:r>
                    <w:rPr>
                      <w:rFonts w:hint="default" w:ascii="Times New Roman" w:hAnsi="Times New Roman" w:cs="Times New Roman"/>
                      <w:bCs/>
                      <w:kern w:val="0"/>
                      <w:sz w:val="21"/>
                      <w:szCs w:val="20"/>
                      <w:lang w:val="en-US" w:eastAsia="zh-CN"/>
                    </w:rPr>
                    <w:t>SS</w:t>
                  </w:r>
                  <w:r>
                    <w:rPr>
                      <w:rFonts w:hint="default" w:ascii="Times New Roman" w:hAnsi="Times New Roman" w:cs="Times New Roman"/>
                      <w:bCs/>
                      <w:kern w:val="0"/>
                      <w:sz w:val="21"/>
                      <w:szCs w:val="20"/>
                    </w:rPr>
                    <w:t>：</w:t>
                  </w:r>
                  <w:r>
                    <w:rPr>
                      <w:rFonts w:hint="default" w:ascii="Times New Roman" w:hAnsi="Times New Roman" w:cs="Times New Roman"/>
                      <w:bCs/>
                      <w:kern w:val="0"/>
                      <w:sz w:val="21"/>
                      <w:szCs w:val="20"/>
                      <w:lang w:val="en-US" w:eastAsia="zh-CN"/>
                    </w:rPr>
                    <w:t>1</w:t>
                  </w:r>
                  <w:r>
                    <w:rPr>
                      <w:rFonts w:hint="default" w:ascii="Times New Roman" w:hAnsi="Times New Roman" w:cs="Times New Roman"/>
                      <w:bCs/>
                      <w:kern w:val="0"/>
                      <w:sz w:val="21"/>
                      <w:szCs w:val="20"/>
                    </w:rPr>
                    <w:t>0mg/L</w:t>
                  </w:r>
                  <w:r>
                    <w:rPr>
                      <w:rFonts w:hint="default" w:ascii="Times New Roman" w:hAnsi="Times New Roman" w:cs="Times New Roman"/>
                      <w:bCs/>
                      <w:kern w:val="0"/>
                      <w:sz w:val="21"/>
                      <w:szCs w:val="20"/>
                      <w:lang w:eastAsia="zh-CN"/>
                    </w:rPr>
                    <w:t>；</w:t>
                  </w:r>
                  <w:r>
                    <w:rPr>
                      <w:rFonts w:hint="default" w:ascii="Times New Roman" w:hAnsi="Times New Roman" w:cs="Times New Roman"/>
                      <w:bCs/>
                      <w:kern w:val="0"/>
                      <w:sz w:val="21"/>
                      <w:szCs w:val="20"/>
                    </w:rPr>
                    <w:t>NH</w:t>
                  </w:r>
                  <w:r>
                    <w:rPr>
                      <w:rFonts w:hint="default" w:ascii="Times New Roman" w:hAnsi="Times New Roman" w:cs="Times New Roman"/>
                      <w:bCs/>
                      <w:kern w:val="0"/>
                      <w:sz w:val="21"/>
                      <w:szCs w:val="20"/>
                      <w:vertAlign w:val="subscript"/>
                    </w:rPr>
                    <w:t>3</w:t>
                  </w:r>
                  <w:r>
                    <w:rPr>
                      <w:rFonts w:hint="default" w:ascii="Times New Roman" w:hAnsi="Times New Roman" w:cs="Times New Roman"/>
                      <w:bCs/>
                      <w:kern w:val="0"/>
                      <w:sz w:val="21"/>
                      <w:szCs w:val="20"/>
                    </w:rPr>
                    <w:t>-N：5mg/L；总磷0.5mg/L</w:t>
                  </w:r>
                </w:p>
              </w:tc>
              <w:tc>
                <w:tcPr>
                  <w:tcW w:w="1349" w:type="pct"/>
                  <w:vMerge w:val="continue"/>
                  <w:noWrap w:val="0"/>
                  <w:vAlign w:val="center"/>
                </w:tcPr>
                <w:p w14:paraId="7998758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Cs/>
                      <w:kern w:val="0"/>
                      <w:sz w:val="21"/>
                      <w:szCs w:val="20"/>
                    </w:rPr>
                  </w:pPr>
                </w:p>
              </w:tc>
            </w:tr>
          </w:tbl>
          <w:p w14:paraId="1FCB026D">
            <w:pPr>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bCs/>
              </w:rPr>
            </w:pPr>
            <w:r>
              <w:rPr>
                <w:rFonts w:hint="default" w:ascii="Times New Roman" w:hAnsi="Times New Roman" w:cs="Times New Roman"/>
                <w:bCs/>
              </w:rPr>
              <w:t>综上所述，本项</w:t>
            </w:r>
            <w:r>
              <w:rPr>
                <w:rFonts w:hint="default" w:ascii="Times New Roman" w:hAnsi="Times New Roman" w:cs="Times New Roman"/>
                <w:bCs/>
                <w:lang w:eastAsia="zh-CN"/>
              </w:rPr>
              <w:t>目生活污水</w:t>
            </w:r>
            <w:r>
              <w:rPr>
                <w:rFonts w:hint="default" w:ascii="Times New Roman" w:hAnsi="Times New Roman" w:cs="Times New Roman"/>
                <w:bCs/>
                <w:highlight w:val="none"/>
              </w:rPr>
              <w:t>经化粪池处</w:t>
            </w:r>
            <w:r>
              <w:rPr>
                <w:rFonts w:hint="default" w:ascii="Times New Roman" w:hAnsi="Times New Roman" w:cs="Times New Roman"/>
                <w:bCs/>
              </w:rPr>
              <w:t>理后排入</w:t>
            </w:r>
            <w:r>
              <w:rPr>
                <w:rFonts w:hint="eastAsia" w:cs="Times New Roman"/>
                <w:bCs/>
                <w:lang w:eastAsia="zh-CN"/>
              </w:rPr>
              <w:t>詹店镇</w:t>
            </w:r>
            <w:r>
              <w:rPr>
                <w:rFonts w:hint="default" w:ascii="Times New Roman" w:hAnsi="Times New Roman" w:cs="Times New Roman"/>
                <w:bCs/>
              </w:rPr>
              <w:t>污水处理厂是可行的。</w:t>
            </w:r>
          </w:p>
          <w:p w14:paraId="7892F26C">
            <w:pPr>
              <w:keepNext/>
              <w:keepLines/>
              <w:pageBreakBefore w:val="0"/>
              <w:widowControl w:val="0"/>
              <w:kinsoku/>
              <w:wordWrap/>
              <w:overflowPunct/>
              <w:topLinePunct w:val="0"/>
              <w:autoSpaceDE/>
              <w:autoSpaceDN/>
              <w:bidi w:val="0"/>
              <w:adjustRightInd/>
              <w:snapToGrid/>
              <w:spacing w:line="520" w:lineRule="exact"/>
              <w:ind w:firstLine="480" w:firstLineChars="0"/>
              <w:textAlignment w:val="auto"/>
              <w:outlineLvl w:val="1"/>
              <w:rPr>
                <w:rFonts w:hint="default" w:ascii="Times New Roman" w:hAnsi="Times New Roman" w:cs="Times New Roman"/>
                <w:b/>
              </w:rPr>
            </w:pPr>
            <w:r>
              <w:rPr>
                <w:rFonts w:hint="default" w:ascii="Times New Roman" w:hAnsi="Times New Roman" w:cs="Times New Roman"/>
                <w:b/>
              </w:rPr>
              <w:t>2.3废水产排情况</w:t>
            </w:r>
          </w:p>
          <w:p w14:paraId="0890CFF3">
            <w:pPr>
              <w:pStyle w:val="35"/>
              <w:pageBreakBefore w:val="0"/>
              <w:widowControl w:val="0"/>
              <w:tabs>
                <w:tab w:val="left" w:pos="477"/>
                <w:tab w:val="clear" w:pos="4540"/>
              </w:tabs>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color w:val="auto"/>
              </w:rPr>
            </w:pPr>
            <w:r>
              <w:rPr>
                <w:rFonts w:hint="default" w:ascii="Times New Roman" w:hAnsi="Times New Roman" w:cs="Times New Roman"/>
                <w:color w:val="auto"/>
              </w:rPr>
              <w:t>项目废水类别、污染物及污染治理设施信息见表4-1</w:t>
            </w:r>
            <w:r>
              <w:rPr>
                <w:rFonts w:hint="eastAsia" w:cs="Times New Roman"/>
                <w:color w:val="auto"/>
                <w:lang w:val="en-US" w:eastAsia="zh-CN"/>
              </w:rPr>
              <w:t>1</w:t>
            </w:r>
            <w:r>
              <w:rPr>
                <w:rFonts w:hint="default" w:ascii="Times New Roman" w:hAnsi="Times New Roman" w:cs="Times New Roman"/>
                <w:color w:val="auto"/>
              </w:rPr>
              <w:t>，废水间接排放口基本情况见表4-1</w:t>
            </w:r>
            <w:r>
              <w:rPr>
                <w:rFonts w:hint="eastAsia" w:cs="Times New Roman"/>
                <w:color w:val="auto"/>
                <w:lang w:val="en-US" w:eastAsia="zh-CN"/>
              </w:rPr>
              <w:t>2</w:t>
            </w:r>
            <w:r>
              <w:rPr>
                <w:rFonts w:hint="default" w:ascii="Times New Roman" w:hAnsi="Times New Roman" w:cs="Times New Roman"/>
                <w:color w:val="auto"/>
              </w:rPr>
              <w:t>，废水污染物排放</w:t>
            </w:r>
            <w:r>
              <w:rPr>
                <w:rFonts w:hint="default" w:ascii="Times New Roman" w:hAnsi="Times New Roman" w:cs="Times New Roman"/>
                <w:color w:val="auto"/>
                <w:lang w:eastAsia="zh-CN"/>
              </w:rPr>
              <w:t>总量</w:t>
            </w:r>
            <w:r>
              <w:rPr>
                <w:rFonts w:hint="default" w:ascii="Times New Roman" w:hAnsi="Times New Roman" w:cs="Times New Roman"/>
                <w:color w:val="auto"/>
              </w:rPr>
              <w:t>见表4-1</w:t>
            </w:r>
            <w:r>
              <w:rPr>
                <w:rFonts w:hint="eastAsia" w:cs="Times New Roman"/>
                <w:color w:val="auto"/>
                <w:lang w:val="en-US" w:eastAsia="zh-CN"/>
              </w:rPr>
              <w:t>3</w:t>
            </w:r>
            <w:r>
              <w:rPr>
                <w:rFonts w:hint="default" w:ascii="Times New Roman" w:hAnsi="Times New Roman" w:cs="Times New Roman"/>
                <w:color w:val="auto"/>
              </w:rPr>
              <w:t>。</w:t>
            </w:r>
          </w:p>
          <w:p w14:paraId="364FD453">
            <w:pPr>
              <w:pStyle w:val="30"/>
              <w:keepNext w:val="0"/>
              <w:keepLines w:val="0"/>
              <w:pageBreakBefore w:val="0"/>
              <w:widowControl w:val="0"/>
              <w:kinsoku/>
              <w:wordWrap/>
              <w:overflowPunct/>
              <w:topLinePunct w:val="0"/>
              <w:autoSpaceDE/>
              <w:autoSpaceDN/>
              <w:bidi w:val="0"/>
              <w:adjustRightInd/>
              <w:snapToGrid/>
              <w:spacing w:before="0" w:beforeLines="0"/>
              <w:ind w:firstLine="0" w:firstLineChars="0"/>
              <w:textAlignment w:val="auto"/>
              <w:rPr>
                <w:rFonts w:hint="eastAsia" w:ascii="宋体" w:hAnsi="宋体" w:eastAsia="宋体" w:cs="宋体"/>
                <w:b/>
                <w:bCs/>
                <w:color w:val="auto"/>
              </w:rPr>
            </w:pPr>
            <w:r>
              <w:rPr>
                <w:rFonts w:hint="default" w:ascii="Times New Roman" w:hAnsi="Times New Roman" w:eastAsia="宋体" w:cs="Times New Roman"/>
                <w:b/>
                <w:bCs/>
                <w:color w:val="auto"/>
              </w:rPr>
              <w:t>表4-1</w:t>
            </w:r>
            <w:r>
              <w:rPr>
                <w:rFonts w:hint="eastAsia" w:eastAsia="宋体" w:cs="Times New Roman"/>
                <w:b/>
                <w:bCs/>
                <w:color w:val="auto"/>
                <w:lang w:val="en-US" w:eastAsia="zh-CN"/>
              </w:rPr>
              <w:t>1</w:t>
            </w:r>
            <w:r>
              <w:rPr>
                <w:rFonts w:hint="default" w:ascii="Times New Roman" w:hAnsi="Times New Roman" w:eastAsia="宋体" w:cs="Times New Roman"/>
                <w:b/>
                <w:bCs/>
                <w:color w:val="auto"/>
              </w:rPr>
              <w:t xml:space="preserve">  </w:t>
            </w:r>
            <w:r>
              <w:rPr>
                <w:rFonts w:hint="default" w:ascii="Times New Roman" w:hAnsi="Times New Roman" w:eastAsia="宋体" w:cs="Times New Roman"/>
                <w:b/>
                <w:bCs/>
                <w:color w:val="auto"/>
                <w:lang w:eastAsia="zh-CN"/>
              </w:rPr>
              <w:t>项</w:t>
            </w:r>
            <w:r>
              <w:rPr>
                <w:rFonts w:hint="eastAsia" w:ascii="宋体" w:hAnsi="宋体" w:eastAsia="宋体" w:cs="宋体"/>
                <w:b/>
                <w:bCs/>
                <w:color w:val="auto"/>
                <w:lang w:eastAsia="zh-CN"/>
              </w:rPr>
              <w:t>目</w:t>
            </w:r>
            <w:r>
              <w:rPr>
                <w:rFonts w:hint="eastAsia" w:ascii="宋体" w:hAnsi="宋体" w:eastAsia="宋体" w:cs="宋体"/>
                <w:b/>
                <w:bCs/>
                <w:color w:val="auto"/>
              </w:rPr>
              <w:t>废水类别、污染物及污染治理设施信息表</w:t>
            </w:r>
          </w:p>
          <w:tbl>
            <w:tblPr>
              <w:tblStyle w:val="15"/>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5"/>
              <w:gridCol w:w="1071"/>
              <w:gridCol w:w="1099"/>
              <w:gridCol w:w="1165"/>
              <w:gridCol w:w="817"/>
              <w:gridCol w:w="865"/>
              <w:gridCol w:w="830"/>
              <w:gridCol w:w="830"/>
              <w:gridCol w:w="761"/>
              <w:gridCol w:w="757"/>
            </w:tblGrid>
            <w:tr w14:paraId="5B180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jc w:val="center"/>
              </w:trPr>
              <w:tc>
                <w:tcPr>
                  <w:tcW w:w="343" w:type="pct"/>
                  <w:vMerge w:val="restar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3BBC74E0">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废水类别</w:t>
                  </w:r>
                </w:p>
              </w:tc>
              <w:tc>
                <w:tcPr>
                  <w:tcW w:w="608" w:type="pct"/>
                  <w:vMerge w:val="restar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5C0DEC13">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污染物种类</w:t>
                  </w:r>
                </w:p>
              </w:tc>
              <w:tc>
                <w:tcPr>
                  <w:tcW w:w="624" w:type="pct"/>
                  <w:vMerge w:val="restar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1A44695E">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排放去向</w:t>
                  </w:r>
                </w:p>
              </w:tc>
              <w:tc>
                <w:tcPr>
                  <w:tcW w:w="661" w:type="pct"/>
                  <w:vMerge w:val="restar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09173748">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排放规律</w:t>
                  </w:r>
                </w:p>
              </w:tc>
              <w:tc>
                <w:tcPr>
                  <w:tcW w:w="1427" w:type="pct"/>
                  <w:gridSpan w:val="3"/>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7D4388AB">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污染治理设施</w:t>
                  </w:r>
                </w:p>
              </w:tc>
              <w:tc>
                <w:tcPr>
                  <w:tcW w:w="471" w:type="pct"/>
                  <w:vMerge w:val="restar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1332176D">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排放口</w:t>
                  </w:r>
                </w:p>
                <w:p w14:paraId="18633EE7">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编号</w:t>
                  </w:r>
                </w:p>
              </w:tc>
              <w:tc>
                <w:tcPr>
                  <w:tcW w:w="432" w:type="pct"/>
                  <w:vMerge w:val="restar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2E674716">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排放口设置是否符合要求</w:t>
                  </w:r>
                </w:p>
              </w:tc>
              <w:tc>
                <w:tcPr>
                  <w:tcW w:w="430" w:type="pct"/>
                  <w:vMerge w:val="restar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449DAEA4">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排放口类型</w:t>
                  </w:r>
                </w:p>
              </w:tc>
            </w:tr>
            <w:tr w14:paraId="11D83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343" w:type="pct"/>
                  <w:vMerge w:val="continue"/>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148D94CD">
                  <w:pPr>
                    <w:pStyle w:val="36"/>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p>
              </w:tc>
              <w:tc>
                <w:tcPr>
                  <w:tcW w:w="608" w:type="pct"/>
                  <w:vMerge w:val="continue"/>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37F5E2DA">
                  <w:pPr>
                    <w:pStyle w:val="36"/>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p>
              </w:tc>
              <w:tc>
                <w:tcPr>
                  <w:tcW w:w="624" w:type="pct"/>
                  <w:vMerge w:val="continue"/>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77F3B930">
                  <w:pPr>
                    <w:pStyle w:val="36"/>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p>
              </w:tc>
              <w:tc>
                <w:tcPr>
                  <w:tcW w:w="661" w:type="pct"/>
                  <w:vMerge w:val="continue"/>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755C7C6F">
                  <w:pPr>
                    <w:pStyle w:val="36"/>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p>
              </w:tc>
              <w:tc>
                <w:tcPr>
                  <w:tcW w:w="464" w:type="pc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0ADB67A0">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污染治理设施编号</w:t>
                  </w:r>
                </w:p>
              </w:tc>
              <w:tc>
                <w:tcPr>
                  <w:tcW w:w="491" w:type="pc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4BB32E06">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污染治理设施名称</w:t>
                  </w:r>
                </w:p>
              </w:tc>
              <w:tc>
                <w:tcPr>
                  <w:tcW w:w="471" w:type="pc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0513F87E">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污染治理设施工艺</w:t>
                  </w:r>
                </w:p>
              </w:tc>
              <w:tc>
                <w:tcPr>
                  <w:tcW w:w="471" w:type="pct"/>
                  <w:vMerge w:val="continue"/>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6801480D">
                  <w:pPr>
                    <w:pStyle w:val="36"/>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p>
              </w:tc>
              <w:tc>
                <w:tcPr>
                  <w:tcW w:w="432" w:type="pct"/>
                  <w:vMerge w:val="continue"/>
                  <w:tcBorders>
                    <w:top w:val="single" w:color="000000" w:sz="4" w:space="0"/>
                    <w:left w:val="single" w:color="000000" w:sz="4" w:space="0"/>
                    <w:bottom w:val="single" w:color="auto" w:sz="4" w:space="0"/>
                    <w:right w:val="single" w:color="000000" w:sz="4" w:space="0"/>
                  </w:tcBorders>
                  <w:noWrap w:val="0"/>
                  <w:tcMar>
                    <w:top w:w="0" w:type="dxa"/>
                    <w:left w:w="0" w:type="dxa"/>
                    <w:bottom w:w="0" w:type="dxa"/>
                    <w:right w:w="0" w:type="dxa"/>
                  </w:tcMar>
                  <w:vAlign w:val="center"/>
                </w:tcPr>
                <w:p w14:paraId="523828E3">
                  <w:pPr>
                    <w:pStyle w:val="36"/>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p>
              </w:tc>
              <w:tc>
                <w:tcPr>
                  <w:tcW w:w="430" w:type="pct"/>
                  <w:vMerge w:val="continue"/>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6577AAF2">
                  <w:pPr>
                    <w:pStyle w:val="36"/>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p>
              </w:tc>
            </w:tr>
            <w:tr w14:paraId="15308B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jc w:val="center"/>
              </w:trPr>
              <w:tc>
                <w:tcPr>
                  <w:tcW w:w="343" w:type="pc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1FDA0618">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生活污水</w:t>
                  </w:r>
                </w:p>
              </w:tc>
              <w:tc>
                <w:tcPr>
                  <w:tcW w:w="608" w:type="pct"/>
                  <w:tcBorders>
                    <w:top w:val="single" w:color="000000" w:sz="4" w:space="0"/>
                    <w:left w:val="single" w:color="000000" w:sz="4" w:space="0"/>
                    <w:bottom w:val="single" w:color="000000" w:sz="4" w:space="0"/>
                    <w:right w:val="single" w:color="000000" w:sz="4" w:space="0"/>
                  </w:tcBorders>
                  <w:noWrap w:val="0"/>
                  <w:tcMar>
                    <w:top w:w="0" w:type="dxa"/>
                    <w:left w:w="0" w:type="dxa"/>
                    <w:bottom w:w="0" w:type="dxa"/>
                    <w:right w:w="0" w:type="dxa"/>
                  </w:tcMar>
                  <w:vAlign w:val="center"/>
                </w:tcPr>
                <w:p w14:paraId="7019A96B">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COD、SS、NH</w:t>
                  </w:r>
                  <w:r>
                    <w:rPr>
                      <w:rFonts w:hint="default" w:ascii="Times New Roman" w:hAnsi="Times New Roman" w:cs="Times New Roman"/>
                      <w:b w:val="0"/>
                      <w:bCs w:val="0"/>
                      <w:color w:val="auto"/>
                      <w:vertAlign w:val="subscript"/>
                    </w:rPr>
                    <w:t>3</w:t>
                  </w:r>
                  <w:r>
                    <w:rPr>
                      <w:rFonts w:hint="default" w:ascii="Times New Roman" w:hAnsi="Times New Roman" w:cs="Times New Roman"/>
                      <w:b w:val="0"/>
                      <w:bCs w:val="0"/>
                      <w:color w:val="auto"/>
                    </w:rPr>
                    <w:t>-N、TP</w:t>
                  </w:r>
                </w:p>
              </w:tc>
              <w:tc>
                <w:tcPr>
                  <w:tcW w:w="624" w:type="pct"/>
                  <w:tcBorders>
                    <w:top w:val="single" w:color="000000" w:sz="4" w:space="0"/>
                    <w:left w:val="single" w:color="000000" w:sz="4" w:space="0"/>
                    <w:right w:val="single" w:color="000000" w:sz="4" w:space="0"/>
                  </w:tcBorders>
                  <w:noWrap w:val="0"/>
                  <w:tcMar>
                    <w:top w:w="0" w:type="dxa"/>
                    <w:left w:w="0" w:type="dxa"/>
                    <w:bottom w:w="0" w:type="dxa"/>
                    <w:right w:w="0" w:type="dxa"/>
                  </w:tcMar>
                  <w:vAlign w:val="center"/>
                </w:tcPr>
                <w:p w14:paraId="181C5AEF">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eastAsia" w:cs="Times New Roman"/>
                      <w:b w:val="0"/>
                      <w:bCs w:val="0"/>
                      <w:color w:val="auto"/>
                      <w:lang w:eastAsia="zh-CN"/>
                    </w:rPr>
                    <w:t>詹店镇</w:t>
                  </w:r>
                  <w:r>
                    <w:rPr>
                      <w:rFonts w:hint="default" w:ascii="Times New Roman" w:hAnsi="Times New Roman" w:cs="Times New Roman"/>
                      <w:b w:val="0"/>
                      <w:bCs w:val="0"/>
                      <w:color w:val="auto"/>
                      <w:lang w:eastAsia="zh-CN"/>
                    </w:rPr>
                    <w:t>污水处理厂</w:t>
                  </w:r>
                  <w:r>
                    <w:rPr>
                      <w:rFonts w:hint="default" w:ascii="Times New Roman" w:hAnsi="Times New Roman" w:cs="Times New Roman"/>
                      <w:b w:val="0"/>
                      <w:bCs w:val="0"/>
                      <w:color w:val="auto"/>
                    </w:rPr>
                    <w:t xml:space="preserve">                                                                                                                                                                                                                                                                                         </w:t>
                  </w:r>
                </w:p>
              </w:tc>
              <w:tc>
                <w:tcPr>
                  <w:tcW w:w="661" w:type="pct"/>
                  <w:tcBorders>
                    <w:top w:val="single" w:color="000000" w:sz="4" w:space="0"/>
                    <w:left w:val="single" w:color="000000" w:sz="4" w:space="0"/>
                    <w:right w:val="single" w:color="000000" w:sz="4" w:space="0"/>
                  </w:tcBorders>
                  <w:noWrap w:val="0"/>
                  <w:tcMar>
                    <w:top w:w="0" w:type="dxa"/>
                    <w:left w:w="0" w:type="dxa"/>
                    <w:bottom w:w="0" w:type="dxa"/>
                    <w:right w:w="0" w:type="dxa"/>
                  </w:tcMar>
                  <w:vAlign w:val="center"/>
                </w:tcPr>
                <w:p w14:paraId="7902B1B2">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间断排放，排放期间流量不稳定，但有周期性规律</w:t>
                  </w:r>
                </w:p>
              </w:tc>
              <w:tc>
                <w:tcPr>
                  <w:tcW w:w="464" w:type="pct"/>
                  <w:tcBorders>
                    <w:top w:val="single" w:color="000000" w:sz="4" w:space="0"/>
                    <w:left w:val="single" w:color="000000" w:sz="4" w:space="0"/>
                    <w:right w:val="single" w:color="000000" w:sz="4" w:space="0"/>
                  </w:tcBorders>
                  <w:noWrap w:val="0"/>
                  <w:tcMar>
                    <w:top w:w="0" w:type="dxa"/>
                    <w:left w:w="0" w:type="dxa"/>
                    <w:bottom w:w="0" w:type="dxa"/>
                    <w:right w:w="0" w:type="dxa"/>
                  </w:tcMar>
                  <w:vAlign w:val="center"/>
                </w:tcPr>
                <w:p w14:paraId="187FB391">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TW001</w:t>
                  </w:r>
                </w:p>
              </w:tc>
              <w:tc>
                <w:tcPr>
                  <w:tcW w:w="491" w:type="pct"/>
                  <w:tcBorders>
                    <w:top w:val="single" w:color="000000" w:sz="4" w:space="0"/>
                    <w:left w:val="single" w:color="000000" w:sz="4" w:space="0"/>
                    <w:right w:val="single" w:color="000000" w:sz="4" w:space="0"/>
                  </w:tcBorders>
                  <w:noWrap w:val="0"/>
                  <w:tcMar>
                    <w:top w:w="0" w:type="dxa"/>
                    <w:left w:w="0" w:type="dxa"/>
                    <w:bottom w:w="0" w:type="dxa"/>
                    <w:right w:w="0" w:type="dxa"/>
                  </w:tcMar>
                  <w:vAlign w:val="center"/>
                </w:tcPr>
                <w:p w14:paraId="6DB24539">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eastAsia="宋体" w:cs="Times New Roman"/>
                      <w:b w:val="0"/>
                      <w:bCs w:val="0"/>
                      <w:color w:val="auto"/>
                      <w:lang w:eastAsia="zh-CN"/>
                    </w:rPr>
                  </w:pPr>
                  <w:r>
                    <w:rPr>
                      <w:rFonts w:hint="default" w:ascii="Times New Roman" w:hAnsi="Times New Roman" w:cs="Times New Roman"/>
                      <w:b w:val="0"/>
                      <w:bCs w:val="0"/>
                      <w:color w:val="auto"/>
                      <w:lang w:val="en-US" w:eastAsia="zh-CN"/>
                    </w:rPr>
                    <w:t>化粪池</w:t>
                  </w:r>
                </w:p>
              </w:tc>
              <w:tc>
                <w:tcPr>
                  <w:tcW w:w="471" w:type="pct"/>
                  <w:tcBorders>
                    <w:top w:val="single" w:color="000000" w:sz="4" w:space="0"/>
                    <w:left w:val="single" w:color="000000" w:sz="4" w:space="0"/>
                    <w:right w:val="single" w:color="000000" w:sz="4" w:space="0"/>
                  </w:tcBorders>
                  <w:noWrap w:val="0"/>
                  <w:tcMar>
                    <w:top w:w="0" w:type="dxa"/>
                    <w:left w:w="0" w:type="dxa"/>
                    <w:bottom w:w="0" w:type="dxa"/>
                    <w:right w:w="0" w:type="dxa"/>
                  </w:tcMar>
                  <w:vAlign w:val="center"/>
                </w:tcPr>
                <w:p w14:paraId="7D8F299F">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eastAsia="宋体" w:cs="Times New Roman"/>
                      <w:b w:val="0"/>
                      <w:bCs w:val="0"/>
                      <w:color w:val="auto"/>
                      <w:lang w:eastAsia="zh-CN"/>
                    </w:rPr>
                  </w:pPr>
                  <w:r>
                    <w:rPr>
                      <w:rFonts w:hint="default" w:ascii="Times New Roman" w:hAnsi="Times New Roman" w:cs="Times New Roman"/>
                      <w:b w:val="0"/>
                      <w:bCs w:val="0"/>
                      <w:color w:val="auto"/>
                      <w:lang w:val="en-US" w:eastAsia="zh-CN"/>
                    </w:rPr>
                    <w:t>化粪池</w:t>
                  </w:r>
                </w:p>
              </w:tc>
              <w:tc>
                <w:tcPr>
                  <w:tcW w:w="471" w:type="pct"/>
                  <w:tcBorders>
                    <w:top w:val="single" w:color="000000" w:sz="4" w:space="0"/>
                    <w:left w:val="single" w:color="000000" w:sz="4" w:space="0"/>
                    <w:right w:val="single" w:color="000000" w:sz="4" w:space="0"/>
                  </w:tcBorders>
                  <w:noWrap w:val="0"/>
                  <w:tcMar>
                    <w:top w:w="0" w:type="dxa"/>
                    <w:left w:w="0" w:type="dxa"/>
                    <w:bottom w:w="0" w:type="dxa"/>
                    <w:right w:w="0" w:type="dxa"/>
                  </w:tcMar>
                  <w:vAlign w:val="center"/>
                </w:tcPr>
                <w:p w14:paraId="2E0DFA73">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DW001</w:t>
                  </w:r>
                </w:p>
              </w:tc>
              <w:tc>
                <w:tcPr>
                  <w:tcW w:w="432" w:type="pct"/>
                  <w:tcBorders>
                    <w:top w:val="single" w:color="auto" w:sz="4" w:space="0"/>
                    <w:left w:val="single" w:color="000000" w:sz="4" w:space="0"/>
                    <w:right w:val="single" w:color="000000" w:sz="4" w:space="0"/>
                  </w:tcBorders>
                  <w:noWrap w:val="0"/>
                  <w:tcMar>
                    <w:top w:w="0" w:type="dxa"/>
                    <w:left w:w="0" w:type="dxa"/>
                    <w:bottom w:w="0" w:type="dxa"/>
                    <w:right w:w="0" w:type="dxa"/>
                  </w:tcMar>
                  <w:vAlign w:val="center"/>
                </w:tcPr>
                <w:p w14:paraId="5C5B60ED">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sym w:font="Wingdings 2" w:char="0052"/>
                  </w:r>
                  <w:r>
                    <w:rPr>
                      <w:rFonts w:hint="default" w:ascii="Times New Roman" w:hAnsi="Times New Roman" w:cs="Times New Roman"/>
                      <w:b w:val="0"/>
                      <w:bCs w:val="0"/>
                      <w:color w:val="auto"/>
                    </w:rPr>
                    <w:t>是</w:t>
                  </w:r>
                </w:p>
                <w:p w14:paraId="1B092D8D">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sym w:font="Wingdings 2" w:char="00A3"/>
                  </w:r>
                  <w:r>
                    <w:rPr>
                      <w:rFonts w:hint="default" w:ascii="Times New Roman" w:hAnsi="Times New Roman" w:cs="Times New Roman"/>
                      <w:b w:val="0"/>
                      <w:bCs w:val="0"/>
                      <w:color w:val="auto"/>
                    </w:rPr>
                    <w:t>否</w:t>
                  </w:r>
                </w:p>
              </w:tc>
              <w:tc>
                <w:tcPr>
                  <w:tcW w:w="430" w:type="pct"/>
                  <w:tcBorders>
                    <w:top w:val="single" w:color="000000" w:sz="4" w:space="0"/>
                    <w:left w:val="single" w:color="000000" w:sz="4" w:space="0"/>
                    <w:right w:val="single" w:color="000000" w:sz="4" w:space="0"/>
                  </w:tcBorders>
                  <w:noWrap w:val="0"/>
                  <w:tcMar>
                    <w:top w:w="0" w:type="dxa"/>
                    <w:left w:w="0" w:type="dxa"/>
                    <w:bottom w:w="0" w:type="dxa"/>
                    <w:right w:w="0" w:type="dxa"/>
                  </w:tcMar>
                  <w:vAlign w:val="center"/>
                </w:tcPr>
                <w:p w14:paraId="76CE18E1">
                  <w:pPr>
                    <w:pStyle w:val="32"/>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highlight w:val="none"/>
                    </w:rPr>
                    <w:t>企业废水总排放口</w:t>
                  </w:r>
                </w:p>
              </w:tc>
            </w:tr>
          </w:tbl>
          <w:p w14:paraId="76D5FE23">
            <w:pPr>
              <w:pStyle w:val="30"/>
              <w:keepNext w:val="0"/>
              <w:keepLines w:val="0"/>
              <w:pageBreakBefore w:val="0"/>
              <w:widowControl w:val="0"/>
              <w:kinsoku/>
              <w:wordWrap/>
              <w:overflowPunct/>
              <w:topLinePunct w:val="0"/>
              <w:autoSpaceDE/>
              <w:autoSpaceDN/>
              <w:bidi w:val="0"/>
              <w:adjustRightInd/>
              <w:snapToGrid/>
              <w:spacing w:before="0" w:beforeLines="0"/>
              <w:ind w:firstLine="0" w:firstLineChars="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表4-1</w:t>
            </w:r>
            <w:r>
              <w:rPr>
                <w:rFonts w:hint="eastAsia" w:eastAsia="宋体" w:cs="Times New Roman"/>
                <w:b/>
                <w:bCs/>
                <w:color w:val="auto"/>
                <w:lang w:val="en-US" w:eastAsia="zh-CN"/>
              </w:rPr>
              <w:t>2</w:t>
            </w:r>
            <w:r>
              <w:rPr>
                <w:rFonts w:hint="default" w:ascii="Times New Roman" w:hAnsi="Times New Roman" w:eastAsia="宋体" w:cs="Times New Roman"/>
                <w:b/>
                <w:bCs/>
                <w:color w:val="auto"/>
              </w:rPr>
              <w:t xml:space="preserve">  </w:t>
            </w:r>
            <w:r>
              <w:rPr>
                <w:rFonts w:hint="default" w:ascii="Times New Roman" w:hAnsi="Times New Roman" w:eastAsia="宋体" w:cs="Times New Roman"/>
                <w:b/>
                <w:bCs/>
                <w:color w:val="auto"/>
                <w:lang w:eastAsia="zh-CN"/>
              </w:rPr>
              <w:t>项目</w:t>
            </w:r>
            <w:r>
              <w:rPr>
                <w:rFonts w:hint="default" w:ascii="Times New Roman" w:hAnsi="Times New Roman" w:eastAsia="宋体" w:cs="Times New Roman"/>
                <w:b/>
                <w:bCs/>
                <w:color w:val="auto"/>
              </w:rPr>
              <w:t>废水间接排放口基本情况表</w:t>
            </w:r>
          </w:p>
          <w:tbl>
            <w:tblPr>
              <w:tblStyle w:val="15"/>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0"/>
              <w:gridCol w:w="1113"/>
              <w:gridCol w:w="1074"/>
              <w:gridCol w:w="664"/>
              <w:gridCol w:w="599"/>
              <w:gridCol w:w="993"/>
              <w:gridCol w:w="592"/>
              <w:gridCol w:w="630"/>
              <w:gridCol w:w="805"/>
              <w:gridCol w:w="1551"/>
            </w:tblGrid>
            <w:tr w14:paraId="28D73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43" w:type="pct"/>
                  <w:vMerge w:val="restart"/>
                  <w:tcBorders>
                    <w:top w:val="single" w:color="000000" w:sz="4" w:space="0"/>
                    <w:left w:val="single" w:color="000000" w:sz="4" w:space="0"/>
                    <w:bottom w:val="single" w:color="000000" w:sz="4" w:space="0"/>
                    <w:right w:val="single" w:color="000000" w:sz="4" w:space="0"/>
                  </w:tcBorders>
                  <w:noWrap w:val="0"/>
                  <w:vAlign w:val="center"/>
                </w:tcPr>
                <w:p w14:paraId="089F06AD">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排放口编号</w:t>
                  </w:r>
                </w:p>
              </w:tc>
              <w:tc>
                <w:tcPr>
                  <w:tcW w:w="1242" w:type="pct"/>
                  <w:gridSpan w:val="2"/>
                  <w:tcBorders>
                    <w:top w:val="single" w:color="000000" w:sz="4" w:space="0"/>
                    <w:left w:val="single" w:color="000000" w:sz="4" w:space="0"/>
                    <w:bottom w:val="single" w:color="000000" w:sz="4" w:space="0"/>
                    <w:right w:val="single" w:color="000000" w:sz="4" w:space="0"/>
                  </w:tcBorders>
                  <w:noWrap w:val="0"/>
                  <w:vAlign w:val="center"/>
                </w:tcPr>
                <w:p w14:paraId="4ED2A515">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排放口地理坐标</w:t>
                  </w:r>
                </w:p>
              </w:tc>
              <w:tc>
                <w:tcPr>
                  <w:tcW w:w="377" w:type="pct"/>
                  <w:vMerge w:val="restart"/>
                  <w:tcBorders>
                    <w:top w:val="single" w:color="000000" w:sz="4" w:space="0"/>
                    <w:left w:val="single" w:color="000000" w:sz="4" w:space="0"/>
                    <w:bottom w:val="single" w:color="000000" w:sz="4" w:space="0"/>
                    <w:right w:val="single" w:color="000000" w:sz="4" w:space="0"/>
                  </w:tcBorders>
                  <w:noWrap w:val="0"/>
                  <w:vAlign w:val="center"/>
                </w:tcPr>
                <w:p w14:paraId="3C80E9D1">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废水排放量（t/a）</w:t>
                  </w:r>
                </w:p>
              </w:tc>
              <w:tc>
                <w:tcPr>
                  <w:tcW w:w="340" w:type="pct"/>
                  <w:vMerge w:val="restart"/>
                  <w:tcBorders>
                    <w:top w:val="single" w:color="000000" w:sz="4" w:space="0"/>
                    <w:left w:val="single" w:color="000000" w:sz="4" w:space="0"/>
                    <w:bottom w:val="single" w:color="000000" w:sz="4" w:space="0"/>
                    <w:right w:val="single" w:color="000000" w:sz="4" w:space="0"/>
                  </w:tcBorders>
                  <w:noWrap w:val="0"/>
                  <w:vAlign w:val="center"/>
                </w:tcPr>
                <w:p w14:paraId="411153A6">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排放去向</w:t>
                  </w:r>
                </w:p>
              </w:tc>
              <w:tc>
                <w:tcPr>
                  <w:tcW w:w="564" w:type="pct"/>
                  <w:vMerge w:val="restart"/>
                  <w:tcBorders>
                    <w:top w:val="single" w:color="000000" w:sz="4" w:space="0"/>
                    <w:left w:val="single" w:color="000000" w:sz="4" w:space="0"/>
                    <w:bottom w:val="single" w:color="000000" w:sz="4" w:space="0"/>
                    <w:right w:val="single" w:color="000000" w:sz="4" w:space="0"/>
                  </w:tcBorders>
                  <w:noWrap w:val="0"/>
                  <w:vAlign w:val="center"/>
                </w:tcPr>
                <w:p w14:paraId="46461AA9">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排放规律</w:t>
                  </w:r>
                </w:p>
              </w:tc>
              <w:tc>
                <w:tcPr>
                  <w:tcW w:w="336" w:type="pct"/>
                  <w:vMerge w:val="restart"/>
                  <w:tcBorders>
                    <w:top w:val="single" w:color="000000" w:sz="4" w:space="0"/>
                    <w:left w:val="single" w:color="000000" w:sz="4" w:space="0"/>
                    <w:bottom w:val="single" w:color="000000" w:sz="4" w:space="0"/>
                    <w:right w:val="single" w:color="000000" w:sz="4" w:space="0"/>
                  </w:tcBorders>
                  <w:noWrap w:val="0"/>
                  <w:vAlign w:val="center"/>
                </w:tcPr>
                <w:p w14:paraId="10456DFF">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间歇排放时段</w:t>
                  </w:r>
                </w:p>
              </w:tc>
              <w:tc>
                <w:tcPr>
                  <w:tcW w:w="1696" w:type="pct"/>
                  <w:gridSpan w:val="3"/>
                  <w:tcBorders>
                    <w:top w:val="single" w:color="000000" w:sz="4" w:space="0"/>
                    <w:left w:val="single" w:color="000000" w:sz="4" w:space="0"/>
                    <w:bottom w:val="single" w:color="000000" w:sz="4" w:space="0"/>
                    <w:right w:val="single" w:color="000000" w:sz="4" w:space="0"/>
                  </w:tcBorders>
                  <w:noWrap w:val="0"/>
                  <w:vAlign w:val="center"/>
                </w:tcPr>
                <w:p w14:paraId="0DC6889F">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收纳污水处理厂信息</w:t>
                  </w:r>
                </w:p>
              </w:tc>
            </w:tr>
            <w:tr w14:paraId="2DC40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jc w:val="center"/>
              </w:trPr>
              <w:tc>
                <w:tcPr>
                  <w:tcW w:w="44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704B5D">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632" w:type="pct"/>
                  <w:tcBorders>
                    <w:top w:val="single" w:color="000000" w:sz="4" w:space="0"/>
                    <w:left w:val="single" w:color="000000" w:sz="4" w:space="0"/>
                    <w:bottom w:val="single" w:color="000000" w:sz="4" w:space="0"/>
                    <w:right w:val="single" w:color="000000" w:sz="4" w:space="0"/>
                  </w:tcBorders>
                  <w:noWrap w:val="0"/>
                  <w:vAlign w:val="center"/>
                </w:tcPr>
                <w:p w14:paraId="7AB26AC8">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经度</w:t>
                  </w:r>
                </w:p>
              </w:tc>
              <w:tc>
                <w:tcPr>
                  <w:tcW w:w="610" w:type="pct"/>
                  <w:tcBorders>
                    <w:top w:val="single" w:color="000000" w:sz="4" w:space="0"/>
                    <w:left w:val="single" w:color="000000" w:sz="4" w:space="0"/>
                    <w:bottom w:val="single" w:color="000000" w:sz="4" w:space="0"/>
                    <w:right w:val="single" w:color="000000" w:sz="4" w:space="0"/>
                  </w:tcBorders>
                  <w:noWrap w:val="0"/>
                  <w:vAlign w:val="center"/>
                </w:tcPr>
                <w:p w14:paraId="09A0E7B9">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纬度</w:t>
                  </w:r>
                </w:p>
              </w:tc>
              <w:tc>
                <w:tcPr>
                  <w:tcW w:w="37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013ED3">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40"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C08D30">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56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C463D93">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3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206A54">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58" w:type="pct"/>
                  <w:tcBorders>
                    <w:top w:val="single" w:color="000000" w:sz="4" w:space="0"/>
                    <w:left w:val="single" w:color="000000" w:sz="4" w:space="0"/>
                    <w:bottom w:val="single" w:color="000000" w:sz="4" w:space="0"/>
                    <w:right w:val="single" w:color="000000" w:sz="4" w:space="0"/>
                  </w:tcBorders>
                  <w:noWrap w:val="0"/>
                  <w:vAlign w:val="center"/>
                </w:tcPr>
                <w:p w14:paraId="54638AF3">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名称</w:t>
                  </w:r>
                </w:p>
              </w:tc>
              <w:tc>
                <w:tcPr>
                  <w:tcW w:w="457" w:type="pct"/>
                  <w:tcBorders>
                    <w:top w:val="single" w:color="000000" w:sz="4" w:space="0"/>
                    <w:left w:val="single" w:color="000000" w:sz="4" w:space="0"/>
                    <w:bottom w:val="single" w:color="000000" w:sz="4" w:space="0"/>
                    <w:right w:val="single" w:color="000000" w:sz="4" w:space="0"/>
                  </w:tcBorders>
                  <w:noWrap w:val="0"/>
                  <w:vAlign w:val="center"/>
                </w:tcPr>
                <w:p w14:paraId="42CD9A1D">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污染物种类</w:t>
                  </w:r>
                </w:p>
              </w:tc>
              <w:tc>
                <w:tcPr>
                  <w:tcW w:w="880" w:type="pct"/>
                  <w:tcBorders>
                    <w:top w:val="single" w:color="000000" w:sz="4" w:space="0"/>
                    <w:left w:val="single" w:color="000000" w:sz="4" w:space="0"/>
                    <w:bottom w:val="single" w:color="000000" w:sz="4" w:space="0"/>
                    <w:right w:val="single" w:color="000000" w:sz="4" w:space="0"/>
                  </w:tcBorders>
                  <w:noWrap w:val="0"/>
                  <w:vAlign w:val="center"/>
                </w:tcPr>
                <w:p w14:paraId="5C473F9B">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国家或地方污染物排放标准浓度限值（mg/L，色度除外）</w:t>
                  </w:r>
                </w:p>
              </w:tc>
            </w:tr>
            <w:tr w14:paraId="67C80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43" w:type="pct"/>
                  <w:vMerge w:val="restart"/>
                  <w:tcBorders>
                    <w:top w:val="single" w:color="000000" w:sz="4" w:space="0"/>
                    <w:left w:val="single" w:color="000000" w:sz="4" w:space="0"/>
                    <w:right w:val="single" w:color="000000" w:sz="4" w:space="0"/>
                  </w:tcBorders>
                  <w:noWrap w:val="0"/>
                  <w:vAlign w:val="center"/>
                </w:tcPr>
                <w:p w14:paraId="7D63463E">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DW001</w:t>
                  </w:r>
                </w:p>
              </w:tc>
              <w:tc>
                <w:tcPr>
                  <w:tcW w:w="632" w:type="pct"/>
                  <w:vMerge w:val="restart"/>
                  <w:tcBorders>
                    <w:top w:val="single" w:color="000000" w:sz="4" w:space="0"/>
                    <w:left w:val="single" w:color="000000" w:sz="4" w:space="0"/>
                    <w:right w:val="single" w:color="000000" w:sz="4" w:space="0"/>
                  </w:tcBorders>
                  <w:noWrap w:val="0"/>
                  <w:vAlign w:val="center"/>
                </w:tcPr>
                <w:p w14:paraId="1FBB4222">
                  <w:pPr>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sz w:val="21"/>
                      <w:szCs w:val="21"/>
                      <w:highlight w:val="none"/>
                      <w:lang w:val="en-US" w:eastAsia="zh-CN"/>
                    </w:rPr>
                    <w:t>113.563537</w:t>
                  </w:r>
                </w:p>
              </w:tc>
              <w:tc>
                <w:tcPr>
                  <w:tcW w:w="610" w:type="pct"/>
                  <w:vMerge w:val="restart"/>
                  <w:tcBorders>
                    <w:top w:val="single" w:color="000000" w:sz="4" w:space="0"/>
                    <w:left w:val="single" w:color="000000" w:sz="4" w:space="0"/>
                    <w:right w:val="single" w:color="000000" w:sz="4" w:space="0"/>
                  </w:tcBorders>
                  <w:noWrap w:val="0"/>
                  <w:vAlign w:val="center"/>
                </w:tcPr>
                <w:p w14:paraId="396A36C2">
                  <w:pPr>
                    <w:keepNext w:val="0"/>
                    <w:keepLines w:val="0"/>
                    <w:pageBreakBefore w:val="0"/>
                    <w:widowControl w:val="0"/>
                    <w:kinsoku/>
                    <w:wordWrap/>
                    <w:overflowPunct/>
                    <w:topLinePunct w:val="0"/>
                    <w:bidi w:val="0"/>
                    <w:spacing w:line="360" w:lineRule="exact"/>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sz w:val="21"/>
                      <w:szCs w:val="21"/>
                      <w:highlight w:val="none"/>
                    </w:rPr>
                    <w:t>35.</w:t>
                  </w:r>
                  <w:r>
                    <w:rPr>
                      <w:rFonts w:hint="eastAsia" w:cs="Times New Roman"/>
                      <w:b w:val="0"/>
                      <w:bCs w:val="0"/>
                      <w:sz w:val="21"/>
                      <w:szCs w:val="21"/>
                      <w:highlight w:val="none"/>
                      <w:lang w:val="en-US" w:eastAsia="zh-CN"/>
                    </w:rPr>
                    <w:t>048772</w:t>
                  </w:r>
                </w:p>
              </w:tc>
              <w:tc>
                <w:tcPr>
                  <w:tcW w:w="377" w:type="pct"/>
                  <w:vMerge w:val="restart"/>
                  <w:tcBorders>
                    <w:top w:val="single" w:color="000000" w:sz="4" w:space="0"/>
                    <w:left w:val="single" w:color="000000" w:sz="4" w:space="0"/>
                    <w:right w:val="single" w:color="000000" w:sz="4" w:space="0"/>
                  </w:tcBorders>
                  <w:noWrap w:val="0"/>
                  <w:vAlign w:val="center"/>
                </w:tcPr>
                <w:p w14:paraId="13A1369A">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120</w:t>
                  </w:r>
                </w:p>
              </w:tc>
              <w:tc>
                <w:tcPr>
                  <w:tcW w:w="340" w:type="pct"/>
                  <w:vMerge w:val="restart"/>
                  <w:tcBorders>
                    <w:top w:val="single" w:color="000000" w:sz="4" w:space="0"/>
                    <w:left w:val="single" w:color="000000" w:sz="4" w:space="0"/>
                    <w:right w:val="single" w:color="000000" w:sz="4" w:space="0"/>
                  </w:tcBorders>
                  <w:noWrap w:val="0"/>
                  <w:vAlign w:val="center"/>
                </w:tcPr>
                <w:p w14:paraId="2A865C4F">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eastAsia="宋体" w:cs="Times New Roman"/>
                      <w:b w:val="0"/>
                      <w:bCs w:val="0"/>
                      <w:color w:val="auto"/>
                      <w:sz w:val="21"/>
                      <w:szCs w:val="21"/>
                      <w:lang w:eastAsia="zh-CN"/>
                    </w:rPr>
                  </w:pPr>
                  <w:r>
                    <w:rPr>
                      <w:rFonts w:hint="eastAsia" w:cs="Times New Roman"/>
                      <w:b w:val="0"/>
                      <w:bCs w:val="0"/>
                      <w:color w:val="auto"/>
                      <w:sz w:val="21"/>
                      <w:szCs w:val="21"/>
                      <w:lang w:eastAsia="zh-CN"/>
                    </w:rPr>
                    <w:t>詹店镇</w:t>
                  </w:r>
                  <w:r>
                    <w:rPr>
                      <w:rFonts w:hint="default" w:ascii="Times New Roman" w:hAnsi="Times New Roman" w:cs="Times New Roman"/>
                      <w:b w:val="0"/>
                      <w:bCs w:val="0"/>
                      <w:color w:val="auto"/>
                      <w:sz w:val="21"/>
                      <w:szCs w:val="21"/>
                      <w:lang w:eastAsia="zh-CN"/>
                    </w:rPr>
                    <w:t>污水处理厂</w:t>
                  </w:r>
                </w:p>
              </w:tc>
              <w:tc>
                <w:tcPr>
                  <w:tcW w:w="564" w:type="pct"/>
                  <w:vMerge w:val="restart"/>
                  <w:tcBorders>
                    <w:top w:val="single" w:color="000000" w:sz="4" w:space="0"/>
                    <w:left w:val="single" w:color="000000" w:sz="4" w:space="0"/>
                    <w:right w:val="single" w:color="000000" w:sz="4" w:space="0"/>
                  </w:tcBorders>
                  <w:noWrap w:val="0"/>
                  <w:vAlign w:val="center"/>
                </w:tcPr>
                <w:p w14:paraId="18B0D166">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间断排放，排放期间流量不稳定，但有周期性规律</w:t>
                  </w:r>
                </w:p>
              </w:tc>
              <w:tc>
                <w:tcPr>
                  <w:tcW w:w="336" w:type="pct"/>
                  <w:vMerge w:val="restart"/>
                  <w:tcBorders>
                    <w:top w:val="single" w:color="000000" w:sz="4" w:space="0"/>
                    <w:left w:val="single" w:color="000000" w:sz="4" w:space="0"/>
                    <w:right w:val="single" w:color="000000" w:sz="4" w:space="0"/>
                  </w:tcBorders>
                  <w:noWrap w:val="0"/>
                  <w:vAlign w:val="center"/>
                </w:tcPr>
                <w:p w14:paraId="6F5B3B3A">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w:t>
                  </w:r>
                </w:p>
              </w:tc>
              <w:tc>
                <w:tcPr>
                  <w:tcW w:w="358" w:type="pct"/>
                  <w:vMerge w:val="restart"/>
                  <w:tcBorders>
                    <w:top w:val="single" w:color="000000" w:sz="4" w:space="0"/>
                    <w:left w:val="single" w:color="000000" w:sz="4" w:space="0"/>
                    <w:right w:val="single" w:color="000000" w:sz="4" w:space="0"/>
                  </w:tcBorders>
                  <w:noWrap w:val="0"/>
                  <w:vAlign w:val="center"/>
                </w:tcPr>
                <w:p w14:paraId="0C930A1E">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eastAsia="宋体" w:cs="Times New Roman"/>
                      <w:b w:val="0"/>
                      <w:bCs w:val="0"/>
                      <w:color w:val="auto"/>
                      <w:sz w:val="21"/>
                      <w:szCs w:val="21"/>
                      <w:lang w:eastAsia="zh-CN"/>
                    </w:rPr>
                  </w:pPr>
                  <w:r>
                    <w:rPr>
                      <w:rFonts w:hint="eastAsia" w:cs="Times New Roman"/>
                      <w:b w:val="0"/>
                      <w:bCs w:val="0"/>
                      <w:color w:val="auto"/>
                      <w:sz w:val="21"/>
                      <w:szCs w:val="21"/>
                      <w:lang w:eastAsia="zh-CN"/>
                    </w:rPr>
                    <w:t>詹店镇</w:t>
                  </w:r>
                  <w:r>
                    <w:rPr>
                      <w:rFonts w:hint="default" w:ascii="Times New Roman" w:hAnsi="Times New Roman" w:cs="Times New Roman"/>
                      <w:b w:val="0"/>
                      <w:bCs w:val="0"/>
                      <w:color w:val="auto"/>
                      <w:sz w:val="21"/>
                      <w:szCs w:val="21"/>
                      <w:lang w:eastAsia="zh-CN"/>
                    </w:rPr>
                    <w:t>污水处理厂</w:t>
                  </w:r>
                </w:p>
              </w:tc>
              <w:tc>
                <w:tcPr>
                  <w:tcW w:w="457" w:type="pct"/>
                  <w:tcBorders>
                    <w:top w:val="single" w:color="000000" w:sz="4" w:space="0"/>
                    <w:left w:val="single" w:color="000000" w:sz="4" w:space="0"/>
                    <w:right w:val="single" w:color="000000" w:sz="4" w:space="0"/>
                  </w:tcBorders>
                  <w:noWrap w:val="0"/>
                  <w:vAlign w:val="center"/>
                </w:tcPr>
                <w:p w14:paraId="736F9E88">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COD</w:t>
                  </w:r>
                </w:p>
              </w:tc>
              <w:tc>
                <w:tcPr>
                  <w:tcW w:w="880" w:type="pct"/>
                  <w:tcBorders>
                    <w:top w:val="single" w:color="000000" w:sz="4" w:space="0"/>
                    <w:left w:val="single" w:color="000000" w:sz="4" w:space="0"/>
                    <w:bottom w:val="single" w:color="000000" w:sz="4" w:space="0"/>
                    <w:right w:val="single" w:color="000000" w:sz="4" w:space="0"/>
                  </w:tcBorders>
                  <w:noWrap w:val="0"/>
                  <w:vAlign w:val="center"/>
                </w:tcPr>
                <w:p w14:paraId="0A3CB61D">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50</w:t>
                  </w:r>
                </w:p>
              </w:tc>
            </w:tr>
            <w:tr w14:paraId="2AF44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443" w:type="pct"/>
                  <w:vMerge w:val="continue"/>
                  <w:tcBorders>
                    <w:left w:val="single" w:color="000000" w:sz="4" w:space="0"/>
                    <w:right w:val="single" w:color="000000" w:sz="4" w:space="0"/>
                  </w:tcBorders>
                  <w:noWrap w:val="0"/>
                  <w:vAlign w:val="center"/>
                </w:tcPr>
                <w:p w14:paraId="3A754B5F">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632" w:type="pct"/>
                  <w:vMerge w:val="continue"/>
                  <w:tcBorders>
                    <w:left w:val="single" w:color="000000" w:sz="4" w:space="0"/>
                    <w:right w:val="single" w:color="000000" w:sz="4" w:space="0"/>
                  </w:tcBorders>
                  <w:noWrap w:val="0"/>
                  <w:vAlign w:val="center"/>
                </w:tcPr>
                <w:p w14:paraId="26D19C1D">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610" w:type="pct"/>
                  <w:vMerge w:val="continue"/>
                  <w:tcBorders>
                    <w:left w:val="single" w:color="000000" w:sz="4" w:space="0"/>
                    <w:right w:val="single" w:color="000000" w:sz="4" w:space="0"/>
                  </w:tcBorders>
                  <w:noWrap w:val="0"/>
                  <w:vAlign w:val="center"/>
                </w:tcPr>
                <w:p w14:paraId="21533F6A">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77" w:type="pct"/>
                  <w:vMerge w:val="continue"/>
                  <w:tcBorders>
                    <w:left w:val="single" w:color="000000" w:sz="4" w:space="0"/>
                    <w:right w:val="single" w:color="000000" w:sz="4" w:space="0"/>
                  </w:tcBorders>
                  <w:noWrap w:val="0"/>
                  <w:vAlign w:val="center"/>
                </w:tcPr>
                <w:p w14:paraId="76F805D9">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40" w:type="pct"/>
                  <w:vMerge w:val="continue"/>
                  <w:tcBorders>
                    <w:left w:val="single" w:color="000000" w:sz="4" w:space="0"/>
                    <w:right w:val="single" w:color="000000" w:sz="4" w:space="0"/>
                  </w:tcBorders>
                  <w:noWrap w:val="0"/>
                  <w:vAlign w:val="center"/>
                </w:tcPr>
                <w:p w14:paraId="7B64D784">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564" w:type="pct"/>
                  <w:vMerge w:val="continue"/>
                  <w:tcBorders>
                    <w:left w:val="single" w:color="000000" w:sz="4" w:space="0"/>
                    <w:right w:val="single" w:color="000000" w:sz="4" w:space="0"/>
                  </w:tcBorders>
                  <w:noWrap w:val="0"/>
                  <w:vAlign w:val="center"/>
                </w:tcPr>
                <w:p w14:paraId="70BC3903">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36" w:type="pct"/>
                  <w:vMerge w:val="continue"/>
                  <w:tcBorders>
                    <w:left w:val="single" w:color="000000" w:sz="4" w:space="0"/>
                    <w:right w:val="single" w:color="000000" w:sz="4" w:space="0"/>
                  </w:tcBorders>
                  <w:noWrap w:val="0"/>
                  <w:vAlign w:val="center"/>
                </w:tcPr>
                <w:p w14:paraId="3C1B4637">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58" w:type="pct"/>
                  <w:vMerge w:val="continue"/>
                  <w:tcBorders>
                    <w:left w:val="single" w:color="000000" w:sz="4" w:space="0"/>
                    <w:right w:val="single" w:color="000000" w:sz="4" w:space="0"/>
                  </w:tcBorders>
                  <w:noWrap w:val="0"/>
                  <w:vAlign w:val="center"/>
                </w:tcPr>
                <w:p w14:paraId="74104C6B">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457" w:type="pct"/>
                  <w:tcBorders>
                    <w:top w:val="single" w:color="000000" w:sz="4" w:space="0"/>
                    <w:left w:val="single" w:color="000000" w:sz="4" w:space="0"/>
                    <w:right w:val="single" w:color="000000" w:sz="4" w:space="0"/>
                  </w:tcBorders>
                  <w:noWrap w:val="0"/>
                  <w:vAlign w:val="center"/>
                </w:tcPr>
                <w:p w14:paraId="43CE830A">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SS</w:t>
                  </w:r>
                </w:p>
              </w:tc>
              <w:tc>
                <w:tcPr>
                  <w:tcW w:w="880" w:type="pct"/>
                  <w:tcBorders>
                    <w:top w:val="single" w:color="000000" w:sz="4" w:space="0"/>
                    <w:left w:val="single" w:color="000000" w:sz="4" w:space="0"/>
                    <w:bottom w:val="single" w:color="000000" w:sz="4" w:space="0"/>
                    <w:right w:val="single" w:color="000000" w:sz="4" w:space="0"/>
                  </w:tcBorders>
                  <w:noWrap w:val="0"/>
                  <w:vAlign w:val="center"/>
                </w:tcPr>
                <w:p w14:paraId="72165C41">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10</w:t>
                  </w:r>
                </w:p>
              </w:tc>
            </w:tr>
            <w:tr w14:paraId="6E5300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jc w:val="center"/>
              </w:trPr>
              <w:tc>
                <w:tcPr>
                  <w:tcW w:w="443" w:type="pct"/>
                  <w:vMerge w:val="continue"/>
                  <w:tcBorders>
                    <w:left w:val="single" w:color="000000" w:sz="4" w:space="0"/>
                    <w:right w:val="single" w:color="000000" w:sz="4" w:space="0"/>
                  </w:tcBorders>
                  <w:noWrap w:val="0"/>
                  <w:vAlign w:val="center"/>
                </w:tcPr>
                <w:p w14:paraId="5D2780CE">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632" w:type="pct"/>
                  <w:vMerge w:val="continue"/>
                  <w:tcBorders>
                    <w:left w:val="single" w:color="000000" w:sz="4" w:space="0"/>
                    <w:right w:val="single" w:color="000000" w:sz="4" w:space="0"/>
                  </w:tcBorders>
                  <w:noWrap w:val="0"/>
                  <w:vAlign w:val="center"/>
                </w:tcPr>
                <w:p w14:paraId="421380B5">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610" w:type="pct"/>
                  <w:vMerge w:val="continue"/>
                  <w:tcBorders>
                    <w:left w:val="single" w:color="000000" w:sz="4" w:space="0"/>
                    <w:right w:val="single" w:color="000000" w:sz="4" w:space="0"/>
                  </w:tcBorders>
                  <w:noWrap w:val="0"/>
                  <w:vAlign w:val="center"/>
                </w:tcPr>
                <w:p w14:paraId="2D4836FC">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77" w:type="pct"/>
                  <w:vMerge w:val="continue"/>
                  <w:tcBorders>
                    <w:left w:val="single" w:color="000000" w:sz="4" w:space="0"/>
                    <w:right w:val="single" w:color="000000" w:sz="4" w:space="0"/>
                  </w:tcBorders>
                  <w:noWrap w:val="0"/>
                  <w:vAlign w:val="center"/>
                </w:tcPr>
                <w:p w14:paraId="4ACE6D25">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40" w:type="pct"/>
                  <w:vMerge w:val="continue"/>
                  <w:tcBorders>
                    <w:left w:val="single" w:color="000000" w:sz="4" w:space="0"/>
                    <w:right w:val="single" w:color="000000" w:sz="4" w:space="0"/>
                  </w:tcBorders>
                  <w:noWrap w:val="0"/>
                  <w:vAlign w:val="center"/>
                </w:tcPr>
                <w:p w14:paraId="599F5F0A">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564" w:type="pct"/>
                  <w:vMerge w:val="continue"/>
                  <w:tcBorders>
                    <w:left w:val="single" w:color="000000" w:sz="4" w:space="0"/>
                    <w:right w:val="single" w:color="000000" w:sz="4" w:space="0"/>
                  </w:tcBorders>
                  <w:noWrap w:val="0"/>
                  <w:vAlign w:val="center"/>
                </w:tcPr>
                <w:p w14:paraId="6749C769">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36" w:type="pct"/>
                  <w:vMerge w:val="continue"/>
                  <w:tcBorders>
                    <w:left w:val="single" w:color="000000" w:sz="4" w:space="0"/>
                    <w:right w:val="single" w:color="000000" w:sz="4" w:space="0"/>
                  </w:tcBorders>
                  <w:noWrap w:val="0"/>
                  <w:vAlign w:val="center"/>
                </w:tcPr>
                <w:p w14:paraId="49AD64C2">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58" w:type="pct"/>
                  <w:vMerge w:val="continue"/>
                  <w:tcBorders>
                    <w:left w:val="single" w:color="000000" w:sz="4" w:space="0"/>
                    <w:right w:val="single" w:color="000000" w:sz="4" w:space="0"/>
                  </w:tcBorders>
                  <w:noWrap w:val="0"/>
                  <w:vAlign w:val="center"/>
                </w:tcPr>
                <w:p w14:paraId="2976E74E">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457" w:type="pct"/>
                  <w:tcBorders>
                    <w:left w:val="single" w:color="000000" w:sz="4" w:space="0"/>
                    <w:right w:val="single" w:color="000000" w:sz="4" w:space="0"/>
                  </w:tcBorders>
                  <w:noWrap w:val="0"/>
                  <w:vAlign w:val="center"/>
                </w:tcPr>
                <w:p w14:paraId="35DB366A">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NH</w:t>
                  </w:r>
                  <w:r>
                    <w:rPr>
                      <w:rFonts w:hint="default" w:ascii="Times New Roman" w:hAnsi="Times New Roman" w:cs="Times New Roman"/>
                      <w:b w:val="0"/>
                      <w:bCs w:val="0"/>
                      <w:color w:val="auto"/>
                      <w:sz w:val="21"/>
                      <w:szCs w:val="21"/>
                      <w:vertAlign w:val="subscript"/>
                    </w:rPr>
                    <w:t>3</w:t>
                  </w:r>
                  <w:r>
                    <w:rPr>
                      <w:rFonts w:hint="default" w:ascii="Times New Roman" w:hAnsi="Times New Roman" w:cs="Times New Roman"/>
                      <w:b w:val="0"/>
                      <w:bCs w:val="0"/>
                      <w:color w:val="auto"/>
                      <w:sz w:val="21"/>
                      <w:szCs w:val="21"/>
                    </w:rPr>
                    <w:t>-N</w:t>
                  </w:r>
                </w:p>
              </w:tc>
              <w:tc>
                <w:tcPr>
                  <w:tcW w:w="880" w:type="pct"/>
                  <w:tcBorders>
                    <w:top w:val="single" w:color="000000" w:sz="4" w:space="0"/>
                    <w:left w:val="single" w:color="000000" w:sz="4" w:space="0"/>
                    <w:bottom w:val="single" w:color="000000" w:sz="4" w:space="0"/>
                    <w:right w:val="single" w:color="000000" w:sz="4" w:space="0"/>
                  </w:tcBorders>
                  <w:noWrap w:val="0"/>
                  <w:vAlign w:val="center"/>
                </w:tcPr>
                <w:p w14:paraId="12855050">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5</w:t>
                  </w:r>
                </w:p>
              </w:tc>
            </w:tr>
            <w:tr w14:paraId="4EE658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443" w:type="pct"/>
                  <w:vMerge w:val="continue"/>
                  <w:tcBorders>
                    <w:left w:val="single" w:color="000000" w:sz="4" w:space="0"/>
                    <w:right w:val="single" w:color="000000" w:sz="4" w:space="0"/>
                  </w:tcBorders>
                  <w:noWrap w:val="0"/>
                  <w:vAlign w:val="center"/>
                </w:tcPr>
                <w:p w14:paraId="3BDD2E0C">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632" w:type="pct"/>
                  <w:vMerge w:val="continue"/>
                  <w:tcBorders>
                    <w:left w:val="single" w:color="000000" w:sz="4" w:space="0"/>
                    <w:right w:val="single" w:color="000000" w:sz="4" w:space="0"/>
                  </w:tcBorders>
                  <w:noWrap w:val="0"/>
                  <w:vAlign w:val="center"/>
                </w:tcPr>
                <w:p w14:paraId="02BA08B8">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610" w:type="pct"/>
                  <w:vMerge w:val="continue"/>
                  <w:tcBorders>
                    <w:left w:val="single" w:color="000000" w:sz="4" w:space="0"/>
                    <w:right w:val="single" w:color="000000" w:sz="4" w:space="0"/>
                  </w:tcBorders>
                  <w:noWrap w:val="0"/>
                  <w:vAlign w:val="center"/>
                </w:tcPr>
                <w:p w14:paraId="734690F6">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77" w:type="pct"/>
                  <w:vMerge w:val="continue"/>
                  <w:tcBorders>
                    <w:left w:val="single" w:color="000000" w:sz="4" w:space="0"/>
                    <w:right w:val="single" w:color="000000" w:sz="4" w:space="0"/>
                  </w:tcBorders>
                  <w:noWrap w:val="0"/>
                  <w:vAlign w:val="center"/>
                </w:tcPr>
                <w:p w14:paraId="18C4F6E9">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40" w:type="pct"/>
                  <w:vMerge w:val="continue"/>
                  <w:tcBorders>
                    <w:left w:val="single" w:color="000000" w:sz="4" w:space="0"/>
                    <w:right w:val="single" w:color="000000" w:sz="4" w:space="0"/>
                  </w:tcBorders>
                  <w:noWrap w:val="0"/>
                  <w:vAlign w:val="center"/>
                </w:tcPr>
                <w:p w14:paraId="201D7AA4">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564" w:type="pct"/>
                  <w:vMerge w:val="continue"/>
                  <w:tcBorders>
                    <w:left w:val="single" w:color="000000" w:sz="4" w:space="0"/>
                    <w:right w:val="single" w:color="000000" w:sz="4" w:space="0"/>
                  </w:tcBorders>
                  <w:noWrap w:val="0"/>
                  <w:vAlign w:val="center"/>
                </w:tcPr>
                <w:p w14:paraId="70D48501">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36" w:type="pct"/>
                  <w:vMerge w:val="continue"/>
                  <w:tcBorders>
                    <w:left w:val="single" w:color="000000" w:sz="4" w:space="0"/>
                    <w:right w:val="single" w:color="000000" w:sz="4" w:space="0"/>
                  </w:tcBorders>
                  <w:noWrap w:val="0"/>
                  <w:vAlign w:val="center"/>
                </w:tcPr>
                <w:p w14:paraId="22F8E345">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358" w:type="pct"/>
                  <w:vMerge w:val="continue"/>
                  <w:tcBorders>
                    <w:left w:val="single" w:color="000000" w:sz="4" w:space="0"/>
                    <w:right w:val="single" w:color="000000" w:sz="4" w:space="0"/>
                  </w:tcBorders>
                  <w:noWrap w:val="0"/>
                  <w:vAlign w:val="center"/>
                </w:tcPr>
                <w:p w14:paraId="6356D22A">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p>
              </w:tc>
              <w:tc>
                <w:tcPr>
                  <w:tcW w:w="457" w:type="pct"/>
                  <w:tcBorders>
                    <w:left w:val="single" w:color="000000" w:sz="4" w:space="0"/>
                    <w:right w:val="single" w:color="000000" w:sz="4" w:space="0"/>
                  </w:tcBorders>
                  <w:noWrap w:val="0"/>
                  <w:vAlign w:val="center"/>
                </w:tcPr>
                <w:p w14:paraId="19C1E82C">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TP</w:t>
                  </w:r>
                </w:p>
              </w:tc>
              <w:tc>
                <w:tcPr>
                  <w:tcW w:w="880" w:type="pct"/>
                  <w:tcBorders>
                    <w:top w:val="single" w:color="000000" w:sz="4" w:space="0"/>
                    <w:left w:val="single" w:color="000000" w:sz="4" w:space="0"/>
                    <w:bottom w:val="single" w:color="000000" w:sz="4" w:space="0"/>
                    <w:right w:val="single" w:color="000000" w:sz="4" w:space="0"/>
                  </w:tcBorders>
                  <w:noWrap w:val="0"/>
                  <w:vAlign w:val="center"/>
                </w:tcPr>
                <w:p w14:paraId="58694DB0">
                  <w:pPr>
                    <w:pStyle w:val="36"/>
                    <w:keepNext w:val="0"/>
                    <w:keepLines w:val="0"/>
                    <w:pageBreakBefore w:val="0"/>
                    <w:widowControl w:val="0"/>
                    <w:kinsoku/>
                    <w:wordWrap/>
                    <w:overflowPunct/>
                    <w:topLinePunct w:val="0"/>
                    <w:bidi w:val="0"/>
                    <w:spacing w:line="360" w:lineRule="exact"/>
                    <w:ind w:firstLine="0" w:firstLineChars="0"/>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0.5</w:t>
                  </w:r>
                </w:p>
              </w:tc>
            </w:tr>
          </w:tbl>
          <w:p w14:paraId="387235E3">
            <w:pPr>
              <w:spacing w:line="520" w:lineRule="atLeast"/>
              <w:ind w:firstLine="0" w:firstLineChars="0"/>
              <w:jc w:val="center"/>
              <w:rPr>
                <w:rFonts w:hint="default" w:ascii="Times New Roman" w:hAnsi="Times New Roman" w:cs="Times New Roman"/>
                <w:b/>
                <w:bCs/>
                <w:szCs w:val="22"/>
              </w:rPr>
            </w:pPr>
            <w:r>
              <w:rPr>
                <w:rFonts w:hint="default" w:ascii="Times New Roman" w:hAnsi="Times New Roman" w:cs="Times New Roman"/>
                <w:b/>
                <w:bCs/>
                <w:szCs w:val="22"/>
              </w:rPr>
              <w:t>表4-1</w:t>
            </w:r>
            <w:r>
              <w:rPr>
                <w:rFonts w:hint="eastAsia" w:cs="Times New Roman"/>
                <w:b/>
                <w:bCs/>
                <w:szCs w:val="22"/>
                <w:lang w:val="en-US" w:eastAsia="zh-CN"/>
              </w:rPr>
              <w:t>3</w:t>
            </w:r>
            <w:r>
              <w:rPr>
                <w:rFonts w:hint="default" w:ascii="Times New Roman" w:hAnsi="Times New Roman" w:cs="Times New Roman"/>
                <w:b/>
                <w:bCs/>
                <w:szCs w:val="22"/>
              </w:rPr>
              <w:t xml:space="preserve">  废水排放总量情况一览表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004"/>
              <w:gridCol w:w="1040"/>
              <w:gridCol w:w="1355"/>
              <w:gridCol w:w="1405"/>
              <w:gridCol w:w="1662"/>
              <w:gridCol w:w="1405"/>
            </w:tblGrid>
            <w:tr w14:paraId="53B70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vMerge w:val="restart"/>
                  <w:noWrap w:val="0"/>
                  <w:vAlign w:val="center"/>
                </w:tcPr>
                <w:p w14:paraId="56E78FA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排放口编号</w:t>
                  </w:r>
                </w:p>
              </w:tc>
              <w:tc>
                <w:tcPr>
                  <w:tcW w:w="1004" w:type="dxa"/>
                  <w:vMerge w:val="restart"/>
                  <w:noWrap w:val="0"/>
                  <w:vAlign w:val="center"/>
                </w:tcPr>
                <w:p w14:paraId="2E4D666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污染物种类</w:t>
                  </w:r>
                </w:p>
              </w:tc>
              <w:tc>
                <w:tcPr>
                  <w:tcW w:w="1040" w:type="dxa"/>
                  <w:vMerge w:val="restart"/>
                  <w:noWrap w:val="0"/>
                  <w:vAlign w:val="center"/>
                </w:tcPr>
                <w:p w14:paraId="3062159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废水量（m</w:t>
                  </w:r>
                  <w:r>
                    <w:rPr>
                      <w:rFonts w:hint="default" w:ascii="Times New Roman" w:hAnsi="Times New Roman" w:cs="Times New Roman"/>
                      <w:b w:val="0"/>
                      <w:bCs/>
                      <w:kern w:val="0"/>
                      <w:sz w:val="21"/>
                      <w:szCs w:val="20"/>
                      <w:vertAlign w:val="superscript"/>
                    </w:rPr>
                    <w:t>3</w:t>
                  </w:r>
                  <w:r>
                    <w:rPr>
                      <w:rFonts w:hint="default" w:ascii="Times New Roman" w:hAnsi="Times New Roman" w:cs="Times New Roman"/>
                      <w:b w:val="0"/>
                      <w:bCs/>
                      <w:kern w:val="0"/>
                      <w:sz w:val="21"/>
                      <w:szCs w:val="20"/>
                    </w:rPr>
                    <w:t>/a）</w:t>
                  </w:r>
                </w:p>
              </w:tc>
              <w:tc>
                <w:tcPr>
                  <w:tcW w:w="2760" w:type="dxa"/>
                  <w:gridSpan w:val="2"/>
                  <w:noWrap w:val="0"/>
                  <w:vAlign w:val="center"/>
                </w:tcPr>
                <w:p w14:paraId="7B4E07B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出厂排放情况</w:t>
                  </w:r>
                </w:p>
              </w:tc>
              <w:tc>
                <w:tcPr>
                  <w:tcW w:w="3067" w:type="dxa"/>
                  <w:gridSpan w:val="2"/>
                  <w:noWrap w:val="0"/>
                  <w:vAlign w:val="center"/>
                </w:tcPr>
                <w:p w14:paraId="7C5B9C1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入环境排放情况</w:t>
                  </w:r>
                </w:p>
              </w:tc>
            </w:tr>
            <w:tr w14:paraId="6AE0A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vMerge w:val="continue"/>
                  <w:noWrap w:val="0"/>
                  <w:vAlign w:val="center"/>
                </w:tcPr>
                <w:p w14:paraId="214476B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004" w:type="dxa"/>
                  <w:vMerge w:val="continue"/>
                  <w:noWrap w:val="0"/>
                  <w:vAlign w:val="center"/>
                </w:tcPr>
                <w:p w14:paraId="333BD8B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040" w:type="dxa"/>
                  <w:vMerge w:val="continue"/>
                  <w:noWrap w:val="0"/>
                  <w:vAlign w:val="center"/>
                </w:tcPr>
                <w:p w14:paraId="2AD0568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355" w:type="dxa"/>
                  <w:noWrap w:val="0"/>
                  <w:vAlign w:val="center"/>
                </w:tcPr>
                <w:p w14:paraId="175C6A5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排放浓度（mg/L）</w:t>
                  </w:r>
                </w:p>
              </w:tc>
              <w:tc>
                <w:tcPr>
                  <w:tcW w:w="1405" w:type="dxa"/>
                  <w:noWrap w:val="0"/>
                  <w:vAlign w:val="center"/>
                </w:tcPr>
                <w:p w14:paraId="60A54E7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年排放量（t/a）</w:t>
                  </w:r>
                </w:p>
              </w:tc>
              <w:tc>
                <w:tcPr>
                  <w:tcW w:w="1662" w:type="dxa"/>
                  <w:noWrap w:val="0"/>
                  <w:vAlign w:val="center"/>
                </w:tcPr>
                <w:p w14:paraId="67D31AA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排放浓度（mg/L）</w:t>
                  </w:r>
                </w:p>
              </w:tc>
              <w:tc>
                <w:tcPr>
                  <w:tcW w:w="1405" w:type="dxa"/>
                  <w:noWrap w:val="0"/>
                  <w:vAlign w:val="center"/>
                </w:tcPr>
                <w:p w14:paraId="61D3FE4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年排放量（t/a）</w:t>
                  </w:r>
                </w:p>
              </w:tc>
            </w:tr>
            <w:tr w14:paraId="5FDD6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vMerge w:val="restart"/>
                  <w:noWrap w:val="0"/>
                  <w:vAlign w:val="center"/>
                </w:tcPr>
                <w:p w14:paraId="0013F3B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DW001</w:t>
                  </w:r>
                </w:p>
              </w:tc>
              <w:tc>
                <w:tcPr>
                  <w:tcW w:w="1004" w:type="dxa"/>
                  <w:noWrap w:val="0"/>
                  <w:vAlign w:val="center"/>
                </w:tcPr>
                <w:p w14:paraId="477F1E7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COD</w:t>
                  </w:r>
                </w:p>
              </w:tc>
              <w:tc>
                <w:tcPr>
                  <w:tcW w:w="1040" w:type="dxa"/>
                  <w:vMerge w:val="restart"/>
                  <w:noWrap w:val="0"/>
                  <w:vAlign w:val="center"/>
                </w:tcPr>
                <w:p w14:paraId="187B791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r>
                    <w:rPr>
                      <w:rFonts w:hint="eastAsia" w:cs="Times New Roman"/>
                      <w:b w:val="0"/>
                      <w:bCs/>
                      <w:kern w:val="0"/>
                      <w:sz w:val="21"/>
                      <w:szCs w:val="20"/>
                      <w:lang w:val="en-US" w:eastAsia="zh-CN"/>
                    </w:rPr>
                    <w:t>120</w:t>
                  </w:r>
                </w:p>
              </w:tc>
              <w:tc>
                <w:tcPr>
                  <w:tcW w:w="1355" w:type="dxa"/>
                  <w:shd w:val="clear" w:color="auto" w:fill="auto"/>
                  <w:noWrap w:val="0"/>
                  <w:vAlign w:val="center"/>
                </w:tcPr>
                <w:p w14:paraId="18EA042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eastAsia" w:cs="Times New Roman"/>
                      <w:bCs/>
                      <w:kern w:val="0"/>
                      <w:sz w:val="21"/>
                      <w:szCs w:val="20"/>
                      <w:lang w:val="en-US" w:eastAsia="zh-CN"/>
                    </w:rPr>
                    <w:t>150</w:t>
                  </w:r>
                </w:p>
              </w:tc>
              <w:tc>
                <w:tcPr>
                  <w:tcW w:w="1405" w:type="dxa"/>
                  <w:shd w:val="clear" w:color="auto" w:fill="auto"/>
                  <w:noWrap w:val="0"/>
                  <w:vAlign w:val="center"/>
                </w:tcPr>
                <w:p w14:paraId="44A6726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default" w:ascii="Times New Roman" w:hAnsi="Times New Roman" w:cs="Times New Roman"/>
                      <w:bCs/>
                      <w:kern w:val="0"/>
                      <w:sz w:val="21"/>
                      <w:szCs w:val="20"/>
                    </w:rPr>
                    <w:t>0.0</w:t>
                  </w:r>
                  <w:r>
                    <w:rPr>
                      <w:rFonts w:hint="eastAsia" w:cs="Times New Roman"/>
                      <w:bCs/>
                      <w:kern w:val="0"/>
                      <w:sz w:val="21"/>
                      <w:szCs w:val="20"/>
                      <w:lang w:val="en-US" w:eastAsia="zh-CN"/>
                    </w:rPr>
                    <w:t>18</w:t>
                  </w:r>
                </w:p>
              </w:tc>
              <w:tc>
                <w:tcPr>
                  <w:tcW w:w="1662" w:type="dxa"/>
                  <w:noWrap w:val="0"/>
                  <w:vAlign w:val="center"/>
                </w:tcPr>
                <w:p w14:paraId="41211E2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50</w:t>
                  </w:r>
                </w:p>
              </w:tc>
              <w:tc>
                <w:tcPr>
                  <w:tcW w:w="1405" w:type="dxa"/>
                  <w:noWrap w:val="0"/>
                  <w:vAlign w:val="center"/>
                </w:tcPr>
                <w:p w14:paraId="42D3899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r>
                    <w:rPr>
                      <w:rFonts w:hint="default" w:ascii="Times New Roman" w:hAnsi="Times New Roman" w:cs="Times New Roman"/>
                      <w:b w:val="0"/>
                      <w:bCs/>
                      <w:kern w:val="0"/>
                      <w:sz w:val="21"/>
                      <w:szCs w:val="20"/>
                    </w:rPr>
                    <w:t>0.0</w:t>
                  </w:r>
                  <w:r>
                    <w:rPr>
                      <w:rFonts w:hint="eastAsia" w:cs="Times New Roman"/>
                      <w:b w:val="0"/>
                      <w:bCs/>
                      <w:kern w:val="0"/>
                      <w:sz w:val="21"/>
                      <w:szCs w:val="20"/>
                      <w:lang w:val="en-US" w:eastAsia="zh-CN"/>
                    </w:rPr>
                    <w:t>06</w:t>
                  </w:r>
                </w:p>
              </w:tc>
            </w:tr>
            <w:tr w14:paraId="1D035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vMerge w:val="continue"/>
                  <w:noWrap w:val="0"/>
                  <w:vAlign w:val="center"/>
                </w:tcPr>
                <w:p w14:paraId="1A942C0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004" w:type="dxa"/>
                  <w:noWrap w:val="0"/>
                  <w:vAlign w:val="center"/>
                </w:tcPr>
                <w:p w14:paraId="2F755E0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r>
                    <w:rPr>
                      <w:rFonts w:hint="default" w:ascii="Times New Roman" w:hAnsi="Times New Roman" w:cs="Times New Roman"/>
                      <w:b w:val="0"/>
                      <w:bCs/>
                      <w:kern w:val="0"/>
                      <w:sz w:val="21"/>
                      <w:szCs w:val="20"/>
                      <w:lang w:val="en-US" w:eastAsia="zh-CN"/>
                    </w:rPr>
                    <w:t>SS</w:t>
                  </w:r>
                </w:p>
              </w:tc>
              <w:tc>
                <w:tcPr>
                  <w:tcW w:w="1040" w:type="dxa"/>
                  <w:vMerge w:val="continue"/>
                  <w:noWrap w:val="0"/>
                  <w:vAlign w:val="center"/>
                </w:tcPr>
                <w:p w14:paraId="57E3A7E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p>
              </w:tc>
              <w:tc>
                <w:tcPr>
                  <w:tcW w:w="1355" w:type="dxa"/>
                  <w:shd w:val="clear" w:color="auto" w:fill="auto"/>
                  <w:noWrap w:val="0"/>
                  <w:vAlign w:val="center"/>
                </w:tcPr>
                <w:p w14:paraId="30558AF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default" w:ascii="Times New Roman" w:hAnsi="Times New Roman" w:cs="Times New Roman"/>
                      <w:bCs/>
                      <w:kern w:val="0"/>
                      <w:sz w:val="21"/>
                      <w:szCs w:val="20"/>
                      <w:lang w:val="en-US" w:eastAsia="zh-CN"/>
                    </w:rPr>
                    <w:t>1</w:t>
                  </w:r>
                  <w:r>
                    <w:rPr>
                      <w:rFonts w:hint="eastAsia" w:cs="Times New Roman"/>
                      <w:bCs/>
                      <w:kern w:val="0"/>
                      <w:sz w:val="21"/>
                      <w:szCs w:val="20"/>
                      <w:lang w:val="en-US" w:eastAsia="zh-CN"/>
                    </w:rPr>
                    <w:t>00</w:t>
                  </w:r>
                </w:p>
              </w:tc>
              <w:tc>
                <w:tcPr>
                  <w:tcW w:w="1405" w:type="dxa"/>
                  <w:shd w:val="clear" w:color="auto" w:fill="auto"/>
                  <w:noWrap w:val="0"/>
                  <w:vAlign w:val="center"/>
                </w:tcPr>
                <w:p w14:paraId="05C7C72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default" w:ascii="Times New Roman" w:hAnsi="Times New Roman" w:cs="Times New Roman"/>
                      <w:bCs/>
                      <w:kern w:val="0"/>
                      <w:sz w:val="21"/>
                      <w:szCs w:val="20"/>
                      <w:lang w:val="en-US" w:eastAsia="zh-CN"/>
                    </w:rPr>
                    <w:t>0.0</w:t>
                  </w:r>
                  <w:r>
                    <w:rPr>
                      <w:rFonts w:hint="eastAsia" w:cs="Times New Roman"/>
                      <w:bCs/>
                      <w:kern w:val="0"/>
                      <w:sz w:val="21"/>
                      <w:szCs w:val="20"/>
                      <w:lang w:val="en-US" w:eastAsia="zh-CN"/>
                    </w:rPr>
                    <w:t>12</w:t>
                  </w:r>
                </w:p>
              </w:tc>
              <w:tc>
                <w:tcPr>
                  <w:tcW w:w="1662" w:type="dxa"/>
                  <w:noWrap w:val="0"/>
                  <w:vAlign w:val="center"/>
                </w:tcPr>
                <w:p w14:paraId="68C8372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r>
                    <w:rPr>
                      <w:rFonts w:hint="default" w:ascii="Times New Roman" w:hAnsi="Times New Roman" w:cs="Times New Roman"/>
                      <w:b w:val="0"/>
                      <w:bCs/>
                      <w:kern w:val="0"/>
                      <w:sz w:val="21"/>
                      <w:szCs w:val="20"/>
                      <w:lang w:val="en-US" w:eastAsia="zh-CN"/>
                    </w:rPr>
                    <w:t>10</w:t>
                  </w:r>
                </w:p>
              </w:tc>
              <w:tc>
                <w:tcPr>
                  <w:tcW w:w="1405" w:type="dxa"/>
                  <w:noWrap w:val="0"/>
                  <w:vAlign w:val="center"/>
                </w:tcPr>
                <w:p w14:paraId="4327846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r>
                    <w:rPr>
                      <w:rFonts w:hint="default" w:ascii="Times New Roman" w:hAnsi="Times New Roman" w:cs="Times New Roman"/>
                      <w:b w:val="0"/>
                      <w:bCs/>
                      <w:kern w:val="0"/>
                      <w:sz w:val="21"/>
                      <w:szCs w:val="20"/>
                      <w:lang w:val="en-US" w:eastAsia="zh-CN"/>
                    </w:rPr>
                    <w:t>0.00</w:t>
                  </w:r>
                  <w:r>
                    <w:rPr>
                      <w:rFonts w:hint="eastAsia" w:cs="Times New Roman"/>
                      <w:b w:val="0"/>
                      <w:bCs/>
                      <w:kern w:val="0"/>
                      <w:sz w:val="21"/>
                      <w:szCs w:val="20"/>
                      <w:lang w:val="en-US" w:eastAsia="zh-CN"/>
                    </w:rPr>
                    <w:t>12</w:t>
                  </w:r>
                </w:p>
              </w:tc>
            </w:tr>
            <w:tr w14:paraId="4C7A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vMerge w:val="continue"/>
                  <w:noWrap w:val="0"/>
                  <w:vAlign w:val="center"/>
                </w:tcPr>
                <w:p w14:paraId="6D07D9C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004" w:type="dxa"/>
                  <w:noWrap w:val="0"/>
                  <w:vAlign w:val="center"/>
                </w:tcPr>
                <w:p w14:paraId="5DF799D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NH</w:t>
                  </w:r>
                  <w:r>
                    <w:rPr>
                      <w:rFonts w:hint="default" w:ascii="Times New Roman" w:hAnsi="Times New Roman" w:cs="Times New Roman"/>
                      <w:b w:val="0"/>
                      <w:bCs/>
                      <w:kern w:val="0"/>
                      <w:sz w:val="21"/>
                      <w:szCs w:val="20"/>
                      <w:vertAlign w:val="subscript"/>
                    </w:rPr>
                    <w:t>3</w:t>
                  </w:r>
                  <w:r>
                    <w:rPr>
                      <w:rFonts w:hint="default" w:ascii="Times New Roman" w:hAnsi="Times New Roman" w:cs="Times New Roman"/>
                      <w:b w:val="0"/>
                      <w:bCs/>
                      <w:kern w:val="0"/>
                      <w:sz w:val="21"/>
                      <w:szCs w:val="20"/>
                    </w:rPr>
                    <w:t>-N</w:t>
                  </w:r>
                </w:p>
              </w:tc>
              <w:tc>
                <w:tcPr>
                  <w:tcW w:w="1040" w:type="dxa"/>
                  <w:vMerge w:val="continue"/>
                  <w:noWrap w:val="0"/>
                  <w:vAlign w:val="center"/>
                </w:tcPr>
                <w:p w14:paraId="0A76D1F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355" w:type="dxa"/>
                  <w:shd w:val="clear" w:color="auto" w:fill="auto"/>
                  <w:noWrap w:val="0"/>
                  <w:vAlign w:val="center"/>
                </w:tcPr>
                <w:p w14:paraId="577E00F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eastAsia" w:cs="Times New Roman"/>
                      <w:bCs/>
                      <w:kern w:val="0"/>
                      <w:sz w:val="21"/>
                      <w:szCs w:val="20"/>
                      <w:lang w:val="en-US" w:eastAsia="zh-CN"/>
                    </w:rPr>
                    <w:t>21</w:t>
                  </w:r>
                </w:p>
              </w:tc>
              <w:tc>
                <w:tcPr>
                  <w:tcW w:w="1405" w:type="dxa"/>
                  <w:shd w:val="clear" w:color="auto" w:fill="auto"/>
                  <w:noWrap w:val="0"/>
                  <w:vAlign w:val="center"/>
                </w:tcPr>
                <w:p w14:paraId="7798AB1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default" w:ascii="Times New Roman" w:hAnsi="Times New Roman" w:cs="Times New Roman"/>
                      <w:bCs/>
                      <w:kern w:val="0"/>
                      <w:sz w:val="21"/>
                      <w:szCs w:val="20"/>
                    </w:rPr>
                    <w:t>0.00</w:t>
                  </w:r>
                  <w:r>
                    <w:rPr>
                      <w:rFonts w:hint="eastAsia" w:cs="Times New Roman"/>
                      <w:bCs/>
                      <w:kern w:val="0"/>
                      <w:sz w:val="21"/>
                      <w:szCs w:val="20"/>
                      <w:lang w:val="en-US" w:eastAsia="zh-CN"/>
                    </w:rPr>
                    <w:t>52</w:t>
                  </w:r>
                </w:p>
              </w:tc>
              <w:tc>
                <w:tcPr>
                  <w:tcW w:w="1662" w:type="dxa"/>
                  <w:noWrap w:val="0"/>
                  <w:vAlign w:val="center"/>
                </w:tcPr>
                <w:p w14:paraId="72CDD8A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5</w:t>
                  </w:r>
                </w:p>
              </w:tc>
              <w:tc>
                <w:tcPr>
                  <w:tcW w:w="1405" w:type="dxa"/>
                  <w:noWrap w:val="0"/>
                  <w:vAlign w:val="center"/>
                </w:tcPr>
                <w:p w14:paraId="2BFB265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r>
                    <w:rPr>
                      <w:rFonts w:hint="default" w:ascii="Times New Roman" w:hAnsi="Times New Roman" w:cs="Times New Roman"/>
                      <w:b w:val="0"/>
                      <w:bCs/>
                      <w:kern w:val="0"/>
                      <w:sz w:val="21"/>
                      <w:szCs w:val="20"/>
                    </w:rPr>
                    <w:t>0.00</w:t>
                  </w:r>
                  <w:r>
                    <w:rPr>
                      <w:rFonts w:hint="eastAsia" w:cs="Times New Roman"/>
                      <w:b w:val="0"/>
                      <w:bCs/>
                      <w:kern w:val="0"/>
                      <w:sz w:val="21"/>
                      <w:szCs w:val="20"/>
                      <w:lang w:val="en-US" w:eastAsia="zh-CN"/>
                    </w:rPr>
                    <w:t>06</w:t>
                  </w:r>
                </w:p>
              </w:tc>
            </w:tr>
            <w:tr w14:paraId="081C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vMerge w:val="continue"/>
                  <w:noWrap w:val="0"/>
                  <w:vAlign w:val="center"/>
                </w:tcPr>
                <w:p w14:paraId="095028B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004" w:type="dxa"/>
                  <w:noWrap w:val="0"/>
                  <w:vAlign w:val="center"/>
                </w:tcPr>
                <w:p w14:paraId="6D3DE08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总磷</w:t>
                  </w:r>
                </w:p>
              </w:tc>
              <w:tc>
                <w:tcPr>
                  <w:tcW w:w="1040" w:type="dxa"/>
                  <w:vMerge w:val="continue"/>
                  <w:noWrap w:val="0"/>
                  <w:vAlign w:val="center"/>
                </w:tcPr>
                <w:p w14:paraId="6528B2A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1355" w:type="dxa"/>
                  <w:shd w:val="clear" w:color="auto" w:fill="auto"/>
                  <w:noWrap w:val="0"/>
                  <w:vAlign w:val="center"/>
                </w:tcPr>
                <w:p w14:paraId="5088C7D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eastAsia" w:ascii="Times New Roman" w:hAnsi="Times New Roman" w:cs="Times New Roman"/>
                      <w:bCs/>
                      <w:kern w:val="0"/>
                      <w:sz w:val="21"/>
                      <w:szCs w:val="20"/>
                      <w:lang w:val="en-US" w:eastAsia="zh-CN"/>
                    </w:rPr>
                    <w:t>0.</w:t>
                  </w:r>
                  <w:r>
                    <w:rPr>
                      <w:rFonts w:hint="eastAsia" w:cs="Times New Roman"/>
                      <w:bCs/>
                      <w:kern w:val="0"/>
                      <w:sz w:val="21"/>
                      <w:szCs w:val="20"/>
                      <w:lang w:val="en-US" w:eastAsia="zh-CN"/>
                    </w:rPr>
                    <w:t>84</w:t>
                  </w:r>
                </w:p>
              </w:tc>
              <w:tc>
                <w:tcPr>
                  <w:tcW w:w="1405" w:type="dxa"/>
                  <w:shd w:val="clear" w:color="auto" w:fill="auto"/>
                  <w:noWrap w:val="0"/>
                  <w:vAlign w:val="center"/>
                </w:tcPr>
                <w:p w14:paraId="3018DC3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Cs/>
                      <w:kern w:val="0"/>
                      <w:sz w:val="21"/>
                      <w:szCs w:val="20"/>
                      <w:lang w:val="en-US" w:eastAsia="zh-CN" w:bidi="ar-SA"/>
                    </w:rPr>
                  </w:pPr>
                  <w:r>
                    <w:rPr>
                      <w:rFonts w:hint="default" w:ascii="Times New Roman" w:hAnsi="Times New Roman" w:cs="Times New Roman"/>
                      <w:bCs/>
                      <w:kern w:val="0"/>
                      <w:sz w:val="21"/>
                      <w:szCs w:val="20"/>
                    </w:rPr>
                    <w:t>0.00</w:t>
                  </w:r>
                  <w:r>
                    <w:rPr>
                      <w:rFonts w:hint="default" w:ascii="Times New Roman" w:hAnsi="Times New Roman" w:cs="Times New Roman"/>
                      <w:bCs/>
                      <w:kern w:val="0"/>
                      <w:sz w:val="21"/>
                      <w:szCs w:val="20"/>
                      <w:lang w:val="en-US" w:eastAsia="zh-CN"/>
                    </w:rPr>
                    <w:t>0</w:t>
                  </w:r>
                  <w:r>
                    <w:rPr>
                      <w:rFonts w:hint="eastAsia" w:cs="Times New Roman"/>
                      <w:bCs/>
                      <w:kern w:val="0"/>
                      <w:sz w:val="21"/>
                      <w:szCs w:val="20"/>
                      <w:lang w:val="en-US" w:eastAsia="zh-CN"/>
                    </w:rPr>
                    <w:t>1</w:t>
                  </w:r>
                </w:p>
              </w:tc>
              <w:tc>
                <w:tcPr>
                  <w:tcW w:w="1662" w:type="dxa"/>
                  <w:noWrap w:val="0"/>
                  <w:vAlign w:val="center"/>
                </w:tcPr>
                <w:p w14:paraId="6E13F34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0.5</w:t>
                  </w:r>
                </w:p>
              </w:tc>
              <w:tc>
                <w:tcPr>
                  <w:tcW w:w="1405" w:type="dxa"/>
                  <w:noWrap w:val="0"/>
                  <w:vAlign w:val="center"/>
                </w:tcPr>
                <w:p w14:paraId="6E09279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0"/>
                      <w:sz w:val="21"/>
                      <w:szCs w:val="20"/>
                      <w:lang w:val="en-US" w:eastAsia="zh-CN"/>
                    </w:rPr>
                  </w:pPr>
                  <w:r>
                    <w:rPr>
                      <w:rFonts w:hint="default" w:ascii="Times New Roman" w:hAnsi="Times New Roman" w:cs="Times New Roman"/>
                      <w:b w:val="0"/>
                      <w:bCs/>
                      <w:kern w:val="0"/>
                      <w:sz w:val="21"/>
                      <w:szCs w:val="20"/>
                    </w:rPr>
                    <w:t>0.000</w:t>
                  </w:r>
                  <w:r>
                    <w:rPr>
                      <w:rFonts w:hint="default" w:ascii="Times New Roman" w:hAnsi="Times New Roman" w:cs="Times New Roman"/>
                      <w:b w:val="0"/>
                      <w:bCs/>
                      <w:kern w:val="0"/>
                      <w:sz w:val="21"/>
                      <w:szCs w:val="20"/>
                      <w:lang w:val="en-US" w:eastAsia="zh-CN"/>
                    </w:rPr>
                    <w:t>0</w:t>
                  </w:r>
                  <w:r>
                    <w:rPr>
                      <w:rFonts w:hint="eastAsia" w:cs="Times New Roman"/>
                      <w:b w:val="0"/>
                      <w:bCs/>
                      <w:kern w:val="0"/>
                      <w:sz w:val="21"/>
                      <w:szCs w:val="20"/>
                      <w:lang w:val="en-US" w:eastAsia="zh-CN"/>
                    </w:rPr>
                    <w:t>6</w:t>
                  </w:r>
                </w:p>
              </w:tc>
            </w:tr>
          </w:tbl>
          <w:p w14:paraId="249FC1F9">
            <w:pPr>
              <w:keepNext/>
              <w:keepLines/>
              <w:pageBreakBefore w:val="0"/>
              <w:widowControl w:val="0"/>
              <w:kinsoku/>
              <w:wordWrap/>
              <w:overflowPunct/>
              <w:topLinePunct w:val="0"/>
              <w:autoSpaceDE/>
              <w:autoSpaceDN/>
              <w:bidi w:val="0"/>
              <w:adjustRightInd/>
              <w:snapToGrid/>
              <w:spacing w:line="520" w:lineRule="exact"/>
              <w:ind w:firstLine="480" w:firstLineChars="0"/>
              <w:textAlignment w:val="auto"/>
              <w:outlineLvl w:val="1"/>
              <w:rPr>
                <w:rFonts w:hint="default" w:ascii="Times New Roman" w:hAnsi="Times New Roman" w:cs="Times New Roman"/>
                <w:b/>
                <w:bCs/>
              </w:rPr>
            </w:pPr>
            <w:r>
              <w:rPr>
                <w:rFonts w:hint="default" w:ascii="Times New Roman" w:hAnsi="Times New Roman" w:cs="Times New Roman"/>
                <w:b/>
                <w:highlight w:val="none"/>
              </w:rPr>
              <w:t>2.4</w:t>
            </w:r>
            <w:r>
              <w:rPr>
                <w:rFonts w:hint="default" w:ascii="Times New Roman" w:hAnsi="Times New Roman" w:cs="Times New Roman"/>
                <w:b/>
                <w:bCs/>
                <w:highlight w:val="none"/>
              </w:rPr>
              <w:t>监测要</w:t>
            </w:r>
            <w:r>
              <w:rPr>
                <w:rFonts w:hint="default" w:ascii="Times New Roman" w:hAnsi="Times New Roman" w:cs="Times New Roman"/>
                <w:b/>
                <w:bCs/>
              </w:rPr>
              <w:t>求</w:t>
            </w:r>
          </w:p>
          <w:p w14:paraId="4C992BE8">
            <w:pPr>
              <w:pStyle w:val="35"/>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color w:val="auto"/>
              </w:rPr>
            </w:pPr>
            <w:r>
              <w:rPr>
                <w:rFonts w:hint="eastAsia" w:ascii="宋体" w:hAnsi="宋体" w:eastAsia="宋体" w:cs="宋体"/>
                <w:sz w:val="24"/>
                <w:szCs w:val="24"/>
              </w:rPr>
              <w:t>本项目无工业废水外排，</w:t>
            </w:r>
            <w:r>
              <w:rPr>
                <w:rFonts w:hint="default" w:ascii="Times New Roman" w:hAnsi="Times New Roman" w:cs="Times New Roman"/>
                <w:lang w:eastAsia="zh-CN"/>
              </w:rPr>
              <w:t>生活污水</w:t>
            </w:r>
            <w:r>
              <w:rPr>
                <w:rFonts w:hint="eastAsia" w:cs="Times New Roman"/>
                <w:lang w:eastAsia="zh-CN"/>
              </w:rPr>
              <w:t>经过</w:t>
            </w:r>
            <w:r>
              <w:rPr>
                <w:rFonts w:hint="default" w:ascii="Times New Roman" w:hAnsi="Times New Roman" w:cs="Times New Roman"/>
                <w:highlight w:val="none"/>
                <w:lang w:eastAsia="zh-CN"/>
              </w:rPr>
              <w:t>化粪池处理</w:t>
            </w:r>
            <w:r>
              <w:rPr>
                <w:rFonts w:hint="eastAsia" w:ascii="Times New Roman" w:hAnsi="Times New Roman" w:cs="Times New Roman"/>
                <w:highlight w:val="none"/>
                <w:lang w:eastAsia="zh-CN"/>
              </w:rPr>
              <w:t>后</w:t>
            </w:r>
            <w:r>
              <w:rPr>
                <w:rFonts w:hint="default" w:ascii="Times New Roman" w:hAnsi="Times New Roman" w:cs="Times New Roman"/>
                <w:lang w:eastAsia="zh-CN"/>
              </w:rPr>
              <w:t>，</w:t>
            </w:r>
            <w:r>
              <w:rPr>
                <w:rFonts w:hint="eastAsia" w:ascii="Times New Roman" w:hAnsi="Times New Roman" w:cs="Times New Roman"/>
                <w:lang w:eastAsia="zh-CN"/>
              </w:rPr>
              <w:t>排</w:t>
            </w:r>
            <w:r>
              <w:rPr>
                <w:rFonts w:hint="default" w:ascii="Times New Roman" w:hAnsi="Times New Roman" w:cs="Times New Roman"/>
                <w:lang w:eastAsia="zh-CN"/>
              </w:rPr>
              <w:t>入</w:t>
            </w:r>
            <w:r>
              <w:rPr>
                <w:rFonts w:hint="eastAsia" w:cs="Times New Roman"/>
                <w:lang w:eastAsia="zh-CN"/>
              </w:rPr>
              <w:t>产业</w:t>
            </w:r>
            <w:r>
              <w:rPr>
                <w:rFonts w:hint="eastAsia" w:ascii="Times New Roman" w:hAnsi="Times New Roman" w:cs="Times New Roman"/>
                <w:lang w:eastAsia="zh-CN"/>
              </w:rPr>
              <w:t>园区</w:t>
            </w:r>
            <w:r>
              <w:rPr>
                <w:rFonts w:hint="default" w:ascii="Times New Roman" w:hAnsi="Times New Roman" w:cs="Times New Roman"/>
                <w:lang w:eastAsia="zh-CN"/>
              </w:rPr>
              <w:t>污水管道</w:t>
            </w:r>
            <w:r>
              <w:rPr>
                <w:rFonts w:hint="eastAsia" w:ascii="Times New Roman" w:hAnsi="Times New Roman" w:cs="Times New Roman"/>
                <w:lang w:eastAsia="zh-CN"/>
              </w:rPr>
              <w:t>最终</w:t>
            </w:r>
            <w:r>
              <w:rPr>
                <w:rFonts w:hint="default" w:ascii="Times New Roman" w:hAnsi="Times New Roman" w:cs="Times New Roman"/>
                <w:lang w:eastAsia="zh-CN"/>
              </w:rPr>
              <w:t>排入</w:t>
            </w:r>
            <w:r>
              <w:rPr>
                <w:rFonts w:hint="eastAsia" w:cs="Times New Roman"/>
                <w:lang w:eastAsia="zh-CN"/>
              </w:rPr>
              <w:t>詹店镇</w:t>
            </w:r>
            <w:r>
              <w:rPr>
                <w:rFonts w:hint="default" w:ascii="Times New Roman" w:hAnsi="Times New Roman" w:cs="Times New Roman"/>
                <w:lang w:eastAsia="zh-CN"/>
              </w:rPr>
              <w:t>污水处理厂进一步处理</w:t>
            </w:r>
            <w:r>
              <w:rPr>
                <w:rFonts w:hint="eastAsia" w:cs="Times New Roman"/>
                <w:lang w:eastAsia="zh-CN"/>
              </w:rPr>
              <w:t>，</w:t>
            </w:r>
            <w:r>
              <w:rPr>
                <w:rFonts w:hint="default" w:ascii="Times New Roman" w:hAnsi="Times New Roman" w:cs="Times New Roman"/>
                <w:color w:val="auto"/>
              </w:rPr>
              <w:t>项目营运期废水污染源监测计划详见表4-</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4</w:t>
            </w:r>
            <w:r>
              <w:rPr>
                <w:rFonts w:hint="default" w:ascii="Times New Roman" w:hAnsi="Times New Roman" w:cs="Times New Roman"/>
                <w:color w:val="auto"/>
              </w:rPr>
              <w:t>。</w:t>
            </w:r>
          </w:p>
          <w:p w14:paraId="0974E822">
            <w:pPr>
              <w:pStyle w:val="30"/>
              <w:keepNext w:val="0"/>
              <w:keepLines w:val="0"/>
              <w:pageBreakBefore w:val="0"/>
              <w:widowControl w:val="0"/>
              <w:kinsoku/>
              <w:wordWrap/>
              <w:overflowPunct/>
              <w:topLinePunct w:val="0"/>
              <w:autoSpaceDE/>
              <w:autoSpaceDN/>
              <w:bidi w:val="0"/>
              <w:adjustRightInd/>
              <w:snapToGrid/>
              <w:spacing w:before="0" w:beforeLines="0"/>
              <w:ind w:firstLine="0" w:firstLineChars="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highlight w:val="none"/>
              </w:rPr>
              <w:t>表4-</w:t>
            </w:r>
            <w:r>
              <w:rPr>
                <w:rFonts w:hint="default" w:ascii="Times New Roman" w:hAnsi="Times New Roman" w:eastAsia="宋体" w:cs="Times New Roman"/>
                <w:b/>
                <w:bCs/>
                <w:color w:val="auto"/>
                <w:highlight w:val="none"/>
                <w:lang w:val="en-US" w:eastAsia="zh-CN"/>
              </w:rPr>
              <w:t>1</w:t>
            </w:r>
            <w:r>
              <w:rPr>
                <w:rFonts w:hint="eastAsia" w:ascii="Times New Roman" w:hAnsi="Times New Roman" w:eastAsia="宋体" w:cs="Times New Roman"/>
                <w:b/>
                <w:bCs/>
                <w:color w:val="auto"/>
                <w:highlight w:val="none"/>
                <w:lang w:val="en-US" w:eastAsia="zh-CN"/>
              </w:rPr>
              <w:t>4</w:t>
            </w:r>
            <w:r>
              <w:rPr>
                <w:rFonts w:hint="default" w:ascii="Times New Roman" w:hAnsi="Times New Roman" w:eastAsia="宋体" w:cs="Times New Roman"/>
                <w:b/>
                <w:bCs/>
                <w:color w:val="auto"/>
                <w:highlight w:val="none"/>
              </w:rPr>
              <w:t xml:space="preserve">  项目营运</w:t>
            </w:r>
            <w:r>
              <w:rPr>
                <w:rFonts w:hint="default" w:ascii="Times New Roman" w:hAnsi="Times New Roman" w:eastAsia="宋体" w:cs="Times New Roman"/>
                <w:b/>
                <w:bCs/>
                <w:color w:val="auto"/>
              </w:rPr>
              <w:t>期废水污染源监测计划表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58"/>
              <w:gridCol w:w="859"/>
              <w:gridCol w:w="1349"/>
              <w:gridCol w:w="1076"/>
              <w:gridCol w:w="4458"/>
            </w:tblGrid>
            <w:tr w14:paraId="24CB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01" w:type="pct"/>
                  <w:noWrap w:val="0"/>
                  <w:vAlign w:val="center"/>
                </w:tcPr>
                <w:p w14:paraId="4136974A">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污染源</w:t>
                  </w:r>
                </w:p>
              </w:tc>
              <w:tc>
                <w:tcPr>
                  <w:tcW w:w="488" w:type="pct"/>
                  <w:noWrap w:val="0"/>
                  <w:vAlign w:val="center"/>
                </w:tcPr>
                <w:p w14:paraId="38466399">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监测点</w:t>
                  </w:r>
                </w:p>
              </w:tc>
              <w:tc>
                <w:tcPr>
                  <w:tcW w:w="766" w:type="pct"/>
                  <w:noWrap w:val="0"/>
                  <w:vAlign w:val="center"/>
                </w:tcPr>
                <w:p w14:paraId="402FC12E">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监测项目</w:t>
                  </w:r>
                </w:p>
              </w:tc>
              <w:tc>
                <w:tcPr>
                  <w:tcW w:w="611" w:type="pct"/>
                  <w:noWrap w:val="0"/>
                  <w:vAlign w:val="center"/>
                </w:tcPr>
                <w:p w14:paraId="435FF8E5">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监测计划</w:t>
                  </w:r>
                </w:p>
              </w:tc>
              <w:tc>
                <w:tcPr>
                  <w:tcW w:w="2532" w:type="pct"/>
                  <w:noWrap w:val="0"/>
                  <w:vAlign w:val="center"/>
                </w:tcPr>
                <w:p w14:paraId="35A4AB62">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备注</w:t>
                  </w:r>
                </w:p>
              </w:tc>
            </w:tr>
            <w:tr w14:paraId="39E53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601" w:type="pct"/>
                  <w:noWrap w:val="0"/>
                  <w:vAlign w:val="center"/>
                </w:tcPr>
                <w:p w14:paraId="2A8BF05F">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生活污水</w:t>
                  </w:r>
                </w:p>
              </w:tc>
              <w:tc>
                <w:tcPr>
                  <w:tcW w:w="488" w:type="pct"/>
                  <w:noWrap w:val="0"/>
                  <w:vAlign w:val="center"/>
                </w:tcPr>
                <w:p w14:paraId="716BC5F2">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厂区总排放口</w:t>
                  </w:r>
                </w:p>
              </w:tc>
              <w:tc>
                <w:tcPr>
                  <w:tcW w:w="766" w:type="pct"/>
                  <w:noWrap w:val="0"/>
                  <w:vAlign w:val="center"/>
                </w:tcPr>
                <w:p w14:paraId="6614CEA2">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COD、SS、NH</w:t>
                  </w:r>
                  <w:r>
                    <w:rPr>
                      <w:rFonts w:hint="default" w:ascii="Times New Roman" w:hAnsi="Times New Roman" w:cs="Times New Roman"/>
                      <w:b w:val="0"/>
                      <w:bCs w:val="0"/>
                      <w:color w:val="auto"/>
                      <w:vertAlign w:val="subscript"/>
                    </w:rPr>
                    <w:t>3</w:t>
                  </w:r>
                  <w:r>
                    <w:rPr>
                      <w:rFonts w:hint="default" w:ascii="Times New Roman" w:hAnsi="Times New Roman" w:cs="Times New Roman"/>
                      <w:b w:val="0"/>
                      <w:bCs w:val="0"/>
                      <w:color w:val="auto"/>
                    </w:rPr>
                    <w:t>-N、TP</w:t>
                  </w:r>
                </w:p>
              </w:tc>
              <w:tc>
                <w:tcPr>
                  <w:tcW w:w="611" w:type="pct"/>
                  <w:noWrap w:val="0"/>
                  <w:vAlign w:val="center"/>
                </w:tcPr>
                <w:p w14:paraId="3AB1A57B">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1次/年</w:t>
                  </w:r>
                </w:p>
              </w:tc>
              <w:tc>
                <w:tcPr>
                  <w:tcW w:w="2532" w:type="pct"/>
                  <w:noWrap w:val="0"/>
                  <w:vAlign w:val="center"/>
                </w:tcPr>
                <w:p w14:paraId="47CEC138">
                  <w:pPr>
                    <w:pStyle w:val="32"/>
                    <w:keepNext w:val="0"/>
                    <w:keepLines w:val="0"/>
                    <w:pageBreakBefore w:val="0"/>
                    <w:widowControl w:val="0"/>
                    <w:kinsoku/>
                    <w:wordWrap/>
                    <w:overflowPunct/>
                    <w:topLinePunct w:val="0"/>
                    <w:autoSpaceDE/>
                    <w:autoSpaceDN/>
                    <w:bidi w:val="0"/>
                    <w:adjustRightInd w:val="0"/>
                    <w:snapToGrid w:val="0"/>
                    <w:spacing w:before="24" w:after="24" w:line="360" w:lineRule="atLeast"/>
                    <w:textAlignment w:val="auto"/>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《污水综合排放标准》（GB8978-1996）表4二级</w:t>
                  </w:r>
                  <w:r>
                    <w:rPr>
                      <w:rFonts w:hint="default" w:ascii="Times New Roman" w:hAnsi="Times New Roman" w:cs="Times New Roman"/>
                      <w:b w:val="0"/>
                      <w:bCs w:val="0"/>
                      <w:color w:val="auto"/>
                      <w:highlight w:val="none"/>
                      <w:lang w:val="en-US" w:eastAsia="zh-CN"/>
                    </w:rPr>
                    <w:t>及污水处理厂收水标准：</w:t>
                  </w:r>
                  <w:r>
                    <w:rPr>
                      <w:rFonts w:hint="default" w:ascii="Times New Roman" w:hAnsi="Times New Roman" w:cs="Times New Roman"/>
                      <w:b w:val="0"/>
                      <w:bCs w:val="0"/>
                      <w:color w:val="auto"/>
                      <w:highlight w:val="none"/>
                    </w:rPr>
                    <w:t>COD：150mg/L，SS：150mg/L，NH</w:t>
                  </w:r>
                  <w:r>
                    <w:rPr>
                      <w:rFonts w:hint="default" w:ascii="Times New Roman" w:hAnsi="Times New Roman" w:cs="Times New Roman"/>
                      <w:b w:val="0"/>
                      <w:bCs w:val="0"/>
                      <w:color w:val="auto"/>
                      <w:highlight w:val="none"/>
                      <w:vertAlign w:val="subscript"/>
                    </w:rPr>
                    <w:t>3</w:t>
                  </w:r>
                  <w:r>
                    <w:rPr>
                      <w:rFonts w:hint="default" w:ascii="Times New Roman" w:hAnsi="Times New Roman" w:cs="Times New Roman"/>
                      <w:b w:val="0"/>
                      <w:bCs w:val="0"/>
                      <w:color w:val="auto"/>
                      <w:highlight w:val="none"/>
                    </w:rPr>
                    <w:t>-N：25mg/L，TP：1mg/L</w:t>
                  </w:r>
                </w:p>
              </w:tc>
            </w:tr>
          </w:tbl>
          <w:p w14:paraId="4058BB03">
            <w:pPr>
              <w:pStyle w:val="35"/>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color w:val="auto"/>
                <w:sz w:val="24"/>
                <w:highlight w:val="lightGray"/>
                <w:lang w:bidi="ar"/>
              </w:rPr>
            </w:pPr>
            <w:r>
              <w:rPr>
                <w:rFonts w:hint="default" w:ascii="Times New Roman" w:hAnsi="Times New Roman" w:cs="Times New Roman"/>
                <w:color w:val="auto"/>
              </w:rPr>
              <w:t>综上所述，经采取以上措施后，</w:t>
            </w:r>
            <w:r>
              <w:rPr>
                <w:rFonts w:hint="default" w:ascii="Times New Roman" w:hAnsi="Times New Roman" w:cs="Times New Roman"/>
                <w:color w:val="auto"/>
                <w:lang w:eastAsia="zh-CN"/>
              </w:rPr>
              <w:t>本项目</w:t>
            </w:r>
            <w:r>
              <w:rPr>
                <w:rFonts w:hint="default" w:ascii="Times New Roman" w:hAnsi="Times New Roman" w:cs="Times New Roman"/>
                <w:color w:val="auto"/>
              </w:rPr>
              <w:t>排放废水对周围环境影响可以接受</w:t>
            </w:r>
            <w:r>
              <w:rPr>
                <w:rFonts w:hint="default" w:ascii="Times New Roman" w:hAnsi="Times New Roman" w:cs="Times New Roman"/>
                <w:color w:val="auto"/>
                <w:sz w:val="24"/>
                <w:highlight w:val="none"/>
                <w:lang w:bidi="ar"/>
              </w:rPr>
              <w:t>。</w:t>
            </w:r>
          </w:p>
          <w:p w14:paraId="1704A938">
            <w:pPr>
              <w:keepNext/>
              <w:keepLines/>
              <w:spacing w:line="520" w:lineRule="atLeast"/>
              <w:ind w:firstLine="0" w:firstLineChars="0"/>
              <w:outlineLvl w:val="1"/>
              <w:rPr>
                <w:rFonts w:hint="default" w:ascii="Times New Roman" w:hAnsi="Times New Roman" w:cs="Times New Roman"/>
                <w:b/>
                <w:highlight w:val="none"/>
              </w:rPr>
            </w:pPr>
            <w:r>
              <w:rPr>
                <w:rFonts w:hint="eastAsia" w:cs="Times New Roman"/>
                <w:b/>
                <w:highlight w:val="none"/>
                <w:lang w:eastAsia="zh-CN"/>
              </w:rPr>
              <w:t>三</w:t>
            </w:r>
            <w:r>
              <w:rPr>
                <w:rFonts w:hint="default" w:ascii="Times New Roman" w:hAnsi="Times New Roman" w:cs="Times New Roman"/>
                <w:b/>
                <w:highlight w:val="none"/>
              </w:rPr>
              <w:t>、声环境影响分析</w:t>
            </w:r>
          </w:p>
          <w:p w14:paraId="37A39BF2">
            <w:pPr>
              <w:keepNext/>
              <w:keepLines/>
              <w:spacing w:line="520" w:lineRule="atLeast"/>
              <w:ind w:firstLine="480" w:firstLineChars="0"/>
              <w:outlineLvl w:val="1"/>
              <w:rPr>
                <w:rFonts w:hint="default" w:ascii="Times New Roman" w:hAnsi="Times New Roman" w:cs="Times New Roman"/>
                <w:b/>
                <w:highlight w:val="none"/>
              </w:rPr>
            </w:pPr>
            <w:r>
              <w:rPr>
                <w:rFonts w:hint="default" w:ascii="Times New Roman" w:hAnsi="Times New Roman" w:cs="Times New Roman"/>
                <w:b/>
                <w:highlight w:val="none"/>
              </w:rPr>
              <w:t>3.1噪声源强及降噪措施分析</w:t>
            </w:r>
          </w:p>
          <w:p w14:paraId="12574AB5">
            <w:pPr>
              <w:ind w:firstLine="480"/>
              <w:rPr>
                <w:rFonts w:hint="default" w:ascii="Times New Roman" w:hAnsi="Times New Roman" w:cs="Times New Roman"/>
                <w:highlight w:val="none"/>
              </w:rPr>
            </w:pPr>
            <w:r>
              <w:rPr>
                <w:rFonts w:hint="default" w:ascii="Times New Roman" w:hAnsi="Times New Roman" w:cs="Times New Roman"/>
              </w:rPr>
              <w:t>本项目噪声主要来源于生产过程中高噪声设备运行产生的机械噪声和废气处理设施风机等产生的空气动力性噪声</w:t>
            </w:r>
            <w:r>
              <w:rPr>
                <w:rFonts w:hint="default" w:ascii="Times New Roman" w:hAnsi="Times New Roman" w:cs="Times New Roman"/>
                <w:highlight w:val="none"/>
              </w:rPr>
              <w:t>，噪声源强为7</w:t>
            </w:r>
            <w:r>
              <w:rPr>
                <w:rFonts w:hint="eastAsia" w:cs="Times New Roman"/>
                <w:highlight w:val="none"/>
                <w:lang w:val="en-US" w:eastAsia="zh-CN"/>
              </w:rPr>
              <w:t>5</w:t>
            </w:r>
            <w:r>
              <w:rPr>
                <w:rFonts w:hint="default" w:ascii="Times New Roman" w:hAnsi="Times New Roman" w:cs="Times New Roman"/>
                <w:highlight w:val="none"/>
              </w:rPr>
              <w:t>-85dB(A)。</w:t>
            </w:r>
          </w:p>
          <w:p w14:paraId="44EF51D9">
            <w:pPr>
              <w:ind w:firstLine="480"/>
              <w:rPr>
                <w:rFonts w:hint="default" w:ascii="Times New Roman" w:hAnsi="Times New Roman" w:cs="Times New Roman"/>
              </w:rPr>
            </w:pPr>
            <w:r>
              <w:rPr>
                <w:rFonts w:hint="default" w:ascii="Times New Roman" w:hAnsi="Times New Roman" w:cs="Times New Roman"/>
                <w:highlight w:val="none"/>
              </w:rPr>
              <w:t>本项目高噪声设备噪声源强及治理情况见下表。</w:t>
            </w:r>
          </w:p>
        </w:tc>
      </w:tr>
    </w:tbl>
    <w:p w14:paraId="493DB6C4">
      <w:pPr>
        <w:adjustRightInd w:val="0"/>
        <w:snapToGrid w:val="0"/>
        <w:spacing w:line="360" w:lineRule="auto"/>
        <w:ind w:firstLine="562"/>
        <w:rPr>
          <w:rFonts w:hint="default" w:ascii="Times New Roman" w:hAnsi="Times New Roman" w:cs="Times New Roman"/>
          <w:b/>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28"/>
      </w:tblGrid>
      <w:tr w14:paraId="34972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8" w:hRule="atLeast"/>
        </w:trPr>
        <w:tc>
          <w:tcPr>
            <w:tcW w:w="9061" w:type="dxa"/>
            <w:noWrap w:val="0"/>
            <w:vAlign w:val="top"/>
          </w:tcPr>
          <w:p w14:paraId="5B3B8519">
            <w:pPr>
              <w:pStyle w:val="28"/>
              <w:rPr>
                <w:rFonts w:hint="default" w:ascii="Times New Roman" w:hAnsi="Times New Roman" w:cs="Times New Roman"/>
              </w:rPr>
            </w:pPr>
            <w:r>
              <w:rPr>
                <w:rFonts w:hint="default" w:ascii="Times New Roman" w:hAnsi="Times New Roman" w:cs="Times New Roman"/>
              </w:rPr>
              <w:t>表4-</w:t>
            </w:r>
            <w:r>
              <w:rPr>
                <w:rFonts w:hint="default" w:ascii="Times New Roman" w:hAnsi="Times New Roman" w:cs="Times New Roman"/>
                <w:lang w:val="en-US" w:eastAsia="zh-CN"/>
              </w:rPr>
              <w:t>1</w:t>
            </w:r>
            <w:r>
              <w:rPr>
                <w:rFonts w:hint="eastAsia" w:cs="Times New Roman"/>
                <w:lang w:val="en-US" w:eastAsia="zh-CN"/>
              </w:rPr>
              <w:t>5</w:t>
            </w:r>
            <w:r>
              <w:rPr>
                <w:rFonts w:hint="default" w:ascii="Times New Roman" w:hAnsi="Times New Roman" w:cs="Times New Roman"/>
              </w:rPr>
              <w:t xml:space="preserve">  工业企业噪声源强调查清单（室外声源）</w:t>
            </w:r>
          </w:p>
          <w:tbl>
            <w:tblPr>
              <w:tblStyle w:val="15"/>
              <w:tblW w:w="49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2441"/>
              <w:gridCol w:w="722"/>
              <w:gridCol w:w="1184"/>
              <w:gridCol w:w="1399"/>
              <w:gridCol w:w="1219"/>
              <w:gridCol w:w="2150"/>
              <w:gridCol w:w="1822"/>
              <w:gridCol w:w="1232"/>
            </w:tblGrid>
            <w:tr w14:paraId="49F9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647" w:type="dxa"/>
                  <w:vMerge w:val="restart"/>
                  <w:noWrap w:val="0"/>
                  <w:vAlign w:val="center"/>
                </w:tcPr>
                <w:p w14:paraId="2E18E558">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序号</w:t>
                  </w:r>
                </w:p>
              </w:tc>
              <w:tc>
                <w:tcPr>
                  <w:tcW w:w="2441" w:type="dxa"/>
                  <w:vMerge w:val="restart"/>
                  <w:noWrap w:val="0"/>
                  <w:vAlign w:val="center"/>
                </w:tcPr>
                <w:p w14:paraId="240DED7B">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声源名称</w:t>
                  </w:r>
                </w:p>
              </w:tc>
              <w:tc>
                <w:tcPr>
                  <w:tcW w:w="722" w:type="dxa"/>
                  <w:vMerge w:val="restart"/>
                  <w:noWrap w:val="0"/>
                  <w:vAlign w:val="center"/>
                </w:tcPr>
                <w:p w14:paraId="09AD861B">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型号</w:t>
                  </w:r>
                </w:p>
              </w:tc>
              <w:tc>
                <w:tcPr>
                  <w:tcW w:w="3802" w:type="dxa"/>
                  <w:gridSpan w:val="3"/>
                  <w:noWrap w:val="0"/>
                  <w:vAlign w:val="center"/>
                </w:tcPr>
                <w:p w14:paraId="49BF1200">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空间相对位置/m</w:t>
                  </w:r>
                </w:p>
              </w:tc>
              <w:tc>
                <w:tcPr>
                  <w:tcW w:w="2150" w:type="dxa"/>
                  <w:noWrap w:val="0"/>
                  <w:vAlign w:val="center"/>
                </w:tcPr>
                <w:p w14:paraId="21C3C566">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声源源强</w:t>
                  </w:r>
                </w:p>
              </w:tc>
              <w:tc>
                <w:tcPr>
                  <w:tcW w:w="1822" w:type="dxa"/>
                  <w:vMerge w:val="restart"/>
                  <w:noWrap w:val="0"/>
                  <w:vAlign w:val="center"/>
                </w:tcPr>
                <w:p w14:paraId="2B8E75AF">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声源控制措施</w:t>
                  </w:r>
                </w:p>
              </w:tc>
              <w:tc>
                <w:tcPr>
                  <w:tcW w:w="1232" w:type="dxa"/>
                  <w:vMerge w:val="restart"/>
                  <w:noWrap w:val="0"/>
                  <w:vAlign w:val="center"/>
                </w:tcPr>
                <w:p w14:paraId="5F0DDFA7">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运行时段</w:t>
                  </w:r>
                </w:p>
              </w:tc>
            </w:tr>
            <w:tr w14:paraId="4C828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647" w:type="dxa"/>
                  <w:vMerge w:val="continue"/>
                  <w:noWrap w:val="0"/>
                  <w:vAlign w:val="center"/>
                </w:tcPr>
                <w:p w14:paraId="2676666B">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p>
              </w:tc>
              <w:tc>
                <w:tcPr>
                  <w:tcW w:w="2441" w:type="dxa"/>
                  <w:vMerge w:val="continue"/>
                  <w:noWrap w:val="0"/>
                  <w:vAlign w:val="center"/>
                </w:tcPr>
                <w:p w14:paraId="60B708DF">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p>
              </w:tc>
              <w:tc>
                <w:tcPr>
                  <w:tcW w:w="722" w:type="dxa"/>
                  <w:vMerge w:val="continue"/>
                  <w:noWrap w:val="0"/>
                  <w:vAlign w:val="center"/>
                </w:tcPr>
                <w:p w14:paraId="620AC54C">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p>
              </w:tc>
              <w:tc>
                <w:tcPr>
                  <w:tcW w:w="1184" w:type="dxa"/>
                  <w:noWrap w:val="0"/>
                  <w:vAlign w:val="center"/>
                </w:tcPr>
                <w:p w14:paraId="4BD6D029">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X</w:t>
                  </w:r>
                </w:p>
              </w:tc>
              <w:tc>
                <w:tcPr>
                  <w:tcW w:w="1399" w:type="dxa"/>
                  <w:noWrap w:val="0"/>
                  <w:vAlign w:val="center"/>
                </w:tcPr>
                <w:p w14:paraId="06C8729F">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Y</w:t>
                  </w:r>
                </w:p>
              </w:tc>
              <w:tc>
                <w:tcPr>
                  <w:tcW w:w="1219" w:type="dxa"/>
                  <w:noWrap w:val="0"/>
                  <w:vAlign w:val="center"/>
                </w:tcPr>
                <w:p w14:paraId="2E9D4A84">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Z</w:t>
                  </w:r>
                </w:p>
              </w:tc>
              <w:tc>
                <w:tcPr>
                  <w:tcW w:w="2150" w:type="dxa"/>
                  <w:noWrap w:val="0"/>
                  <w:vAlign w:val="center"/>
                </w:tcPr>
                <w:p w14:paraId="048BC1EA">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rPr>
                    <w:t>声功率级/dB（A）</w:t>
                  </w:r>
                </w:p>
              </w:tc>
              <w:tc>
                <w:tcPr>
                  <w:tcW w:w="1822" w:type="dxa"/>
                  <w:vMerge w:val="continue"/>
                  <w:noWrap w:val="0"/>
                  <w:vAlign w:val="center"/>
                </w:tcPr>
                <w:p w14:paraId="2757ADA0">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p>
              </w:tc>
              <w:tc>
                <w:tcPr>
                  <w:tcW w:w="1232" w:type="dxa"/>
                  <w:vMerge w:val="continue"/>
                  <w:noWrap w:val="0"/>
                  <w:vAlign w:val="center"/>
                </w:tcPr>
                <w:p w14:paraId="51711A4B">
                  <w:pPr>
                    <w:pStyle w:val="28"/>
                    <w:keepNext w:val="0"/>
                    <w:keepLines w:val="0"/>
                    <w:pageBreakBefore w:val="0"/>
                    <w:widowControl w:val="0"/>
                    <w:kinsoku/>
                    <w:wordWrap/>
                    <w:overflowPunct/>
                    <w:topLinePunct w:val="0"/>
                    <w:autoSpaceDE/>
                    <w:autoSpaceDN/>
                    <w:bidi w:val="0"/>
                    <w:adjustRightInd/>
                    <w:spacing w:line="360" w:lineRule="exact"/>
                    <w:textAlignment w:val="auto"/>
                    <w:rPr>
                      <w:rFonts w:hint="default" w:ascii="Times New Roman" w:hAnsi="Times New Roman" w:cs="Times New Roman"/>
                      <w:b w:val="0"/>
                      <w:bCs w:val="0"/>
                      <w:sz w:val="21"/>
                    </w:rPr>
                  </w:pPr>
                </w:p>
              </w:tc>
            </w:tr>
            <w:tr w14:paraId="740B4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647" w:type="dxa"/>
                  <w:noWrap w:val="0"/>
                  <w:vAlign w:val="center"/>
                </w:tcPr>
                <w:p w14:paraId="0BEC34B4">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cs="Times New Roman"/>
                      <w:b w:val="0"/>
                      <w:bCs w:val="0"/>
                      <w:kern w:val="2"/>
                      <w:sz w:val="21"/>
                      <w:szCs w:val="22"/>
                      <w:lang w:val="en-US" w:eastAsia="zh-CN" w:bidi="ar-SA"/>
                    </w:rPr>
                  </w:pPr>
                  <w:r>
                    <w:rPr>
                      <w:rFonts w:hint="default" w:ascii="Times New Roman" w:hAnsi="Times New Roman" w:cs="Times New Roman"/>
                      <w:b w:val="0"/>
                      <w:bCs w:val="0"/>
                      <w:sz w:val="21"/>
                    </w:rPr>
                    <w:t>1</w:t>
                  </w:r>
                </w:p>
              </w:tc>
              <w:tc>
                <w:tcPr>
                  <w:tcW w:w="2441" w:type="dxa"/>
                  <w:noWrap w:val="0"/>
                  <w:vAlign w:val="center"/>
                </w:tcPr>
                <w:p w14:paraId="08C88A91">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eastAsia="宋体" w:cs="Times New Roman"/>
                      <w:b w:val="0"/>
                      <w:bCs w:val="0"/>
                      <w:kern w:val="2"/>
                      <w:sz w:val="21"/>
                      <w:szCs w:val="22"/>
                      <w:lang w:val="en-US" w:eastAsia="zh-CN" w:bidi="ar-SA"/>
                    </w:rPr>
                  </w:pPr>
                  <w:r>
                    <w:rPr>
                      <w:rFonts w:hint="eastAsia" w:cs="Times New Roman"/>
                      <w:b w:val="0"/>
                      <w:bCs w:val="0"/>
                      <w:kern w:val="2"/>
                      <w:sz w:val="21"/>
                      <w:szCs w:val="22"/>
                      <w:lang w:val="en-US" w:eastAsia="zh-CN" w:bidi="ar-SA"/>
                    </w:rPr>
                    <w:t>风机</w:t>
                  </w:r>
                </w:p>
              </w:tc>
              <w:tc>
                <w:tcPr>
                  <w:tcW w:w="722" w:type="dxa"/>
                  <w:noWrap w:val="0"/>
                  <w:vAlign w:val="center"/>
                </w:tcPr>
                <w:p w14:paraId="723C6786">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cs="Times New Roman"/>
                      <w:b w:val="0"/>
                      <w:bCs w:val="0"/>
                      <w:kern w:val="2"/>
                      <w:sz w:val="21"/>
                      <w:szCs w:val="22"/>
                      <w:lang w:val="en-US" w:eastAsia="zh-CN" w:bidi="ar-SA"/>
                    </w:rPr>
                  </w:pPr>
                  <w:r>
                    <w:rPr>
                      <w:rFonts w:hint="default" w:ascii="Times New Roman" w:hAnsi="Times New Roman" w:cs="Times New Roman"/>
                      <w:b w:val="0"/>
                      <w:bCs w:val="0"/>
                      <w:sz w:val="21"/>
                    </w:rPr>
                    <w:t>/</w:t>
                  </w:r>
                </w:p>
              </w:tc>
              <w:tc>
                <w:tcPr>
                  <w:tcW w:w="1184" w:type="dxa"/>
                  <w:noWrap w:val="0"/>
                  <w:vAlign w:val="center"/>
                </w:tcPr>
                <w:p w14:paraId="6A8880FD">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eastAsia="宋体" w:cs="Times New Roman"/>
                      <w:b w:val="0"/>
                      <w:bCs w:val="0"/>
                      <w:kern w:val="2"/>
                      <w:sz w:val="21"/>
                      <w:szCs w:val="22"/>
                      <w:lang w:val="en-US" w:eastAsia="zh-CN" w:bidi="ar-SA"/>
                    </w:rPr>
                  </w:pPr>
                  <w:r>
                    <w:rPr>
                      <w:rFonts w:hint="eastAsia" w:cs="Times New Roman"/>
                      <w:b w:val="0"/>
                      <w:bCs w:val="0"/>
                      <w:sz w:val="21"/>
                      <w:lang w:val="en-US" w:eastAsia="zh-CN"/>
                    </w:rPr>
                    <w:t>5</w:t>
                  </w:r>
                </w:p>
              </w:tc>
              <w:tc>
                <w:tcPr>
                  <w:tcW w:w="1399" w:type="dxa"/>
                  <w:noWrap w:val="0"/>
                  <w:vAlign w:val="center"/>
                </w:tcPr>
                <w:p w14:paraId="27DD0E88">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cs="Times New Roman"/>
                      <w:b w:val="0"/>
                      <w:bCs w:val="0"/>
                      <w:kern w:val="2"/>
                      <w:sz w:val="21"/>
                      <w:szCs w:val="22"/>
                      <w:lang w:val="en-US" w:eastAsia="zh-CN" w:bidi="ar-SA"/>
                    </w:rPr>
                  </w:pPr>
                  <w:r>
                    <w:rPr>
                      <w:rFonts w:hint="eastAsia" w:cs="Times New Roman"/>
                      <w:b w:val="0"/>
                      <w:bCs w:val="0"/>
                      <w:sz w:val="21"/>
                      <w:lang w:val="en-US" w:eastAsia="zh-CN"/>
                    </w:rPr>
                    <w:t>35</w:t>
                  </w:r>
                </w:p>
              </w:tc>
              <w:tc>
                <w:tcPr>
                  <w:tcW w:w="1219" w:type="dxa"/>
                  <w:noWrap w:val="0"/>
                  <w:vAlign w:val="center"/>
                </w:tcPr>
                <w:p w14:paraId="71384A83">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cs="Times New Roman"/>
                      <w:b w:val="0"/>
                      <w:bCs w:val="0"/>
                      <w:kern w:val="2"/>
                      <w:sz w:val="21"/>
                      <w:szCs w:val="22"/>
                      <w:lang w:val="en-US" w:eastAsia="zh-CN" w:bidi="ar-SA"/>
                    </w:rPr>
                  </w:pPr>
                  <w:r>
                    <w:rPr>
                      <w:rFonts w:hint="default" w:ascii="Times New Roman" w:hAnsi="Times New Roman" w:cs="Times New Roman"/>
                      <w:b w:val="0"/>
                      <w:bCs w:val="0"/>
                      <w:sz w:val="21"/>
                    </w:rPr>
                    <w:t>1.2</w:t>
                  </w:r>
                </w:p>
              </w:tc>
              <w:tc>
                <w:tcPr>
                  <w:tcW w:w="2150" w:type="dxa"/>
                  <w:noWrap w:val="0"/>
                  <w:vAlign w:val="center"/>
                </w:tcPr>
                <w:p w14:paraId="3156BD0F">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eastAsia="宋体" w:cs="Times New Roman"/>
                      <w:b w:val="0"/>
                      <w:bCs w:val="0"/>
                      <w:kern w:val="2"/>
                      <w:sz w:val="21"/>
                      <w:szCs w:val="22"/>
                      <w:lang w:val="en-US" w:eastAsia="zh-CN" w:bidi="ar-SA"/>
                    </w:rPr>
                  </w:pPr>
                  <w:r>
                    <w:rPr>
                      <w:rFonts w:hint="eastAsia" w:cs="Times New Roman"/>
                      <w:b w:val="0"/>
                      <w:bCs w:val="0"/>
                      <w:kern w:val="2"/>
                      <w:sz w:val="21"/>
                      <w:szCs w:val="22"/>
                      <w:lang w:val="en-US" w:eastAsia="zh-CN" w:bidi="ar-SA"/>
                    </w:rPr>
                    <w:t>8</w:t>
                  </w:r>
                  <w:r>
                    <w:rPr>
                      <w:rFonts w:hint="default" w:ascii="Times New Roman" w:hAnsi="Times New Roman" w:cs="Times New Roman"/>
                      <w:b w:val="0"/>
                      <w:bCs w:val="0"/>
                      <w:kern w:val="2"/>
                      <w:sz w:val="21"/>
                      <w:szCs w:val="22"/>
                      <w:lang w:val="en-US" w:eastAsia="zh-CN" w:bidi="ar-SA"/>
                    </w:rPr>
                    <w:t>5</w:t>
                  </w:r>
                </w:p>
              </w:tc>
              <w:tc>
                <w:tcPr>
                  <w:tcW w:w="1822" w:type="dxa"/>
                  <w:noWrap w:val="0"/>
                  <w:vAlign w:val="center"/>
                </w:tcPr>
                <w:p w14:paraId="180283D2">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cs="Times New Roman"/>
                      <w:b w:val="0"/>
                      <w:bCs w:val="0"/>
                      <w:kern w:val="2"/>
                      <w:sz w:val="21"/>
                      <w:szCs w:val="22"/>
                      <w:lang w:val="en-US" w:eastAsia="zh-CN" w:bidi="ar-SA"/>
                    </w:rPr>
                  </w:pPr>
                  <w:r>
                    <w:rPr>
                      <w:rFonts w:hint="default" w:ascii="Times New Roman" w:hAnsi="Times New Roman" w:cs="Times New Roman"/>
                      <w:b w:val="0"/>
                      <w:bCs w:val="0"/>
                      <w:sz w:val="21"/>
                    </w:rPr>
                    <w:t>选用低噪声设备、基础减振</w:t>
                  </w:r>
                </w:p>
              </w:tc>
              <w:tc>
                <w:tcPr>
                  <w:tcW w:w="1232" w:type="dxa"/>
                  <w:noWrap w:val="0"/>
                  <w:vAlign w:val="center"/>
                </w:tcPr>
                <w:p w14:paraId="57F45BD6">
                  <w:pPr>
                    <w:pStyle w:val="28"/>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ascii="Times New Roman" w:hAnsi="Times New Roman" w:cs="Times New Roman"/>
                      <w:b w:val="0"/>
                      <w:bCs w:val="0"/>
                      <w:kern w:val="2"/>
                      <w:sz w:val="21"/>
                      <w:szCs w:val="22"/>
                      <w:lang w:val="en-US" w:eastAsia="zh-CN" w:bidi="ar-SA"/>
                    </w:rPr>
                  </w:pPr>
                  <w:r>
                    <w:rPr>
                      <w:rFonts w:hint="default" w:ascii="Times New Roman" w:hAnsi="Times New Roman" w:cs="Times New Roman"/>
                      <w:b w:val="0"/>
                      <w:bCs w:val="0"/>
                      <w:sz w:val="21"/>
                    </w:rPr>
                    <w:t>昼间</w:t>
                  </w:r>
                </w:p>
              </w:tc>
            </w:tr>
            <w:tr w14:paraId="2DB11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816" w:type="dxa"/>
                  <w:gridSpan w:val="9"/>
                  <w:noWrap w:val="0"/>
                  <w:vAlign w:val="center"/>
                </w:tcPr>
                <w:p w14:paraId="39381C9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left"/>
                    <w:textAlignment w:val="auto"/>
                    <w:rPr>
                      <w:rFonts w:hint="default" w:ascii="Times New Roman" w:hAnsi="Times New Roman" w:cs="Times New Roman"/>
                      <w:b w:val="0"/>
                      <w:bCs w:val="0"/>
                      <w:sz w:val="21"/>
                    </w:rPr>
                  </w:pPr>
                  <w:r>
                    <w:rPr>
                      <w:rFonts w:hint="default" w:ascii="Times New Roman" w:hAnsi="Times New Roman" w:cs="Times New Roman"/>
                      <w:b w:val="0"/>
                      <w:bCs w:val="0"/>
                      <w:sz w:val="21"/>
                      <w:szCs w:val="22"/>
                    </w:rPr>
                    <w:t>注：表中坐标</w:t>
                  </w:r>
                  <w:r>
                    <w:rPr>
                      <w:rFonts w:hint="default" w:ascii="Times New Roman" w:hAnsi="Times New Roman" w:cs="Times New Roman"/>
                      <w:b w:val="0"/>
                      <w:bCs w:val="0"/>
                      <w:sz w:val="21"/>
                      <w:szCs w:val="22"/>
                      <w:highlight w:val="none"/>
                    </w:rPr>
                    <w:t>以厂界</w:t>
                  </w:r>
                  <w:r>
                    <w:rPr>
                      <w:rFonts w:hint="default" w:ascii="Times New Roman" w:hAnsi="Times New Roman" w:cs="Times New Roman"/>
                      <w:b w:val="0"/>
                      <w:bCs w:val="0"/>
                      <w:sz w:val="21"/>
                      <w:szCs w:val="22"/>
                      <w:highlight w:val="none"/>
                      <w:lang w:eastAsia="zh-CN"/>
                    </w:rPr>
                    <w:t>西南角</w:t>
                  </w:r>
                  <w:r>
                    <w:rPr>
                      <w:rFonts w:hint="default" w:ascii="Times New Roman" w:hAnsi="Times New Roman" w:cs="Times New Roman"/>
                      <w:b w:val="0"/>
                      <w:bCs w:val="0"/>
                      <w:sz w:val="21"/>
                      <w:szCs w:val="22"/>
                    </w:rPr>
                    <w:t>（</w:t>
                  </w:r>
                  <w:bookmarkStart w:id="1" w:name="PO_6"/>
                  <w:r>
                    <w:rPr>
                      <w:rFonts w:hint="default" w:ascii="Times New Roman" w:hAnsi="Times New Roman" w:cs="Times New Roman"/>
                      <w:b w:val="0"/>
                      <w:bCs w:val="0"/>
                      <w:sz w:val="21"/>
                      <w:szCs w:val="22"/>
                      <w:highlight w:val="none"/>
                    </w:rPr>
                    <w:t>113.</w:t>
                  </w:r>
                  <w:r>
                    <w:rPr>
                      <w:rFonts w:hint="eastAsia" w:cs="Times New Roman"/>
                      <w:b w:val="0"/>
                      <w:bCs w:val="0"/>
                      <w:sz w:val="21"/>
                      <w:szCs w:val="22"/>
                      <w:highlight w:val="none"/>
                      <w:lang w:val="en-US" w:eastAsia="zh-CN"/>
                    </w:rPr>
                    <w:t>563529</w:t>
                  </w:r>
                  <w:r>
                    <w:rPr>
                      <w:rFonts w:hint="default" w:ascii="Times New Roman" w:hAnsi="Times New Roman" w:cs="Times New Roman"/>
                      <w:b w:val="0"/>
                      <w:bCs w:val="0"/>
                      <w:sz w:val="21"/>
                      <w:szCs w:val="22"/>
                      <w:highlight w:val="none"/>
                    </w:rPr>
                    <w:t>°，</w:t>
                  </w:r>
                  <w:bookmarkEnd w:id="1"/>
                  <w:r>
                    <w:rPr>
                      <w:rFonts w:hint="default" w:ascii="Times New Roman" w:hAnsi="Times New Roman" w:cs="Times New Roman"/>
                      <w:b w:val="0"/>
                      <w:bCs w:val="0"/>
                      <w:sz w:val="21"/>
                      <w:szCs w:val="22"/>
                      <w:highlight w:val="none"/>
                      <w:lang w:val="en-US" w:eastAsia="zh-CN"/>
                    </w:rPr>
                    <w:t>35.</w:t>
                  </w:r>
                  <w:r>
                    <w:rPr>
                      <w:rFonts w:hint="eastAsia" w:cs="Times New Roman"/>
                      <w:b w:val="0"/>
                      <w:bCs w:val="0"/>
                      <w:sz w:val="21"/>
                      <w:szCs w:val="22"/>
                      <w:highlight w:val="none"/>
                      <w:lang w:val="en-US" w:eastAsia="zh-CN"/>
                    </w:rPr>
                    <w:t>048468</w:t>
                  </w:r>
                  <w:r>
                    <w:rPr>
                      <w:rFonts w:hint="default" w:ascii="Times New Roman" w:hAnsi="Times New Roman" w:cs="Times New Roman"/>
                      <w:b w:val="0"/>
                      <w:bCs w:val="0"/>
                      <w:sz w:val="21"/>
                      <w:szCs w:val="22"/>
                      <w:highlight w:val="none"/>
                    </w:rPr>
                    <w:t>°</w:t>
                  </w:r>
                  <w:r>
                    <w:rPr>
                      <w:rFonts w:hint="default" w:ascii="Times New Roman" w:hAnsi="Times New Roman" w:cs="Times New Roman"/>
                      <w:b w:val="0"/>
                      <w:bCs w:val="0"/>
                      <w:sz w:val="21"/>
                      <w:szCs w:val="22"/>
                    </w:rPr>
                    <w:t>）为坐标原点，正东向为X轴正方向，正北向为Y轴正方向。</w:t>
                  </w:r>
                </w:p>
              </w:tc>
            </w:tr>
          </w:tbl>
          <w:p w14:paraId="140B55E0">
            <w:pPr>
              <w:pStyle w:val="28"/>
              <w:keepNext w:val="0"/>
              <w:keepLines w:val="0"/>
              <w:pageBreakBefore w:val="0"/>
              <w:widowControl w:val="0"/>
              <w:kinsoku/>
              <w:wordWrap/>
              <w:overflowPunct/>
              <w:topLinePunct w:val="0"/>
              <w:autoSpaceDE/>
              <w:autoSpaceDN/>
              <w:bidi w:val="0"/>
              <w:adjustRightInd/>
              <w:snapToGrid/>
              <w:spacing w:line="460" w:lineRule="atLeas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表4-</w:t>
            </w:r>
            <w:r>
              <w:rPr>
                <w:rFonts w:hint="default" w:ascii="Times New Roman" w:hAnsi="Times New Roman" w:cs="Times New Roman"/>
                <w:highlight w:val="none"/>
                <w:lang w:val="en-US" w:eastAsia="zh-CN"/>
              </w:rPr>
              <w:t>1</w:t>
            </w:r>
            <w:r>
              <w:rPr>
                <w:rFonts w:hint="eastAsia" w:cs="Times New Roman"/>
                <w:highlight w:val="none"/>
                <w:lang w:val="en-US" w:eastAsia="zh-CN"/>
              </w:rPr>
              <w:t>6</w:t>
            </w:r>
            <w:r>
              <w:rPr>
                <w:rFonts w:hint="default" w:ascii="Times New Roman" w:hAnsi="Times New Roman" w:cs="Times New Roman"/>
                <w:highlight w:val="none"/>
              </w:rPr>
              <w:t xml:space="preserve">  工业企业噪声源强调查清单（室</w:t>
            </w:r>
            <w:r>
              <w:rPr>
                <w:rFonts w:hint="default" w:ascii="Times New Roman" w:hAnsi="Times New Roman" w:cs="Times New Roman"/>
                <w:highlight w:val="none"/>
                <w:lang w:eastAsia="zh-CN"/>
              </w:rPr>
              <w:t>内</w:t>
            </w:r>
            <w:r>
              <w:rPr>
                <w:rFonts w:hint="default" w:ascii="Times New Roman" w:hAnsi="Times New Roman" w:cs="Times New Roman"/>
                <w:highlight w:val="none"/>
              </w:rPr>
              <w:t>声源）</w:t>
            </w:r>
          </w:p>
          <w:tbl>
            <w:tblPr>
              <w:tblStyle w:val="15"/>
              <w:tblpPr w:leftFromText="180" w:rightFromText="180" w:vertAnchor="text" w:horzAnchor="page" w:tblpXSpec="center" w:tblpY="323"/>
              <w:tblOverlap w:val="never"/>
              <w:tblW w:w="4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654"/>
              <w:gridCol w:w="1662"/>
              <w:gridCol w:w="1173"/>
              <w:gridCol w:w="858"/>
              <w:gridCol w:w="872"/>
              <w:gridCol w:w="855"/>
              <w:gridCol w:w="907"/>
              <w:gridCol w:w="1005"/>
              <w:gridCol w:w="870"/>
              <w:gridCol w:w="722"/>
              <w:gridCol w:w="1060"/>
              <w:gridCol w:w="848"/>
              <w:gridCol w:w="798"/>
            </w:tblGrid>
            <w:tr w14:paraId="20CF3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noWrap w:val="0"/>
                  <w:vAlign w:val="center"/>
                </w:tcPr>
                <w:p w14:paraId="05F0391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序号</w:t>
                  </w:r>
                </w:p>
              </w:tc>
              <w:tc>
                <w:tcPr>
                  <w:tcW w:w="654" w:type="dxa"/>
                  <w:vMerge w:val="restart"/>
                  <w:noWrap w:val="0"/>
                  <w:vAlign w:val="center"/>
                </w:tcPr>
                <w:p w14:paraId="42E7799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szCs w:val="21"/>
                      <w:highlight w:val="none"/>
                      <w:lang w:eastAsia="zh-CN"/>
                    </w:rPr>
                  </w:pPr>
                  <w:r>
                    <w:rPr>
                      <w:rFonts w:hint="default" w:ascii="Times New Roman" w:hAnsi="Times New Roman" w:cs="Times New Roman"/>
                      <w:b w:val="0"/>
                      <w:bCs/>
                      <w:sz w:val="21"/>
                      <w:szCs w:val="21"/>
                      <w:highlight w:val="none"/>
                    </w:rPr>
                    <w:t>建筑物名称</w:t>
                  </w:r>
                </w:p>
              </w:tc>
              <w:tc>
                <w:tcPr>
                  <w:tcW w:w="1662" w:type="dxa"/>
                  <w:vMerge w:val="restart"/>
                  <w:noWrap w:val="0"/>
                  <w:vAlign w:val="center"/>
                </w:tcPr>
                <w:p w14:paraId="70E03461">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声源</w:t>
                  </w:r>
                </w:p>
                <w:p w14:paraId="0EE367B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名称</w:t>
                  </w:r>
                </w:p>
              </w:tc>
              <w:tc>
                <w:tcPr>
                  <w:tcW w:w="1173" w:type="dxa"/>
                  <w:noWrap w:val="0"/>
                  <w:vAlign w:val="center"/>
                </w:tcPr>
                <w:p w14:paraId="3394A5B1">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声源源强</w:t>
                  </w:r>
                </w:p>
              </w:tc>
              <w:tc>
                <w:tcPr>
                  <w:tcW w:w="858" w:type="dxa"/>
                  <w:vMerge w:val="restart"/>
                  <w:noWrap w:val="0"/>
                  <w:vAlign w:val="center"/>
                </w:tcPr>
                <w:p w14:paraId="38E2140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声源控制措施</w:t>
                  </w:r>
                </w:p>
              </w:tc>
              <w:tc>
                <w:tcPr>
                  <w:tcW w:w="2634" w:type="dxa"/>
                  <w:gridSpan w:val="3"/>
                  <w:noWrap w:val="0"/>
                  <w:vAlign w:val="center"/>
                </w:tcPr>
                <w:p w14:paraId="49E0A8F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空间相对位置/m</w:t>
                  </w:r>
                </w:p>
              </w:tc>
              <w:tc>
                <w:tcPr>
                  <w:tcW w:w="1005" w:type="dxa"/>
                  <w:vMerge w:val="restart"/>
                  <w:noWrap w:val="0"/>
                  <w:vAlign w:val="center"/>
                </w:tcPr>
                <w:p w14:paraId="772ED6C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距室内边界距离/m</w:t>
                  </w:r>
                </w:p>
              </w:tc>
              <w:tc>
                <w:tcPr>
                  <w:tcW w:w="870" w:type="dxa"/>
                  <w:vMerge w:val="restart"/>
                  <w:noWrap w:val="0"/>
                  <w:vAlign w:val="center"/>
                </w:tcPr>
                <w:p w14:paraId="2999E26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室内边界声级/dB(A)</w:t>
                  </w:r>
                </w:p>
              </w:tc>
              <w:tc>
                <w:tcPr>
                  <w:tcW w:w="722" w:type="dxa"/>
                  <w:vMerge w:val="restart"/>
                  <w:noWrap w:val="0"/>
                  <w:vAlign w:val="center"/>
                </w:tcPr>
                <w:p w14:paraId="3B8CE69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运行</w:t>
                  </w:r>
                </w:p>
                <w:p w14:paraId="34BA277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时段</w:t>
                  </w:r>
                </w:p>
              </w:tc>
              <w:tc>
                <w:tcPr>
                  <w:tcW w:w="1060" w:type="dxa"/>
                  <w:vMerge w:val="restart"/>
                  <w:noWrap w:val="0"/>
                  <w:vAlign w:val="center"/>
                </w:tcPr>
                <w:p w14:paraId="6F2B1AA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建筑物插入损失/dB(A)</w:t>
                  </w:r>
                </w:p>
              </w:tc>
              <w:tc>
                <w:tcPr>
                  <w:tcW w:w="1646" w:type="dxa"/>
                  <w:gridSpan w:val="2"/>
                  <w:noWrap w:val="0"/>
                  <w:vAlign w:val="center"/>
                </w:tcPr>
                <w:p w14:paraId="197848D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建筑物外噪声</w:t>
                  </w:r>
                </w:p>
              </w:tc>
            </w:tr>
            <w:tr w14:paraId="1E212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669" w:type="dxa"/>
                  <w:vMerge w:val="continue"/>
                  <w:noWrap w:val="0"/>
                  <w:tcMar>
                    <w:top w:w="0" w:type="dxa"/>
                    <w:left w:w="0" w:type="dxa"/>
                    <w:bottom w:w="0" w:type="dxa"/>
                    <w:right w:w="0" w:type="dxa"/>
                  </w:tcMar>
                  <w:vAlign w:val="center"/>
                </w:tcPr>
                <w:p w14:paraId="43729DD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654" w:type="dxa"/>
                  <w:vMerge w:val="continue"/>
                  <w:noWrap w:val="0"/>
                  <w:tcMar>
                    <w:top w:w="0" w:type="dxa"/>
                    <w:left w:w="0" w:type="dxa"/>
                    <w:bottom w:w="0" w:type="dxa"/>
                    <w:right w:w="0" w:type="dxa"/>
                  </w:tcMar>
                  <w:vAlign w:val="center"/>
                </w:tcPr>
                <w:p w14:paraId="7D3EADB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1662" w:type="dxa"/>
                  <w:vMerge w:val="continue"/>
                  <w:noWrap w:val="0"/>
                  <w:tcMar>
                    <w:top w:w="0" w:type="dxa"/>
                    <w:left w:w="0" w:type="dxa"/>
                    <w:bottom w:w="0" w:type="dxa"/>
                    <w:right w:w="0" w:type="dxa"/>
                  </w:tcMar>
                  <w:vAlign w:val="center"/>
                </w:tcPr>
                <w:p w14:paraId="16F9E8BA">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1173" w:type="dxa"/>
                  <w:noWrap w:val="0"/>
                  <w:tcMar>
                    <w:top w:w="0" w:type="dxa"/>
                    <w:left w:w="0" w:type="dxa"/>
                    <w:bottom w:w="0" w:type="dxa"/>
                    <w:right w:w="0" w:type="dxa"/>
                  </w:tcMar>
                  <w:vAlign w:val="center"/>
                </w:tcPr>
                <w:p w14:paraId="497F2C8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声功率级/dB(A)</w:t>
                  </w:r>
                </w:p>
              </w:tc>
              <w:tc>
                <w:tcPr>
                  <w:tcW w:w="858" w:type="dxa"/>
                  <w:vMerge w:val="continue"/>
                  <w:noWrap w:val="0"/>
                  <w:tcMar>
                    <w:top w:w="0" w:type="dxa"/>
                    <w:left w:w="0" w:type="dxa"/>
                    <w:bottom w:w="0" w:type="dxa"/>
                    <w:right w:w="0" w:type="dxa"/>
                  </w:tcMar>
                  <w:vAlign w:val="center"/>
                </w:tcPr>
                <w:p w14:paraId="6566CCE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872" w:type="dxa"/>
                  <w:noWrap w:val="0"/>
                  <w:tcMar>
                    <w:top w:w="0" w:type="dxa"/>
                    <w:left w:w="0" w:type="dxa"/>
                    <w:bottom w:w="0" w:type="dxa"/>
                    <w:right w:w="0" w:type="dxa"/>
                  </w:tcMar>
                  <w:vAlign w:val="center"/>
                </w:tcPr>
                <w:p w14:paraId="239B85B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X</w:t>
                  </w:r>
                </w:p>
              </w:tc>
              <w:tc>
                <w:tcPr>
                  <w:tcW w:w="855" w:type="dxa"/>
                  <w:noWrap w:val="0"/>
                  <w:tcMar>
                    <w:top w:w="0" w:type="dxa"/>
                    <w:left w:w="0" w:type="dxa"/>
                    <w:bottom w:w="0" w:type="dxa"/>
                    <w:right w:w="0" w:type="dxa"/>
                  </w:tcMar>
                  <w:vAlign w:val="center"/>
                </w:tcPr>
                <w:p w14:paraId="154E5D80">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Y</w:t>
                  </w:r>
                </w:p>
              </w:tc>
              <w:tc>
                <w:tcPr>
                  <w:tcW w:w="907" w:type="dxa"/>
                  <w:noWrap w:val="0"/>
                  <w:tcMar>
                    <w:top w:w="0" w:type="dxa"/>
                    <w:left w:w="0" w:type="dxa"/>
                    <w:bottom w:w="0" w:type="dxa"/>
                    <w:right w:w="0" w:type="dxa"/>
                  </w:tcMar>
                  <w:vAlign w:val="center"/>
                </w:tcPr>
                <w:p w14:paraId="7AEF733A">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Z</w:t>
                  </w:r>
                </w:p>
              </w:tc>
              <w:tc>
                <w:tcPr>
                  <w:tcW w:w="1005" w:type="dxa"/>
                  <w:vMerge w:val="continue"/>
                  <w:noWrap w:val="0"/>
                  <w:tcMar>
                    <w:top w:w="0" w:type="dxa"/>
                    <w:left w:w="0" w:type="dxa"/>
                    <w:bottom w:w="0" w:type="dxa"/>
                    <w:right w:w="0" w:type="dxa"/>
                  </w:tcMar>
                  <w:vAlign w:val="center"/>
                </w:tcPr>
                <w:p w14:paraId="65EBEA9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870" w:type="dxa"/>
                  <w:vMerge w:val="continue"/>
                  <w:noWrap w:val="0"/>
                  <w:tcMar>
                    <w:top w:w="0" w:type="dxa"/>
                    <w:left w:w="0" w:type="dxa"/>
                    <w:bottom w:w="0" w:type="dxa"/>
                    <w:right w:w="0" w:type="dxa"/>
                  </w:tcMar>
                  <w:vAlign w:val="center"/>
                </w:tcPr>
                <w:p w14:paraId="7C405C4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722" w:type="dxa"/>
                  <w:vMerge w:val="continue"/>
                  <w:noWrap w:val="0"/>
                  <w:tcMar>
                    <w:top w:w="0" w:type="dxa"/>
                    <w:left w:w="0" w:type="dxa"/>
                    <w:bottom w:w="0" w:type="dxa"/>
                    <w:right w:w="0" w:type="dxa"/>
                  </w:tcMar>
                  <w:vAlign w:val="center"/>
                </w:tcPr>
                <w:p w14:paraId="4BDA4F8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1060" w:type="dxa"/>
                  <w:vMerge w:val="continue"/>
                  <w:noWrap w:val="0"/>
                  <w:tcMar>
                    <w:top w:w="0" w:type="dxa"/>
                    <w:left w:w="0" w:type="dxa"/>
                    <w:bottom w:w="0" w:type="dxa"/>
                    <w:right w:w="0" w:type="dxa"/>
                  </w:tcMar>
                  <w:vAlign w:val="center"/>
                </w:tcPr>
                <w:p w14:paraId="1134FD2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848" w:type="dxa"/>
                  <w:noWrap w:val="0"/>
                  <w:tcMar>
                    <w:top w:w="0" w:type="dxa"/>
                    <w:left w:w="0" w:type="dxa"/>
                    <w:bottom w:w="0" w:type="dxa"/>
                    <w:right w:w="0" w:type="dxa"/>
                  </w:tcMar>
                  <w:vAlign w:val="center"/>
                </w:tcPr>
                <w:p w14:paraId="4174B6DB">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声压级/dB(A)</w:t>
                  </w:r>
                </w:p>
              </w:tc>
              <w:tc>
                <w:tcPr>
                  <w:tcW w:w="798" w:type="dxa"/>
                  <w:noWrap w:val="0"/>
                  <w:tcMar>
                    <w:top w:w="0" w:type="dxa"/>
                    <w:left w:w="0" w:type="dxa"/>
                    <w:bottom w:w="0" w:type="dxa"/>
                    <w:right w:w="0" w:type="dxa"/>
                  </w:tcMar>
                  <w:vAlign w:val="center"/>
                </w:tcPr>
                <w:p w14:paraId="02B6E9A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建筑物</w:t>
                  </w:r>
                </w:p>
                <w:p w14:paraId="12F77F7B">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外距离</w:t>
                  </w:r>
                </w:p>
              </w:tc>
            </w:tr>
            <w:tr w14:paraId="3D20E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669" w:type="dxa"/>
                  <w:noWrap w:val="0"/>
                  <w:tcMar>
                    <w:top w:w="0" w:type="dxa"/>
                    <w:left w:w="0" w:type="dxa"/>
                    <w:bottom w:w="0" w:type="dxa"/>
                    <w:right w:w="0" w:type="dxa"/>
                  </w:tcMar>
                  <w:vAlign w:val="center"/>
                </w:tcPr>
                <w:p w14:paraId="3A5D783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w:t>
                  </w:r>
                </w:p>
              </w:tc>
              <w:tc>
                <w:tcPr>
                  <w:tcW w:w="654" w:type="dxa"/>
                  <w:vMerge w:val="restart"/>
                  <w:noWrap w:val="0"/>
                  <w:tcMar>
                    <w:top w:w="0" w:type="dxa"/>
                    <w:left w:w="0" w:type="dxa"/>
                    <w:bottom w:w="0" w:type="dxa"/>
                    <w:right w:w="0" w:type="dxa"/>
                  </w:tcMar>
                  <w:vAlign w:val="center"/>
                </w:tcPr>
                <w:p w14:paraId="51B27B35">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生产</w:t>
                  </w:r>
                </w:p>
                <w:p w14:paraId="2158300E">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车间</w:t>
                  </w:r>
                </w:p>
              </w:tc>
              <w:tc>
                <w:tcPr>
                  <w:tcW w:w="1662" w:type="dxa"/>
                  <w:noWrap w:val="0"/>
                  <w:tcMar>
                    <w:top w:w="0" w:type="dxa"/>
                    <w:left w:w="0" w:type="dxa"/>
                    <w:bottom w:w="0" w:type="dxa"/>
                    <w:right w:w="0" w:type="dxa"/>
                  </w:tcMar>
                  <w:vAlign w:val="center"/>
                </w:tcPr>
                <w:p w14:paraId="58375DF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1#成型机</w:t>
                  </w:r>
                </w:p>
              </w:tc>
              <w:tc>
                <w:tcPr>
                  <w:tcW w:w="1173" w:type="dxa"/>
                  <w:noWrap w:val="0"/>
                  <w:tcMar>
                    <w:top w:w="0" w:type="dxa"/>
                    <w:left w:w="0" w:type="dxa"/>
                    <w:bottom w:w="0" w:type="dxa"/>
                    <w:right w:w="0" w:type="dxa"/>
                  </w:tcMar>
                  <w:vAlign w:val="center"/>
                </w:tcPr>
                <w:p w14:paraId="60F2D0A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75</w:t>
                  </w:r>
                </w:p>
              </w:tc>
              <w:tc>
                <w:tcPr>
                  <w:tcW w:w="858" w:type="dxa"/>
                  <w:vMerge w:val="restart"/>
                  <w:noWrap w:val="0"/>
                  <w:tcMar>
                    <w:top w:w="0" w:type="dxa"/>
                    <w:left w:w="0" w:type="dxa"/>
                    <w:bottom w:w="0" w:type="dxa"/>
                    <w:right w:w="0" w:type="dxa"/>
                  </w:tcMar>
                  <w:vAlign w:val="center"/>
                </w:tcPr>
                <w:p w14:paraId="23AAA7A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eastAsia="宋体" w:cs="Times New Roman"/>
                      <w:b w:val="0"/>
                      <w:bCs/>
                      <w:i w:val="0"/>
                      <w:iCs w:val="0"/>
                      <w:color w:val="auto"/>
                      <w:kern w:val="0"/>
                      <w:sz w:val="21"/>
                      <w:szCs w:val="21"/>
                      <w:highlight w:val="none"/>
                      <w:u w:val="none"/>
                      <w:lang w:val="en-US" w:eastAsia="zh-CN" w:bidi="ar"/>
                    </w:rPr>
                    <w:t>室内布置、基础减震、距离衰减，高噪声设备加装消声器</w:t>
                  </w:r>
                </w:p>
              </w:tc>
              <w:tc>
                <w:tcPr>
                  <w:tcW w:w="872" w:type="dxa"/>
                  <w:noWrap w:val="0"/>
                  <w:tcMar>
                    <w:top w:w="0" w:type="dxa"/>
                    <w:left w:w="0" w:type="dxa"/>
                    <w:bottom w:w="0" w:type="dxa"/>
                    <w:right w:w="0" w:type="dxa"/>
                  </w:tcMar>
                  <w:vAlign w:val="center"/>
                </w:tcPr>
                <w:p w14:paraId="6D9291C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10</w:t>
                  </w:r>
                </w:p>
              </w:tc>
              <w:tc>
                <w:tcPr>
                  <w:tcW w:w="855" w:type="dxa"/>
                  <w:noWrap w:val="0"/>
                  <w:tcMar>
                    <w:top w:w="0" w:type="dxa"/>
                    <w:left w:w="0" w:type="dxa"/>
                    <w:bottom w:w="0" w:type="dxa"/>
                    <w:right w:w="0" w:type="dxa"/>
                  </w:tcMar>
                  <w:vAlign w:val="center"/>
                </w:tcPr>
                <w:p w14:paraId="603330A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38</w:t>
                  </w:r>
                </w:p>
              </w:tc>
              <w:tc>
                <w:tcPr>
                  <w:tcW w:w="907" w:type="dxa"/>
                  <w:noWrap w:val="0"/>
                  <w:tcMar>
                    <w:top w:w="0" w:type="dxa"/>
                    <w:left w:w="0" w:type="dxa"/>
                    <w:bottom w:w="0" w:type="dxa"/>
                    <w:right w:w="0" w:type="dxa"/>
                  </w:tcMar>
                  <w:vAlign w:val="center"/>
                </w:tcPr>
                <w:p w14:paraId="7534EE4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1.2</w:t>
                  </w:r>
                </w:p>
              </w:tc>
              <w:tc>
                <w:tcPr>
                  <w:tcW w:w="1005" w:type="dxa"/>
                  <w:noWrap w:val="0"/>
                  <w:tcMar>
                    <w:top w:w="0" w:type="dxa"/>
                    <w:left w:w="0" w:type="dxa"/>
                    <w:bottom w:w="0" w:type="dxa"/>
                    <w:right w:w="0" w:type="dxa"/>
                  </w:tcMar>
                  <w:vAlign w:val="center"/>
                </w:tcPr>
                <w:p w14:paraId="5F9F22F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eastAsia="宋体" w:cs="Times New Roman"/>
                      <w:b w:val="0"/>
                      <w:bCs/>
                      <w:sz w:val="21"/>
                      <w:highlight w:val="none"/>
                      <w:lang w:val="en-US" w:eastAsia="zh-CN"/>
                    </w:rPr>
                    <w:t>5</w:t>
                  </w:r>
                </w:p>
              </w:tc>
              <w:tc>
                <w:tcPr>
                  <w:tcW w:w="870" w:type="dxa"/>
                  <w:noWrap w:val="0"/>
                  <w:tcMar>
                    <w:top w:w="0" w:type="dxa"/>
                    <w:left w:w="0" w:type="dxa"/>
                    <w:bottom w:w="0" w:type="dxa"/>
                    <w:right w:w="0" w:type="dxa"/>
                  </w:tcMar>
                  <w:vAlign w:val="center"/>
                </w:tcPr>
                <w:p w14:paraId="55E348A0">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61.0</w:t>
                  </w:r>
                </w:p>
              </w:tc>
              <w:tc>
                <w:tcPr>
                  <w:tcW w:w="722" w:type="dxa"/>
                  <w:noWrap w:val="0"/>
                  <w:tcMar>
                    <w:top w:w="0" w:type="dxa"/>
                    <w:left w:w="0" w:type="dxa"/>
                    <w:bottom w:w="0" w:type="dxa"/>
                    <w:right w:w="0" w:type="dxa"/>
                  </w:tcMar>
                  <w:vAlign w:val="center"/>
                </w:tcPr>
                <w:p w14:paraId="75A2199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昼间</w:t>
                  </w:r>
                </w:p>
              </w:tc>
              <w:tc>
                <w:tcPr>
                  <w:tcW w:w="1060" w:type="dxa"/>
                  <w:noWrap w:val="0"/>
                  <w:tcMar>
                    <w:top w:w="0" w:type="dxa"/>
                    <w:left w:w="0" w:type="dxa"/>
                    <w:bottom w:w="0" w:type="dxa"/>
                    <w:right w:w="0" w:type="dxa"/>
                  </w:tcMar>
                  <w:vAlign w:val="center"/>
                </w:tcPr>
                <w:p w14:paraId="36A0D0D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2</w:t>
                  </w:r>
                  <w:r>
                    <w:rPr>
                      <w:rFonts w:hint="eastAsia" w:cs="Times New Roman"/>
                      <w:b w:val="0"/>
                      <w:bCs/>
                      <w:sz w:val="21"/>
                      <w:highlight w:val="none"/>
                      <w:lang w:val="en-US" w:eastAsia="zh-CN"/>
                    </w:rPr>
                    <w:t>5</w:t>
                  </w:r>
                  <w:r>
                    <w:rPr>
                      <w:rFonts w:hint="default" w:ascii="Times New Roman" w:hAnsi="Times New Roman" w:cs="Times New Roman"/>
                      <w:b w:val="0"/>
                      <w:bCs/>
                      <w:sz w:val="21"/>
                      <w:highlight w:val="none"/>
                      <w:lang w:val="en-US" w:eastAsia="zh-CN"/>
                    </w:rPr>
                    <w:t>.0</w:t>
                  </w:r>
                </w:p>
              </w:tc>
              <w:tc>
                <w:tcPr>
                  <w:tcW w:w="848" w:type="dxa"/>
                  <w:noWrap w:val="0"/>
                  <w:tcMar>
                    <w:top w:w="0" w:type="dxa"/>
                    <w:left w:w="0" w:type="dxa"/>
                    <w:bottom w:w="0" w:type="dxa"/>
                    <w:right w:w="0" w:type="dxa"/>
                  </w:tcMar>
                  <w:vAlign w:val="center"/>
                </w:tcPr>
                <w:p w14:paraId="521C9F2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3</w:t>
                  </w:r>
                  <w:r>
                    <w:rPr>
                      <w:rFonts w:hint="eastAsia" w:cs="Times New Roman"/>
                      <w:b w:val="0"/>
                      <w:bCs/>
                      <w:sz w:val="21"/>
                      <w:highlight w:val="none"/>
                      <w:lang w:val="en-US" w:eastAsia="zh-CN"/>
                    </w:rPr>
                    <w:t>6</w:t>
                  </w:r>
                  <w:r>
                    <w:rPr>
                      <w:rFonts w:hint="default" w:ascii="Times New Roman" w:hAnsi="Times New Roman" w:cs="Times New Roman"/>
                      <w:b w:val="0"/>
                      <w:bCs/>
                      <w:sz w:val="21"/>
                      <w:highlight w:val="none"/>
                      <w:lang w:val="en-US" w:eastAsia="zh-CN"/>
                    </w:rPr>
                    <w:t>.0</w:t>
                  </w:r>
                </w:p>
              </w:tc>
              <w:tc>
                <w:tcPr>
                  <w:tcW w:w="798" w:type="dxa"/>
                  <w:noWrap w:val="0"/>
                  <w:tcMar>
                    <w:top w:w="0" w:type="dxa"/>
                    <w:left w:w="0" w:type="dxa"/>
                    <w:bottom w:w="0" w:type="dxa"/>
                    <w:right w:w="0" w:type="dxa"/>
                  </w:tcMar>
                  <w:vAlign w:val="center"/>
                </w:tcPr>
                <w:p w14:paraId="2EBFB68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w:t>
                  </w:r>
                </w:p>
              </w:tc>
            </w:tr>
            <w:tr w14:paraId="60C0B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9" w:type="dxa"/>
                  <w:noWrap w:val="0"/>
                  <w:tcMar>
                    <w:top w:w="0" w:type="dxa"/>
                    <w:left w:w="0" w:type="dxa"/>
                    <w:bottom w:w="0" w:type="dxa"/>
                    <w:right w:w="0" w:type="dxa"/>
                  </w:tcMar>
                  <w:vAlign w:val="center"/>
                </w:tcPr>
                <w:p w14:paraId="0A3A0B4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2</w:t>
                  </w:r>
                </w:p>
              </w:tc>
              <w:tc>
                <w:tcPr>
                  <w:tcW w:w="654" w:type="dxa"/>
                  <w:vMerge w:val="continue"/>
                  <w:noWrap w:val="0"/>
                  <w:tcMar>
                    <w:top w:w="0" w:type="dxa"/>
                    <w:left w:w="0" w:type="dxa"/>
                    <w:bottom w:w="0" w:type="dxa"/>
                    <w:right w:w="0" w:type="dxa"/>
                  </w:tcMar>
                  <w:vAlign w:val="center"/>
                </w:tcPr>
                <w:p w14:paraId="7196B6BE">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1662" w:type="dxa"/>
                  <w:noWrap w:val="0"/>
                  <w:tcMar>
                    <w:top w:w="0" w:type="dxa"/>
                    <w:left w:w="0" w:type="dxa"/>
                    <w:bottom w:w="0" w:type="dxa"/>
                    <w:right w:w="0" w:type="dxa"/>
                  </w:tcMar>
                  <w:vAlign w:val="center"/>
                </w:tcPr>
                <w:p w14:paraId="0E6051F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eastAsia="zh-CN"/>
                    </w:rPr>
                  </w:pPr>
                  <w:r>
                    <w:rPr>
                      <w:rFonts w:hint="eastAsia" w:cs="Times New Roman"/>
                      <w:b w:val="0"/>
                      <w:bCs/>
                      <w:sz w:val="21"/>
                      <w:highlight w:val="none"/>
                      <w:lang w:val="en-US" w:eastAsia="zh-CN"/>
                    </w:rPr>
                    <w:t>2#成型机</w:t>
                  </w:r>
                </w:p>
              </w:tc>
              <w:tc>
                <w:tcPr>
                  <w:tcW w:w="1173" w:type="dxa"/>
                  <w:noWrap w:val="0"/>
                  <w:tcMar>
                    <w:top w:w="0" w:type="dxa"/>
                    <w:left w:w="0" w:type="dxa"/>
                    <w:bottom w:w="0" w:type="dxa"/>
                    <w:right w:w="0" w:type="dxa"/>
                  </w:tcMar>
                  <w:vAlign w:val="center"/>
                </w:tcPr>
                <w:p w14:paraId="77AF168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75</w:t>
                  </w:r>
                </w:p>
              </w:tc>
              <w:tc>
                <w:tcPr>
                  <w:tcW w:w="858" w:type="dxa"/>
                  <w:vMerge w:val="continue"/>
                  <w:noWrap w:val="0"/>
                  <w:tcMar>
                    <w:top w:w="0" w:type="dxa"/>
                    <w:left w:w="0" w:type="dxa"/>
                    <w:bottom w:w="0" w:type="dxa"/>
                    <w:right w:w="0" w:type="dxa"/>
                  </w:tcMar>
                  <w:vAlign w:val="center"/>
                </w:tcPr>
                <w:p w14:paraId="0A62CD4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872" w:type="dxa"/>
                  <w:noWrap w:val="0"/>
                  <w:tcMar>
                    <w:top w:w="0" w:type="dxa"/>
                    <w:left w:w="0" w:type="dxa"/>
                    <w:bottom w:w="0" w:type="dxa"/>
                    <w:right w:w="0" w:type="dxa"/>
                  </w:tcMar>
                  <w:vAlign w:val="center"/>
                </w:tcPr>
                <w:p w14:paraId="4B22B3DE">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10</w:t>
                  </w:r>
                </w:p>
              </w:tc>
              <w:tc>
                <w:tcPr>
                  <w:tcW w:w="855" w:type="dxa"/>
                  <w:noWrap w:val="0"/>
                  <w:tcMar>
                    <w:top w:w="0" w:type="dxa"/>
                    <w:left w:w="0" w:type="dxa"/>
                    <w:bottom w:w="0" w:type="dxa"/>
                    <w:right w:w="0" w:type="dxa"/>
                  </w:tcMar>
                  <w:vAlign w:val="center"/>
                </w:tcPr>
                <w:p w14:paraId="7447BE9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36</w:t>
                  </w:r>
                </w:p>
              </w:tc>
              <w:tc>
                <w:tcPr>
                  <w:tcW w:w="907" w:type="dxa"/>
                  <w:noWrap w:val="0"/>
                  <w:tcMar>
                    <w:top w:w="0" w:type="dxa"/>
                    <w:left w:w="0" w:type="dxa"/>
                    <w:bottom w:w="0" w:type="dxa"/>
                    <w:right w:w="0" w:type="dxa"/>
                  </w:tcMar>
                  <w:vAlign w:val="center"/>
                </w:tcPr>
                <w:p w14:paraId="4542AF8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1.2</w:t>
                  </w:r>
                </w:p>
              </w:tc>
              <w:tc>
                <w:tcPr>
                  <w:tcW w:w="1005" w:type="dxa"/>
                  <w:noWrap w:val="0"/>
                  <w:tcMar>
                    <w:top w:w="0" w:type="dxa"/>
                    <w:left w:w="0" w:type="dxa"/>
                    <w:bottom w:w="0" w:type="dxa"/>
                    <w:right w:w="0" w:type="dxa"/>
                  </w:tcMar>
                  <w:vAlign w:val="center"/>
                </w:tcPr>
                <w:p w14:paraId="042FD7C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eastAsia="宋体" w:cs="Times New Roman"/>
                      <w:b w:val="0"/>
                      <w:bCs/>
                      <w:sz w:val="21"/>
                      <w:highlight w:val="none"/>
                      <w:lang w:val="en-US" w:eastAsia="zh-CN"/>
                    </w:rPr>
                    <w:t>5</w:t>
                  </w:r>
                </w:p>
              </w:tc>
              <w:tc>
                <w:tcPr>
                  <w:tcW w:w="870" w:type="dxa"/>
                  <w:noWrap w:val="0"/>
                  <w:tcMar>
                    <w:top w:w="0" w:type="dxa"/>
                    <w:left w:w="0" w:type="dxa"/>
                    <w:bottom w:w="0" w:type="dxa"/>
                    <w:right w:w="0" w:type="dxa"/>
                  </w:tcMar>
                  <w:vAlign w:val="center"/>
                </w:tcPr>
                <w:p w14:paraId="590D1AC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61.0</w:t>
                  </w:r>
                </w:p>
              </w:tc>
              <w:tc>
                <w:tcPr>
                  <w:tcW w:w="722" w:type="dxa"/>
                  <w:noWrap w:val="0"/>
                  <w:tcMar>
                    <w:top w:w="0" w:type="dxa"/>
                    <w:left w:w="0" w:type="dxa"/>
                    <w:bottom w:w="0" w:type="dxa"/>
                    <w:right w:w="0" w:type="dxa"/>
                  </w:tcMar>
                  <w:vAlign w:val="center"/>
                </w:tcPr>
                <w:p w14:paraId="5BF8575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昼间</w:t>
                  </w:r>
                </w:p>
              </w:tc>
              <w:tc>
                <w:tcPr>
                  <w:tcW w:w="1060" w:type="dxa"/>
                  <w:noWrap w:val="0"/>
                  <w:tcMar>
                    <w:top w:w="0" w:type="dxa"/>
                    <w:left w:w="0" w:type="dxa"/>
                    <w:bottom w:w="0" w:type="dxa"/>
                    <w:right w:w="0" w:type="dxa"/>
                  </w:tcMar>
                  <w:vAlign w:val="center"/>
                </w:tcPr>
                <w:p w14:paraId="63A3076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lang w:val="en-US" w:eastAsia="zh-CN"/>
                    </w:rPr>
                    <w:t>2</w:t>
                  </w:r>
                  <w:r>
                    <w:rPr>
                      <w:rFonts w:hint="eastAsia" w:cs="Times New Roman"/>
                      <w:b w:val="0"/>
                      <w:bCs/>
                      <w:sz w:val="21"/>
                      <w:highlight w:val="none"/>
                      <w:lang w:val="en-US" w:eastAsia="zh-CN"/>
                    </w:rPr>
                    <w:t>5</w:t>
                  </w:r>
                  <w:r>
                    <w:rPr>
                      <w:rFonts w:hint="default" w:ascii="Times New Roman" w:hAnsi="Times New Roman" w:cs="Times New Roman"/>
                      <w:b w:val="0"/>
                      <w:bCs/>
                      <w:sz w:val="21"/>
                      <w:highlight w:val="none"/>
                      <w:lang w:val="en-US" w:eastAsia="zh-CN"/>
                    </w:rPr>
                    <w:t>.0</w:t>
                  </w:r>
                </w:p>
              </w:tc>
              <w:tc>
                <w:tcPr>
                  <w:tcW w:w="848" w:type="dxa"/>
                  <w:noWrap w:val="0"/>
                  <w:tcMar>
                    <w:top w:w="0" w:type="dxa"/>
                    <w:left w:w="0" w:type="dxa"/>
                    <w:bottom w:w="0" w:type="dxa"/>
                    <w:right w:w="0" w:type="dxa"/>
                  </w:tcMar>
                  <w:vAlign w:val="center"/>
                </w:tcPr>
                <w:p w14:paraId="0ACB6FF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3</w:t>
                  </w:r>
                  <w:r>
                    <w:rPr>
                      <w:rFonts w:hint="eastAsia" w:cs="Times New Roman"/>
                      <w:b w:val="0"/>
                      <w:bCs/>
                      <w:sz w:val="21"/>
                      <w:highlight w:val="none"/>
                      <w:lang w:val="en-US" w:eastAsia="zh-CN"/>
                    </w:rPr>
                    <w:t>6</w:t>
                  </w:r>
                  <w:r>
                    <w:rPr>
                      <w:rFonts w:hint="default" w:ascii="Times New Roman" w:hAnsi="Times New Roman" w:cs="Times New Roman"/>
                      <w:b w:val="0"/>
                      <w:bCs/>
                      <w:sz w:val="21"/>
                      <w:highlight w:val="none"/>
                      <w:lang w:val="en-US" w:eastAsia="zh-CN"/>
                    </w:rPr>
                    <w:t>.0</w:t>
                  </w:r>
                </w:p>
              </w:tc>
              <w:tc>
                <w:tcPr>
                  <w:tcW w:w="798" w:type="dxa"/>
                  <w:noWrap w:val="0"/>
                  <w:tcMar>
                    <w:top w:w="0" w:type="dxa"/>
                    <w:left w:w="0" w:type="dxa"/>
                    <w:bottom w:w="0" w:type="dxa"/>
                    <w:right w:w="0" w:type="dxa"/>
                  </w:tcMar>
                  <w:vAlign w:val="center"/>
                </w:tcPr>
                <w:p w14:paraId="223E0DA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w:t>
                  </w:r>
                </w:p>
              </w:tc>
            </w:tr>
            <w:tr w14:paraId="198AC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669" w:type="dxa"/>
                  <w:noWrap w:val="0"/>
                  <w:tcMar>
                    <w:top w:w="0" w:type="dxa"/>
                    <w:left w:w="0" w:type="dxa"/>
                    <w:bottom w:w="0" w:type="dxa"/>
                    <w:right w:w="0" w:type="dxa"/>
                  </w:tcMar>
                  <w:vAlign w:val="center"/>
                </w:tcPr>
                <w:p w14:paraId="7E864CD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default" w:ascii="Times New Roman" w:hAnsi="Times New Roman" w:cs="Times New Roman"/>
                      <w:b w:val="0"/>
                      <w:bCs/>
                      <w:sz w:val="21"/>
                      <w:highlight w:val="none"/>
                      <w:lang w:val="en-US" w:eastAsia="zh-CN"/>
                    </w:rPr>
                    <w:t>3</w:t>
                  </w:r>
                </w:p>
              </w:tc>
              <w:tc>
                <w:tcPr>
                  <w:tcW w:w="654" w:type="dxa"/>
                  <w:vMerge w:val="continue"/>
                  <w:noWrap w:val="0"/>
                  <w:tcMar>
                    <w:top w:w="0" w:type="dxa"/>
                    <w:left w:w="0" w:type="dxa"/>
                    <w:bottom w:w="0" w:type="dxa"/>
                    <w:right w:w="0" w:type="dxa"/>
                  </w:tcMar>
                  <w:vAlign w:val="center"/>
                </w:tcPr>
                <w:p w14:paraId="5682F1C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1662" w:type="dxa"/>
                  <w:noWrap w:val="0"/>
                  <w:tcMar>
                    <w:top w:w="0" w:type="dxa"/>
                    <w:left w:w="0" w:type="dxa"/>
                    <w:bottom w:w="0" w:type="dxa"/>
                    <w:right w:w="0" w:type="dxa"/>
                  </w:tcMar>
                  <w:vAlign w:val="center"/>
                </w:tcPr>
                <w:p w14:paraId="5F2C807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eastAsia="zh-CN"/>
                    </w:rPr>
                  </w:pPr>
                  <w:r>
                    <w:rPr>
                      <w:rFonts w:hint="eastAsia" w:cs="Times New Roman"/>
                      <w:b w:val="0"/>
                      <w:bCs/>
                      <w:sz w:val="21"/>
                      <w:highlight w:val="none"/>
                      <w:lang w:val="en-US" w:eastAsia="zh-CN"/>
                    </w:rPr>
                    <w:t>3#成型机</w:t>
                  </w:r>
                </w:p>
              </w:tc>
              <w:tc>
                <w:tcPr>
                  <w:tcW w:w="1173" w:type="dxa"/>
                  <w:noWrap w:val="0"/>
                  <w:tcMar>
                    <w:top w:w="0" w:type="dxa"/>
                    <w:left w:w="0" w:type="dxa"/>
                    <w:bottom w:w="0" w:type="dxa"/>
                    <w:right w:w="0" w:type="dxa"/>
                  </w:tcMar>
                  <w:vAlign w:val="center"/>
                </w:tcPr>
                <w:p w14:paraId="5840DEC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cs="Times New Roman"/>
                      <w:b w:val="0"/>
                      <w:bCs/>
                      <w:sz w:val="21"/>
                      <w:highlight w:val="none"/>
                      <w:lang w:val="en-US" w:eastAsia="zh-CN"/>
                    </w:rPr>
                    <w:t>75</w:t>
                  </w:r>
                </w:p>
              </w:tc>
              <w:tc>
                <w:tcPr>
                  <w:tcW w:w="858" w:type="dxa"/>
                  <w:vMerge w:val="continue"/>
                  <w:noWrap w:val="0"/>
                  <w:tcMar>
                    <w:top w:w="0" w:type="dxa"/>
                    <w:left w:w="0" w:type="dxa"/>
                    <w:bottom w:w="0" w:type="dxa"/>
                    <w:right w:w="0" w:type="dxa"/>
                  </w:tcMar>
                  <w:vAlign w:val="center"/>
                </w:tcPr>
                <w:p w14:paraId="7E064F0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872" w:type="dxa"/>
                  <w:noWrap w:val="0"/>
                  <w:tcMar>
                    <w:top w:w="0" w:type="dxa"/>
                    <w:left w:w="0" w:type="dxa"/>
                    <w:bottom w:w="0" w:type="dxa"/>
                    <w:right w:w="0" w:type="dxa"/>
                  </w:tcMar>
                  <w:vAlign w:val="center"/>
                </w:tcPr>
                <w:p w14:paraId="0980AD00">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10</w:t>
                  </w:r>
                </w:p>
              </w:tc>
              <w:tc>
                <w:tcPr>
                  <w:tcW w:w="855" w:type="dxa"/>
                  <w:noWrap w:val="0"/>
                  <w:tcMar>
                    <w:top w:w="0" w:type="dxa"/>
                    <w:left w:w="0" w:type="dxa"/>
                    <w:bottom w:w="0" w:type="dxa"/>
                    <w:right w:w="0" w:type="dxa"/>
                  </w:tcMar>
                  <w:vAlign w:val="center"/>
                </w:tcPr>
                <w:p w14:paraId="1DC26E5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eastAsia" w:cs="Times New Roman"/>
                      <w:b w:val="0"/>
                      <w:bCs/>
                      <w:sz w:val="21"/>
                      <w:highlight w:val="none"/>
                      <w:lang w:val="en-US" w:eastAsia="zh-CN"/>
                    </w:rPr>
                    <w:t>34</w:t>
                  </w:r>
                </w:p>
              </w:tc>
              <w:tc>
                <w:tcPr>
                  <w:tcW w:w="907" w:type="dxa"/>
                  <w:noWrap w:val="0"/>
                  <w:tcMar>
                    <w:top w:w="0" w:type="dxa"/>
                    <w:left w:w="0" w:type="dxa"/>
                    <w:bottom w:w="0" w:type="dxa"/>
                    <w:right w:w="0" w:type="dxa"/>
                  </w:tcMar>
                  <w:vAlign w:val="center"/>
                </w:tcPr>
                <w:p w14:paraId="46D2917A">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1.2</w:t>
                  </w:r>
                </w:p>
              </w:tc>
              <w:tc>
                <w:tcPr>
                  <w:tcW w:w="1005" w:type="dxa"/>
                  <w:noWrap w:val="0"/>
                  <w:tcMar>
                    <w:top w:w="0" w:type="dxa"/>
                    <w:left w:w="0" w:type="dxa"/>
                    <w:bottom w:w="0" w:type="dxa"/>
                    <w:right w:w="0" w:type="dxa"/>
                  </w:tcMar>
                  <w:vAlign w:val="center"/>
                </w:tcPr>
                <w:p w14:paraId="45EDAF4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eastAsia="宋体" w:cs="Times New Roman"/>
                      <w:b w:val="0"/>
                      <w:bCs/>
                      <w:kern w:val="2"/>
                      <w:sz w:val="21"/>
                      <w:szCs w:val="24"/>
                      <w:highlight w:val="none"/>
                      <w:lang w:val="en-US" w:eastAsia="zh-CN" w:bidi="ar-SA"/>
                    </w:rPr>
                    <w:t>5</w:t>
                  </w:r>
                </w:p>
              </w:tc>
              <w:tc>
                <w:tcPr>
                  <w:tcW w:w="870" w:type="dxa"/>
                  <w:noWrap w:val="0"/>
                  <w:tcMar>
                    <w:top w:w="0" w:type="dxa"/>
                    <w:left w:w="0" w:type="dxa"/>
                    <w:bottom w:w="0" w:type="dxa"/>
                    <w:right w:w="0" w:type="dxa"/>
                  </w:tcMar>
                  <w:vAlign w:val="center"/>
                </w:tcPr>
                <w:p w14:paraId="5096E34E">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6</w:t>
                  </w:r>
                  <w:r>
                    <w:rPr>
                      <w:rFonts w:hint="eastAsia" w:cs="Times New Roman"/>
                      <w:b w:val="0"/>
                      <w:bCs/>
                      <w:sz w:val="21"/>
                      <w:highlight w:val="none"/>
                      <w:lang w:val="en-US" w:eastAsia="zh-CN"/>
                    </w:rPr>
                    <w:t>1</w:t>
                  </w:r>
                  <w:r>
                    <w:rPr>
                      <w:rFonts w:hint="default" w:ascii="Times New Roman" w:hAnsi="Times New Roman" w:cs="Times New Roman"/>
                      <w:b w:val="0"/>
                      <w:bCs/>
                      <w:sz w:val="21"/>
                      <w:highlight w:val="none"/>
                      <w:lang w:val="en-US" w:eastAsia="zh-CN"/>
                    </w:rPr>
                    <w:t>.0</w:t>
                  </w:r>
                </w:p>
              </w:tc>
              <w:tc>
                <w:tcPr>
                  <w:tcW w:w="722" w:type="dxa"/>
                  <w:noWrap w:val="0"/>
                  <w:tcMar>
                    <w:top w:w="0" w:type="dxa"/>
                    <w:left w:w="0" w:type="dxa"/>
                    <w:bottom w:w="0" w:type="dxa"/>
                    <w:right w:w="0" w:type="dxa"/>
                  </w:tcMar>
                  <w:vAlign w:val="center"/>
                </w:tcPr>
                <w:p w14:paraId="6D2E601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昼间</w:t>
                  </w:r>
                </w:p>
              </w:tc>
              <w:tc>
                <w:tcPr>
                  <w:tcW w:w="1060" w:type="dxa"/>
                  <w:noWrap w:val="0"/>
                  <w:tcMar>
                    <w:top w:w="0" w:type="dxa"/>
                    <w:left w:w="0" w:type="dxa"/>
                    <w:bottom w:w="0" w:type="dxa"/>
                    <w:right w:w="0" w:type="dxa"/>
                  </w:tcMar>
                  <w:vAlign w:val="center"/>
                </w:tcPr>
                <w:p w14:paraId="7CF9892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2</w:t>
                  </w:r>
                  <w:r>
                    <w:rPr>
                      <w:rFonts w:hint="eastAsia" w:cs="Times New Roman"/>
                      <w:b w:val="0"/>
                      <w:bCs/>
                      <w:sz w:val="21"/>
                      <w:highlight w:val="none"/>
                      <w:lang w:val="en-US" w:eastAsia="zh-CN"/>
                    </w:rPr>
                    <w:t>5</w:t>
                  </w:r>
                  <w:r>
                    <w:rPr>
                      <w:rFonts w:hint="default" w:ascii="Times New Roman" w:hAnsi="Times New Roman" w:cs="Times New Roman"/>
                      <w:b w:val="0"/>
                      <w:bCs/>
                      <w:sz w:val="21"/>
                      <w:highlight w:val="none"/>
                      <w:lang w:val="en-US" w:eastAsia="zh-CN"/>
                    </w:rPr>
                    <w:t>.0</w:t>
                  </w:r>
                </w:p>
              </w:tc>
              <w:tc>
                <w:tcPr>
                  <w:tcW w:w="848" w:type="dxa"/>
                  <w:noWrap w:val="0"/>
                  <w:tcMar>
                    <w:top w:w="0" w:type="dxa"/>
                    <w:left w:w="0" w:type="dxa"/>
                    <w:bottom w:w="0" w:type="dxa"/>
                    <w:right w:w="0" w:type="dxa"/>
                  </w:tcMar>
                  <w:vAlign w:val="center"/>
                </w:tcPr>
                <w:p w14:paraId="21A37D3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3</w:t>
                  </w:r>
                  <w:r>
                    <w:rPr>
                      <w:rFonts w:hint="eastAsia" w:cs="Times New Roman"/>
                      <w:b w:val="0"/>
                      <w:bCs/>
                      <w:sz w:val="21"/>
                      <w:highlight w:val="none"/>
                      <w:lang w:val="en-US" w:eastAsia="zh-CN"/>
                    </w:rPr>
                    <w:t>6</w:t>
                  </w:r>
                  <w:r>
                    <w:rPr>
                      <w:rFonts w:hint="default" w:ascii="Times New Roman" w:hAnsi="Times New Roman" w:cs="Times New Roman"/>
                      <w:b w:val="0"/>
                      <w:bCs/>
                      <w:sz w:val="21"/>
                      <w:highlight w:val="none"/>
                      <w:lang w:val="en-US" w:eastAsia="zh-CN"/>
                    </w:rPr>
                    <w:t>.0</w:t>
                  </w:r>
                </w:p>
              </w:tc>
              <w:tc>
                <w:tcPr>
                  <w:tcW w:w="798" w:type="dxa"/>
                  <w:noWrap w:val="0"/>
                  <w:tcMar>
                    <w:top w:w="0" w:type="dxa"/>
                    <w:left w:w="0" w:type="dxa"/>
                    <w:bottom w:w="0" w:type="dxa"/>
                    <w:right w:w="0" w:type="dxa"/>
                  </w:tcMar>
                  <w:vAlign w:val="center"/>
                </w:tcPr>
                <w:p w14:paraId="6F8798B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w:t>
                  </w:r>
                </w:p>
              </w:tc>
            </w:tr>
            <w:tr w14:paraId="4B901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69" w:type="dxa"/>
                  <w:noWrap w:val="0"/>
                  <w:tcMar>
                    <w:top w:w="0" w:type="dxa"/>
                    <w:left w:w="0" w:type="dxa"/>
                    <w:bottom w:w="0" w:type="dxa"/>
                    <w:right w:w="0" w:type="dxa"/>
                  </w:tcMar>
                  <w:vAlign w:val="center"/>
                </w:tcPr>
                <w:p w14:paraId="7297472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4</w:t>
                  </w:r>
                </w:p>
              </w:tc>
              <w:tc>
                <w:tcPr>
                  <w:tcW w:w="654" w:type="dxa"/>
                  <w:vMerge w:val="continue"/>
                  <w:noWrap w:val="0"/>
                  <w:tcMar>
                    <w:top w:w="0" w:type="dxa"/>
                    <w:left w:w="0" w:type="dxa"/>
                    <w:bottom w:w="0" w:type="dxa"/>
                    <w:right w:w="0" w:type="dxa"/>
                  </w:tcMar>
                  <w:vAlign w:val="center"/>
                </w:tcPr>
                <w:p w14:paraId="59B814B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1662" w:type="dxa"/>
                  <w:noWrap w:val="0"/>
                  <w:tcMar>
                    <w:top w:w="0" w:type="dxa"/>
                    <w:left w:w="0" w:type="dxa"/>
                    <w:bottom w:w="0" w:type="dxa"/>
                    <w:right w:w="0" w:type="dxa"/>
                  </w:tcMar>
                  <w:vAlign w:val="center"/>
                </w:tcPr>
                <w:p w14:paraId="30D1808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eastAsia="zh-CN"/>
                    </w:rPr>
                  </w:pPr>
                  <w:r>
                    <w:rPr>
                      <w:rFonts w:hint="eastAsia" w:cs="Times New Roman"/>
                      <w:b w:val="0"/>
                      <w:bCs/>
                      <w:sz w:val="21"/>
                      <w:highlight w:val="none"/>
                      <w:lang w:val="en-US" w:eastAsia="zh-CN"/>
                    </w:rPr>
                    <w:t>4#成型机</w:t>
                  </w:r>
                </w:p>
              </w:tc>
              <w:tc>
                <w:tcPr>
                  <w:tcW w:w="1173" w:type="dxa"/>
                  <w:noWrap w:val="0"/>
                  <w:tcMar>
                    <w:top w:w="0" w:type="dxa"/>
                    <w:left w:w="0" w:type="dxa"/>
                    <w:bottom w:w="0" w:type="dxa"/>
                    <w:right w:w="0" w:type="dxa"/>
                  </w:tcMar>
                  <w:vAlign w:val="center"/>
                </w:tcPr>
                <w:p w14:paraId="202DB92B">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ascii="Times New Roman" w:hAnsi="Times New Roman" w:cs="Times New Roman"/>
                      <w:b w:val="0"/>
                      <w:bCs/>
                      <w:sz w:val="21"/>
                      <w:highlight w:val="none"/>
                      <w:lang w:val="en-US" w:eastAsia="zh-CN"/>
                    </w:rPr>
                    <w:t>75</w:t>
                  </w:r>
                </w:p>
              </w:tc>
              <w:tc>
                <w:tcPr>
                  <w:tcW w:w="858" w:type="dxa"/>
                  <w:vMerge w:val="continue"/>
                  <w:noWrap w:val="0"/>
                  <w:tcMar>
                    <w:top w:w="0" w:type="dxa"/>
                    <w:left w:w="0" w:type="dxa"/>
                    <w:bottom w:w="0" w:type="dxa"/>
                    <w:right w:w="0" w:type="dxa"/>
                  </w:tcMar>
                  <w:vAlign w:val="center"/>
                </w:tcPr>
                <w:p w14:paraId="4623C0DB">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872" w:type="dxa"/>
                  <w:noWrap w:val="0"/>
                  <w:tcMar>
                    <w:top w:w="0" w:type="dxa"/>
                    <w:left w:w="0" w:type="dxa"/>
                    <w:bottom w:w="0" w:type="dxa"/>
                    <w:right w:w="0" w:type="dxa"/>
                  </w:tcMar>
                  <w:vAlign w:val="center"/>
                </w:tcPr>
                <w:p w14:paraId="07F0F8E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kern w:val="2"/>
                      <w:sz w:val="21"/>
                      <w:szCs w:val="24"/>
                      <w:highlight w:val="none"/>
                      <w:lang w:val="en-US" w:eastAsia="zh-CN" w:bidi="ar-SA"/>
                    </w:rPr>
                    <w:t>10</w:t>
                  </w:r>
                </w:p>
              </w:tc>
              <w:tc>
                <w:tcPr>
                  <w:tcW w:w="855" w:type="dxa"/>
                  <w:noWrap w:val="0"/>
                  <w:tcMar>
                    <w:top w:w="0" w:type="dxa"/>
                    <w:left w:w="0" w:type="dxa"/>
                    <w:bottom w:w="0" w:type="dxa"/>
                    <w:right w:w="0" w:type="dxa"/>
                  </w:tcMar>
                  <w:vAlign w:val="center"/>
                </w:tcPr>
                <w:p w14:paraId="1A66F44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kern w:val="2"/>
                      <w:sz w:val="21"/>
                      <w:szCs w:val="24"/>
                      <w:highlight w:val="none"/>
                      <w:lang w:val="en-US" w:eastAsia="zh-CN" w:bidi="ar-SA"/>
                    </w:rPr>
                    <w:t>32</w:t>
                  </w:r>
                </w:p>
              </w:tc>
              <w:tc>
                <w:tcPr>
                  <w:tcW w:w="907" w:type="dxa"/>
                  <w:noWrap w:val="0"/>
                  <w:tcMar>
                    <w:top w:w="0" w:type="dxa"/>
                    <w:left w:w="0" w:type="dxa"/>
                    <w:bottom w:w="0" w:type="dxa"/>
                    <w:right w:w="0" w:type="dxa"/>
                  </w:tcMar>
                  <w:vAlign w:val="center"/>
                </w:tcPr>
                <w:p w14:paraId="536CE9C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1.2</w:t>
                  </w:r>
                </w:p>
              </w:tc>
              <w:tc>
                <w:tcPr>
                  <w:tcW w:w="1005" w:type="dxa"/>
                  <w:noWrap w:val="0"/>
                  <w:tcMar>
                    <w:top w:w="0" w:type="dxa"/>
                    <w:left w:w="0" w:type="dxa"/>
                    <w:bottom w:w="0" w:type="dxa"/>
                    <w:right w:w="0" w:type="dxa"/>
                  </w:tcMar>
                  <w:vAlign w:val="center"/>
                </w:tcPr>
                <w:p w14:paraId="7AAC216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eastAsia="宋体" w:cs="Times New Roman"/>
                      <w:b w:val="0"/>
                      <w:bCs/>
                      <w:sz w:val="21"/>
                      <w:highlight w:val="none"/>
                      <w:lang w:val="en-US" w:eastAsia="zh-CN"/>
                    </w:rPr>
                    <w:t>5</w:t>
                  </w:r>
                </w:p>
              </w:tc>
              <w:tc>
                <w:tcPr>
                  <w:tcW w:w="870" w:type="dxa"/>
                  <w:noWrap w:val="0"/>
                  <w:tcMar>
                    <w:top w:w="0" w:type="dxa"/>
                    <w:left w:w="0" w:type="dxa"/>
                    <w:bottom w:w="0" w:type="dxa"/>
                    <w:right w:w="0" w:type="dxa"/>
                  </w:tcMar>
                  <w:vAlign w:val="center"/>
                </w:tcPr>
                <w:p w14:paraId="1F6B407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61.0</w:t>
                  </w:r>
                </w:p>
              </w:tc>
              <w:tc>
                <w:tcPr>
                  <w:tcW w:w="722" w:type="dxa"/>
                  <w:noWrap w:val="0"/>
                  <w:tcMar>
                    <w:top w:w="0" w:type="dxa"/>
                    <w:left w:w="0" w:type="dxa"/>
                    <w:bottom w:w="0" w:type="dxa"/>
                    <w:right w:w="0" w:type="dxa"/>
                  </w:tcMar>
                  <w:vAlign w:val="center"/>
                </w:tcPr>
                <w:p w14:paraId="133F830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昼间</w:t>
                  </w:r>
                </w:p>
              </w:tc>
              <w:tc>
                <w:tcPr>
                  <w:tcW w:w="1060" w:type="dxa"/>
                  <w:noWrap w:val="0"/>
                  <w:tcMar>
                    <w:top w:w="0" w:type="dxa"/>
                    <w:left w:w="0" w:type="dxa"/>
                    <w:bottom w:w="0" w:type="dxa"/>
                    <w:right w:w="0" w:type="dxa"/>
                  </w:tcMar>
                  <w:vAlign w:val="center"/>
                </w:tcPr>
                <w:p w14:paraId="2CD6F070">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2</w:t>
                  </w:r>
                  <w:r>
                    <w:rPr>
                      <w:rFonts w:hint="eastAsia" w:cs="Times New Roman"/>
                      <w:b w:val="0"/>
                      <w:bCs/>
                      <w:sz w:val="21"/>
                      <w:highlight w:val="none"/>
                      <w:lang w:val="en-US" w:eastAsia="zh-CN"/>
                    </w:rPr>
                    <w:t>5</w:t>
                  </w:r>
                  <w:r>
                    <w:rPr>
                      <w:rFonts w:hint="default" w:ascii="Times New Roman" w:hAnsi="Times New Roman" w:cs="Times New Roman"/>
                      <w:b w:val="0"/>
                      <w:bCs/>
                      <w:sz w:val="21"/>
                      <w:highlight w:val="none"/>
                      <w:lang w:val="en-US" w:eastAsia="zh-CN"/>
                    </w:rPr>
                    <w:t>.0</w:t>
                  </w:r>
                </w:p>
              </w:tc>
              <w:tc>
                <w:tcPr>
                  <w:tcW w:w="848" w:type="dxa"/>
                  <w:noWrap w:val="0"/>
                  <w:tcMar>
                    <w:top w:w="0" w:type="dxa"/>
                    <w:left w:w="0" w:type="dxa"/>
                    <w:bottom w:w="0" w:type="dxa"/>
                    <w:right w:w="0" w:type="dxa"/>
                  </w:tcMar>
                  <w:vAlign w:val="center"/>
                </w:tcPr>
                <w:p w14:paraId="42F5FB49">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3</w:t>
                  </w:r>
                  <w:r>
                    <w:rPr>
                      <w:rFonts w:hint="eastAsia" w:cs="Times New Roman"/>
                      <w:b w:val="0"/>
                      <w:bCs/>
                      <w:sz w:val="21"/>
                      <w:highlight w:val="none"/>
                      <w:lang w:val="en-US" w:eastAsia="zh-CN"/>
                    </w:rPr>
                    <w:t>6</w:t>
                  </w:r>
                  <w:r>
                    <w:rPr>
                      <w:rFonts w:hint="default" w:ascii="Times New Roman" w:hAnsi="Times New Roman" w:cs="Times New Roman"/>
                      <w:b w:val="0"/>
                      <w:bCs/>
                      <w:sz w:val="21"/>
                      <w:highlight w:val="none"/>
                      <w:lang w:val="en-US" w:eastAsia="zh-CN"/>
                    </w:rPr>
                    <w:t>.0</w:t>
                  </w:r>
                </w:p>
              </w:tc>
              <w:tc>
                <w:tcPr>
                  <w:tcW w:w="798" w:type="dxa"/>
                  <w:noWrap w:val="0"/>
                  <w:tcMar>
                    <w:top w:w="0" w:type="dxa"/>
                    <w:left w:w="0" w:type="dxa"/>
                    <w:bottom w:w="0" w:type="dxa"/>
                    <w:right w:w="0" w:type="dxa"/>
                  </w:tcMar>
                  <w:vAlign w:val="center"/>
                </w:tcPr>
                <w:p w14:paraId="608A74D1">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w:t>
                  </w:r>
                </w:p>
              </w:tc>
            </w:tr>
            <w:tr w14:paraId="0999B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9" w:type="dxa"/>
                  <w:noWrap w:val="0"/>
                  <w:tcMar>
                    <w:top w:w="0" w:type="dxa"/>
                    <w:left w:w="0" w:type="dxa"/>
                    <w:bottom w:w="0" w:type="dxa"/>
                    <w:right w:w="0" w:type="dxa"/>
                  </w:tcMar>
                  <w:vAlign w:val="center"/>
                </w:tcPr>
                <w:p w14:paraId="6015BD0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5</w:t>
                  </w:r>
                </w:p>
              </w:tc>
              <w:tc>
                <w:tcPr>
                  <w:tcW w:w="654" w:type="dxa"/>
                  <w:vMerge w:val="continue"/>
                  <w:noWrap w:val="0"/>
                  <w:tcMar>
                    <w:top w:w="0" w:type="dxa"/>
                    <w:left w:w="0" w:type="dxa"/>
                    <w:bottom w:w="0" w:type="dxa"/>
                    <w:right w:w="0" w:type="dxa"/>
                  </w:tcMar>
                  <w:vAlign w:val="center"/>
                </w:tcPr>
                <w:p w14:paraId="58AAEB7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1662" w:type="dxa"/>
                  <w:noWrap w:val="0"/>
                  <w:tcMar>
                    <w:top w:w="0" w:type="dxa"/>
                    <w:left w:w="0" w:type="dxa"/>
                    <w:bottom w:w="0" w:type="dxa"/>
                    <w:right w:w="0" w:type="dxa"/>
                  </w:tcMar>
                  <w:vAlign w:val="center"/>
                </w:tcPr>
                <w:p w14:paraId="4C4779BE">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5#成型机</w:t>
                  </w:r>
                </w:p>
              </w:tc>
              <w:tc>
                <w:tcPr>
                  <w:tcW w:w="1173" w:type="dxa"/>
                  <w:noWrap w:val="0"/>
                  <w:tcMar>
                    <w:top w:w="0" w:type="dxa"/>
                    <w:left w:w="0" w:type="dxa"/>
                    <w:bottom w:w="0" w:type="dxa"/>
                    <w:right w:w="0" w:type="dxa"/>
                  </w:tcMar>
                  <w:vAlign w:val="center"/>
                </w:tcPr>
                <w:p w14:paraId="4E4C6AD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cs="Times New Roman"/>
                      <w:b w:val="0"/>
                      <w:bCs/>
                      <w:sz w:val="21"/>
                      <w:highlight w:val="none"/>
                      <w:lang w:val="en-US" w:eastAsia="zh-CN"/>
                    </w:rPr>
                    <w:t>75</w:t>
                  </w:r>
                </w:p>
              </w:tc>
              <w:tc>
                <w:tcPr>
                  <w:tcW w:w="858" w:type="dxa"/>
                  <w:vMerge w:val="continue"/>
                  <w:noWrap w:val="0"/>
                  <w:tcMar>
                    <w:top w:w="0" w:type="dxa"/>
                    <w:left w:w="0" w:type="dxa"/>
                    <w:bottom w:w="0" w:type="dxa"/>
                    <w:right w:w="0" w:type="dxa"/>
                  </w:tcMar>
                  <w:vAlign w:val="center"/>
                </w:tcPr>
                <w:p w14:paraId="01E4978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872" w:type="dxa"/>
                  <w:noWrap w:val="0"/>
                  <w:tcMar>
                    <w:top w:w="0" w:type="dxa"/>
                    <w:left w:w="0" w:type="dxa"/>
                    <w:bottom w:w="0" w:type="dxa"/>
                    <w:right w:w="0" w:type="dxa"/>
                  </w:tcMar>
                  <w:vAlign w:val="center"/>
                </w:tcPr>
                <w:p w14:paraId="61D4420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eastAsia" w:cs="Times New Roman"/>
                      <w:b w:val="0"/>
                      <w:bCs/>
                      <w:sz w:val="21"/>
                      <w:highlight w:val="none"/>
                      <w:lang w:val="en-US" w:eastAsia="zh-CN"/>
                    </w:rPr>
                    <w:t>10</w:t>
                  </w:r>
                </w:p>
              </w:tc>
              <w:tc>
                <w:tcPr>
                  <w:tcW w:w="855" w:type="dxa"/>
                  <w:noWrap w:val="0"/>
                  <w:tcMar>
                    <w:top w:w="0" w:type="dxa"/>
                    <w:left w:w="0" w:type="dxa"/>
                    <w:bottom w:w="0" w:type="dxa"/>
                    <w:right w:w="0" w:type="dxa"/>
                  </w:tcMar>
                  <w:vAlign w:val="center"/>
                </w:tcPr>
                <w:p w14:paraId="02B0A885">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eastAsia" w:cs="Times New Roman"/>
                      <w:b w:val="0"/>
                      <w:bCs/>
                      <w:sz w:val="21"/>
                      <w:highlight w:val="none"/>
                      <w:lang w:val="en-US" w:eastAsia="zh-CN"/>
                    </w:rPr>
                    <w:t>30</w:t>
                  </w:r>
                </w:p>
              </w:tc>
              <w:tc>
                <w:tcPr>
                  <w:tcW w:w="907" w:type="dxa"/>
                  <w:noWrap w:val="0"/>
                  <w:tcMar>
                    <w:top w:w="0" w:type="dxa"/>
                    <w:left w:w="0" w:type="dxa"/>
                    <w:bottom w:w="0" w:type="dxa"/>
                    <w:right w:w="0" w:type="dxa"/>
                  </w:tcMar>
                  <w:vAlign w:val="center"/>
                </w:tcPr>
                <w:p w14:paraId="444A9888">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1.2</w:t>
                  </w:r>
                </w:p>
              </w:tc>
              <w:tc>
                <w:tcPr>
                  <w:tcW w:w="1005" w:type="dxa"/>
                  <w:noWrap w:val="0"/>
                  <w:tcMar>
                    <w:top w:w="0" w:type="dxa"/>
                    <w:left w:w="0" w:type="dxa"/>
                    <w:bottom w:w="0" w:type="dxa"/>
                    <w:right w:w="0" w:type="dxa"/>
                  </w:tcMar>
                  <w:vAlign w:val="center"/>
                </w:tcPr>
                <w:p w14:paraId="1FE6C37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eastAsia="宋体" w:cs="Times New Roman"/>
                      <w:b w:val="0"/>
                      <w:bCs/>
                      <w:kern w:val="2"/>
                      <w:sz w:val="21"/>
                      <w:szCs w:val="24"/>
                      <w:highlight w:val="none"/>
                      <w:lang w:val="en-US" w:eastAsia="zh-CN" w:bidi="ar-SA"/>
                    </w:rPr>
                    <w:t>5</w:t>
                  </w:r>
                </w:p>
              </w:tc>
              <w:tc>
                <w:tcPr>
                  <w:tcW w:w="870" w:type="dxa"/>
                  <w:noWrap w:val="0"/>
                  <w:tcMar>
                    <w:top w:w="0" w:type="dxa"/>
                    <w:left w:w="0" w:type="dxa"/>
                    <w:bottom w:w="0" w:type="dxa"/>
                    <w:right w:w="0" w:type="dxa"/>
                  </w:tcMar>
                  <w:vAlign w:val="center"/>
                </w:tcPr>
                <w:p w14:paraId="094104C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6</w:t>
                  </w:r>
                  <w:r>
                    <w:rPr>
                      <w:rFonts w:hint="eastAsia" w:cs="Times New Roman"/>
                      <w:b w:val="0"/>
                      <w:bCs/>
                      <w:sz w:val="21"/>
                      <w:highlight w:val="none"/>
                      <w:lang w:val="en-US" w:eastAsia="zh-CN"/>
                    </w:rPr>
                    <w:t>1</w:t>
                  </w:r>
                  <w:r>
                    <w:rPr>
                      <w:rFonts w:hint="default" w:ascii="Times New Roman" w:hAnsi="Times New Roman" w:cs="Times New Roman"/>
                      <w:b w:val="0"/>
                      <w:bCs/>
                      <w:sz w:val="21"/>
                      <w:highlight w:val="none"/>
                      <w:lang w:val="en-US" w:eastAsia="zh-CN"/>
                    </w:rPr>
                    <w:t>.0</w:t>
                  </w:r>
                </w:p>
              </w:tc>
              <w:tc>
                <w:tcPr>
                  <w:tcW w:w="722" w:type="dxa"/>
                  <w:noWrap w:val="0"/>
                  <w:tcMar>
                    <w:top w:w="0" w:type="dxa"/>
                    <w:left w:w="0" w:type="dxa"/>
                    <w:bottom w:w="0" w:type="dxa"/>
                    <w:right w:w="0" w:type="dxa"/>
                  </w:tcMar>
                  <w:vAlign w:val="center"/>
                </w:tcPr>
                <w:p w14:paraId="4D0A2C7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昼间</w:t>
                  </w:r>
                </w:p>
              </w:tc>
              <w:tc>
                <w:tcPr>
                  <w:tcW w:w="1060" w:type="dxa"/>
                  <w:noWrap w:val="0"/>
                  <w:tcMar>
                    <w:top w:w="0" w:type="dxa"/>
                    <w:left w:w="0" w:type="dxa"/>
                    <w:bottom w:w="0" w:type="dxa"/>
                    <w:right w:w="0" w:type="dxa"/>
                  </w:tcMar>
                  <w:vAlign w:val="center"/>
                </w:tcPr>
                <w:p w14:paraId="1244FE60">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2</w:t>
                  </w:r>
                  <w:r>
                    <w:rPr>
                      <w:rFonts w:hint="eastAsia" w:cs="Times New Roman"/>
                      <w:b w:val="0"/>
                      <w:bCs/>
                      <w:sz w:val="21"/>
                      <w:highlight w:val="none"/>
                      <w:lang w:val="en-US" w:eastAsia="zh-CN"/>
                    </w:rPr>
                    <w:t>5</w:t>
                  </w:r>
                  <w:r>
                    <w:rPr>
                      <w:rFonts w:hint="default" w:ascii="Times New Roman" w:hAnsi="Times New Roman" w:cs="Times New Roman"/>
                      <w:b w:val="0"/>
                      <w:bCs/>
                      <w:sz w:val="21"/>
                      <w:highlight w:val="none"/>
                      <w:lang w:val="en-US" w:eastAsia="zh-CN"/>
                    </w:rPr>
                    <w:t>.0</w:t>
                  </w:r>
                </w:p>
              </w:tc>
              <w:tc>
                <w:tcPr>
                  <w:tcW w:w="848" w:type="dxa"/>
                  <w:noWrap w:val="0"/>
                  <w:tcMar>
                    <w:top w:w="0" w:type="dxa"/>
                    <w:left w:w="0" w:type="dxa"/>
                    <w:bottom w:w="0" w:type="dxa"/>
                    <w:right w:w="0" w:type="dxa"/>
                  </w:tcMar>
                  <w:vAlign w:val="center"/>
                </w:tcPr>
                <w:p w14:paraId="2428FFC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3</w:t>
                  </w:r>
                  <w:r>
                    <w:rPr>
                      <w:rFonts w:hint="eastAsia" w:cs="Times New Roman"/>
                      <w:b w:val="0"/>
                      <w:bCs/>
                      <w:sz w:val="21"/>
                      <w:highlight w:val="none"/>
                      <w:lang w:val="en-US" w:eastAsia="zh-CN"/>
                    </w:rPr>
                    <w:t>6</w:t>
                  </w:r>
                  <w:r>
                    <w:rPr>
                      <w:rFonts w:hint="default" w:ascii="Times New Roman" w:hAnsi="Times New Roman" w:cs="Times New Roman"/>
                      <w:b w:val="0"/>
                      <w:bCs/>
                      <w:sz w:val="21"/>
                      <w:highlight w:val="none"/>
                      <w:lang w:val="en-US" w:eastAsia="zh-CN"/>
                    </w:rPr>
                    <w:t>.0</w:t>
                  </w:r>
                </w:p>
              </w:tc>
              <w:tc>
                <w:tcPr>
                  <w:tcW w:w="798" w:type="dxa"/>
                  <w:noWrap w:val="0"/>
                  <w:tcMar>
                    <w:top w:w="0" w:type="dxa"/>
                    <w:left w:w="0" w:type="dxa"/>
                    <w:bottom w:w="0" w:type="dxa"/>
                    <w:right w:w="0" w:type="dxa"/>
                  </w:tcMar>
                  <w:vAlign w:val="center"/>
                </w:tcPr>
                <w:p w14:paraId="3C80C4C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w:t>
                  </w:r>
                </w:p>
              </w:tc>
            </w:tr>
            <w:tr w14:paraId="2DA07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669" w:type="dxa"/>
                  <w:noWrap w:val="0"/>
                  <w:tcMar>
                    <w:top w:w="0" w:type="dxa"/>
                    <w:left w:w="0" w:type="dxa"/>
                    <w:bottom w:w="0" w:type="dxa"/>
                    <w:right w:w="0" w:type="dxa"/>
                  </w:tcMar>
                  <w:vAlign w:val="center"/>
                </w:tcPr>
                <w:p w14:paraId="2CBA3A8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6</w:t>
                  </w:r>
                </w:p>
              </w:tc>
              <w:tc>
                <w:tcPr>
                  <w:tcW w:w="654" w:type="dxa"/>
                  <w:vMerge w:val="continue"/>
                  <w:noWrap w:val="0"/>
                  <w:tcMar>
                    <w:top w:w="0" w:type="dxa"/>
                    <w:left w:w="0" w:type="dxa"/>
                    <w:bottom w:w="0" w:type="dxa"/>
                    <w:right w:w="0" w:type="dxa"/>
                  </w:tcMar>
                  <w:vAlign w:val="center"/>
                </w:tcPr>
                <w:p w14:paraId="11B32C1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1662" w:type="dxa"/>
                  <w:noWrap w:val="0"/>
                  <w:tcMar>
                    <w:top w:w="0" w:type="dxa"/>
                    <w:left w:w="0" w:type="dxa"/>
                    <w:bottom w:w="0" w:type="dxa"/>
                    <w:right w:w="0" w:type="dxa"/>
                  </w:tcMar>
                  <w:vAlign w:val="center"/>
                </w:tcPr>
                <w:p w14:paraId="660C078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eastAsia="zh-CN"/>
                    </w:rPr>
                  </w:pPr>
                  <w:r>
                    <w:rPr>
                      <w:rFonts w:hint="eastAsia" w:cs="Times New Roman"/>
                      <w:b w:val="0"/>
                      <w:bCs/>
                      <w:sz w:val="21"/>
                      <w:highlight w:val="none"/>
                      <w:lang w:val="en-US" w:eastAsia="zh-CN"/>
                    </w:rPr>
                    <w:t>6#成型机</w:t>
                  </w:r>
                </w:p>
              </w:tc>
              <w:tc>
                <w:tcPr>
                  <w:tcW w:w="1173" w:type="dxa"/>
                  <w:noWrap w:val="0"/>
                  <w:tcMar>
                    <w:top w:w="0" w:type="dxa"/>
                    <w:left w:w="0" w:type="dxa"/>
                    <w:bottom w:w="0" w:type="dxa"/>
                    <w:right w:w="0" w:type="dxa"/>
                  </w:tcMar>
                  <w:vAlign w:val="center"/>
                </w:tcPr>
                <w:p w14:paraId="03327CB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cs="Times New Roman"/>
                      <w:b w:val="0"/>
                      <w:bCs/>
                      <w:sz w:val="21"/>
                      <w:highlight w:val="none"/>
                      <w:lang w:val="en-US" w:eastAsia="zh-CN"/>
                    </w:rPr>
                    <w:t>75</w:t>
                  </w:r>
                </w:p>
              </w:tc>
              <w:tc>
                <w:tcPr>
                  <w:tcW w:w="858" w:type="dxa"/>
                  <w:vMerge w:val="continue"/>
                  <w:noWrap w:val="0"/>
                  <w:tcMar>
                    <w:top w:w="0" w:type="dxa"/>
                    <w:left w:w="0" w:type="dxa"/>
                    <w:bottom w:w="0" w:type="dxa"/>
                    <w:right w:w="0" w:type="dxa"/>
                  </w:tcMar>
                  <w:vAlign w:val="center"/>
                </w:tcPr>
                <w:p w14:paraId="45551E14">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872" w:type="dxa"/>
                  <w:noWrap w:val="0"/>
                  <w:tcMar>
                    <w:top w:w="0" w:type="dxa"/>
                    <w:left w:w="0" w:type="dxa"/>
                    <w:bottom w:w="0" w:type="dxa"/>
                    <w:right w:w="0" w:type="dxa"/>
                  </w:tcMar>
                  <w:vAlign w:val="center"/>
                </w:tcPr>
                <w:p w14:paraId="2ECB98A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10</w:t>
                  </w:r>
                </w:p>
              </w:tc>
              <w:tc>
                <w:tcPr>
                  <w:tcW w:w="855" w:type="dxa"/>
                  <w:noWrap w:val="0"/>
                  <w:tcMar>
                    <w:top w:w="0" w:type="dxa"/>
                    <w:left w:w="0" w:type="dxa"/>
                    <w:bottom w:w="0" w:type="dxa"/>
                    <w:right w:w="0" w:type="dxa"/>
                  </w:tcMar>
                  <w:vAlign w:val="center"/>
                </w:tcPr>
                <w:p w14:paraId="251E0A7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28</w:t>
                  </w:r>
                </w:p>
              </w:tc>
              <w:tc>
                <w:tcPr>
                  <w:tcW w:w="907" w:type="dxa"/>
                  <w:noWrap w:val="0"/>
                  <w:tcMar>
                    <w:top w:w="0" w:type="dxa"/>
                    <w:left w:w="0" w:type="dxa"/>
                    <w:bottom w:w="0" w:type="dxa"/>
                    <w:right w:w="0" w:type="dxa"/>
                  </w:tcMar>
                  <w:vAlign w:val="center"/>
                </w:tcPr>
                <w:p w14:paraId="410769F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1.2</w:t>
                  </w:r>
                </w:p>
              </w:tc>
              <w:tc>
                <w:tcPr>
                  <w:tcW w:w="1005" w:type="dxa"/>
                  <w:noWrap w:val="0"/>
                  <w:tcMar>
                    <w:top w:w="0" w:type="dxa"/>
                    <w:left w:w="0" w:type="dxa"/>
                    <w:bottom w:w="0" w:type="dxa"/>
                    <w:right w:w="0" w:type="dxa"/>
                  </w:tcMar>
                  <w:vAlign w:val="center"/>
                </w:tcPr>
                <w:p w14:paraId="5339479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eastAsia="宋体" w:cs="Times New Roman"/>
                      <w:b w:val="0"/>
                      <w:bCs/>
                      <w:kern w:val="2"/>
                      <w:sz w:val="21"/>
                      <w:szCs w:val="24"/>
                      <w:highlight w:val="none"/>
                      <w:lang w:val="en-US" w:eastAsia="zh-CN" w:bidi="ar-SA"/>
                    </w:rPr>
                    <w:t>5</w:t>
                  </w:r>
                </w:p>
              </w:tc>
              <w:tc>
                <w:tcPr>
                  <w:tcW w:w="870" w:type="dxa"/>
                  <w:noWrap w:val="0"/>
                  <w:tcMar>
                    <w:top w:w="0" w:type="dxa"/>
                    <w:left w:w="0" w:type="dxa"/>
                    <w:bottom w:w="0" w:type="dxa"/>
                    <w:right w:w="0" w:type="dxa"/>
                  </w:tcMar>
                  <w:vAlign w:val="center"/>
                </w:tcPr>
                <w:p w14:paraId="3773296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6</w:t>
                  </w:r>
                  <w:r>
                    <w:rPr>
                      <w:rFonts w:hint="eastAsia" w:cs="Times New Roman"/>
                      <w:b w:val="0"/>
                      <w:bCs/>
                      <w:sz w:val="21"/>
                      <w:highlight w:val="none"/>
                      <w:lang w:val="en-US" w:eastAsia="zh-CN"/>
                    </w:rPr>
                    <w:t>1</w:t>
                  </w:r>
                  <w:r>
                    <w:rPr>
                      <w:rFonts w:hint="default" w:ascii="Times New Roman" w:hAnsi="Times New Roman" w:cs="Times New Roman"/>
                      <w:b w:val="0"/>
                      <w:bCs/>
                      <w:sz w:val="21"/>
                      <w:highlight w:val="none"/>
                      <w:lang w:val="en-US" w:eastAsia="zh-CN"/>
                    </w:rPr>
                    <w:t>.0</w:t>
                  </w:r>
                </w:p>
              </w:tc>
              <w:tc>
                <w:tcPr>
                  <w:tcW w:w="722" w:type="dxa"/>
                  <w:noWrap w:val="0"/>
                  <w:tcMar>
                    <w:top w:w="0" w:type="dxa"/>
                    <w:left w:w="0" w:type="dxa"/>
                    <w:bottom w:w="0" w:type="dxa"/>
                    <w:right w:w="0" w:type="dxa"/>
                  </w:tcMar>
                  <w:vAlign w:val="center"/>
                </w:tcPr>
                <w:p w14:paraId="45FEDF3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昼间</w:t>
                  </w:r>
                </w:p>
              </w:tc>
              <w:tc>
                <w:tcPr>
                  <w:tcW w:w="1060" w:type="dxa"/>
                  <w:noWrap w:val="0"/>
                  <w:tcMar>
                    <w:top w:w="0" w:type="dxa"/>
                    <w:left w:w="0" w:type="dxa"/>
                    <w:bottom w:w="0" w:type="dxa"/>
                    <w:right w:w="0" w:type="dxa"/>
                  </w:tcMar>
                  <w:vAlign w:val="center"/>
                </w:tcPr>
                <w:p w14:paraId="5DD9EBB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2</w:t>
                  </w:r>
                  <w:r>
                    <w:rPr>
                      <w:rFonts w:hint="eastAsia" w:cs="Times New Roman"/>
                      <w:b w:val="0"/>
                      <w:bCs/>
                      <w:sz w:val="21"/>
                      <w:highlight w:val="none"/>
                      <w:lang w:val="en-US" w:eastAsia="zh-CN"/>
                    </w:rPr>
                    <w:t>5</w:t>
                  </w:r>
                  <w:r>
                    <w:rPr>
                      <w:rFonts w:hint="default" w:ascii="Times New Roman" w:hAnsi="Times New Roman" w:cs="Times New Roman"/>
                      <w:b w:val="0"/>
                      <w:bCs/>
                      <w:sz w:val="21"/>
                      <w:highlight w:val="none"/>
                      <w:lang w:val="en-US" w:eastAsia="zh-CN"/>
                    </w:rPr>
                    <w:t>.0</w:t>
                  </w:r>
                </w:p>
              </w:tc>
              <w:tc>
                <w:tcPr>
                  <w:tcW w:w="848" w:type="dxa"/>
                  <w:noWrap w:val="0"/>
                  <w:tcMar>
                    <w:top w:w="0" w:type="dxa"/>
                    <w:left w:w="0" w:type="dxa"/>
                    <w:bottom w:w="0" w:type="dxa"/>
                    <w:right w:w="0" w:type="dxa"/>
                  </w:tcMar>
                  <w:vAlign w:val="center"/>
                </w:tcPr>
                <w:p w14:paraId="2D3B6CF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lang w:val="en-US" w:eastAsia="zh-CN"/>
                    </w:rPr>
                    <w:t>3</w:t>
                  </w:r>
                  <w:r>
                    <w:rPr>
                      <w:rFonts w:hint="eastAsia" w:cs="Times New Roman"/>
                      <w:b w:val="0"/>
                      <w:bCs/>
                      <w:sz w:val="21"/>
                      <w:highlight w:val="none"/>
                      <w:lang w:val="en-US" w:eastAsia="zh-CN"/>
                    </w:rPr>
                    <w:t>6</w:t>
                  </w:r>
                  <w:r>
                    <w:rPr>
                      <w:rFonts w:hint="default" w:ascii="Times New Roman" w:hAnsi="Times New Roman" w:cs="Times New Roman"/>
                      <w:b w:val="0"/>
                      <w:bCs/>
                      <w:sz w:val="21"/>
                      <w:highlight w:val="none"/>
                      <w:lang w:val="en-US" w:eastAsia="zh-CN"/>
                    </w:rPr>
                    <w:t>.0</w:t>
                  </w:r>
                </w:p>
              </w:tc>
              <w:tc>
                <w:tcPr>
                  <w:tcW w:w="798" w:type="dxa"/>
                  <w:noWrap w:val="0"/>
                  <w:tcMar>
                    <w:top w:w="0" w:type="dxa"/>
                    <w:left w:w="0" w:type="dxa"/>
                    <w:bottom w:w="0" w:type="dxa"/>
                    <w:right w:w="0" w:type="dxa"/>
                  </w:tcMar>
                  <w:vAlign w:val="center"/>
                </w:tcPr>
                <w:p w14:paraId="6954D39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1</w:t>
                  </w:r>
                </w:p>
              </w:tc>
            </w:tr>
            <w:tr w14:paraId="383B4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669" w:type="dxa"/>
                  <w:noWrap w:val="0"/>
                  <w:tcMar>
                    <w:top w:w="0" w:type="dxa"/>
                    <w:left w:w="0" w:type="dxa"/>
                    <w:bottom w:w="0" w:type="dxa"/>
                    <w:right w:w="0" w:type="dxa"/>
                  </w:tcMar>
                  <w:vAlign w:val="center"/>
                </w:tcPr>
                <w:p w14:paraId="4041C13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cs="Times New Roman"/>
                      <w:b w:val="0"/>
                      <w:bCs/>
                      <w:sz w:val="21"/>
                      <w:highlight w:val="none"/>
                      <w:lang w:val="en-US" w:eastAsia="zh-CN"/>
                    </w:rPr>
                    <w:t>7</w:t>
                  </w:r>
                </w:p>
              </w:tc>
              <w:tc>
                <w:tcPr>
                  <w:tcW w:w="654" w:type="dxa"/>
                  <w:vMerge w:val="continue"/>
                  <w:noWrap w:val="0"/>
                  <w:tcMar>
                    <w:top w:w="0" w:type="dxa"/>
                    <w:left w:w="0" w:type="dxa"/>
                    <w:bottom w:w="0" w:type="dxa"/>
                    <w:right w:w="0" w:type="dxa"/>
                  </w:tcMar>
                  <w:vAlign w:val="center"/>
                </w:tcPr>
                <w:p w14:paraId="32D002F1">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1662" w:type="dxa"/>
                  <w:noWrap w:val="0"/>
                  <w:tcMar>
                    <w:top w:w="0" w:type="dxa"/>
                    <w:left w:w="0" w:type="dxa"/>
                    <w:bottom w:w="0" w:type="dxa"/>
                    <w:right w:w="0" w:type="dxa"/>
                  </w:tcMar>
                  <w:vAlign w:val="center"/>
                </w:tcPr>
                <w:p w14:paraId="13B69A25">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eastAsia" w:cs="Times New Roman"/>
                      <w:b w:val="0"/>
                      <w:bCs/>
                      <w:sz w:val="21"/>
                      <w:highlight w:val="none"/>
                      <w:lang w:val="en-US" w:eastAsia="zh-CN"/>
                    </w:rPr>
                  </w:pPr>
                  <w:r>
                    <w:rPr>
                      <w:rFonts w:hint="eastAsia" w:cs="Times New Roman"/>
                      <w:b w:val="0"/>
                      <w:bCs/>
                      <w:sz w:val="21"/>
                      <w:highlight w:val="none"/>
                      <w:lang w:val="en-US" w:eastAsia="zh-CN"/>
                    </w:rPr>
                    <w:t>1#空压机</w:t>
                  </w:r>
                </w:p>
              </w:tc>
              <w:tc>
                <w:tcPr>
                  <w:tcW w:w="1173" w:type="dxa"/>
                  <w:noWrap w:val="0"/>
                  <w:tcMar>
                    <w:top w:w="0" w:type="dxa"/>
                    <w:left w:w="0" w:type="dxa"/>
                    <w:bottom w:w="0" w:type="dxa"/>
                    <w:right w:w="0" w:type="dxa"/>
                  </w:tcMar>
                  <w:vAlign w:val="center"/>
                </w:tcPr>
                <w:p w14:paraId="3722948D">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cs="Times New Roman"/>
                      <w:b w:val="0"/>
                      <w:bCs/>
                      <w:sz w:val="21"/>
                      <w:highlight w:val="none"/>
                      <w:lang w:val="en-US" w:eastAsia="zh-CN"/>
                    </w:rPr>
                  </w:pPr>
                  <w:r>
                    <w:rPr>
                      <w:rFonts w:hint="eastAsia" w:cs="Times New Roman"/>
                      <w:b w:val="0"/>
                      <w:bCs/>
                      <w:sz w:val="21"/>
                      <w:highlight w:val="none"/>
                      <w:lang w:val="en-US" w:eastAsia="zh-CN"/>
                    </w:rPr>
                    <w:t>80</w:t>
                  </w:r>
                </w:p>
              </w:tc>
              <w:tc>
                <w:tcPr>
                  <w:tcW w:w="858" w:type="dxa"/>
                  <w:vMerge w:val="continue"/>
                  <w:noWrap w:val="0"/>
                  <w:tcMar>
                    <w:top w:w="0" w:type="dxa"/>
                    <w:left w:w="0" w:type="dxa"/>
                    <w:bottom w:w="0" w:type="dxa"/>
                    <w:right w:w="0" w:type="dxa"/>
                  </w:tcMar>
                  <w:vAlign w:val="center"/>
                </w:tcPr>
                <w:p w14:paraId="182D41FF">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cs="Times New Roman"/>
                      <w:b w:val="0"/>
                      <w:bCs/>
                      <w:sz w:val="21"/>
                      <w:highlight w:val="none"/>
                    </w:rPr>
                  </w:pPr>
                </w:p>
              </w:tc>
              <w:tc>
                <w:tcPr>
                  <w:tcW w:w="872" w:type="dxa"/>
                  <w:noWrap w:val="0"/>
                  <w:tcMar>
                    <w:top w:w="0" w:type="dxa"/>
                    <w:left w:w="0" w:type="dxa"/>
                    <w:bottom w:w="0" w:type="dxa"/>
                    <w:right w:w="0" w:type="dxa"/>
                  </w:tcMar>
                  <w:vAlign w:val="center"/>
                </w:tcPr>
                <w:p w14:paraId="3DF5BA9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cs="Times New Roman"/>
                      <w:b w:val="0"/>
                      <w:bCs/>
                      <w:sz w:val="21"/>
                      <w:highlight w:val="none"/>
                      <w:lang w:val="en-US" w:eastAsia="zh-CN"/>
                    </w:rPr>
                  </w:pPr>
                  <w:r>
                    <w:rPr>
                      <w:rFonts w:hint="eastAsia" w:cs="Times New Roman"/>
                      <w:b w:val="0"/>
                      <w:bCs/>
                      <w:sz w:val="21"/>
                      <w:highlight w:val="none"/>
                      <w:lang w:val="en-US" w:eastAsia="zh-CN"/>
                    </w:rPr>
                    <w:t>7</w:t>
                  </w:r>
                </w:p>
              </w:tc>
              <w:tc>
                <w:tcPr>
                  <w:tcW w:w="855" w:type="dxa"/>
                  <w:noWrap w:val="0"/>
                  <w:tcMar>
                    <w:top w:w="0" w:type="dxa"/>
                    <w:left w:w="0" w:type="dxa"/>
                    <w:bottom w:w="0" w:type="dxa"/>
                    <w:right w:w="0" w:type="dxa"/>
                  </w:tcMar>
                  <w:vAlign w:val="center"/>
                </w:tcPr>
                <w:p w14:paraId="0EF88DA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cs="Times New Roman"/>
                      <w:b w:val="0"/>
                      <w:bCs/>
                      <w:sz w:val="21"/>
                      <w:highlight w:val="none"/>
                      <w:lang w:val="en-US" w:eastAsia="zh-CN"/>
                    </w:rPr>
                  </w:pPr>
                  <w:r>
                    <w:rPr>
                      <w:rFonts w:hint="eastAsia" w:cs="Times New Roman"/>
                      <w:b w:val="0"/>
                      <w:bCs/>
                      <w:sz w:val="21"/>
                      <w:highlight w:val="none"/>
                      <w:lang w:val="en-US" w:eastAsia="zh-CN"/>
                    </w:rPr>
                    <w:t>35</w:t>
                  </w:r>
                </w:p>
              </w:tc>
              <w:tc>
                <w:tcPr>
                  <w:tcW w:w="907" w:type="dxa"/>
                  <w:noWrap w:val="0"/>
                  <w:tcMar>
                    <w:top w:w="0" w:type="dxa"/>
                    <w:left w:w="0" w:type="dxa"/>
                    <w:bottom w:w="0" w:type="dxa"/>
                    <w:right w:w="0" w:type="dxa"/>
                  </w:tcMar>
                  <w:vAlign w:val="center"/>
                </w:tcPr>
                <w:p w14:paraId="256AB34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1.2</w:t>
                  </w:r>
                </w:p>
              </w:tc>
              <w:tc>
                <w:tcPr>
                  <w:tcW w:w="1005" w:type="dxa"/>
                  <w:noWrap w:val="0"/>
                  <w:tcMar>
                    <w:top w:w="0" w:type="dxa"/>
                    <w:left w:w="0" w:type="dxa"/>
                    <w:bottom w:w="0" w:type="dxa"/>
                    <w:right w:w="0" w:type="dxa"/>
                  </w:tcMar>
                  <w:vAlign w:val="center"/>
                </w:tcPr>
                <w:p w14:paraId="1A241E6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kern w:val="2"/>
                      <w:sz w:val="21"/>
                      <w:szCs w:val="24"/>
                      <w:highlight w:val="none"/>
                      <w:lang w:val="en-US" w:eastAsia="zh-CN" w:bidi="ar-SA"/>
                    </w:rPr>
                    <w:t>5</w:t>
                  </w:r>
                </w:p>
              </w:tc>
              <w:tc>
                <w:tcPr>
                  <w:tcW w:w="870" w:type="dxa"/>
                  <w:noWrap w:val="0"/>
                  <w:tcMar>
                    <w:top w:w="0" w:type="dxa"/>
                    <w:left w:w="0" w:type="dxa"/>
                    <w:bottom w:w="0" w:type="dxa"/>
                    <w:right w:w="0" w:type="dxa"/>
                  </w:tcMar>
                  <w:vAlign w:val="center"/>
                </w:tcPr>
                <w:p w14:paraId="239A344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cs="Times New Roman"/>
                      <w:b w:val="0"/>
                      <w:bCs/>
                      <w:sz w:val="21"/>
                      <w:highlight w:val="none"/>
                      <w:lang w:val="en-US" w:eastAsia="zh-CN"/>
                    </w:rPr>
                    <w:t>66.0</w:t>
                  </w:r>
                </w:p>
              </w:tc>
              <w:tc>
                <w:tcPr>
                  <w:tcW w:w="722" w:type="dxa"/>
                  <w:noWrap w:val="0"/>
                  <w:tcMar>
                    <w:top w:w="0" w:type="dxa"/>
                    <w:left w:w="0" w:type="dxa"/>
                    <w:bottom w:w="0" w:type="dxa"/>
                    <w:right w:w="0" w:type="dxa"/>
                  </w:tcMar>
                  <w:vAlign w:val="center"/>
                </w:tcPr>
                <w:p w14:paraId="4F2F911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昼间</w:t>
                  </w:r>
                </w:p>
              </w:tc>
              <w:tc>
                <w:tcPr>
                  <w:tcW w:w="1060" w:type="dxa"/>
                  <w:noWrap w:val="0"/>
                  <w:tcMar>
                    <w:top w:w="0" w:type="dxa"/>
                    <w:left w:w="0" w:type="dxa"/>
                    <w:bottom w:w="0" w:type="dxa"/>
                    <w:right w:w="0" w:type="dxa"/>
                  </w:tcMar>
                  <w:vAlign w:val="center"/>
                </w:tcPr>
                <w:p w14:paraId="55E7928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cs="Times New Roman"/>
                      <w:b w:val="0"/>
                      <w:bCs/>
                      <w:sz w:val="21"/>
                      <w:highlight w:val="none"/>
                      <w:lang w:val="en-US" w:eastAsia="zh-CN"/>
                    </w:rPr>
                    <w:t>25.0</w:t>
                  </w:r>
                </w:p>
              </w:tc>
              <w:tc>
                <w:tcPr>
                  <w:tcW w:w="848" w:type="dxa"/>
                  <w:noWrap w:val="0"/>
                  <w:tcMar>
                    <w:top w:w="0" w:type="dxa"/>
                    <w:left w:w="0" w:type="dxa"/>
                    <w:bottom w:w="0" w:type="dxa"/>
                    <w:right w:w="0" w:type="dxa"/>
                  </w:tcMar>
                  <w:vAlign w:val="center"/>
                </w:tcPr>
                <w:p w14:paraId="7478A0B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eastAsia="zh-CN"/>
                    </w:rPr>
                  </w:pPr>
                  <w:r>
                    <w:rPr>
                      <w:rFonts w:hint="eastAsia" w:cs="Times New Roman"/>
                      <w:b w:val="0"/>
                      <w:bCs/>
                      <w:sz w:val="21"/>
                      <w:highlight w:val="none"/>
                      <w:lang w:val="en-US" w:eastAsia="zh-CN"/>
                    </w:rPr>
                    <w:t>41.0</w:t>
                  </w:r>
                </w:p>
              </w:tc>
              <w:tc>
                <w:tcPr>
                  <w:tcW w:w="798" w:type="dxa"/>
                  <w:noWrap w:val="0"/>
                  <w:tcMar>
                    <w:top w:w="0" w:type="dxa"/>
                    <w:left w:w="0" w:type="dxa"/>
                    <w:bottom w:w="0" w:type="dxa"/>
                    <w:right w:w="0" w:type="dxa"/>
                  </w:tcMar>
                  <w:vAlign w:val="center"/>
                </w:tcPr>
                <w:p w14:paraId="0D690F0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1</w:t>
                  </w:r>
                </w:p>
              </w:tc>
            </w:tr>
            <w:tr w14:paraId="5AD4F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669" w:type="dxa"/>
                  <w:shd w:val="clear" w:color="auto" w:fill="auto"/>
                  <w:noWrap w:val="0"/>
                  <w:tcMar>
                    <w:top w:w="0" w:type="dxa"/>
                    <w:left w:w="0" w:type="dxa"/>
                    <w:bottom w:w="0" w:type="dxa"/>
                    <w:right w:w="0" w:type="dxa"/>
                  </w:tcMar>
                  <w:vAlign w:val="center"/>
                </w:tcPr>
                <w:p w14:paraId="4EF51C57">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8</w:t>
                  </w:r>
                </w:p>
              </w:tc>
              <w:tc>
                <w:tcPr>
                  <w:tcW w:w="654" w:type="dxa"/>
                  <w:vMerge w:val="continue"/>
                  <w:shd w:val="clear" w:color="auto" w:fill="auto"/>
                  <w:noWrap w:val="0"/>
                  <w:tcMar>
                    <w:top w:w="0" w:type="dxa"/>
                    <w:left w:w="0" w:type="dxa"/>
                    <w:bottom w:w="0" w:type="dxa"/>
                    <w:right w:w="0" w:type="dxa"/>
                  </w:tcMar>
                  <w:vAlign w:val="center"/>
                </w:tcPr>
                <w:p w14:paraId="71DC7185">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p>
              </w:tc>
              <w:tc>
                <w:tcPr>
                  <w:tcW w:w="1662" w:type="dxa"/>
                  <w:shd w:val="clear" w:color="auto" w:fill="auto"/>
                  <w:noWrap w:val="0"/>
                  <w:tcMar>
                    <w:top w:w="0" w:type="dxa"/>
                    <w:left w:w="0" w:type="dxa"/>
                    <w:bottom w:w="0" w:type="dxa"/>
                    <w:right w:w="0" w:type="dxa"/>
                  </w:tcMar>
                  <w:vAlign w:val="center"/>
                </w:tcPr>
                <w:p w14:paraId="6FA36EE6">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1#空压机</w:t>
                  </w:r>
                </w:p>
              </w:tc>
              <w:tc>
                <w:tcPr>
                  <w:tcW w:w="1173" w:type="dxa"/>
                  <w:shd w:val="clear" w:color="auto" w:fill="auto"/>
                  <w:noWrap w:val="0"/>
                  <w:tcMar>
                    <w:top w:w="0" w:type="dxa"/>
                    <w:left w:w="0" w:type="dxa"/>
                    <w:bottom w:w="0" w:type="dxa"/>
                    <w:right w:w="0" w:type="dxa"/>
                  </w:tcMar>
                  <w:vAlign w:val="center"/>
                </w:tcPr>
                <w:p w14:paraId="001112FC">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80</w:t>
                  </w:r>
                </w:p>
              </w:tc>
              <w:tc>
                <w:tcPr>
                  <w:tcW w:w="858" w:type="dxa"/>
                  <w:vMerge w:val="continue"/>
                  <w:shd w:val="clear" w:color="auto" w:fill="auto"/>
                  <w:noWrap w:val="0"/>
                  <w:tcMar>
                    <w:top w:w="0" w:type="dxa"/>
                    <w:left w:w="0" w:type="dxa"/>
                    <w:bottom w:w="0" w:type="dxa"/>
                    <w:right w:w="0" w:type="dxa"/>
                  </w:tcMar>
                  <w:vAlign w:val="center"/>
                </w:tcPr>
                <w:p w14:paraId="5024DA22">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p>
              </w:tc>
              <w:tc>
                <w:tcPr>
                  <w:tcW w:w="872" w:type="dxa"/>
                  <w:shd w:val="clear" w:color="auto" w:fill="auto"/>
                  <w:noWrap w:val="0"/>
                  <w:tcMar>
                    <w:top w:w="0" w:type="dxa"/>
                    <w:left w:w="0" w:type="dxa"/>
                    <w:bottom w:w="0" w:type="dxa"/>
                    <w:right w:w="0" w:type="dxa"/>
                  </w:tcMar>
                  <w:vAlign w:val="center"/>
                </w:tcPr>
                <w:p w14:paraId="6E0D8D3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kern w:val="2"/>
                      <w:sz w:val="21"/>
                      <w:szCs w:val="24"/>
                      <w:highlight w:val="none"/>
                      <w:lang w:val="en-US" w:eastAsia="zh-CN" w:bidi="ar-SA"/>
                    </w:rPr>
                    <w:t>7</w:t>
                  </w:r>
                </w:p>
              </w:tc>
              <w:tc>
                <w:tcPr>
                  <w:tcW w:w="855" w:type="dxa"/>
                  <w:shd w:val="clear" w:color="auto" w:fill="auto"/>
                  <w:noWrap w:val="0"/>
                  <w:tcMar>
                    <w:top w:w="0" w:type="dxa"/>
                    <w:left w:w="0" w:type="dxa"/>
                    <w:bottom w:w="0" w:type="dxa"/>
                    <w:right w:w="0" w:type="dxa"/>
                  </w:tcMar>
                  <w:vAlign w:val="center"/>
                </w:tcPr>
                <w:p w14:paraId="41A82A5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eastAsia" w:cs="Times New Roman"/>
                      <w:b w:val="0"/>
                      <w:bCs/>
                      <w:kern w:val="2"/>
                      <w:sz w:val="21"/>
                      <w:szCs w:val="24"/>
                      <w:highlight w:val="none"/>
                      <w:lang w:val="en-US" w:eastAsia="zh-CN" w:bidi="ar-SA"/>
                    </w:rPr>
                    <w:t>27</w:t>
                  </w:r>
                </w:p>
              </w:tc>
              <w:tc>
                <w:tcPr>
                  <w:tcW w:w="907" w:type="dxa"/>
                  <w:shd w:val="clear" w:color="auto" w:fill="auto"/>
                  <w:noWrap w:val="0"/>
                  <w:tcMar>
                    <w:top w:w="0" w:type="dxa"/>
                    <w:left w:w="0" w:type="dxa"/>
                    <w:bottom w:w="0" w:type="dxa"/>
                    <w:right w:w="0" w:type="dxa"/>
                  </w:tcMar>
                  <w:vAlign w:val="center"/>
                </w:tcPr>
                <w:p w14:paraId="2DBE9EB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1.2</w:t>
                  </w:r>
                </w:p>
              </w:tc>
              <w:tc>
                <w:tcPr>
                  <w:tcW w:w="1005" w:type="dxa"/>
                  <w:shd w:val="clear" w:color="auto" w:fill="auto"/>
                  <w:noWrap w:val="0"/>
                  <w:tcMar>
                    <w:top w:w="0" w:type="dxa"/>
                    <w:left w:w="0" w:type="dxa"/>
                    <w:bottom w:w="0" w:type="dxa"/>
                    <w:right w:w="0" w:type="dxa"/>
                  </w:tcMar>
                  <w:vAlign w:val="center"/>
                </w:tcPr>
                <w:p w14:paraId="12511E9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kern w:val="2"/>
                      <w:sz w:val="21"/>
                      <w:szCs w:val="24"/>
                      <w:highlight w:val="none"/>
                      <w:lang w:val="en-US" w:eastAsia="zh-CN" w:bidi="ar-SA"/>
                    </w:rPr>
                    <w:t>5</w:t>
                  </w:r>
                </w:p>
              </w:tc>
              <w:tc>
                <w:tcPr>
                  <w:tcW w:w="870" w:type="dxa"/>
                  <w:shd w:val="clear" w:color="auto" w:fill="auto"/>
                  <w:noWrap w:val="0"/>
                  <w:tcMar>
                    <w:top w:w="0" w:type="dxa"/>
                    <w:left w:w="0" w:type="dxa"/>
                    <w:bottom w:w="0" w:type="dxa"/>
                    <w:right w:w="0" w:type="dxa"/>
                  </w:tcMar>
                  <w:vAlign w:val="center"/>
                </w:tcPr>
                <w:p w14:paraId="3778B4B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66.0</w:t>
                  </w:r>
                </w:p>
              </w:tc>
              <w:tc>
                <w:tcPr>
                  <w:tcW w:w="722" w:type="dxa"/>
                  <w:shd w:val="clear" w:color="auto" w:fill="auto"/>
                  <w:noWrap w:val="0"/>
                  <w:tcMar>
                    <w:top w:w="0" w:type="dxa"/>
                    <w:left w:w="0" w:type="dxa"/>
                    <w:bottom w:w="0" w:type="dxa"/>
                    <w:right w:w="0" w:type="dxa"/>
                  </w:tcMar>
                  <w:vAlign w:val="center"/>
                </w:tcPr>
                <w:p w14:paraId="1198383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kern w:val="2"/>
                      <w:sz w:val="21"/>
                      <w:szCs w:val="24"/>
                      <w:highlight w:val="none"/>
                      <w:lang w:val="en-US" w:eastAsia="zh-CN" w:bidi="ar-SA"/>
                    </w:rPr>
                  </w:pPr>
                  <w:r>
                    <w:rPr>
                      <w:rFonts w:hint="default" w:ascii="Times New Roman" w:hAnsi="Times New Roman" w:cs="Times New Roman"/>
                      <w:b w:val="0"/>
                      <w:bCs/>
                      <w:sz w:val="21"/>
                      <w:highlight w:val="none"/>
                    </w:rPr>
                    <w:t>昼间</w:t>
                  </w:r>
                </w:p>
              </w:tc>
              <w:tc>
                <w:tcPr>
                  <w:tcW w:w="1060" w:type="dxa"/>
                  <w:shd w:val="clear" w:color="auto" w:fill="auto"/>
                  <w:noWrap w:val="0"/>
                  <w:tcMar>
                    <w:top w:w="0" w:type="dxa"/>
                    <w:left w:w="0" w:type="dxa"/>
                    <w:bottom w:w="0" w:type="dxa"/>
                    <w:right w:w="0" w:type="dxa"/>
                  </w:tcMar>
                  <w:vAlign w:val="center"/>
                </w:tcPr>
                <w:p w14:paraId="7712B25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25.0</w:t>
                  </w:r>
                </w:p>
              </w:tc>
              <w:tc>
                <w:tcPr>
                  <w:tcW w:w="848" w:type="dxa"/>
                  <w:shd w:val="clear" w:color="auto" w:fill="auto"/>
                  <w:noWrap w:val="0"/>
                  <w:tcMar>
                    <w:top w:w="0" w:type="dxa"/>
                    <w:left w:w="0" w:type="dxa"/>
                    <w:bottom w:w="0" w:type="dxa"/>
                    <w:right w:w="0" w:type="dxa"/>
                  </w:tcMar>
                  <w:vAlign w:val="center"/>
                </w:tcPr>
                <w:p w14:paraId="3D94FA2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41.0</w:t>
                  </w:r>
                </w:p>
              </w:tc>
              <w:tc>
                <w:tcPr>
                  <w:tcW w:w="798" w:type="dxa"/>
                  <w:shd w:val="clear" w:color="auto" w:fill="auto"/>
                  <w:noWrap w:val="0"/>
                  <w:tcMar>
                    <w:top w:w="0" w:type="dxa"/>
                    <w:left w:w="0" w:type="dxa"/>
                    <w:bottom w:w="0" w:type="dxa"/>
                    <w:right w:w="0" w:type="dxa"/>
                  </w:tcMar>
                  <w:vAlign w:val="center"/>
                </w:tcPr>
                <w:p w14:paraId="65CA44C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b w:val="0"/>
                      <w:bCs/>
                      <w:kern w:val="2"/>
                      <w:sz w:val="21"/>
                      <w:szCs w:val="24"/>
                      <w:highlight w:val="none"/>
                      <w:lang w:val="en-US" w:eastAsia="zh-CN" w:bidi="ar-SA"/>
                    </w:rPr>
                  </w:pPr>
                  <w:r>
                    <w:rPr>
                      <w:rFonts w:hint="eastAsia" w:cs="Times New Roman"/>
                      <w:b w:val="0"/>
                      <w:bCs/>
                      <w:sz w:val="21"/>
                      <w:highlight w:val="none"/>
                      <w:lang w:val="en-US" w:eastAsia="zh-CN"/>
                    </w:rPr>
                    <w:t>1</w:t>
                  </w:r>
                </w:p>
              </w:tc>
            </w:tr>
            <w:tr w14:paraId="6C5D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953" w:type="dxa"/>
                  <w:gridSpan w:val="14"/>
                  <w:noWrap w:val="0"/>
                  <w:tcMar>
                    <w:top w:w="0" w:type="dxa"/>
                    <w:left w:w="0" w:type="dxa"/>
                    <w:bottom w:w="0" w:type="dxa"/>
                    <w:right w:w="0" w:type="dxa"/>
                  </w:tcMar>
                  <w:vAlign w:val="center"/>
                </w:tcPr>
                <w:p w14:paraId="64A8BD93">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both"/>
                    <w:textAlignment w:val="auto"/>
                    <w:rPr>
                      <w:rFonts w:hint="eastAsia" w:ascii="Times New Roman" w:hAnsi="Times New Roman" w:eastAsia="宋体" w:cs="Times New Roman"/>
                      <w:b w:val="0"/>
                      <w:bCs/>
                      <w:sz w:val="21"/>
                      <w:highlight w:val="none"/>
                      <w:lang w:eastAsia="zh-CN"/>
                    </w:rPr>
                  </w:pPr>
                  <w:r>
                    <w:rPr>
                      <w:rFonts w:hint="default" w:ascii="Times New Roman" w:hAnsi="Times New Roman" w:cs="Times New Roman"/>
                      <w:b w:val="0"/>
                      <w:bCs/>
                      <w:sz w:val="21"/>
                      <w:szCs w:val="22"/>
                      <w:highlight w:val="none"/>
                    </w:rPr>
                    <w:t>注：表中坐标以</w:t>
                  </w:r>
                  <w:r>
                    <w:rPr>
                      <w:rFonts w:hint="default" w:ascii="Times New Roman" w:hAnsi="Times New Roman" w:cs="Times New Roman"/>
                      <w:b w:val="0"/>
                      <w:bCs/>
                      <w:sz w:val="21"/>
                      <w:szCs w:val="22"/>
                      <w:highlight w:val="none"/>
                      <w:lang w:eastAsia="zh-CN"/>
                    </w:rPr>
                    <w:t>厂界西南角</w:t>
                  </w:r>
                  <w:r>
                    <w:rPr>
                      <w:rFonts w:hint="default" w:ascii="Times New Roman" w:hAnsi="Times New Roman" w:cs="Times New Roman"/>
                      <w:b w:val="0"/>
                      <w:bCs/>
                      <w:sz w:val="21"/>
                      <w:szCs w:val="22"/>
                      <w:highlight w:val="none"/>
                    </w:rPr>
                    <w:t>（113.</w:t>
                  </w:r>
                  <w:r>
                    <w:rPr>
                      <w:rFonts w:hint="eastAsia" w:cs="Times New Roman"/>
                      <w:b w:val="0"/>
                      <w:bCs/>
                      <w:sz w:val="21"/>
                      <w:szCs w:val="22"/>
                      <w:highlight w:val="none"/>
                      <w:lang w:val="en-US" w:eastAsia="zh-CN"/>
                    </w:rPr>
                    <w:t>563529</w:t>
                  </w:r>
                  <w:r>
                    <w:rPr>
                      <w:rFonts w:hint="default" w:ascii="Times New Roman" w:hAnsi="Times New Roman" w:cs="Times New Roman"/>
                      <w:b w:val="0"/>
                      <w:bCs/>
                      <w:sz w:val="21"/>
                      <w:szCs w:val="22"/>
                      <w:highlight w:val="none"/>
                    </w:rPr>
                    <w:t>°，</w:t>
                  </w:r>
                  <w:r>
                    <w:rPr>
                      <w:rFonts w:hint="default" w:ascii="Times New Roman" w:hAnsi="Times New Roman" w:cs="Times New Roman"/>
                      <w:b w:val="0"/>
                      <w:bCs/>
                      <w:sz w:val="21"/>
                      <w:szCs w:val="22"/>
                      <w:highlight w:val="none"/>
                      <w:lang w:val="en-US" w:eastAsia="zh-CN"/>
                    </w:rPr>
                    <w:t>35.</w:t>
                  </w:r>
                  <w:r>
                    <w:rPr>
                      <w:rFonts w:hint="eastAsia" w:cs="Times New Roman"/>
                      <w:b w:val="0"/>
                      <w:bCs/>
                      <w:sz w:val="21"/>
                      <w:szCs w:val="22"/>
                      <w:highlight w:val="none"/>
                      <w:lang w:val="en-US" w:eastAsia="zh-CN"/>
                    </w:rPr>
                    <w:t>048468</w:t>
                  </w:r>
                  <w:r>
                    <w:rPr>
                      <w:rFonts w:hint="default" w:ascii="Times New Roman" w:hAnsi="Times New Roman" w:cs="Times New Roman"/>
                      <w:b w:val="0"/>
                      <w:bCs/>
                      <w:sz w:val="21"/>
                      <w:szCs w:val="22"/>
                      <w:highlight w:val="none"/>
                    </w:rPr>
                    <w:t>°）为坐标原点，正东向为X轴正方向，正北向为Y轴正方向</w:t>
                  </w:r>
                  <w:r>
                    <w:rPr>
                      <w:rFonts w:hint="eastAsia" w:cs="Times New Roman"/>
                      <w:b w:val="0"/>
                      <w:bCs/>
                      <w:sz w:val="21"/>
                      <w:szCs w:val="22"/>
                      <w:highlight w:val="none"/>
                      <w:lang w:eastAsia="zh-CN"/>
                    </w:rPr>
                    <w:t>。</w:t>
                  </w:r>
                </w:p>
              </w:tc>
            </w:tr>
          </w:tbl>
          <w:p w14:paraId="39B438BB">
            <w:pPr>
              <w:pStyle w:val="2"/>
              <w:ind w:left="0" w:leftChars="0" w:firstLine="0" w:firstLineChars="0"/>
              <w:rPr>
                <w:rFonts w:hint="default" w:ascii="Times New Roman" w:hAnsi="Times New Roman" w:cs="Times New Roman"/>
              </w:rPr>
            </w:pPr>
          </w:p>
        </w:tc>
      </w:tr>
    </w:tbl>
    <w:p w14:paraId="79CFFC00">
      <w:pPr>
        <w:pStyle w:val="14"/>
        <w:ind w:left="480" w:firstLine="480"/>
        <w:rPr>
          <w:rFonts w:hint="default" w:ascii="Times New Roman" w:hAnsi="Times New Roman" w:cs="Times New Roman"/>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32"/>
        <w:gridCol w:w="8449"/>
      </w:tblGrid>
      <w:tr w14:paraId="400B4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85" w:hRule="atLeast"/>
          <w:jc w:val="center"/>
        </w:trPr>
        <w:tc>
          <w:tcPr>
            <w:tcW w:w="565" w:type="dxa"/>
            <w:noWrap w:val="0"/>
            <w:tcMar>
              <w:left w:w="28" w:type="dxa"/>
              <w:right w:w="28" w:type="dxa"/>
            </w:tcMar>
            <w:vAlign w:val="center"/>
          </w:tcPr>
          <w:p w14:paraId="0B1B1AB7">
            <w:pPr>
              <w:adjustRightInd w:val="0"/>
              <w:snapToGrid w:val="0"/>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运营期环境影响和保护措施</w:t>
            </w:r>
          </w:p>
        </w:tc>
        <w:tc>
          <w:tcPr>
            <w:tcW w:w="9031" w:type="dxa"/>
            <w:noWrap w:val="0"/>
            <w:vAlign w:val="center"/>
          </w:tcPr>
          <w:p w14:paraId="7EF843F2">
            <w:pPr>
              <w:keepNext w:val="0"/>
              <w:keepLines w:val="0"/>
              <w:pageBreakBefore w:val="0"/>
              <w:widowControl w:val="0"/>
              <w:tabs>
                <w:tab w:val="center" w:pos="4471"/>
              </w:tabs>
              <w:kinsoku/>
              <w:wordWrap/>
              <w:overflowPunct/>
              <w:topLinePunct w:val="0"/>
              <w:autoSpaceDE/>
              <w:autoSpaceDN/>
              <w:bidi w:val="0"/>
              <w:adjustRightInd/>
              <w:snapToGrid/>
              <w:spacing w:beforeAutospacing="0" w:afterAutospacing="0" w:line="520" w:lineRule="exact"/>
              <w:ind w:firstLine="482" w:firstLineChars="200"/>
              <w:jc w:val="left"/>
              <w:textAlignment w:val="auto"/>
              <w:outlineLvl w:val="1"/>
              <w:rPr>
                <w:rFonts w:hint="default" w:ascii="Times New Roman" w:hAnsi="Times New Roman" w:eastAsia="宋体" w:cs="Times New Roman"/>
                <w:b/>
                <w:bCs/>
                <w:kern w:val="0"/>
                <w:sz w:val="24"/>
                <w:szCs w:val="36"/>
                <w:lang w:val="en-US" w:eastAsia="zh-CN" w:bidi="ar"/>
              </w:rPr>
            </w:pPr>
            <w:r>
              <w:rPr>
                <w:rFonts w:hint="default" w:ascii="Times New Roman" w:hAnsi="Times New Roman" w:eastAsia="宋体" w:cs="Times New Roman"/>
                <w:b/>
                <w:bCs/>
                <w:kern w:val="0"/>
                <w:sz w:val="24"/>
                <w:szCs w:val="36"/>
                <w:lang w:val="en-US" w:eastAsia="zh-CN" w:bidi="ar"/>
              </w:rPr>
              <w:t>3.</w:t>
            </w:r>
            <w:r>
              <w:rPr>
                <w:rFonts w:hint="eastAsia" w:cs="Times New Roman"/>
                <w:b/>
                <w:bCs/>
                <w:kern w:val="0"/>
                <w:sz w:val="24"/>
                <w:szCs w:val="36"/>
                <w:lang w:val="en-US" w:eastAsia="zh-CN" w:bidi="ar"/>
              </w:rPr>
              <w:t>2</w:t>
            </w:r>
            <w:r>
              <w:rPr>
                <w:rFonts w:hint="default" w:ascii="Times New Roman" w:hAnsi="Times New Roman" w:eastAsia="宋体" w:cs="Times New Roman"/>
                <w:b/>
                <w:bCs/>
                <w:kern w:val="0"/>
                <w:sz w:val="24"/>
                <w:szCs w:val="36"/>
                <w:lang w:val="en-US" w:eastAsia="zh-CN" w:bidi="ar"/>
              </w:rPr>
              <w:t>噪声环境影响预测方法</w:t>
            </w:r>
            <w:r>
              <w:rPr>
                <w:rFonts w:hint="default" w:ascii="Times New Roman" w:hAnsi="Times New Roman" w:eastAsia="宋体" w:cs="Times New Roman"/>
                <w:b/>
                <w:bCs/>
                <w:kern w:val="0"/>
                <w:sz w:val="24"/>
                <w:szCs w:val="36"/>
                <w:lang w:val="en-US" w:eastAsia="zh-CN" w:bidi="ar"/>
              </w:rPr>
              <w:tab/>
            </w:r>
          </w:p>
          <w:p w14:paraId="64824691">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本次预测的模型采用《环境影响评价技术导则</w:t>
            </w:r>
            <w:r>
              <w:rPr>
                <w:rFonts w:hint="default" w:ascii="Times New Roman" w:hAnsi="Times New Roman" w:eastAsia="宋体" w:cs="Times New Roman"/>
                <w:sz w:val="24"/>
                <w:lang w:val="en-US" w:eastAsia="zh-CN"/>
              </w:rPr>
              <w:t xml:space="preserve"> </w:t>
            </w:r>
            <w:r>
              <w:rPr>
                <w:rFonts w:hint="default" w:ascii="Times New Roman" w:hAnsi="Times New Roman" w:eastAsia="宋体" w:cs="Times New Roman"/>
                <w:sz w:val="24"/>
              </w:rPr>
              <w:t>声环境》推荐</w:t>
            </w:r>
            <w:r>
              <w:rPr>
                <w:rFonts w:hint="default" w:ascii="Times New Roman" w:hAnsi="Times New Roman" w:eastAsia="宋体" w:cs="Times New Roman"/>
                <w:sz w:val="24"/>
                <w:lang w:eastAsia="zh-CN"/>
              </w:rPr>
              <w:t>的</w:t>
            </w:r>
            <w:r>
              <w:rPr>
                <w:rFonts w:hint="default" w:ascii="Times New Roman" w:hAnsi="Times New Roman" w:eastAsia="宋体" w:cs="Times New Roman"/>
                <w:sz w:val="24"/>
              </w:rPr>
              <w:t>模型进行预测</w:t>
            </w:r>
            <w:r>
              <w:rPr>
                <w:rFonts w:hint="default" w:ascii="Times New Roman" w:hAnsi="Times New Roman" w:eastAsia="宋体" w:cs="Times New Roman"/>
                <w:sz w:val="24"/>
                <w:lang w:eastAsia="zh-CN"/>
              </w:rPr>
              <w:t>。</w:t>
            </w:r>
          </w:p>
          <w:p w14:paraId="410CAE64">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（1）室内声源等效室外声源声功率级计算方法</w:t>
            </w:r>
          </w:p>
          <w:p w14:paraId="635FFAFC">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①声源位于室内，室内声源可采用等效室外声源声功率级法进行计算</w:t>
            </w:r>
          </w:p>
          <w:p w14:paraId="464337FC">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若声源所在室内声场为近似扩散声场，则室外的倍频带声压级可按下面的公式近似求出。</w:t>
            </w:r>
          </w:p>
          <w:p w14:paraId="31FFAC79">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LP</w:t>
            </w:r>
            <w:r>
              <w:rPr>
                <w:rFonts w:hint="default" w:ascii="Times New Roman" w:hAnsi="Times New Roman" w:eastAsia="宋体" w:cs="Times New Roman"/>
                <w:sz w:val="24"/>
                <w:vertAlign w:val="subscript"/>
                <w:lang w:val="en-US" w:eastAsia="zh-CN"/>
              </w:rPr>
              <w:t>2</w:t>
            </w:r>
            <w:r>
              <w:rPr>
                <w:rFonts w:hint="default" w:ascii="Times New Roman" w:hAnsi="Times New Roman" w:eastAsia="宋体" w:cs="Times New Roman"/>
                <w:sz w:val="24"/>
                <w:lang w:val="en-US" w:eastAsia="zh-CN"/>
              </w:rPr>
              <w:t>=LP</w:t>
            </w:r>
            <w:r>
              <w:rPr>
                <w:rFonts w:hint="default" w:ascii="Times New Roman" w:hAnsi="Times New Roman" w:eastAsia="宋体" w:cs="Times New Roman"/>
                <w:sz w:val="24"/>
                <w:vertAlign w:val="subscript"/>
                <w:lang w:val="en-US" w:eastAsia="zh-CN"/>
              </w:rPr>
              <w:t>1</w:t>
            </w:r>
            <w:r>
              <w:rPr>
                <w:rFonts w:hint="default" w:ascii="Times New Roman" w:hAnsi="Times New Roman" w:eastAsia="宋体" w:cs="Times New Roman"/>
                <w:sz w:val="24"/>
                <w:lang w:val="en-US" w:eastAsia="zh-CN"/>
              </w:rPr>
              <w:t>-（TL+6）</w:t>
            </w:r>
          </w:p>
          <w:p w14:paraId="25023C5E">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式中：L</w:t>
            </w:r>
            <w:r>
              <w:rPr>
                <w:rFonts w:hint="default" w:ascii="Times New Roman" w:hAnsi="Times New Roman" w:eastAsia="宋体" w:cs="Times New Roman"/>
                <w:sz w:val="24"/>
                <w:lang w:val="en-US" w:eastAsia="zh-CN"/>
              </w:rPr>
              <w:t>P</w:t>
            </w:r>
            <w:r>
              <w:rPr>
                <w:rFonts w:hint="default" w:ascii="Times New Roman" w:hAnsi="Times New Roman" w:eastAsia="宋体" w:cs="Times New Roman"/>
                <w:sz w:val="24"/>
                <w:vertAlign w:val="subscript"/>
              </w:rPr>
              <w:t>1</w:t>
            </w:r>
            <w:r>
              <w:rPr>
                <w:rFonts w:hint="default" w:ascii="Times New Roman" w:hAnsi="Times New Roman" w:eastAsia="宋体" w:cs="Times New Roman"/>
                <w:sz w:val="24"/>
              </w:rPr>
              <w:t>——靠近开口处（或窗户）室内某倍频带的声压级或A声级，dB；</w:t>
            </w:r>
          </w:p>
          <w:p w14:paraId="1C1AEC67">
            <w:pPr>
              <w:keepNext w:val="0"/>
              <w:keepLines w:val="0"/>
              <w:pageBreakBefore w:val="0"/>
              <w:widowControl w:val="0"/>
              <w:kinsoku/>
              <w:wordWrap/>
              <w:overflowPunct/>
              <w:topLinePunct w:val="0"/>
              <w:autoSpaceDE/>
              <w:autoSpaceDN/>
              <w:bidi w:val="0"/>
              <w:spacing w:line="520" w:lineRule="exact"/>
              <w:ind w:left="0" w:leftChars="0"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L</w:t>
            </w:r>
            <w:r>
              <w:rPr>
                <w:rFonts w:hint="default" w:ascii="Times New Roman" w:hAnsi="Times New Roman" w:eastAsia="宋体" w:cs="Times New Roman"/>
                <w:sz w:val="24"/>
                <w:lang w:val="en-US" w:eastAsia="zh-CN"/>
              </w:rPr>
              <w:t>P</w:t>
            </w:r>
            <w:r>
              <w:rPr>
                <w:rFonts w:hint="default" w:ascii="Times New Roman" w:hAnsi="Times New Roman" w:eastAsia="宋体" w:cs="Times New Roman"/>
                <w:sz w:val="24"/>
                <w:vertAlign w:val="subscript"/>
              </w:rPr>
              <w:t>2</w:t>
            </w:r>
            <w:r>
              <w:rPr>
                <w:rFonts w:hint="default" w:ascii="Times New Roman" w:hAnsi="Times New Roman" w:eastAsia="宋体" w:cs="Times New Roman"/>
                <w:sz w:val="24"/>
              </w:rPr>
              <w:t>——靠近开口处（或窗户）室外某倍频带的声压级或A声级，dB；</w:t>
            </w:r>
          </w:p>
          <w:p w14:paraId="7FE6D8C4">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TL——隔墙（或窗户）倍频带或A声级的隔声量，dB</w:t>
            </w:r>
            <w:r>
              <w:rPr>
                <w:rFonts w:hint="default" w:ascii="Times New Roman" w:hAnsi="Times New Roman" w:eastAsia="宋体" w:cs="Times New Roman"/>
                <w:sz w:val="24"/>
                <w:lang w:eastAsia="zh-CN"/>
              </w:rPr>
              <w:t>。</w:t>
            </w:r>
          </w:p>
          <w:p w14:paraId="546C1173">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户外声传播的衰减模型</w:t>
            </w:r>
          </w:p>
          <w:p w14:paraId="625FC145">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①户外声传播衰减的基本公式</w:t>
            </w:r>
          </w:p>
          <w:p w14:paraId="640DD828">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户外声传播衰减包括几何发散、大气吸收、地面效应、障碍物屏蔽、其他多方面效应引起的衰减。在环境影响评价中，应根据声源声功率级或参考位置处的声压级、户外声传播筛检，计算预测点的声级。</w:t>
            </w:r>
          </w:p>
          <w:p w14:paraId="7C3392F3">
            <w:pPr>
              <w:keepNext w:val="0"/>
              <w:keepLines w:val="0"/>
              <w:pageBreakBefore w:val="0"/>
              <w:widowControl w:val="0"/>
              <w:kinsoku/>
              <w:wordWrap/>
              <w:overflowPunct/>
              <w:topLinePunct w:val="0"/>
              <w:autoSpaceDE/>
              <w:autoSpaceDN/>
              <w:bidi w:val="0"/>
              <w:spacing w:line="520" w:lineRule="exact"/>
              <w:ind w:left="0" w:leftChars="0"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rPr>
              <w:t>p</w:t>
            </w:r>
            <w:r>
              <w:rPr>
                <w:rFonts w:hint="default" w:ascii="Times New Roman" w:hAnsi="Times New Roman" w:eastAsia="宋体" w:cs="Times New Roman"/>
                <w:sz w:val="24"/>
              </w:rPr>
              <w:t>(r)＝L</w:t>
            </w:r>
            <w:r>
              <w:rPr>
                <w:rFonts w:hint="default" w:ascii="Times New Roman" w:hAnsi="Times New Roman" w:eastAsia="宋体" w:cs="Times New Roman"/>
                <w:sz w:val="24"/>
                <w:vertAlign w:val="subscript"/>
              </w:rPr>
              <w:t>p</w:t>
            </w:r>
            <w:r>
              <w:rPr>
                <w:rFonts w:hint="default" w:ascii="Times New Roman" w:hAnsi="Times New Roman" w:eastAsia="宋体" w:cs="Times New Roman"/>
                <w:sz w:val="24"/>
              </w:rPr>
              <w:t>(r</w:t>
            </w:r>
            <w:r>
              <w:rPr>
                <w:rFonts w:hint="default" w:ascii="Times New Roman" w:hAnsi="Times New Roman" w:eastAsia="宋体" w:cs="Times New Roman"/>
                <w:sz w:val="24"/>
                <w:vertAlign w:val="subscript"/>
              </w:rPr>
              <w:t>0</w:t>
            </w:r>
            <w:r>
              <w:rPr>
                <w:rFonts w:hint="default" w:ascii="Times New Roman" w:hAnsi="Times New Roman" w:eastAsia="宋体" w:cs="Times New Roman"/>
                <w:sz w:val="24"/>
              </w:rPr>
              <w:t>)+D</w:t>
            </w:r>
            <w:r>
              <w:rPr>
                <w:rFonts w:hint="default" w:ascii="Times New Roman" w:hAnsi="Times New Roman" w:eastAsia="宋体" w:cs="Times New Roman"/>
                <w:sz w:val="24"/>
                <w:vertAlign w:val="subscript"/>
              </w:rPr>
              <w:t>C</w:t>
            </w: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div</w:t>
            </w: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atm</w:t>
            </w: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gr</w:t>
            </w: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bar</w:t>
            </w: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misc</w:t>
            </w:r>
            <w:r>
              <w:rPr>
                <w:rFonts w:hint="default" w:ascii="Times New Roman" w:hAnsi="Times New Roman" w:eastAsia="宋体" w:cs="Times New Roman"/>
                <w:sz w:val="24"/>
              </w:rPr>
              <w:t>)</w:t>
            </w:r>
          </w:p>
          <w:p w14:paraId="31A6B539">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式中：Lp(r) —预测点处声压级，dB；</w:t>
            </w:r>
          </w:p>
          <w:p w14:paraId="6A54785E">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Lp(r</w:t>
            </w:r>
            <w:r>
              <w:rPr>
                <w:rFonts w:hint="default" w:ascii="Times New Roman" w:hAnsi="Times New Roman" w:eastAsia="宋体" w:cs="Times New Roman"/>
                <w:sz w:val="24"/>
                <w:vertAlign w:val="subscript"/>
              </w:rPr>
              <w:t>0</w:t>
            </w:r>
            <w:r>
              <w:rPr>
                <w:rFonts w:hint="default" w:ascii="Times New Roman" w:hAnsi="Times New Roman" w:eastAsia="宋体" w:cs="Times New Roman"/>
                <w:sz w:val="24"/>
              </w:rPr>
              <w:t>) —参考位置r</w:t>
            </w:r>
            <w:r>
              <w:rPr>
                <w:rFonts w:hint="default" w:ascii="Times New Roman" w:hAnsi="Times New Roman" w:eastAsia="宋体" w:cs="Times New Roman"/>
                <w:sz w:val="24"/>
                <w:vertAlign w:val="subscript"/>
              </w:rPr>
              <w:t>0</w:t>
            </w:r>
            <w:r>
              <w:rPr>
                <w:rFonts w:hint="default" w:ascii="Times New Roman" w:hAnsi="Times New Roman" w:eastAsia="宋体" w:cs="Times New Roman"/>
                <w:sz w:val="24"/>
              </w:rPr>
              <w:t>处的声压级，dB；</w:t>
            </w:r>
          </w:p>
          <w:p w14:paraId="3264E426">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D</w:t>
            </w:r>
            <w:r>
              <w:rPr>
                <w:rFonts w:hint="default" w:ascii="Times New Roman" w:hAnsi="Times New Roman" w:eastAsia="宋体" w:cs="Times New Roman"/>
                <w:sz w:val="24"/>
                <w:vertAlign w:val="subscript"/>
              </w:rPr>
              <w:t>C</w:t>
            </w:r>
            <w:r>
              <w:rPr>
                <w:rFonts w:hint="default" w:ascii="Times New Roman" w:hAnsi="Times New Roman" w:eastAsia="宋体" w:cs="Times New Roman"/>
                <w:sz w:val="24"/>
                <w:vertAlign w:val="subscript"/>
                <w:lang w:val="en-US" w:eastAsia="zh-CN"/>
              </w:rPr>
              <w:t xml:space="preserve"> </w:t>
            </w:r>
            <w:r>
              <w:rPr>
                <w:rFonts w:hint="default" w:ascii="Times New Roman" w:hAnsi="Times New Roman" w:eastAsia="宋体" w:cs="Times New Roman"/>
                <w:sz w:val="24"/>
              </w:rPr>
              <w:t>—指向性校正，它描述点声源的等效连续声压级与产生声功率级</w:t>
            </w:r>
          </w:p>
          <w:p w14:paraId="7301AF91">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rPr>
              <w:t>w</w:t>
            </w:r>
            <w:r>
              <w:rPr>
                <w:rFonts w:hint="default" w:ascii="Times New Roman" w:hAnsi="Times New Roman" w:eastAsia="宋体" w:cs="Times New Roman"/>
                <w:sz w:val="24"/>
              </w:rPr>
              <w:t xml:space="preserve"> 的全向点声源在规定方向的声级的偏差程度，dB；</w:t>
            </w:r>
          </w:p>
          <w:p w14:paraId="13D9097C">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div</w:t>
            </w:r>
            <w:r>
              <w:rPr>
                <w:rFonts w:hint="default" w:ascii="Times New Roman" w:hAnsi="Times New Roman" w:eastAsia="宋体" w:cs="Times New Roman"/>
                <w:sz w:val="24"/>
              </w:rPr>
              <w:t xml:space="preserve"> —几何发散引起的衰减，dB；</w:t>
            </w:r>
          </w:p>
          <w:p w14:paraId="2A20B4B6">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atm</w:t>
            </w:r>
            <w:r>
              <w:rPr>
                <w:rFonts w:hint="default" w:ascii="Times New Roman" w:hAnsi="Times New Roman" w:eastAsia="宋体" w:cs="Times New Roman"/>
                <w:sz w:val="24"/>
              </w:rPr>
              <w:t xml:space="preserve"> —大气吸收引起的衰减，dB；</w:t>
            </w:r>
          </w:p>
          <w:p w14:paraId="212DAA7A">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gr</w:t>
            </w:r>
            <w:r>
              <w:rPr>
                <w:rFonts w:hint="default" w:ascii="Times New Roman" w:hAnsi="Times New Roman" w:eastAsia="宋体" w:cs="Times New Roman"/>
                <w:sz w:val="24"/>
              </w:rPr>
              <w:t xml:space="preserve"> —地面效应引起的衰减，dB；</w:t>
            </w:r>
          </w:p>
          <w:p w14:paraId="1C9DB0E7">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bar</w:t>
            </w:r>
            <w:r>
              <w:rPr>
                <w:rFonts w:hint="default" w:ascii="Times New Roman" w:hAnsi="Times New Roman" w:eastAsia="宋体" w:cs="Times New Roman"/>
                <w:sz w:val="24"/>
              </w:rPr>
              <w:t xml:space="preserve"> —障碍物屏蔽引起的衰减，dB；</w:t>
            </w:r>
          </w:p>
          <w:p w14:paraId="17182758">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A</w:t>
            </w:r>
            <w:r>
              <w:rPr>
                <w:rFonts w:hint="default" w:ascii="Times New Roman" w:hAnsi="Times New Roman" w:eastAsia="宋体" w:cs="Times New Roman"/>
                <w:sz w:val="24"/>
                <w:vertAlign w:val="subscript"/>
              </w:rPr>
              <w:t>misc</w:t>
            </w:r>
            <w:r>
              <w:rPr>
                <w:rFonts w:hint="default" w:ascii="Times New Roman" w:hAnsi="Times New Roman" w:eastAsia="宋体" w:cs="Times New Roman"/>
                <w:sz w:val="24"/>
              </w:rPr>
              <w:t xml:space="preserve"> —其他多方面效应引起的衰减，dB。</w:t>
            </w:r>
          </w:p>
          <w:p w14:paraId="73ECFDC8">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考虑最不利环境影响，本次仅考虑几何发散衰减后对周边声环境的影响。</w:t>
            </w:r>
          </w:p>
          <w:p w14:paraId="16508308">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②无指向性点声源几何发散衰减</w:t>
            </w:r>
          </w:p>
          <w:p w14:paraId="6590596C">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无指向性点声源几何发散衰减的基本公式是：</w:t>
            </w:r>
          </w:p>
          <w:p w14:paraId="45B1C973">
            <w:pPr>
              <w:keepNext w:val="0"/>
              <w:keepLines w:val="0"/>
              <w:pageBreakBefore w:val="0"/>
              <w:widowControl w:val="0"/>
              <w:kinsoku/>
              <w:wordWrap/>
              <w:overflowPunct/>
              <w:topLinePunct w:val="0"/>
              <w:autoSpaceDE/>
              <w:autoSpaceDN/>
              <w:bidi w:val="0"/>
              <w:spacing w:line="520" w:lineRule="exact"/>
              <w:ind w:firstLine="480" w:firstLineChars="200"/>
              <w:jc w:val="center"/>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lang w:val="en-US" w:eastAsia="zh-CN"/>
              </w:rPr>
              <w:t>p</w:t>
            </w:r>
            <w:r>
              <w:rPr>
                <w:rFonts w:hint="default" w:ascii="Times New Roman" w:hAnsi="Times New Roman" w:eastAsia="宋体" w:cs="Times New Roman"/>
                <w:sz w:val="24"/>
                <w:lang w:val="en-US" w:eastAsia="zh-CN"/>
              </w:rPr>
              <w:t>(r)=</w:t>
            </w: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lang w:val="en-US" w:eastAsia="zh-CN"/>
              </w:rPr>
              <w:t>p(</w:t>
            </w:r>
            <w:r>
              <w:rPr>
                <w:rFonts w:hint="default" w:ascii="Times New Roman" w:hAnsi="Times New Roman" w:eastAsia="宋体" w:cs="Times New Roman"/>
                <w:sz w:val="24"/>
                <w:lang w:val="en-US" w:eastAsia="zh-CN"/>
              </w:rPr>
              <w:t>r</w:t>
            </w:r>
            <w:r>
              <w:rPr>
                <w:rFonts w:hint="default" w:ascii="Times New Roman" w:hAnsi="Times New Roman" w:eastAsia="宋体" w:cs="Times New Roman"/>
                <w:sz w:val="24"/>
                <w:vertAlign w:val="subscript"/>
                <w:lang w:val="en-US" w:eastAsia="zh-CN"/>
              </w:rPr>
              <w:t>0</w:t>
            </w:r>
            <w:r>
              <w:rPr>
                <w:rFonts w:hint="default" w:ascii="Times New Roman" w:hAnsi="Times New Roman" w:eastAsia="宋体" w:cs="Times New Roman"/>
                <w:sz w:val="24"/>
                <w:lang w:val="en-US" w:eastAsia="zh-CN"/>
              </w:rPr>
              <w:t>)-20 lg(r/r</w:t>
            </w:r>
            <w:r>
              <w:rPr>
                <w:rFonts w:hint="default" w:ascii="Times New Roman" w:hAnsi="Times New Roman" w:eastAsia="宋体" w:cs="Times New Roman"/>
                <w:sz w:val="24"/>
                <w:vertAlign w:val="subscript"/>
                <w:lang w:val="en-US" w:eastAsia="zh-CN"/>
              </w:rPr>
              <w:t>0</w:t>
            </w:r>
            <w:r>
              <w:rPr>
                <w:rFonts w:hint="default" w:ascii="Times New Roman" w:hAnsi="Times New Roman" w:eastAsia="宋体" w:cs="Times New Roman"/>
                <w:sz w:val="24"/>
                <w:lang w:val="en-US" w:eastAsia="zh-CN"/>
              </w:rPr>
              <w:t>)</w:t>
            </w:r>
          </w:p>
          <w:p w14:paraId="10C04AAD">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式中：L</w:t>
            </w:r>
            <w:r>
              <w:rPr>
                <w:rFonts w:hint="default" w:ascii="Times New Roman" w:hAnsi="Times New Roman" w:eastAsia="宋体" w:cs="Times New Roman"/>
                <w:sz w:val="24"/>
                <w:vertAlign w:val="subscript"/>
                <w:lang w:val="en-US" w:eastAsia="zh-CN"/>
              </w:rPr>
              <w:t>p</w:t>
            </w:r>
            <w:r>
              <w:rPr>
                <w:rFonts w:hint="default" w:ascii="Times New Roman" w:hAnsi="Times New Roman" w:eastAsia="宋体" w:cs="Times New Roman"/>
                <w:sz w:val="24"/>
              </w:rPr>
              <w:t>(r) —预测点处声压级，dB；</w:t>
            </w:r>
          </w:p>
          <w:p w14:paraId="4D6FCC47">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lang w:val="en-US" w:eastAsia="zh-CN"/>
              </w:rPr>
              <w:t>p</w:t>
            </w:r>
            <w:r>
              <w:rPr>
                <w:rFonts w:hint="default" w:ascii="Times New Roman" w:hAnsi="Times New Roman" w:eastAsia="宋体" w:cs="Times New Roman"/>
                <w:sz w:val="24"/>
              </w:rPr>
              <w:t>(r</w:t>
            </w:r>
            <w:r>
              <w:rPr>
                <w:rFonts w:hint="default" w:ascii="Times New Roman" w:hAnsi="Times New Roman" w:eastAsia="宋体" w:cs="Times New Roman"/>
                <w:sz w:val="24"/>
                <w:vertAlign w:val="subscript"/>
              </w:rPr>
              <w:t>0</w:t>
            </w:r>
            <w:r>
              <w:rPr>
                <w:rFonts w:hint="default" w:ascii="Times New Roman" w:hAnsi="Times New Roman" w:eastAsia="宋体" w:cs="Times New Roman"/>
                <w:sz w:val="24"/>
              </w:rPr>
              <w:t>) —参考位置r</w:t>
            </w:r>
            <w:r>
              <w:rPr>
                <w:rFonts w:hint="default" w:ascii="Times New Roman" w:hAnsi="Times New Roman" w:eastAsia="宋体" w:cs="Times New Roman"/>
                <w:sz w:val="24"/>
                <w:vertAlign w:val="subscript"/>
              </w:rPr>
              <w:t>0</w:t>
            </w:r>
            <w:r>
              <w:rPr>
                <w:rFonts w:hint="default" w:ascii="Times New Roman" w:hAnsi="Times New Roman" w:eastAsia="宋体" w:cs="Times New Roman"/>
                <w:sz w:val="24"/>
              </w:rPr>
              <w:t>处的声压级，dB；</w:t>
            </w:r>
          </w:p>
          <w:p w14:paraId="2D90A635">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r —预测点距声源的距离，m；</w:t>
            </w:r>
          </w:p>
          <w:p w14:paraId="5B57F097">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r</w:t>
            </w:r>
            <w:r>
              <w:rPr>
                <w:rFonts w:hint="default" w:ascii="Times New Roman" w:hAnsi="Times New Roman" w:eastAsia="宋体" w:cs="Times New Roman"/>
                <w:sz w:val="24"/>
                <w:vertAlign w:val="subscript"/>
              </w:rPr>
              <w:t>0</w:t>
            </w:r>
            <w:r>
              <w:rPr>
                <w:rFonts w:hint="default" w:ascii="Times New Roman" w:hAnsi="Times New Roman" w:eastAsia="宋体" w:cs="Times New Roman"/>
                <w:sz w:val="24"/>
              </w:rPr>
              <w:t>—参考位置距声源的距离，m。</w:t>
            </w:r>
          </w:p>
          <w:p w14:paraId="21C50145">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若已知点声源的倍频带声功率级，且声源处于半自由声场，则上式可等效为：</w:t>
            </w:r>
          </w:p>
          <w:p w14:paraId="12340C5D">
            <w:pPr>
              <w:keepNext w:val="0"/>
              <w:keepLines w:val="0"/>
              <w:pageBreakBefore w:val="0"/>
              <w:widowControl w:val="0"/>
              <w:kinsoku/>
              <w:wordWrap/>
              <w:overflowPunct/>
              <w:topLinePunct w:val="0"/>
              <w:autoSpaceDE/>
              <w:autoSpaceDN/>
              <w:bidi w:val="0"/>
              <w:spacing w:line="520" w:lineRule="exact"/>
              <w:ind w:firstLine="480" w:firstLineChars="200"/>
              <w:jc w:val="center"/>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lang w:val="en-US" w:eastAsia="zh-CN"/>
              </w:rPr>
              <w:t>p</w:t>
            </w:r>
            <w:r>
              <w:rPr>
                <w:rFonts w:hint="default" w:ascii="Times New Roman" w:hAnsi="Times New Roman" w:eastAsia="宋体" w:cs="Times New Roman"/>
                <w:sz w:val="24"/>
                <w:lang w:val="en-US" w:eastAsia="zh-CN"/>
              </w:rPr>
              <w:t>(r)=L</w:t>
            </w:r>
            <w:r>
              <w:rPr>
                <w:rFonts w:hint="default" w:ascii="Times New Roman" w:hAnsi="Times New Roman" w:eastAsia="宋体" w:cs="Times New Roman"/>
                <w:sz w:val="24"/>
                <w:vertAlign w:val="subscript"/>
                <w:lang w:val="en-US" w:eastAsia="zh-CN"/>
              </w:rPr>
              <w:t>w</w:t>
            </w:r>
            <w:r>
              <w:rPr>
                <w:rFonts w:hint="default" w:ascii="Times New Roman" w:hAnsi="Times New Roman" w:eastAsia="宋体" w:cs="Times New Roman"/>
                <w:sz w:val="24"/>
                <w:lang w:val="en-US" w:eastAsia="zh-CN"/>
              </w:rPr>
              <w:t>-20lg r-8</w:t>
            </w:r>
          </w:p>
          <w:p w14:paraId="3BEA5D05">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式中：L</w:t>
            </w:r>
            <w:r>
              <w:rPr>
                <w:rFonts w:hint="default" w:ascii="Times New Roman" w:hAnsi="Times New Roman" w:eastAsia="宋体" w:cs="Times New Roman"/>
                <w:sz w:val="24"/>
                <w:vertAlign w:val="subscript"/>
                <w:lang w:val="en-US" w:eastAsia="zh-CN"/>
              </w:rPr>
              <w:t>p</w:t>
            </w:r>
            <w:r>
              <w:rPr>
                <w:rFonts w:hint="default" w:ascii="Times New Roman" w:hAnsi="Times New Roman" w:eastAsia="宋体" w:cs="Times New Roman"/>
                <w:sz w:val="24"/>
              </w:rPr>
              <w:t>(r) —预测点处声压级，dB；</w:t>
            </w:r>
          </w:p>
          <w:p w14:paraId="6F3CD2D7">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lang w:val="en-US" w:eastAsia="zh-CN"/>
              </w:rPr>
              <w:t>w</w:t>
            </w:r>
            <w:r>
              <w:rPr>
                <w:rFonts w:hint="default" w:ascii="Times New Roman" w:hAnsi="Times New Roman" w:eastAsia="宋体" w:cs="Times New Roman"/>
                <w:sz w:val="24"/>
              </w:rPr>
              <w:t xml:space="preserve"> —由点声源产生的倍频带声功率级，dB；</w:t>
            </w:r>
          </w:p>
          <w:p w14:paraId="553CB8E9">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rPr>
            </w:pPr>
            <w:r>
              <w:rPr>
                <w:rFonts w:hint="default" w:ascii="Times New Roman" w:hAnsi="Times New Roman" w:eastAsia="宋体" w:cs="Times New Roman"/>
                <w:sz w:val="24"/>
              </w:rPr>
              <w:t>r —预测点距声源的距离。</w:t>
            </w:r>
          </w:p>
          <w:p w14:paraId="3A51A517">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（3）工业企业噪声贡献值计算</w:t>
            </w:r>
          </w:p>
          <w:p w14:paraId="6C15CCE3">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设第i 个室外声源在预测点产生的A 声级为L</w:t>
            </w:r>
            <w:r>
              <w:rPr>
                <w:rFonts w:hint="default" w:ascii="Times New Roman" w:hAnsi="Times New Roman" w:eastAsia="宋体" w:cs="Times New Roman"/>
                <w:sz w:val="24"/>
                <w:vertAlign w:val="subscript"/>
              </w:rPr>
              <w:t>Ai</w:t>
            </w:r>
            <w:r>
              <w:rPr>
                <w:rFonts w:hint="default" w:ascii="Times New Roman" w:hAnsi="Times New Roman" w:eastAsia="宋体" w:cs="Times New Roman"/>
                <w:sz w:val="24"/>
              </w:rPr>
              <w:t>，在T 时间内该声源工作时间为t</w:t>
            </w:r>
            <w:r>
              <w:rPr>
                <w:rFonts w:hint="default" w:ascii="Times New Roman" w:hAnsi="Times New Roman" w:eastAsia="宋体" w:cs="Times New Roman"/>
                <w:sz w:val="24"/>
                <w:vertAlign w:val="subscript"/>
              </w:rPr>
              <w:t>i</w:t>
            </w:r>
            <w:r>
              <w:rPr>
                <w:rFonts w:hint="default" w:ascii="Times New Roman" w:hAnsi="Times New Roman" w:eastAsia="宋体" w:cs="Times New Roman"/>
                <w:sz w:val="24"/>
              </w:rPr>
              <w:t>；第j 个等效室外声源在预测点产生的A 声级为L</w:t>
            </w:r>
            <w:r>
              <w:rPr>
                <w:rFonts w:hint="default" w:ascii="Times New Roman" w:hAnsi="Times New Roman" w:eastAsia="宋体" w:cs="Times New Roman"/>
                <w:sz w:val="24"/>
                <w:vertAlign w:val="subscript"/>
              </w:rPr>
              <w:t>Aj</w:t>
            </w:r>
            <w:r>
              <w:rPr>
                <w:rFonts w:hint="default" w:ascii="Times New Roman" w:hAnsi="Times New Roman" w:eastAsia="宋体" w:cs="Times New Roman"/>
                <w:sz w:val="24"/>
              </w:rPr>
              <w:t>，在T 时间内该声源工作时间为t</w:t>
            </w:r>
            <w:r>
              <w:rPr>
                <w:rFonts w:hint="default" w:ascii="Times New Roman" w:hAnsi="Times New Roman" w:eastAsia="宋体" w:cs="Times New Roman"/>
                <w:sz w:val="24"/>
                <w:vertAlign w:val="subscript"/>
              </w:rPr>
              <w:t>j</w:t>
            </w:r>
            <w:r>
              <w:rPr>
                <w:rFonts w:hint="default" w:ascii="Times New Roman" w:hAnsi="Times New Roman" w:eastAsia="宋体" w:cs="Times New Roman"/>
                <w:sz w:val="24"/>
              </w:rPr>
              <w:t>，则拟建工程声源对预测点产生的贡献值（L</w:t>
            </w:r>
            <w:r>
              <w:rPr>
                <w:rFonts w:hint="default" w:ascii="Times New Roman" w:hAnsi="Times New Roman" w:eastAsia="宋体" w:cs="Times New Roman"/>
                <w:sz w:val="24"/>
                <w:vertAlign w:val="subscript"/>
              </w:rPr>
              <w:t>eqg</w:t>
            </w:r>
            <w:r>
              <w:rPr>
                <w:rFonts w:hint="default" w:ascii="Times New Roman" w:hAnsi="Times New Roman" w:eastAsia="宋体" w:cs="Times New Roman"/>
                <w:sz w:val="24"/>
              </w:rPr>
              <w:t>）为：</w:t>
            </w:r>
          </w:p>
          <w:p w14:paraId="19C3F31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sz w:val="24"/>
                <w:lang w:val="en-US" w:eastAsia="zh-CN"/>
              </w:rPr>
            </w:pPr>
            <m:oMathPara>
              <m:oMath>
                <m:sSub>
                  <m:sSubPr>
                    <m:ctrlPr>
                      <w:rPr>
                        <w:rFonts w:hint="default" w:ascii="Cambria Math" w:hAnsi="Cambria Math"/>
                        <w:i/>
                      </w:rPr>
                    </m:ctrlPr>
                  </m:sSubPr>
                  <m:e>
                    <m:r>
                      <m:rPr/>
                      <w:rPr>
                        <w:rFonts w:hint="default" w:ascii="Cambria Math" w:hAnsi="Cambria Math"/>
                        <w:lang w:val="en-US" w:eastAsia="zh-CN"/>
                      </w:rPr>
                      <m:t>L</m:t>
                    </m:r>
                    <m:ctrlPr>
                      <w:rPr>
                        <w:rFonts w:hint="default" w:ascii="Cambria Math" w:hAnsi="Cambria Math"/>
                        <w:i/>
                      </w:rPr>
                    </m:ctrlPr>
                  </m:e>
                  <m:sub>
                    <m:r>
                      <m:rPr/>
                      <w:rPr>
                        <w:rFonts w:hint="default" w:ascii="Cambria Math" w:hAnsi="Cambria Math"/>
                        <w:lang w:val="en-US" w:eastAsia="zh-CN"/>
                      </w:rPr>
                      <m:t>eqg</m:t>
                    </m:r>
                    <m:ctrlPr>
                      <w:rPr>
                        <w:rFonts w:hint="default" w:ascii="Cambria Math" w:hAnsi="Cambria Math"/>
                        <w:i/>
                      </w:rPr>
                    </m:ctrlPr>
                  </m:sub>
                </m:sSub>
                <m:r>
                  <m:rPr/>
                  <w:rPr>
                    <w:rFonts w:hint="default" w:ascii="Cambria Math" w:hAnsi="Cambria Math"/>
                    <w:lang w:val="en-US" w:eastAsia="zh-CN"/>
                  </w:rPr>
                  <m:t>=10lg</m:t>
                </m:r>
                <m:d>
                  <m:dPr>
                    <m:begChr m:val="["/>
                    <m:endChr m:val="]"/>
                    <m:ctrlPr>
                      <w:rPr>
                        <w:rFonts w:hint="default" w:ascii="Cambria Math" w:hAnsi="Cambria Math"/>
                        <w:i/>
                        <w:lang w:val="en-US" w:eastAsia="zh-CN"/>
                      </w:rPr>
                    </m:ctrlPr>
                  </m:dPr>
                  <m:e>
                    <m:f>
                      <m:fPr>
                        <m:ctrlPr>
                          <w:rPr>
                            <w:rFonts w:hint="default" w:ascii="Cambria Math" w:hAnsi="Cambria Math"/>
                            <w:i/>
                            <w:lang w:val="en-US" w:eastAsia="zh-CN"/>
                          </w:rPr>
                        </m:ctrlPr>
                      </m:fPr>
                      <m:num>
                        <m:r>
                          <m:rPr/>
                          <w:rPr>
                            <w:rFonts w:hint="default" w:ascii="Cambria Math" w:hAnsi="Cambria Math"/>
                            <w:lang w:val="en-US" w:eastAsia="zh-CN"/>
                          </w:rPr>
                          <m:t>1</m:t>
                        </m:r>
                        <m:ctrlPr>
                          <w:rPr>
                            <w:rFonts w:hint="default" w:ascii="Cambria Math" w:hAnsi="Cambria Math"/>
                            <w:i/>
                            <w:lang w:val="en-US" w:eastAsia="zh-CN"/>
                          </w:rPr>
                        </m:ctrlPr>
                      </m:num>
                      <m:den>
                        <m:r>
                          <m:rPr/>
                          <w:rPr>
                            <w:rFonts w:hint="default" w:ascii="Cambria Math" w:hAnsi="Cambria Math"/>
                            <w:lang w:val="en-US" w:eastAsia="zh-CN"/>
                          </w:rPr>
                          <m:t>T</m:t>
                        </m:r>
                        <m:ctrlPr>
                          <w:rPr>
                            <w:rFonts w:hint="default" w:ascii="Cambria Math" w:hAnsi="Cambria Math"/>
                            <w:i/>
                            <w:lang w:val="en-US" w:eastAsia="zh-CN"/>
                          </w:rPr>
                        </m:ctrlPr>
                      </m:den>
                    </m:f>
                    <m:d>
                      <m:dPr>
                        <m:ctrlPr>
                          <w:rPr>
                            <w:rFonts w:hint="default" w:ascii="Cambria Math" w:hAnsi="Cambria Math"/>
                            <w:i/>
                            <w:lang w:val="en-US" w:eastAsia="zh-CN"/>
                          </w:rPr>
                        </m:ctrlPr>
                      </m:dPr>
                      <m:e>
                        <m:nary>
                          <m:naryPr>
                            <m:chr m:val="∑"/>
                            <m:limLoc m:val="undOvr"/>
                            <m:ctrlPr>
                              <w:rPr>
                                <w:rFonts w:hint="default" w:ascii="Cambria Math" w:hAnsi="Cambria Math"/>
                                <w:i/>
                                <w:lang w:val="en-US" w:eastAsia="zh-CN"/>
                              </w:rPr>
                            </m:ctrlPr>
                          </m:naryPr>
                          <m:sub>
                            <m:r>
                              <m:rPr/>
                              <w:rPr>
                                <w:rFonts w:hint="default" w:ascii="Cambria Math" w:hAnsi="Cambria Math"/>
                                <w:lang w:val="en-US" w:eastAsia="zh-CN"/>
                              </w:rPr>
                              <m:t>i=1</m:t>
                            </m:r>
                            <m:ctrlPr>
                              <w:rPr>
                                <w:rFonts w:hint="default" w:ascii="Cambria Math" w:hAnsi="Cambria Math"/>
                                <w:i/>
                                <w:lang w:val="en-US" w:eastAsia="zh-CN"/>
                              </w:rPr>
                            </m:ctrlPr>
                          </m:sub>
                          <m:sup>
                            <m:r>
                              <m:rPr/>
                              <w:rPr>
                                <w:rFonts w:hint="default" w:ascii="Cambria Math" w:hAnsi="Cambria Math"/>
                                <w:lang w:val="en-US" w:eastAsia="zh-CN"/>
                              </w:rPr>
                              <m:t>N</m:t>
                            </m:r>
                            <m:ctrlPr>
                              <w:rPr>
                                <w:rFonts w:hint="default" w:ascii="Cambria Math" w:hAnsi="Cambria Math"/>
                                <w:i/>
                                <w:lang w:val="en-US" w:eastAsia="zh-CN"/>
                              </w:rPr>
                            </m:ctrlPr>
                          </m:sup>
                          <m:e>
                            <m:sSub>
                              <m:sSubPr>
                                <m:ctrlPr>
                                  <w:rPr>
                                    <w:rFonts w:hint="default" w:ascii="Cambria Math" w:hAnsi="Cambria Math"/>
                                    <w:i/>
                                    <w:lang w:val="en-US" w:eastAsia="zh-CN"/>
                                  </w:rPr>
                                </m:ctrlPr>
                              </m:sSubPr>
                              <m:e>
                                <m:r>
                                  <m:rPr/>
                                  <w:rPr>
                                    <w:rFonts w:hint="default" w:ascii="Cambria Math" w:hAnsi="Cambria Math"/>
                                    <w:lang w:val="en-US" w:eastAsia="zh-CN"/>
                                  </w:rPr>
                                  <m:t>t</m:t>
                                </m:r>
                                <m:ctrlPr>
                                  <w:rPr>
                                    <w:rFonts w:hint="default" w:ascii="Cambria Math" w:hAnsi="Cambria Math"/>
                                    <w:i/>
                                    <w:lang w:val="en-US" w:eastAsia="zh-CN"/>
                                  </w:rPr>
                                </m:ctrlPr>
                              </m:e>
                              <m:sub>
                                <m:r>
                                  <m:rPr/>
                                  <w:rPr>
                                    <w:rFonts w:hint="default" w:ascii="Cambria Math" w:hAnsi="Cambria Math"/>
                                    <w:lang w:val="en-US" w:eastAsia="zh-CN"/>
                                  </w:rPr>
                                  <m:t>i</m:t>
                                </m:r>
                                <m:ctrlPr>
                                  <w:rPr>
                                    <w:rFonts w:hint="default" w:ascii="Cambria Math" w:hAnsi="Cambria Math"/>
                                    <w:i/>
                                    <w:lang w:val="en-US" w:eastAsia="zh-CN"/>
                                  </w:rPr>
                                </m:ctrlPr>
                              </m:sub>
                            </m:sSub>
                            <m:sSup>
                              <m:sSupPr>
                                <m:ctrlPr>
                                  <w:rPr>
                                    <w:rFonts w:hint="default" w:ascii="Cambria Math" w:hAnsi="Cambria Math"/>
                                    <w:i/>
                                    <w:lang w:val="en-US" w:eastAsia="zh-CN"/>
                                  </w:rPr>
                                </m:ctrlPr>
                              </m:sSupPr>
                              <m:e>
                                <m:r>
                                  <m:rPr/>
                                  <w:rPr>
                                    <w:rFonts w:hint="default" w:ascii="Cambria Math" w:hAnsi="Cambria Math"/>
                                    <w:lang w:val="en-US" w:eastAsia="zh-CN"/>
                                  </w:rPr>
                                  <m:t>10</m:t>
                                </m:r>
                                <m:ctrlPr>
                                  <w:rPr>
                                    <w:rFonts w:hint="default" w:ascii="Cambria Math" w:hAnsi="Cambria Math"/>
                                    <w:i/>
                                    <w:lang w:val="en-US" w:eastAsia="zh-CN"/>
                                  </w:rPr>
                                </m:ctrlPr>
                              </m:e>
                              <m:sup>
                                <m:r>
                                  <m:rPr/>
                                  <w:rPr>
                                    <w:rFonts w:hint="default" w:ascii="Cambria Math" w:hAnsi="Cambria Math"/>
                                    <w:lang w:val="en-US" w:eastAsia="zh-CN"/>
                                  </w:rPr>
                                  <m:t>0.1</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Ai</m:t>
                                    </m:r>
                                    <m:ctrlPr>
                                      <w:rPr>
                                        <w:rFonts w:hint="default" w:ascii="Cambria Math" w:hAnsi="Cambria Math"/>
                                        <w:i/>
                                        <w:lang w:val="en-US" w:eastAsia="zh-CN"/>
                                      </w:rPr>
                                    </m:ctrlPr>
                                  </m:sub>
                                </m:sSub>
                                <m:ctrlPr>
                                  <w:rPr>
                                    <w:rFonts w:hint="default" w:ascii="Cambria Math" w:hAnsi="Cambria Math"/>
                                    <w:i/>
                                    <w:lang w:val="en-US" w:eastAsia="zh-CN"/>
                                  </w:rPr>
                                </m:ctrlPr>
                              </m:sup>
                            </m:sSup>
                            <m:r>
                              <m:rPr/>
                              <w:rPr>
                                <w:rFonts w:hint="default" w:ascii="Cambria Math" w:hAnsi="Cambria Math"/>
                                <w:lang w:val="en-US" w:eastAsia="zh-CN"/>
                              </w:rPr>
                              <m:t>+</m:t>
                            </m:r>
                            <m:nary>
                              <m:naryPr>
                                <m:chr m:val="∑"/>
                                <m:limLoc m:val="undOvr"/>
                                <m:ctrlPr>
                                  <w:rPr>
                                    <w:rFonts w:hint="default" w:ascii="Cambria Math" w:hAnsi="Cambria Math"/>
                                    <w:i/>
                                    <w:lang w:val="en-US" w:eastAsia="zh-CN"/>
                                  </w:rPr>
                                </m:ctrlPr>
                              </m:naryPr>
                              <m:sub>
                                <m:r>
                                  <m:rPr/>
                                  <w:rPr>
                                    <w:rFonts w:hint="default" w:ascii="Cambria Math" w:hAnsi="Cambria Math"/>
                                    <w:lang w:val="en-US" w:eastAsia="zh-CN"/>
                                  </w:rPr>
                                  <m:t>j=1</m:t>
                                </m:r>
                                <m:ctrlPr>
                                  <w:rPr>
                                    <w:rFonts w:hint="default" w:ascii="Cambria Math" w:hAnsi="Cambria Math"/>
                                    <w:i/>
                                    <w:lang w:val="en-US" w:eastAsia="zh-CN"/>
                                  </w:rPr>
                                </m:ctrlPr>
                              </m:sub>
                              <m:sup>
                                <m:r>
                                  <m:rPr/>
                                  <w:rPr>
                                    <w:rFonts w:hint="default" w:ascii="Cambria Math" w:hAnsi="Cambria Math"/>
                                    <w:lang w:val="en-US" w:eastAsia="zh-CN"/>
                                  </w:rPr>
                                  <m:t>M</m:t>
                                </m:r>
                                <m:ctrlPr>
                                  <w:rPr>
                                    <w:rFonts w:hint="default" w:ascii="Cambria Math" w:hAnsi="Cambria Math"/>
                                    <w:i/>
                                    <w:lang w:val="en-US" w:eastAsia="zh-CN"/>
                                  </w:rPr>
                                </m:ctrlPr>
                              </m:sup>
                              <m:e>
                                <m:sSub>
                                  <m:sSubPr>
                                    <m:ctrlPr>
                                      <w:rPr>
                                        <w:rFonts w:hint="default" w:ascii="Cambria Math" w:hAnsi="Cambria Math"/>
                                        <w:i/>
                                        <w:lang w:val="en-US" w:eastAsia="zh-CN"/>
                                      </w:rPr>
                                    </m:ctrlPr>
                                  </m:sSubPr>
                                  <m:e>
                                    <m:r>
                                      <m:rPr/>
                                      <w:rPr>
                                        <w:rFonts w:hint="default" w:ascii="Cambria Math" w:hAnsi="Cambria Math"/>
                                        <w:lang w:val="en-US" w:eastAsia="zh-CN"/>
                                      </w:rPr>
                                      <m:t>t</m:t>
                                    </m:r>
                                    <m:ctrlPr>
                                      <w:rPr>
                                        <w:rFonts w:hint="default" w:ascii="Cambria Math" w:hAnsi="Cambria Math"/>
                                        <w:i/>
                                        <w:lang w:val="en-US" w:eastAsia="zh-CN"/>
                                      </w:rPr>
                                    </m:ctrlPr>
                                  </m:e>
                                  <m:sub>
                                    <m:r>
                                      <m:rPr/>
                                      <w:rPr>
                                        <w:rFonts w:hint="default" w:ascii="Cambria Math" w:hAnsi="Cambria Math"/>
                                        <w:lang w:val="en-US" w:eastAsia="zh-CN"/>
                                      </w:rPr>
                                      <m:t>j</m:t>
                                    </m:r>
                                    <m:ctrlPr>
                                      <w:rPr>
                                        <w:rFonts w:hint="default" w:ascii="Cambria Math" w:hAnsi="Cambria Math"/>
                                        <w:i/>
                                        <w:lang w:val="en-US" w:eastAsia="zh-CN"/>
                                      </w:rPr>
                                    </m:ctrlPr>
                                  </m:sub>
                                </m:sSub>
                                <m:sSup>
                                  <m:sSupPr>
                                    <m:ctrlPr>
                                      <w:rPr>
                                        <w:rFonts w:hint="default" w:ascii="Cambria Math" w:hAnsi="Cambria Math"/>
                                        <w:i/>
                                        <w:lang w:val="en-US" w:eastAsia="zh-CN"/>
                                      </w:rPr>
                                    </m:ctrlPr>
                                  </m:sSupPr>
                                  <m:e>
                                    <m:r>
                                      <m:rPr/>
                                      <w:rPr>
                                        <w:rFonts w:hint="default" w:ascii="Cambria Math" w:hAnsi="Cambria Math"/>
                                        <w:lang w:val="en-US" w:eastAsia="zh-CN"/>
                                      </w:rPr>
                                      <m:t>10</m:t>
                                    </m:r>
                                    <m:ctrlPr>
                                      <w:rPr>
                                        <w:rFonts w:hint="default" w:ascii="Cambria Math" w:hAnsi="Cambria Math"/>
                                        <w:i/>
                                        <w:lang w:val="en-US" w:eastAsia="zh-CN"/>
                                      </w:rPr>
                                    </m:ctrlPr>
                                  </m:e>
                                  <m:sup>
                                    <m:r>
                                      <m:rPr/>
                                      <w:rPr>
                                        <w:rFonts w:hint="default" w:ascii="Cambria Math" w:hAnsi="Cambria Math"/>
                                        <w:lang w:val="en-US" w:eastAsia="zh-CN"/>
                                      </w:rPr>
                                      <m:t>0.1</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Aj</m:t>
                                        </m:r>
                                        <m:ctrlPr>
                                          <w:rPr>
                                            <w:rFonts w:hint="default" w:ascii="Cambria Math" w:hAnsi="Cambria Math"/>
                                            <w:i/>
                                            <w:lang w:val="en-US" w:eastAsia="zh-CN"/>
                                          </w:rPr>
                                        </m:ctrlPr>
                                      </m:sub>
                                    </m:sSub>
                                    <m:ctrlPr>
                                      <w:rPr>
                                        <w:rFonts w:hint="default" w:ascii="Cambria Math" w:hAnsi="Cambria Math"/>
                                        <w:i/>
                                        <w:lang w:val="en-US" w:eastAsia="zh-CN"/>
                                      </w:rPr>
                                    </m:ctrlPr>
                                  </m:sup>
                                </m:sSup>
                                <m:ctrlPr>
                                  <w:rPr>
                                    <w:rFonts w:hint="default" w:ascii="Cambria Math" w:hAnsi="Cambria Math"/>
                                    <w:i/>
                                    <w:lang w:val="en-US" w:eastAsia="zh-CN"/>
                                  </w:rPr>
                                </m:ctrlPr>
                              </m:e>
                            </m:nary>
                            <m:ctrlPr>
                              <w:rPr>
                                <w:rFonts w:hint="default" w:ascii="Cambria Math" w:hAnsi="Cambria Math"/>
                                <w:i/>
                                <w:lang w:val="en-US" w:eastAsia="zh-CN"/>
                              </w:rPr>
                            </m:ctrlPr>
                          </m:e>
                        </m:nary>
                        <m:ctrlPr>
                          <w:rPr>
                            <w:rFonts w:hint="default" w:ascii="Cambria Math" w:hAnsi="Cambria Math"/>
                            <w:i/>
                            <w:lang w:val="en-US" w:eastAsia="zh-CN"/>
                          </w:rPr>
                        </m:ctrlPr>
                      </m:e>
                    </m:d>
                    <m:ctrlPr>
                      <w:rPr>
                        <w:rFonts w:hint="default" w:ascii="Cambria Math" w:hAnsi="Cambria Math"/>
                        <w:i/>
                        <w:lang w:val="en-US" w:eastAsia="zh-CN"/>
                      </w:rPr>
                    </m:ctrlPr>
                  </m:e>
                </m:d>
              </m:oMath>
            </m:oMathPara>
          </w:p>
          <w:p w14:paraId="651BD41A">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（4）预测值</w:t>
            </w:r>
          </w:p>
          <w:p w14:paraId="42C92ED3">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预测点的贡献值和背景值按能量叠加方法计算得到的声级。</w:t>
            </w:r>
          </w:p>
          <w:p w14:paraId="68C5A24E">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jc w:val="center"/>
              <w:textAlignment w:val="auto"/>
              <w:rPr>
                <w:rFonts w:hint="default" w:ascii="Times New Roman" w:hAnsi="Times New Roman" w:eastAsia="宋体" w:cs="Times New Roman"/>
                <w:sz w:val="24"/>
              </w:rPr>
            </w:pPr>
            <m:oMathPara>
              <m:oMath>
                <m:sSub>
                  <m:sSubPr>
                    <m:ctrlPr>
                      <w:rPr>
                        <w:rFonts w:hint="default" w:ascii="Cambria Math" w:hAnsi="Cambria Math"/>
                        <w:i/>
                      </w:rPr>
                    </m:ctrlPr>
                  </m:sSubPr>
                  <m:e>
                    <m:r>
                      <m:rPr/>
                      <w:rPr>
                        <w:rFonts w:hint="default" w:ascii="Cambria Math" w:hAnsi="Cambria Math"/>
                        <w:lang w:val="en-US" w:eastAsia="zh-CN"/>
                      </w:rPr>
                      <m:t>L</m:t>
                    </m:r>
                    <m:ctrlPr>
                      <w:rPr>
                        <w:rFonts w:hint="default" w:ascii="Cambria Math" w:hAnsi="Cambria Math"/>
                        <w:i/>
                      </w:rPr>
                    </m:ctrlPr>
                  </m:e>
                  <m:sub>
                    <m:r>
                      <m:rPr/>
                      <w:rPr>
                        <w:rFonts w:hint="default" w:ascii="Cambria Math" w:hAnsi="Cambria Math"/>
                        <w:lang w:val="en-US" w:eastAsia="zh-CN"/>
                      </w:rPr>
                      <m:t>eq</m:t>
                    </m:r>
                    <m:ctrlPr>
                      <w:rPr>
                        <w:rFonts w:hint="default" w:ascii="Cambria Math" w:hAnsi="Cambria Math"/>
                        <w:i/>
                      </w:rPr>
                    </m:ctrlPr>
                  </m:sub>
                </m:sSub>
                <m:r>
                  <m:rPr/>
                  <w:rPr>
                    <w:rFonts w:hint="default" w:ascii="Cambria Math" w:hAnsi="Cambria Math"/>
                    <w:lang w:val="en-US" w:eastAsia="zh-CN"/>
                  </w:rPr>
                  <m:t>=10lg</m:t>
                </m:r>
                <m:d>
                  <m:dPr>
                    <m:ctrlPr>
                      <w:rPr>
                        <w:rFonts w:hint="default" w:ascii="Cambria Math" w:hAnsi="Cambria Math"/>
                        <w:i/>
                        <w:lang w:val="en-US" w:eastAsia="zh-CN"/>
                      </w:rPr>
                    </m:ctrlPr>
                  </m:dPr>
                  <m:e>
                    <m:sSup>
                      <m:sSupPr>
                        <m:ctrlPr>
                          <w:rPr>
                            <w:rFonts w:hint="default" w:ascii="Cambria Math" w:hAnsi="Cambria Math"/>
                            <w:i/>
                            <w:lang w:val="en-US" w:eastAsia="zh-CN"/>
                          </w:rPr>
                        </m:ctrlPr>
                      </m:sSupPr>
                      <m:e>
                        <m:r>
                          <m:rPr/>
                          <w:rPr>
                            <w:rFonts w:hint="default" w:ascii="Cambria Math" w:hAnsi="Cambria Math"/>
                            <w:lang w:val="en-US" w:eastAsia="zh-CN"/>
                          </w:rPr>
                          <m:t>10</m:t>
                        </m:r>
                        <m:ctrlPr>
                          <w:rPr>
                            <w:rFonts w:hint="default" w:ascii="Cambria Math" w:hAnsi="Cambria Math"/>
                            <w:i/>
                            <w:lang w:val="en-US" w:eastAsia="zh-CN"/>
                          </w:rPr>
                        </m:ctrlPr>
                      </m:e>
                      <m:sup>
                        <m:r>
                          <m:rPr/>
                          <w:rPr>
                            <w:rFonts w:hint="default" w:ascii="Cambria Math" w:hAnsi="Cambria Math"/>
                            <w:lang w:val="en-US" w:eastAsia="zh-CN"/>
                          </w:rPr>
                          <m:t>0.1</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eqg</m:t>
                            </m:r>
                            <m:ctrlPr>
                              <w:rPr>
                                <w:rFonts w:hint="default" w:ascii="Cambria Math" w:hAnsi="Cambria Math"/>
                                <w:i/>
                                <w:lang w:val="en-US" w:eastAsia="zh-CN"/>
                              </w:rPr>
                            </m:ctrlPr>
                          </m:sub>
                        </m:sSub>
                        <m:ctrlPr>
                          <w:rPr>
                            <w:rFonts w:hint="default" w:ascii="Cambria Math" w:hAnsi="Cambria Math"/>
                            <w:i/>
                            <w:lang w:val="en-US" w:eastAsia="zh-CN"/>
                          </w:rPr>
                        </m:ctrlPr>
                      </m:sup>
                    </m:sSup>
                    <m:r>
                      <m:rPr/>
                      <w:rPr>
                        <w:rFonts w:hint="default" w:ascii="Cambria Math" w:hAnsi="Cambria Math"/>
                        <w:lang w:val="en-US" w:eastAsia="zh-CN"/>
                      </w:rPr>
                      <m:t>+</m:t>
                    </m:r>
                    <m:sSup>
                      <m:sSupPr>
                        <m:ctrlPr>
                          <w:rPr>
                            <w:rFonts w:hint="default" w:ascii="Cambria Math" w:hAnsi="Cambria Math"/>
                            <w:i/>
                            <w:lang w:val="en-US" w:eastAsia="zh-CN"/>
                          </w:rPr>
                        </m:ctrlPr>
                      </m:sSupPr>
                      <m:e>
                        <m:r>
                          <m:rPr/>
                          <w:rPr>
                            <w:rFonts w:hint="default" w:ascii="Cambria Math" w:hAnsi="Cambria Math"/>
                            <w:lang w:val="en-US" w:eastAsia="zh-CN"/>
                          </w:rPr>
                          <m:t>10</m:t>
                        </m:r>
                        <m:ctrlPr>
                          <w:rPr>
                            <w:rFonts w:hint="default" w:ascii="Cambria Math" w:hAnsi="Cambria Math"/>
                            <w:i/>
                            <w:lang w:val="en-US" w:eastAsia="zh-CN"/>
                          </w:rPr>
                        </m:ctrlPr>
                      </m:e>
                      <m:sup>
                        <m:r>
                          <m:rPr/>
                          <w:rPr>
                            <w:rFonts w:hint="default" w:ascii="Cambria Math" w:hAnsi="Cambria Math"/>
                            <w:lang w:val="en-US" w:eastAsia="zh-CN"/>
                          </w:rPr>
                          <m:t>0.1</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eqb</m:t>
                            </m:r>
                            <m:ctrlPr>
                              <w:rPr>
                                <w:rFonts w:hint="default" w:ascii="Cambria Math" w:hAnsi="Cambria Math"/>
                                <w:i/>
                                <w:lang w:val="en-US" w:eastAsia="zh-CN"/>
                              </w:rPr>
                            </m:ctrlPr>
                          </m:sub>
                        </m:sSub>
                        <m:ctrlPr>
                          <w:rPr>
                            <w:rFonts w:hint="default" w:ascii="Cambria Math" w:hAnsi="Cambria Math"/>
                            <w:i/>
                            <w:lang w:val="en-US" w:eastAsia="zh-CN"/>
                          </w:rPr>
                        </m:ctrlPr>
                      </m:sup>
                    </m:sSup>
                    <m:ctrlPr>
                      <w:rPr>
                        <w:rFonts w:hint="default" w:ascii="Cambria Math" w:hAnsi="Cambria Math"/>
                        <w:i/>
                        <w:lang w:val="en-US" w:eastAsia="zh-CN"/>
                      </w:rPr>
                    </m:ctrlPr>
                  </m:e>
                </m:d>
              </m:oMath>
            </m:oMathPara>
          </w:p>
          <w:p w14:paraId="26FB043D">
            <w:pPr>
              <w:keepNext w:val="0"/>
              <w:keepLines w:val="0"/>
              <w:pageBreakBefore w:val="0"/>
              <w:widowControl w:val="0"/>
              <w:kinsoku/>
              <w:wordWrap/>
              <w:overflowPunct/>
              <w:topLinePunct w:val="0"/>
              <w:autoSpaceDE/>
              <w:autoSpaceDN/>
              <w:bidi w:val="0"/>
              <w:spacing w:line="520" w:lineRule="exact"/>
              <w:ind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式中：L</w:t>
            </w:r>
            <w:r>
              <w:rPr>
                <w:rFonts w:hint="default" w:ascii="Times New Roman" w:hAnsi="Times New Roman" w:eastAsia="宋体" w:cs="Times New Roman"/>
                <w:sz w:val="24"/>
                <w:vertAlign w:val="subscript"/>
              </w:rPr>
              <w:t>eq</w:t>
            </w:r>
            <w:r>
              <w:rPr>
                <w:rFonts w:hint="default" w:ascii="Times New Roman" w:hAnsi="Times New Roman" w:eastAsia="宋体" w:cs="Times New Roman"/>
                <w:sz w:val="24"/>
              </w:rPr>
              <w:t>—预测点的噪声预测值，dB（A）；</w:t>
            </w:r>
          </w:p>
          <w:p w14:paraId="3C82E22A">
            <w:pPr>
              <w:keepNext w:val="0"/>
              <w:keepLines w:val="0"/>
              <w:pageBreakBefore w:val="0"/>
              <w:widowControl w:val="0"/>
              <w:kinsoku/>
              <w:wordWrap/>
              <w:overflowPunct/>
              <w:topLinePunct w:val="0"/>
              <w:autoSpaceDE/>
              <w:autoSpaceDN/>
              <w:bidi w:val="0"/>
              <w:spacing w:line="520" w:lineRule="exact"/>
              <w:ind w:firstLine="1200" w:firstLineChars="5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rPr>
              <w:t>eqg</w:t>
            </w:r>
            <w:r>
              <w:rPr>
                <w:rFonts w:hint="default" w:ascii="Times New Roman" w:hAnsi="Times New Roman" w:eastAsia="宋体" w:cs="Times New Roman"/>
                <w:sz w:val="24"/>
              </w:rPr>
              <w:t>—建设项目声源在预测点产生的噪声贡献值，dB（A）；</w:t>
            </w:r>
          </w:p>
          <w:p w14:paraId="36B2BA4D">
            <w:pPr>
              <w:keepNext w:val="0"/>
              <w:keepLines w:val="0"/>
              <w:pageBreakBefore w:val="0"/>
              <w:widowControl w:val="0"/>
              <w:kinsoku/>
              <w:wordWrap/>
              <w:overflowPunct/>
              <w:topLinePunct w:val="0"/>
              <w:autoSpaceDE/>
              <w:autoSpaceDN/>
              <w:bidi w:val="0"/>
              <w:spacing w:line="520" w:lineRule="exact"/>
              <w:ind w:firstLine="1200" w:firstLineChars="500"/>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rPr>
              <w:t>L</w:t>
            </w:r>
            <w:r>
              <w:rPr>
                <w:rFonts w:hint="default" w:ascii="Times New Roman" w:hAnsi="Times New Roman" w:eastAsia="宋体" w:cs="Times New Roman"/>
                <w:sz w:val="24"/>
                <w:vertAlign w:val="subscript"/>
              </w:rPr>
              <w:t>eqb</w:t>
            </w:r>
            <w:r>
              <w:rPr>
                <w:rFonts w:hint="default" w:ascii="Times New Roman" w:hAnsi="Times New Roman" w:eastAsia="宋体" w:cs="Times New Roman"/>
                <w:sz w:val="24"/>
              </w:rPr>
              <w:t>—预测点的背景噪声值，dB（A）</w:t>
            </w:r>
            <w:r>
              <w:rPr>
                <w:rFonts w:hint="default" w:ascii="Times New Roman" w:hAnsi="Times New Roman" w:eastAsia="宋体" w:cs="Times New Roman"/>
                <w:sz w:val="24"/>
                <w:lang w:eastAsia="zh-CN"/>
              </w:rPr>
              <w:t>。</w:t>
            </w:r>
          </w:p>
          <w:p w14:paraId="1D75F553">
            <w:pPr>
              <w:pStyle w:val="26"/>
              <w:keepNext w:val="0"/>
              <w:keepLines w:val="0"/>
              <w:pageBreakBefore w:val="0"/>
              <w:widowControl w:val="0"/>
              <w:kinsoku/>
              <w:wordWrap/>
              <w:overflowPunct/>
              <w:topLinePunct w:val="0"/>
              <w:autoSpaceDE/>
              <w:autoSpaceDN/>
              <w:bidi w:val="0"/>
              <w:spacing w:line="520" w:lineRule="exact"/>
              <w:ind w:firstLine="482"/>
              <w:textAlignment w:val="auto"/>
              <w:rPr>
                <w:rFonts w:hint="default" w:ascii="Times New Roman" w:hAnsi="Times New Roman" w:cs="Times New Roman"/>
                <w:b/>
                <w:bCs/>
              </w:rPr>
            </w:pPr>
            <w:r>
              <w:rPr>
                <w:rFonts w:hint="default" w:ascii="Times New Roman" w:hAnsi="Times New Roman" w:cs="Times New Roman"/>
                <w:b/>
              </w:rPr>
              <w:t>3.</w:t>
            </w:r>
            <w:r>
              <w:rPr>
                <w:rFonts w:hint="eastAsia" w:cs="Times New Roman"/>
                <w:b/>
                <w:lang w:val="en-US" w:eastAsia="zh-CN"/>
              </w:rPr>
              <w:t>3</w:t>
            </w:r>
            <w:r>
              <w:rPr>
                <w:rFonts w:hint="eastAsia" w:cs="Times New Roman"/>
                <w:b/>
                <w:lang w:eastAsia="zh-CN"/>
              </w:rPr>
              <w:t>噪声环境影响预测与评价</w:t>
            </w:r>
          </w:p>
          <w:p w14:paraId="25BDEA05">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根据上述确定的预测方法，结合本项目所在地的地理环境、噪声源的平面分布、工作制度，预测建设项目在运营期对厂界噪声贡献值。通过预测模型计算，项目厂界噪声预测结果与达标分析见表</w:t>
            </w:r>
            <w:r>
              <w:rPr>
                <w:rFonts w:hint="default" w:ascii="Times New Roman" w:hAnsi="Times New Roman" w:eastAsia="宋体" w:cs="Times New Roman"/>
                <w:sz w:val="24"/>
                <w:lang w:val="en-US" w:eastAsia="zh-CN"/>
              </w:rPr>
              <w:t>4-1</w:t>
            </w:r>
            <w:r>
              <w:rPr>
                <w:rFonts w:hint="eastAsia" w:cs="Times New Roman"/>
                <w:sz w:val="24"/>
                <w:lang w:val="en-US" w:eastAsia="zh-CN"/>
              </w:rPr>
              <w:t>7</w:t>
            </w:r>
            <w:r>
              <w:rPr>
                <w:rFonts w:hint="default" w:ascii="Times New Roman" w:hAnsi="Times New Roman" w:eastAsia="宋体" w:cs="Times New Roman"/>
                <w:sz w:val="24"/>
                <w:lang w:val="en-US" w:eastAsia="zh-CN"/>
              </w:rPr>
              <w:t>。</w:t>
            </w:r>
          </w:p>
          <w:p w14:paraId="210D8560">
            <w:pPr>
              <w:pStyle w:val="28"/>
              <w:rPr>
                <w:rFonts w:hint="default" w:ascii="Times New Roman" w:hAnsi="Times New Roman" w:cs="Times New Roman"/>
                <w:highlight w:val="none"/>
              </w:rPr>
            </w:pPr>
            <w:r>
              <w:rPr>
                <w:rFonts w:hint="default" w:ascii="Times New Roman" w:hAnsi="Times New Roman" w:cs="Times New Roman"/>
                <w:highlight w:val="none"/>
              </w:rPr>
              <w:t>表4-</w:t>
            </w:r>
            <w:r>
              <w:rPr>
                <w:rFonts w:hint="default" w:ascii="Times New Roman" w:hAnsi="Times New Roman" w:cs="Times New Roman"/>
                <w:highlight w:val="none"/>
                <w:lang w:val="en-US" w:eastAsia="zh-CN"/>
              </w:rPr>
              <w:t>1</w:t>
            </w:r>
            <w:r>
              <w:rPr>
                <w:rFonts w:hint="eastAsia" w:cs="Times New Roman"/>
                <w:highlight w:val="none"/>
                <w:lang w:val="en-US" w:eastAsia="zh-CN"/>
              </w:rPr>
              <w:t>7</w:t>
            </w:r>
            <w:r>
              <w:rPr>
                <w:rFonts w:hint="default" w:ascii="Times New Roman" w:hAnsi="Times New Roman" w:cs="Times New Roman"/>
                <w:highlight w:val="none"/>
              </w:rPr>
              <w:t xml:space="preserve">  厂界噪声预测结果与达标分析表</w:t>
            </w:r>
            <w:bookmarkStart w:id="2" w:name="PT_7"/>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114"/>
              <w:gridCol w:w="1059"/>
              <w:gridCol w:w="1101"/>
              <w:gridCol w:w="888"/>
              <w:gridCol w:w="1096"/>
              <w:gridCol w:w="1019"/>
              <w:gridCol w:w="925"/>
            </w:tblGrid>
            <w:tr w14:paraId="64398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19" w:type="pct"/>
                  <w:vMerge w:val="restart"/>
                  <w:noWrap w:val="0"/>
                  <w:vAlign w:val="center"/>
                </w:tcPr>
                <w:p w14:paraId="6203EB5F">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预测</w:t>
                  </w:r>
                </w:p>
                <w:p w14:paraId="3880D97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方位</w:t>
                  </w:r>
                </w:p>
              </w:tc>
              <w:tc>
                <w:tcPr>
                  <w:tcW w:w="1991" w:type="pct"/>
                  <w:gridSpan w:val="3"/>
                  <w:noWrap w:val="0"/>
                  <w:vAlign w:val="center"/>
                </w:tcPr>
                <w:p w14:paraId="614F3A2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空间相对位置/m</w:t>
                  </w:r>
                </w:p>
              </w:tc>
              <w:tc>
                <w:tcPr>
                  <w:tcW w:w="540" w:type="pct"/>
                  <w:vMerge w:val="restart"/>
                  <w:noWrap w:val="0"/>
                  <w:vAlign w:val="center"/>
                </w:tcPr>
                <w:p w14:paraId="3016A29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时段</w:t>
                  </w:r>
                </w:p>
              </w:tc>
              <w:tc>
                <w:tcPr>
                  <w:tcW w:w="666" w:type="pct"/>
                  <w:vMerge w:val="restart"/>
                  <w:noWrap w:val="0"/>
                  <w:vAlign w:val="center"/>
                </w:tcPr>
                <w:p w14:paraId="3130817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贡献值dB(A)</w:t>
                  </w:r>
                </w:p>
              </w:tc>
              <w:tc>
                <w:tcPr>
                  <w:tcW w:w="619" w:type="pct"/>
                  <w:vMerge w:val="restart"/>
                  <w:noWrap w:val="0"/>
                  <w:vAlign w:val="center"/>
                </w:tcPr>
                <w:p w14:paraId="022C4C8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标准限值dB(A)</w:t>
                  </w:r>
                </w:p>
              </w:tc>
              <w:tc>
                <w:tcPr>
                  <w:tcW w:w="562" w:type="pct"/>
                  <w:vMerge w:val="restart"/>
                  <w:noWrap w:val="0"/>
                  <w:vAlign w:val="center"/>
                </w:tcPr>
                <w:p w14:paraId="3319945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达标</w:t>
                  </w:r>
                </w:p>
                <w:p w14:paraId="129623D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情况</w:t>
                  </w:r>
                </w:p>
              </w:tc>
            </w:tr>
            <w:tr w14:paraId="01140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619" w:type="pct"/>
                  <w:vMerge w:val="continue"/>
                  <w:noWrap w:val="0"/>
                  <w:vAlign w:val="center"/>
                </w:tcPr>
                <w:p w14:paraId="0C4662F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677" w:type="pct"/>
                  <w:noWrap w:val="0"/>
                  <w:vAlign w:val="center"/>
                </w:tcPr>
                <w:p w14:paraId="0A45389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X</w:t>
                  </w:r>
                </w:p>
              </w:tc>
              <w:tc>
                <w:tcPr>
                  <w:tcW w:w="644" w:type="pct"/>
                  <w:noWrap w:val="0"/>
                  <w:vAlign w:val="center"/>
                </w:tcPr>
                <w:p w14:paraId="7F5BB03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Y</w:t>
                  </w:r>
                </w:p>
              </w:tc>
              <w:tc>
                <w:tcPr>
                  <w:tcW w:w="669" w:type="pct"/>
                  <w:noWrap w:val="0"/>
                  <w:vAlign w:val="center"/>
                </w:tcPr>
                <w:p w14:paraId="56CBBB9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Z</w:t>
                  </w:r>
                </w:p>
              </w:tc>
              <w:tc>
                <w:tcPr>
                  <w:tcW w:w="540" w:type="pct"/>
                  <w:vMerge w:val="continue"/>
                  <w:noWrap w:val="0"/>
                  <w:vAlign w:val="center"/>
                </w:tcPr>
                <w:p w14:paraId="43C9B42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666" w:type="pct"/>
                  <w:vMerge w:val="continue"/>
                  <w:noWrap w:val="0"/>
                  <w:vAlign w:val="center"/>
                </w:tcPr>
                <w:p w14:paraId="4AF7B1C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p>
              </w:tc>
              <w:tc>
                <w:tcPr>
                  <w:tcW w:w="619" w:type="pct"/>
                  <w:vMerge w:val="continue"/>
                  <w:noWrap w:val="0"/>
                  <w:vAlign w:val="center"/>
                </w:tcPr>
                <w:p w14:paraId="09D6987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p>
                <w:bookmarkEnd w:id="2"/>
              </w:tc>
              <w:tc>
                <w:tcPr>
                  <w:tcW w:w="562" w:type="pct"/>
                  <w:vMerge w:val="continue"/>
                  <w:noWrap w:val="0"/>
                  <w:vAlign w:val="center"/>
                </w:tcPr>
                <w:p w14:paraId="64592C5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highlight w:val="none"/>
                    </w:rPr>
                  </w:pPr>
                </w:p>
              </w:tc>
            </w:tr>
            <w:tr w14:paraId="26909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19" w:type="pct"/>
                  <w:noWrap w:val="0"/>
                  <w:vAlign w:val="center"/>
                </w:tcPr>
                <w:p w14:paraId="2CF7133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东侧</w:t>
                  </w:r>
                </w:p>
              </w:tc>
              <w:tc>
                <w:tcPr>
                  <w:tcW w:w="677" w:type="pct"/>
                  <w:noWrap w:val="0"/>
                  <w:vAlign w:val="center"/>
                </w:tcPr>
                <w:p w14:paraId="4857B0F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rPr>
                  </w:pPr>
                  <w:r>
                    <w:rPr>
                      <w:rFonts w:hint="eastAsia" w:cs="Times New Roman"/>
                      <w:b w:val="0"/>
                      <w:bCs/>
                      <w:sz w:val="21"/>
                      <w:highlight w:val="none"/>
                      <w:lang w:val="en-US" w:eastAsia="zh-CN"/>
                    </w:rPr>
                    <w:t>49</w:t>
                  </w:r>
                </w:p>
              </w:tc>
              <w:tc>
                <w:tcPr>
                  <w:tcW w:w="644" w:type="pct"/>
                  <w:noWrap w:val="0"/>
                  <w:vAlign w:val="center"/>
                </w:tcPr>
                <w:p w14:paraId="4DCEA4E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rPr>
                  </w:pPr>
                  <w:r>
                    <w:rPr>
                      <w:rFonts w:hint="eastAsia" w:cs="Times New Roman"/>
                      <w:b w:val="0"/>
                      <w:bCs/>
                      <w:sz w:val="21"/>
                      <w:highlight w:val="none"/>
                      <w:lang w:val="en-US" w:eastAsia="zh-CN"/>
                    </w:rPr>
                    <w:t>35</w:t>
                  </w:r>
                </w:p>
              </w:tc>
              <w:tc>
                <w:tcPr>
                  <w:tcW w:w="669" w:type="pct"/>
                  <w:noWrap w:val="0"/>
                  <w:vAlign w:val="center"/>
                </w:tcPr>
                <w:p w14:paraId="64D802E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1.2</w:t>
                  </w:r>
                </w:p>
              </w:tc>
              <w:tc>
                <w:tcPr>
                  <w:tcW w:w="540" w:type="pct"/>
                  <w:noWrap w:val="0"/>
                  <w:vAlign w:val="center"/>
                </w:tcPr>
                <w:p w14:paraId="79A948C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昼间</w:t>
                  </w:r>
                </w:p>
              </w:tc>
              <w:tc>
                <w:tcPr>
                  <w:tcW w:w="666" w:type="pct"/>
                  <w:noWrap w:val="0"/>
                  <w:vAlign w:val="center"/>
                </w:tcPr>
                <w:p w14:paraId="7DE59E6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42</w:t>
                  </w:r>
                  <w:r>
                    <w:rPr>
                      <w:rFonts w:hint="default" w:ascii="Times New Roman" w:hAnsi="Times New Roman" w:cs="Times New Roman"/>
                      <w:b w:val="0"/>
                      <w:bCs/>
                      <w:sz w:val="21"/>
                      <w:highlight w:val="none"/>
                      <w:lang w:val="en-US" w:eastAsia="zh-CN"/>
                    </w:rPr>
                    <w:t>.</w:t>
                  </w:r>
                  <w:r>
                    <w:rPr>
                      <w:rFonts w:hint="eastAsia" w:cs="Times New Roman"/>
                      <w:b w:val="0"/>
                      <w:bCs/>
                      <w:sz w:val="21"/>
                      <w:highlight w:val="none"/>
                      <w:lang w:val="en-US" w:eastAsia="zh-CN"/>
                    </w:rPr>
                    <w:t>1</w:t>
                  </w:r>
                </w:p>
              </w:tc>
              <w:tc>
                <w:tcPr>
                  <w:tcW w:w="619" w:type="pct"/>
                  <w:noWrap w:val="0"/>
                  <w:vAlign w:val="center"/>
                </w:tcPr>
                <w:p w14:paraId="41E98A5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65</w:t>
                  </w:r>
                </w:p>
              </w:tc>
              <w:tc>
                <w:tcPr>
                  <w:tcW w:w="562" w:type="pct"/>
                  <w:noWrap w:val="0"/>
                  <w:vAlign w:val="center"/>
                </w:tcPr>
                <w:p w14:paraId="6A27DAF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达标</w:t>
                  </w:r>
                </w:p>
              </w:tc>
            </w:tr>
            <w:tr w14:paraId="395BF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19" w:type="pct"/>
                  <w:noWrap w:val="0"/>
                  <w:vAlign w:val="center"/>
                </w:tcPr>
                <w:p w14:paraId="691AED7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南侧</w:t>
                  </w:r>
                </w:p>
              </w:tc>
              <w:tc>
                <w:tcPr>
                  <w:tcW w:w="677" w:type="pct"/>
                  <w:noWrap w:val="0"/>
                  <w:vAlign w:val="center"/>
                </w:tcPr>
                <w:p w14:paraId="0CBB966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25</w:t>
                  </w:r>
                </w:p>
              </w:tc>
              <w:tc>
                <w:tcPr>
                  <w:tcW w:w="644" w:type="pct"/>
                  <w:noWrap w:val="0"/>
                  <w:vAlign w:val="center"/>
                </w:tcPr>
                <w:p w14:paraId="5F5F256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29</w:t>
                  </w:r>
                </w:p>
              </w:tc>
              <w:tc>
                <w:tcPr>
                  <w:tcW w:w="669" w:type="pct"/>
                  <w:noWrap w:val="0"/>
                  <w:vAlign w:val="center"/>
                </w:tcPr>
                <w:p w14:paraId="6A93938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1.2</w:t>
                  </w:r>
                </w:p>
              </w:tc>
              <w:tc>
                <w:tcPr>
                  <w:tcW w:w="540" w:type="pct"/>
                  <w:noWrap w:val="0"/>
                  <w:vAlign w:val="center"/>
                </w:tcPr>
                <w:p w14:paraId="1E541BF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昼间</w:t>
                  </w:r>
                </w:p>
              </w:tc>
              <w:tc>
                <w:tcPr>
                  <w:tcW w:w="666" w:type="pct"/>
                  <w:noWrap w:val="0"/>
                  <w:vAlign w:val="center"/>
                </w:tcPr>
                <w:p w14:paraId="077D2EA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rPr>
                  </w:pPr>
                  <w:r>
                    <w:rPr>
                      <w:rFonts w:hint="eastAsia" w:cs="Times New Roman"/>
                      <w:b w:val="0"/>
                      <w:bCs/>
                      <w:sz w:val="21"/>
                      <w:highlight w:val="none"/>
                      <w:lang w:val="en-US" w:eastAsia="zh-CN"/>
                    </w:rPr>
                    <w:t>44</w:t>
                  </w:r>
                  <w:r>
                    <w:rPr>
                      <w:rFonts w:hint="default" w:ascii="Times New Roman" w:hAnsi="Times New Roman" w:cs="Times New Roman"/>
                      <w:b w:val="0"/>
                      <w:bCs/>
                      <w:sz w:val="21"/>
                      <w:highlight w:val="none"/>
                      <w:lang w:val="en-US" w:eastAsia="zh-CN"/>
                    </w:rPr>
                    <w:t>.</w:t>
                  </w:r>
                  <w:r>
                    <w:rPr>
                      <w:rFonts w:hint="eastAsia" w:ascii="Times New Roman" w:hAnsi="Times New Roman" w:cs="Times New Roman"/>
                      <w:b w:val="0"/>
                      <w:bCs/>
                      <w:sz w:val="21"/>
                      <w:highlight w:val="none"/>
                      <w:lang w:val="en-US" w:eastAsia="zh-CN"/>
                    </w:rPr>
                    <w:t>5</w:t>
                  </w:r>
                </w:p>
              </w:tc>
              <w:tc>
                <w:tcPr>
                  <w:tcW w:w="619" w:type="pct"/>
                  <w:noWrap w:val="0"/>
                  <w:vAlign w:val="center"/>
                </w:tcPr>
                <w:p w14:paraId="54974E0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65</w:t>
                  </w:r>
                </w:p>
              </w:tc>
              <w:tc>
                <w:tcPr>
                  <w:tcW w:w="562" w:type="pct"/>
                  <w:noWrap w:val="0"/>
                  <w:vAlign w:val="center"/>
                </w:tcPr>
                <w:p w14:paraId="5A9C75F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达标</w:t>
                  </w:r>
                </w:p>
              </w:tc>
            </w:tr>
            <w:tr w14:paraId="5B006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19" w:type="pct"/>
                  <w:noWrap w:val="0"/>
                  <w:vAlign w:val="center"/>
                </w:tcPr>
                <w:p w14:paraId="19ECCF7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西侧</w:t>
                  </w:r>
                </w:p>
              </w:tc>
              <w:tc>
                <w:tcPr>
                  <w:tcW w:w="677" w:type="pct"/>
                  <w:noWrap w:val="0"/>
                  <w:vAlign w:val="center"/>
                </w:tcPr>
                <w:p w14:paraId="3AAA3E2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-1</w:t>
                  </w:r>
                </w:p>
              </w:tc>
              <w:tc>
                <w:tcPr>
                  <w:tcW w:w="644" w:type="pct"/>
                  <w:noWrap w:val="0"/>
                  <w:vAlign w:val="center"/>
                </w:tcPr>
                <w:p w14:paraId="4A61AA9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34</w:t>
                  </w:r>
                </w:p>
              </w:tc>
              <w:tc>
                <w:tcPr>
                  <w:tcW w:w="669" w:type="pct"/>
                  <w:noWrap w:val="0"/>
                  <w:vAlign w:val="center"/>
                </w:tcPr>
                <w:p w14:paraId="6AE50C5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1.2</w:t>
                  </w:r>
                </w:p>
              </w:tc>
              <w:tc>
                <w:tcPr>
                  <w:tcW w:w="540" w:type="pct"/>
                  <w:noWrap w:val="0"/>
                  <w:vAlign w:val="center"/>
                </w:tcPr>
                <w:p w14:paraId="799EFBC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昼间</w:t>
                  </w:r>
                </w:p>
              </w:tc>
              <w:tc>
                <w:tcPr>
                  <w:tcW w:w="666" w:type="pct"/>
                  <w:noWrap w:val="0"/>
                  <w:vAlign w:val="center"/>
                </w:tcPr>
                <w:p w14:paraId="3B5FB50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50</w:t>
                  </w:r>
                  <w:r>
                    <w:rPr>
                      <w:rFonts w:hint="default" w:ascii="Times New Roman" w:hAnsi="Times New Roman" w:cs="Times New Roman"/>
                      <w:b w:val="0"/>
                      <w:bCs/>
                      <w:sz w:val="21"/>
                      <w:highlight w:val="none"/>
                      <w:lang w:val="en-US" w:eastAsia="zh-CN"/>
                    </w:rPr>
                    <w:t>.</w:t>
                  </w:r>
                  <w:r>
                    <w:rPr>
                      <w:rFonts w:hint="eastAsia" w:cs="Times New Roman"/>
                      <w:b w:val="0"/>
                      <w:bCs/>
                      <w:sz w:val="21"/>
                      <w:highlight w:val="none"/>
                      <w:lang w:val="en-US" w:eastAsia="zh-CN"/>
                    </w:rPr>
                    <w:t>7</w:t>
                  </w:r>
                </w:p>
              </w:tc>
              <w:tc>
                <w:tcPr>
                  <w:tcW w:w="619" w:type="pct"/>
                  <w:noWrap w:val="0"/>
                  <w:vAlign w:val="center"/>
                </w:tcPr>
                <w:p w14:paraId="21ED4AE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65</w:t>
                  </w:r>
                </w:p>
              </w:tc>
              <w:tc>
                <w:tcPr>
                  <w:tcW w:w="562" w:type="pct"/>
                  <w:noWrap w:val="0"/>
                  <w:vAlign w:val="center"/>
                </w:tcPr>
                <w:p w14:paraId="3F03C9F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达标</w:t>
                  </w:r>
                </w:p>
              </w:tc>
            </w:tr>
            <w:tr w14:paraId="4DF5A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619" w:type="pct"/>
                  <w:noWrap w:val="0"/>
                  <w:vAlign w:val="center"/>
                </w:tcPr>
                <w:p w14:paraId="171353D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北侧</w:t>
                  </w:r>
                </w:p>
              </w:tc>
              <w:tc>
                <w:tcPr>
                  <w:tcW w:w="677" w:type="pct"/>
                  <w:noWrap w:val="0"/>
                  <w:vAlign w:val="center"/>
                </w:tcPr>
                <w:p w14:paraId="5087DEA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rPr>
                  </w:pPr>
                  <w:r>
                    <w:rPr>
                      <w:rFonts w:hint="eastAsia" w:cs="Times New Roman"/>
                      <w:b w:val="0"/>
                      <w:bCs/>
                      <w:sz w:val="21"/>
                      <w:highlight w:val="none"/>
                      <w:lang w:val="en-US" w:eastAsia="zh-CN"/>
                    </w:rPr>
                    <w:t>24</w:t>
                  </w:r>
                </w:p>
              </w:tc>
              <w:tc>
                <w:tcPr>
                  <w:tcW w:w="644" w:type="pct"/>
                  <w:noWrap w:val="0"/>
                  <w:vAlign w:val="center"/>
                </w:tcPr>
                <w:p w14:paraId="65015E0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highlight w:val="none"/>
                      <w:lang w:val="en-US" w:eastAsia="zh-CN"/>
                    </w:rPr>
                  </w:pPr>
                  <w:r>
                    <w:rPr>
                      <w:rFonts w:hint="eastAsia" w:cs="Times New Roman"/>
                      <w:b w:val="0"/>
                      <w:bCs/>
                      <w:sz w:val="21"/>
                      <w:highlight w:val="none"/>
                      <w:lang w:val="en-US" w:eastAsia="zh-CN"/>
                    </w:rPr>
                    <w:t>40</w:t>
                  </w:r>
                </w:p>
              </w:tc>
              <w:tc>
                <w:tcPr>
                  <w:tcW w:w="669" w:type="pct"/>
                  <w:noWrap w:val="0"/>
                  <w:vAlign w:val="center"/>
                </w:tcPr>
                <w:p w14:paraId="3E410B4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1.2</w:t>
                  </w:r>
                </w:p>
              </w:tc>
              <w:tc>
                <w:tcPr>
                  <w:tcW w:w="540" w:type="pct"/>
                  <w:noWrap w:val="0"/>
                  <w:vAlign w:val="center"/>
                </w:tcPr>
                <w:p w14:paraId="6AA3F18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昼间</w:t>
                  </w:r>
                </w:p>
              </w:tc>
              <w:tc>
                <w:tcPr>
                  <w:tcW w:w="666" w:type="pct"/>
                  <w:noWrap w:val="0"/>
                  <w:vAlign w:val="center"/>
                </w:tcPr>
                <w:p w14:paraId="0859EA3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lang w:val="en-US"/>
                    </w:rPr>
                  </w:pPr>
                  <w:r>
                    <w:rPr>
                      <w:rFonts w:hint="eastAsia" w:cs="Times New Roman"/>
                      <w:b w:val="0"/>
                      <w:bCs/>
                      <w:sz w:val="21"/>
                      <w:highlight w:val="none"/>
                      <w:lang w:val="en-US" w:eastAsia="zh-CN"/>
                    </w:rPr>
                    <w:t>44</w:t>
                  </w:r>
                  <w:r>
                    <w:rPr>
                      <w:rFonts w:hint="default" w:ascii="Times New Roman" w:hAnsi="Times New Roman" w:cs="Times New Roman"/>
                      <w:b w:val="0"/>
                      <w:bCs/>
                      <w:sz w:val="21"/>
                      <w:highlight w:val="none"/>
                      <w:lang w:val="en-US" w:eastAsia="zh-CN"/>
                    </w:rPr>
                    <w:t>.</w:t>
                  </w:r>
                  <w:r>
                    <w:rPr>
                      <w:rFonts w:hint="eastAsia" w:cs="Times New Roman"/>
                      <w:b w:val="0"/>
                      <w:bCs/>
                      <w:sz w:val="21"/>
                      <w:highlight w:val="none"/>
                      <w:lang w:val="en-US" w:eastAsia="zh-CN"/>
                    </w:rPr>
                    <w:t>4</w:t>
                  </w:r>
                </w:p>
              </w:tc>
              <w:tc>
                <w:tcPr>
                  <w:tcW w:w="619" w:type="pct"/>
                  <w:noWrap w:val="0"/>
                  <w:vAlign w:val="center"/>
                </w:tcPr>
                <w:p w14:paraId="4455513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65</w:t>
                  </w:r>
                </w:p>
              </w:tc>
              <w:tc>
                <w:tcPr>
                  <w:tcW w:w="562" w:type="pct"/>
                  <w:noWrap w:val="0"/>
                  <w:vAlign w:val="center"/>
                </w:tcPr>
                <w:p w14:paraId="1831315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sz w:val="21"/>
                      <w:highlight w:val="none"/>
                    </w:rPr>
                  </w:pPr>
                  <w:r>
                    <w:rPr>
                      <w:rFonts w:hint="default" w:ascii="Times New Roman" w:hAnsi="Times New Roman" w:cs="Times New Roman"/>
                      <w:b w:val="0"/>
                      <w:bCs/>
                      <w:sz w:val="21"/>
                      <w:highlight w:val="none"/>
                    </w:rPr>
                    <w:t>达标</w:t>
                  </w:r>
                </w:p>
              </w:tc>
            </w:tr>
          </w:tbl>
          <w:p w14:paraId="216CCA72">
            <w:pPr>
              <w:pStyle w:val="26"/>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由预测结果可知，本项目噪声源在采取了一系列的隔声和减振等噪声防治措施后，经预测厂界昼间噪声值均能满足《工业企业厂界环境噪声排放标准》（GB12348-2008）3类标准要求（昼间65dB（A））。</w:t>
            </w:r>
          </w:p>
          <w:p w14:paraId="4F2F95AD">
            <w:pPr>
              <w:pStyle w:val="26"/>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为进一步减小项目噪声对周围环境的影响，项目投入使用后应加强设备日常检修和维护，以保证各设备正常运转，合理安排生产时间</w:t>
            </w:r>
            <w:r>
              <w:rPr>
                <w:rFonts w:hint="eastAsia" w:ascii="Times New Roman" w:hAnsi="Times New Roman" w:cs="Times New Roman"/>
                <w:lang w:eastAsia="zh-CN"/>
              </w:rPr>
              <w:t>，</w:t>
            </w:r>
            <w:r>
              <w:rPr>
                <w:rFonts w:hint="default" w:ascii="Times New Roman" w:hAnsi="Times New Roman" w:cs="Times New Roman"/>
              </w:rPr>
              <w:t>以免由于设备故障原因产生较大噪声。在此基础上，本项目产生的噪声对周围环境影响不大。</w:t>
            </w:r>
          </w:p>
          <w:p w14:paraId="500FDCB2">
            <w:pPr>
              <w:pStyle w:val="26"/>
              <w:keepNext w:val="0"/>
              <w:keepLines w:val="0"/>
              <w:pageBreakBefore w:val="0"/>
              <w:widowControl w:val="0"/>
              <w:kinsoku/>
              <w:wordWrap/>
              <w:overflowPunct/>
              <w:topLinePunct w:val="0"/>
              <w:autoSpaceDE/>
              <w:autoSpaceDN/>
              <w:bidi w:val="0"/>
              <w:adjustRightInd/>
              <w:snapToGrid/>
              <w:ind w:firstLine="482"/>
              <w:textAlignment w:val="auto"/>
              <w:rPr>
                <w:rFonts w:hint="default" w:ascii="Times New Roman" w:hAnsi="Times New Roman" w:cs="Times New Roman"/>
                <w:b/>
              </w:rPr>
            </w:pPr>
            <w:r>
              <w:rPr>
                <w:rFonts w:hint="default" w:ascii="Times New Roman" w:hAnsi="Times New Roman" w:cs="Times New Roman"/>
                <w:b/>
              </w:rPr>
              <w:t>3.</w:t>
            </w:r>
            <w:r>
              <w:rPr>
                <w:rFonts w:hint="eastAsia" w:cs="Times New Roman"/>
                <w:b/>
                <w:lang w:val="en-US" w:eastAsia="zh-CN"/>
              </w:rPr>
              <w:t>4</w:t>
            </w:r>
            <w:r>
              <w:rPr>
                <w:rFonts w:hint="default" w:ascii="Times New Roman" w:hAnsi="Times New Roman" w:cs="Times New Roman"/>
                <w:b/>
              </w:rPr>
              <w:t>噪声监测方案</w:t>
            </w:r>
          </w:p>
          <w:p w14:paraId="0C148B80">
            <w:pPr>
              <w:pStyle w:val="28"/>
              <w:rPr>
                <w:rFonts w:hint="default" w:ascii="Times New Roman" w:hAnsi="Times New Roman" w:cs="Times New Roman"/>
                <w:sz w:val="22"/>
              </w:rPr>
            </w:pPr>
            <w:r>
              <w:rPr>
                <w:rFonts w:hint="default" w:ascii="Times New Roman" w:hAnsi="Times New Roman" w:cs="Times New Roman"/>
              </w:rPr>
              <w:t>表4-</w:t>
            </w:r>
            <w:r>
              <w:rPr>
                <w:rFonts w:hint="default" w:ascii="Times New Roman" w:hAnsi="Times New Roman" w:cs="Times New Roman"/>
                <w:lang w:val="en-US" w:eastAsia="zh-CN"/>
              </w:rPr>
              <w:t>1</w:t>
            </w:r>
            <w:r>
              <w:rPr>
                <w:rFonts w:hint="eastAsia" w:cs="Times New Roman"/>
                <w:lang w:val="en-US" w:eastAsia="zh-CN"/>
              </w:rPr>
              <w:t>8</w:t>
            </w:r>
            <w:r>
              <w:rPr>
                <w:rFonts w:hint="default" w:ascii="Times New Roman" w:hAnsi="Times New Roman" w:cs="Times New Roman"/>
              </w:rPr>
              <w:t xml:space="preserve">  本项目噪声监测计划一览表</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5"/>
              <w:gridCol w:w="1235"/>
              <w:gridCol w:w="1216"/>
              <w:gridCol w:w="1217"/>
              <w:gridCol w:w="3407"/>
            </w:tblGrid>
            <w:tr w14:paraId="233002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0" w:hRule="atLeast"/>
              </w:trPr>
              <w:tc>
                <w:tcPr>
                  <w:tcW w:w="696" w:type="pct"/>
                  <w:noWrap w:val="0"/>
                  <w:vAlign w:val="center"/>
                </w:tcPr>
                <w:p w14:paraId="3204047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监测项目</w:t>
                  </w:r>
                </w:p>
              </w:tc>
              <w:tc>
                <w:tcPr>
                  <w:tcW w:w="751" w:type="pct"/>
                  <w:noWrap w:val="0"/>
                  <w:vAlign w:val="center"/>
                </w:tcPr>
                <w:p w14:paraId="588B442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监测因子</w:t>
                  </w:r>
                </w:p>
              </w:tc>
              <w:tc>
                <w:tcPr>
                  <w:tcW w:w="739" w:type="pct"/>
                  <w:noWrap w:val="0"/>
                  <w:vAlign w:val="center"/>
                </w:tcPr>
                <w:p w14:paraId="74470FA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取样位置</w:t>
                  </w:r>
                </w:p>
              </w:tc>
              <w:tc>
                <w:tcPr>
                  <w:tcW w:w="740" w:type="pct"/>
                  <w:noWrap w:val="0"/>
                  <w:vAlign w:val="center"/>
                </w:tcPr>
                <w:p w14:paraId="74C54981">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监测频率</w:t>
                  </w:r>
                </w:p>
              </w:tc>
              <w:tc>
                <w:tcPr>
                  <w:tcW w:w="2072" w:type="pct"/>
                  <w:noWrap w:val="0"/>
                  <w:vAlign w:val="center"/>
                </w:tcPr>
                <w:p w14:paraId="3B688EA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执行标准</w:t>
                  </w:r>
                </w:p>
              </w:tc>
            </w:tr>
            <w:tr w14:paraId="78B0DE7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696" w:type="pct"/>
                  <w:noWrap w:val="0"/>
                  <w:vAlign w:val="center"/>
                </w:tcPr>
                <w:p w14:paraId="44C82D1E">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噪声</w:t>
                  </w:r>
                </w:p>
              </w:tc>
              <w:tc>
                <w:tcPr>
                  <w:tcW w:w="751" w:type="pct"/>
                  <w:noWrap w:val="0"/>
                  <w:vAlign w:val="center"/>
                </w:tcPr>
                <w:p w14:paraId="6B090AE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连续等效A声级</w:t>
                  </w:r>
                </w:p>
              </w:tc>
              <w:tc>
                <w:tcPr>
                  <w:tcW w:w="739" w:type="pct"/>
                  <w:noWrap w:val="0"/>
                  <w:vAlign w:val="center"/>
                </w:tcPr>
                <w:p w14:paraId="27C88D5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highlight w:val="none"/>
                    </w:rPr>
                    <w:t>东西南北厂界外1m</w:t>
                  </w:r>
                </w:p>
              </w:tc>
              <w:tc>
                <w:tcPr>
                  <w:tcW w:w="740" w:type="pct"/>
                  <w:noWrap w:val="0"/>
                  <w:vAlign w:val="center"/>
                </w:tcPr>
                <w:p w14:paraId="6B5C9E0F">
                  <w:pPr>
                    <w:pStyle w:val="21"/>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b w:val="0"/>
                      <w:bCs w:val="0"/>
                      <w:szCs w:val="21"/>
                    </w:rPr>
                  </w:pPr>
                  <w:r>
                    <w:rPr>
                      <w:rFonts w:hint="default" w:ascii="Times New Roman" w:hAnsi="Times New Roman" w:cs="Times New Roman"/>
                      <w:b w:val="0"/>
                      <w:bCs w:val="0"/>
                    </w:rPr>
                    <w:t>1次/季度</w:t>
                  </w:r>
                </w:p>
              </w:tc>
              <w:tc>
                <w:tcPr>
                  <w:tcW w:w="2072" w:type="pct"/>
                  <w:noWrap w:val="0"/>
                  <w:vAlign w:val="center"/>
                </w:tcPr>
                <w:p w14:paraId="32C226C2">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《工业企业厂界环境噪声排放标准》（GB12348-2008）3类标准要求（昼间65dB（A））</w:t>
                  </w:r>
                </w:p>
              </w:tc>
            </w:tr>
          </w:tbl>
          <w:p w14:paraId="5E718D8B">
            <w:pPr>
              <w:pStyle w:val="3"/>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highlight w:val="none"/>
              </w:rPr>
            </w:pPr>
            <w:r>
              <w:rPr>
                <w:rFonts w:hint="eastAsia" w:cs="Times New Roman"/>
                <w:highlight w:val="none"/>
                <w:lang w:eastAsia="zh-CN"/>
              </w:rPr>
              <w:t>四</w:t>
            </w:r>
            <w:r>
              <w:rPr>
                <w:rFonts w:hint="default" w:ascii="Times New Roman" w:hAnsi="Times New Roman" w:cs="Times New Roman"/>
                <w:highlight w:val="none"/>
              </w:rPr>
              <w:t>、固体废物环境影响分析</w:t>
            </w:r>
          </w:p>
          <w:p w14:paraId="10EC607D">
            <w:pPr>
              <w:pStyle w:val="26"/>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bCs/>
                <w:kern w:val="0"/>
                <w:highlight w:val="none"/>
              </w:rPr>
            </w:pPr>
            <w:r>
              <w:rPr>
                <w:rFonts w:hint="default" w:ascii="Times New Roman" w:hAnsi="Times New Roman" w:cs="Times New Roman"/>
                <w:bCs/>
                <w:kern w:val="0"/>
                <w:highlight w:val="none"/>
              </w:rPr>
              <w:t>本项目产生的固体废物包括一般固废、危险废物和职工生活垃圾。</w:t>
            </w:r>
          </w:p>
          <w:p w14:paraId="2A34D280">
            <w:pPr>
              <w:spacing w:line="520" w:lineRule="exact"/>
              <w:ind w:firstLine="482"/>
              <w:rPr>
                <w:b/>
              </w:rPr>
            </w:pPr>
            <w:r>
              <w:rPr>
                <w:rFonts w:hint="eastAsia"/>
                <w:b/>
              </w:rPr>
              <w:t>4</w:t>
            </w:r>
            <w:r>
              <w:rPr>
                <w:b/>
              </w:rPr>
              <w:t>.1生活垃圾</w:t>
            </w:r>
          </w:p>
          <w:p w14:paraId="103F242B">
            <w:pPr>
              <w:pStyle w:val="26"/>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bCs/>
                <w:kern w:val="0"/>
                <w:highlight w:val="none"/>
              </w:rPr>
            </w:pPr>
            <w:r>
              <w:rPr>
                <w:rFonts w:hint="default" w:ascii="Times New Roman" w:hAnsi="Times New Roman" w:cs="Times New Roman"/>
                <w:bCs/>
                <w:kern w:val="0"/>
                <w:highlight w:val="none"/>
              </w:rPr>
              <w:t>本项目劳动定员</w:t>
            </w:r>
            <w:r>
              <w:rPr>
                <w:rFonts w:hint="eastAsia" w:cs="Times New Roman"/>
                <w:bCs/>
                <w:kern w:val="0"/>
                <w:highlight w:val="none"/>
                <w:lang w:eastAsia="zh-CN"/>
              </w:rPr>
              <w:t>为</w:t>
            </w:r>
            <w:r>
              <w:rPr>
                <w:rFonts w:hint="eastAsia" w:cs="Times New Roman"/>
                <w:bCs/>
                <w:kern w:val="0"/>
                <w:highlight w:val="none"/>
                <w:lang w:val="en-US" w:eastAsia="zh-CN"/>
              </w:rPr>
              <w:t>1</w:t>
            </w:r>
            <w:r>
              <w:rPr>
                <w:rFonts w:hint="default" w:ascii="Times New Roman" w:hAnsi="Times New Roman" w:cs="Times New Roman"/>
                <w:bCs/>
                <w:kern w:val="0"/>
                <w:highlight w:val="none"/>
              </w:rPr>
              <w:t>0人，年工作3</w:t>
            </w:r>
            <w:r>
              <w:rPr>
                <w:rFonts w:hint="eastAsia" w:cs="Times New Roman"/>
                <w:bCs/>
                <w:kern w:val="0"/>
                <w:highlight w:val="none"/>
                <w:lang w:val="en-US" w:eastAsia="zh-CN"/>
              </w:rPr>
              <w:t>0</w:t>
            </w:r>
            <w:r>
              <w:rPr>
                <w:rFonts w:hint="default" w:ascii="Times New Roman" w:hAnsi="Times New Roman" w:cs="Times New Roman"/>
                <w:bCs/>
                <w:kern w:val="0"/>
                <w:highlight w:val="none"/>
              </w:rPr>
              <w:t>0天，生活垃圾产生量按0.5kg/人·d计，则生活垃圾产生量为</w:t>
            </w:r>
            <w:r>
              <w:rPr>
                <w:rFonts w:hint="default" w:ascii="Times New Roman" w:hAnsi="Times New Roman" w:cs="Times New Roman"/>
                <w:bCs/>
                <w:kern w:val="0"/>
                <w:highlight w:val="none"/>
                <w:lang w:val="en-US" w:eastAsia="zh-CN"/>
              </w:rPr>
              <w:t>0.0</w:t>
            </w:r>
            <w:r>
              <w:rPr>
                <w:rFonts w:hint="eastAsia" w:cs="Times New Roman"/>
                <w:bCs/>
                <w:kern w:val="0"/>
                <w:highlight w:val="none"/>
                <w:lang w:val="en-US" w:eastAsia="zh-CN"/>
              </w:rPr>
              <w:t>05</w:t>
            </w:r>
            <w:r>
              <w:rPr>
                <w:rFonts w:hint="default" w:ascii="Times New Roman" w:hAnsi="Times New Roman" w:cs="Times New Roman"/>
                <w:bCs/>
                <w:kern w:val="0"/>
                <w:highlight w:val="none"/>
              </w:rPr>
              <w:t>t/d，</w:t>
            </w:r>
            <w:r>
              <w:rPr>
                <w:rFonts w:hint="eastAsia" w:cs="Times New Roman"/>
                <w:bCs/>
                <w:kern w:val="0"/>
                <w:highlight w:val="none"/>
                <w:lang w:val="en-US" w:eastAsia="zh-CN"/>
              </w:rPr>
              <w:t>1.5</w:t>
            </w:r>
            <w:r>
              <w:rPr>
                <w:rFonts w:hint="default" w:ascii="Times New Roman" w:hAnsi="Times New Roman" w:cs="Times New Roman"/>
                <w:bCs/>
                <w:kern w:val="0"/>
                <w:highlight w:val="none"/>
              </w:rPr>
              <w:t>t/a。生活垃圾在</w:t>
            </w:r>
            <w:r>
              <w:rPr>
                <w:rFonts w:hint="eastAsia" w:cs="Times New Roman"/>
                <w:bCs/>
                <w:kern w:val="0"/>
                <w:highlight w:val="none"/>
                <w:lang w:eastAsia="zh-CN"/>
              </w:rPr>
              <w:t>厂房</w:t>
            </w:r>
            <w:r>
              <w:rPr>
                <w:rFonts w:hint="default" w:ascii="Times New Roman" w:hAnsi="Times New Roman" w:cs="Times New Roman"/>
                <w:bCs/>
                <w:kern w:val="0"/>
                <w:highlight w:val="none"/>
              </w:rPr>
              <w:t>经垃圾箱收集后，定期交由环卫部门统一处理。</w:t>
            </w:r>
          </w:p>
          <w:p w14:paraId="55462AA7">
            <w:pPr>
              <w:keepNext/>
              <w:keepLines/>
              <w:widowControl/>
              <w:tabs>
                <w:tab w:val="left" w:pos="1322"/>
              </w:tabs>
              <w:spacing w:line="520" w:lineRule="exact"/>
              <w:ind w:firstLine="482"/>
              <w:outlineLvl w:val="1"/>
              <w:rPr>
                <w:b/>
              </w:rPr>
            </w:pPr>
            <w:r>
              <w:rPr>
                <w:rFonts w:hint="eastAsia"/>
                <w:b/>
              </w:rPr>
              <w:t>4.2</w:t>
            </w:r>
            <w:r>
              <w:rPr>
                <w:b/>
              </w:rPr>
              <w:t>一般固体废物产生情况及处置措施</w:t>
            </w:r>
          </w:p>
          <w:p w14:paraId="47D736CA">
            <w:pPr>
              <w:pStyle w:val="26"/>
              <w:pageBreakBefore w:val="0"/>
              <w:widowControl w:val="0"/>
              <w:kinsoku/>
              <w:wordWrap/>
              <w:overflowPunct/>
              <w:topLinePunct w:val="0"/>
              <w:autoSpaceDE/>
              <w:autoSpaceDN/>
              <w:bidi w:val="0"/>
              <w:adjustRightInd/>
              <w:snapToGrid/>
              <w:spacing w:line="520" w:lineRule="exact"/>
              <w:ind w:firstLine="480"/>
              <w:textAlignment w:val="auto"/>
              <w:rPr>
                <w:rFonts w:hint="eastAsia" w:ascii="Times New Roman" w:hAnsi="Times New Roman" w:eastAsia="宋体" w:cs="Times New Roman"/>
                <w:bCs/>
                <w:kern w:val="0"/>
                <w:highlight w:val="none"/>
                <w:lang w:eastAsia="zh-CN"/>
              </w:rPr>
            </w:pPr>
            <w:r>
              <w:rPr>
                <w:rFonts w:hint="default" w:ascii="Times New Roman" w:hAnsi="Times New Roman" w:cs="Times New Roman"/>
                <w:bCs/>
                <w:highlight w:val="none"/>
              </w:rPr>
              <w:fldChar w:fldCharType="begin"/>
            </w:r>
            <w:r>
              <w:rPr>
                <w:rFonts w:hint="default" w:ascii="Times New Roman" w:hAnsi="Times New Roman" w:cs="Times New Roman"/>
                <w:bCs/>
                <w:highlight w:val="none"/>
              </w:rPr>
              <w:instrText xml:space="preserve"> = 1 \* GB3 </w:instrText>
            </w:r>
            <w:r>
              <w:rPr>
                <w:rFonts w:hint="default" w:ascii="Times New Roman" w:hAnsi="Times New Roman" w:cs="Times New Roman"/>
                <w:bCs/>
                <w:highlight w:val="none"/>
              </w:rPr>
              <w:fldChar w:fldCharType="separate"/>
            </w:r>
            <w:r>
              <w:rPr>
                <w:rFonts w:hint="default" w:ascii="Times New Roman" w:hAnsi="Times New Roman" w:cs="Times New Roman"/>
                <w:bCs/>
                <w:highlight w:val="none"/>
              </w:rPr>
              <w:t>①</w:t>
            </w:r>
            <w:r>
              <w:rPr>
                <w:rFonts w:hint="default" w:ascii="Times New Roman" w:hAnsi="Times New Roman" w:cs="Times New Roman"/>
                <w:bCs/>
                <w:highlight w:val="none"/>
              </w:rPr>
              <w:fldChar w:fldCharType="end"/>
            </w:r>
            <w:r>
              <w:rPr>
                <w:rFonts w:hint="default" w:ascii="Times New Roman" w:hAnsi="Times New Roman" w:cs="Times New Roman"/>
                <w:bCs/>
                <w:kern w:val="0"/>
                <w:highlight w:val="none"/>
              </w:rPr>
              <w:t>废</w:t>
            </w:r>
            <w:r>
              <w:rPr>
                <w:rFonts w:hint="eastAsia" w:ascii="Times New Roman" w:hAnsi="Times New Roman" w:cs="Times New Roman"/>
                <w:bCs/>
                <w:kern w:val="0"/>
                <w:highlight w:val="none"/>
                <w:lang w:eastAsia="zh-CN"/>
              </w:rPr>
              <w:t>边角料</w:t>
            </w:r>
          </w:p>
          <w:p w14:paraId="48784F8F">
            <w:pPr>
              <w:pStyle w:val="26"/>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bCs/>
                <w:highlight w:val="none"/>
              </w:rPr>
            </w:pPr>
            <w:r>
              <w:rPr>
                <w:rFonts w:hint="eastAsia" w:ascii="Times New Roman" w:hAnsi="Times New Roman" w:cs="Times New Roman"/>
                <w:highlight w:val="none"/>
                <w:lang w:val="en-US" w:eastAsia="zh-CN" w:bidi="ar-SA"/>
              </w:rPr>
              <w:t>本</w:t>
            </w:r>
            <w:r>
              <w:rPr>
                <w:rFonts w:hint="default" w:ascii="Times New Roman" w:hAnsi="Times New Roman" w:cs="Times New Roman"/>
                <w:highlight w:val="none"/>
                <w:lang w:val="en-US" w:eastAsia="zh-CN" w:bidi="ar-SA"/>
              </w:rPr>
              <w:t>项目</w:t>
            </w:r>
            <w:r>
              <w:rPr>
                <w:rFonts w:hint="eastAsia" w:ascii="Times New Roman" w:hAnsi="Times New Roman" w:cs="Times New Roman"/>
                <w:highlight w:val="none"/>
                <w:lang w:val="en-US" w:eastAsia="zh-CN" w:bidi="ar-SA"/>
              </w:rPr>
              <w:t>使用的原材料为</w:t>
            </w:r>
            <w:r>
              <w:rPr>
                <w:rFonts w:hint="eastAsia" w:ascii="Times New Roman" w:hAnsi="Times New Roman" w:cs="Times New Roman"/>
                <w:bCs/>
                <w:highlight w:val="none"/>
                <w:lang w:val="en-US" w:eastAsia="zh-CN"/>
              </w:rPr>
              <w:t>BOPS片材</w:t>
            </w:r>
            <w:r>
              <w:rPr>
                <w:rFonts w:hint="eastAsia" w:ascii="Times New Roman" w:hAnsi="Times New Roman" w:cs="Times New Roman"/>
                <w:highlight w:val="none"/>
                <w:lang w:val="en-US" w:eastAsia="zh-CN" w:bidi="ar-SA"/>
              </w:rPr>
              <w:t>，</w:t>
            </w:r>
            <w:r>
              <w:rPr>
                <w:rFonts w:hint="eastAsia" w:ascii="Times New Roman" w:hAnsi="Times New Roman" w:cs="Times New Roman"/>
                <w:bCs/>
                <w:highlight w:val="none"/>
                <w:lang w:eastAsia="zh-CN"/>
              </w:rPr>
              <w:t>在生产加工过程中会产生一定的废边角料，</w:t>
            </w:r>
            <w:r>
              <w:rPr>
                <w:rFonts w:hint="eastAsia" w:ascii="Times New Roman" w:hAnsi="Times New Roman" w:cs="Times New Roman"/>
                <w:highlight w:val="none"/>
                <w:lang w:val="en-US" w:eastAsia="zh-CN" w:bidi="ar-SA"/>
              </w:rPr>
              <w:t>本项目使用的</w:t>
            </w:r>
            <w:r>
              <w:rPr>
                <w:rFonts w:hint="eastAsia" w:ascii="Times New Roman" w:hAnsi="Times New Roman" w:cs="Times New Roman"/>
                <w:bCs/>
                <w:highlight w:val="none"/>
                <w:lang w:val="en-US" w:eastAsia="zh-CN"/>
              </w:rPr>
              <w:t>BOPS片材</w:t>
            </w:r>
            <w:r>
              <w:rPr>
                <w:rFonts w:hint="eastAsia" w:ascii="Times New Roman" w:hAnsi="Times New Roman" w:cs="Times New Roman"/>
                <w:highlight w:val="none"/>
                <w:lang w:val="en-US" w:eastAsia="zh-CN" w:bidi="ar-SA"/>
              </w:rPr>
              <w:t>共计360t/a，加工过程中的损耗按照15.</w:t>
            </w:r>
            <w:r>
              <w:rPr>
                <w:rFonts w:hint="eastAsia" w:cs="Times New Roman"/>
                <w:highlight w:val="none"/>
                <w:lang w:val="en-US" w:eastAsia="zh-CN" w:bidi="ar-SA"/>
              </w:rPr>
              <w:t>3</w:t>
            </w:r>
            <w:r>
              <w:rPr>
                <w:rFonts w:hint="eastAsia" w:ascii="Times New Roman" w:hAnsi="Times New Roman" w:cs="Times New Roman"/>
                <w:highlight w:val="none"/>
                <w:lang w:val="en-US" w:eastAsia="zh-CN" w:bidi="ar-SA"/>
              </w:rPr>
              <w:t>%计，</w:t>
            </w:r>
            <w:r>
              <w:rPr>
                <w:rFonts w:hint="eastAsia" w:ascii="Times New Roman" w:hAnsi="Times New Roman" w:cs="Times New Roman"/>
                <w:bCs/>
                <w:highlight w:val="none"/>
                <w:lang w:eastAsia="zh-CN"/>
              </w:rPr>
              <w:t>废边角料</w:t>
            </w:r>
            <w:r>
              <w:rPr>
                <w:rFonts w:hint="default" w:ascii="Times New Roman" w:hAnsi="Times New Roman" w:cs="Times New Roman"/>
                <w:bCs/>
                <w:highlight w:val="none"/>
              </w:rPr>
              <w:t>年产生量约</w:t>
            </w:r>
            <w:r>
              <w:rPr>
                <w:rFonts w:hint="eastAsia" w:ascii="Times New Roman" w:hAnsi="Times New Roman" w:cs="Times New Roman"/>
                <w:bCs/>
                <w:highlight w:val="none"/>
                <w:lang w:val="en-US" w:eastAsia="zh-CN"/>
              </w:rPr>
              <w:t>5</w:t>
            </w:r>
            <w:r>
              <w:rPr>
                <w:rFonts w:hint="eastAsia" w:cs="Times New Roman"/>
                <w:bCs/>
                <w:highlight w:val="none"/>
                <w:lang w:val="en-US" w:eastAsia="zh-CN"/>
              </w:rPr>
              <w:t>5.08</w:t>
            </w:r>
            <w:r>
              <w:rPr>
                <w:rFonts w:hint="default" w:ascii="Times New Roman" w:hAnsi="Times New Roman" w:cs="Times New Roman"/>
                <w:bCs/>
                <w:kern w:val="0"/>
                <w:highlight w:val="none"/>
              </w:rPr>
              <w:t>t/a，</w:t>
            </w:r>
            <w:r>
              <w:rPr>
                <w:rFonts w:hint="default" w:ascii="Times New Roman" w:hAnsi="Times New Roman" w:cs="Times New Roman"/>
                <w:bCs/>
                <w:highlight w:val="none"/>
              </w:rPr>
              <w:t>在厂</w:t>
            </w:r>
            <w:r>
              <w:rPr>
                <w:rFonts w:hint="eastAsia" w:ascii="Times New Roman" w:hAnsi="Times New Roman" w:cs="Times New Roman"/>
                <w:bCs/>
                <w:highlight w:val="none"/>
                <w:lang w:eastAsia="zh-CN"/>
              </w:rPr>
              <w:t>房的</w:t>
            </w:r>
            <w:r>
              <w:rPr>
                <w:rFonts w:hint="default" w:ascii="Times New Roman" w:hAnsi="Times New Roman" w:cs="Times New Roman"/>
                <w:bCs/>
                <w:highlight w:val="none"/>
              </w:rPr>
              <w:t>一般固废间暂存后</w:t>
            </w:r>
            <w:r>
              <w:rPr>
                <w:rFonts w:hint="eastAsia" w:ascii="Times New Roman" w:hAnsi="Times New Roman" w:cs="Times New Roman"/>
                <w:bCs/>
                <w:highlight w:val="none"/>
                <w:lang w:eastAsia="zh-CN"/>
              </w:rPr>
              <w:t>，</w:t>
            </w:r>
            <w:r>
              <w:rPr>
                <w:rFonts w:hint="default" w:ascii="Times New Roman" w:hAnsi="Times New Roman" w:cs="Times New Roman"/>
                <w:bCs/>
                <w:highlight w:val="none"/>
              </w:rPr>
              <w:t>外售综合利用。</w:t>
            </w:r>
            <w:r>
              <w:rPr>
                <w:rFonts w:hint="default" w:ascii="Times New Roman" w:hAnsi="Times New Roman" w:cs="Times New Roman"/>
                <w:bCs/>
                <w:kern w:val="0"/>
                <w:highlight w:val="none"/>
              </w:rPr>
              <w:t>根据《固体废物分类与代码目录》</w:t>
            </w:r>
            <w:r>
              <w:rPr>
                <w:rFonts w:hint="default" w:ascii="Times New Roman" w:hAnsi="Times New Roman" w:cs="Times New Roman"/>
                <w:b w:val="0"/>
                <w:bCs w:val="0"/>
                <w:color w:val="000000"/>
                <w:kern w:val="0"/>
                <w:sz w:val="24"/>
                <w:highlight w:val="none"/>
                <w:u w:val="none"/>
                <w:lang w:val="en-US" w:eastAsia="zh-CN" w:bidi="ar-SA"/>
              </w:rPr>
              <w:t>（2024）</w:t>
            </w:r>
            <w:r>
              <w:rPr>
                <w:rFonts w:hint="default" w:ascii="Times New Roman" w:hAnsi="Times New Roman" w:cs="Times New Roman"/>
                <w:bCs/>
                <w:kern w:val="0"/>
                <w:highlight w:val="none"/>
              </w:rPr>
              <w:t>，废</w:t>
            </w:r>
            <w:r>
              <w:rPr>
                <w:rFonts w:hint="eastAsia" w:ascii="Times New Roman" w:hAnsi="Times New Roman" w:cs="Times New Roman"/>
                <w:bCs/>
                <w:kern w:val="0"/>
                <w:highlight w:val="none"/>
                <w:lang w:eastAsia="zh-CN"/>
              </w:rPr>
              <w:t>边角料</w:t>
            </w:r>
            <w:r>
              <w:rPr>
                <w:rFonts w:hint="default" w:ascii="Times New Roman" w:hAnsi="Times New Roman" w:cs="Times New Roman"/>
                <w:bCs/>
                <w:kern w:val="0"/>
                <w:highlight w:val="none"/>
              </w:rPr>
              <w:t>属于SW17可再生类废物-非特定行业，废物代码为：900-003-S17。</w:t>
            </w:r>
          </w:p>
          <w:p w14:paraId="01C28A59">
            <w:pPr>
              <w:pStyle w:val="26"/>
              <w:pageBreakBefore w:val="0"/>
              <w:widowControl w:val="0"/>
              <w:kinsoku/>
              <w:wordWrap/>
              <w:overflowPunct/>
              <w:topLinePunct w:val="0"/>
              <w:autoSpaceDE/>
              <w:autoSpaceDN/>
              <w:bidi w:val="0"/>
              <w:adjustRightInd/>
              <w:snapToGrid/>
              <w:spacing w:line="520" w:lineRule="exact"/>
              <w:ind w:firstLine="480"/>
              <w:textAlignment w:val="auto"/>
              <w:rPr>
                <w:rFonts w:hint="eastAsia" w:ascii="Times New Roman" w:hAnsi="Times New Roman" w:eastAsia="宋体" w:cs="Times New Roman"/>
                <w:bCs/>
                <w:highlight w:val="none"/>
                <w:lang w:eastAsia="zh-CN"/>
              </w:rPr>
            </w:pPr>
            <w:r>
              <w:rPr>
                <w:rFonts w:hint="default" w:ascii="Times New Roman" w:hAnsi="Times New Roman" w:cs="Times New Roman"/>
                <w:bCs/>
                <w:highlight w:val="none"/>
              </w:rPr>
              <w:fldChar w:fldCharType="begin"/>
            </w:r>
            <w:r>
              <w:rPr>
                <w:rFonts w:hint="default" w:ascii="Times New Roman" w:hAnsi="Times New Roman" w:cs="Times New Roman"/>
                <w:bCs/>
                <w:highlight w:val="none"/>
              </w:rPr>
              <w:instrText xml:space="preserve"> = 2 \* GB3 </w:instrText>
            </w:r>
            <w:r>
              <w:rPr>
                <w:rFonts w:hint="default" w:ascii="Times New Roman" w:hAnsi="Times New Roman" w:cs="Times New Roman"/>
                <w:bCs/>
                <w:highlight w:val="none"/>
              </w:rPr>
              <w:fldChar w:fldCharType="separate"/>
            </w:r>
            <w:r>
              <w:rPr>
                <w:rFonts w:hint="default" w:ascii="Times New Roman" w:hAnsi="Times New Roman" w:cs="Times New Roman"/>
                <w:bCs/>
                <w:highlight w:val="none"/>
              </w:rPr>
              <w:t>②</w:t>
            </w:r>
            <w:r>
              <w:rPr>
                <w:rFonts w:hint="default" w:ascii="Times New Roman" w:hAnsi="Times New Roman" w:cs="Times New Roman"/>
                <w:bCs/>
                <w:highlight w:val="none"/>
              </w:rPr>
              <w:fldChar w:fldCharType="end"/>
            </w:r>
            <w:r>
              <w:rPr>
                <w:rFonts w:hint="eastAsia" w:cs="Times New Roman"/>
                <w:bCs/>
                <w:highlight w:val="none"/>
                <w:lang w:eastAsia="zh-CN"/>
              </w:rPr>
              <w:t>不合格产品</w:t>
            </w:r>
          </w:p>
          <w:p w14:paraId="4E946915">
            <w:pPr>
              <w:keepNext w:val="0"/>
              <w:keepLines w:val="0"/>
              <w:pageBreakBefore w:val="0"/>
              <w:widowControl w:val="0"/>
              <w:kinsoku/>
              <w:wordWrap/>
              <w:overflowPunct/>
              <w:topLinePunct w:val="0"/>
              <w:autoSpaceDE/>
              <w:autoSpaceDN/>
              <w:bidi w:val="0"/>
              <w:spacing w:line="520" w:lineRule="exact"/>
              <w:textAlignment w:val="auto"/>
              <w:rPr>
                <w:rFonts w:hint="default" w:ascii="Times New Roman" w:hAnsi="Times New Roman" w:cs="Times New Roman"/>
                <w:bCs/>
                <w:kern w:val="0"/>
                <w:highlight w:val="none"/>
                <w:lang w:val="en-US" w:eastAsia="zh-CN" w:bidi="ar-SA"/>
              </w:rPr>
            </w:pPr>
            <w:r>
              <w:rPr>
                <w:rFonts w:hint="eastAsia" w:ascii="Times New Roman" w:hAnsi="Times New Roman" w:cs="Times New Roman"/>
                <w:highlight w:val="none"/>
                <w:lang w:val="en-US" w:eastAsia="zh-CN" w:bidi="ar-SA"/>
              </w:rPr>
              <w:t>本项目塑料食品餐盒</w:t>
            </w:r>
            <w:r>
              <w:rPr>
                <w:rFonts w:hint="eastAsia" w:cs="Times New Roman"/>
                <w:highlight w:val="none"/>
                <w:lang w:val="en-US" w:eastAsia="zh-CN" w:bidi="ar-SA"/>
              </w:rPr>
              <w:t>生产，在人工进行包装装箱过程中，</w:t>
            </w:r>
            <w:r>
              <w:rPr>
                <w:rFonts w:hint="eastAsia" w:ascii="Times New Roman" w:hAnsi="Times New Roman" w:cs="Times New Roman"/>
                <w:highlight w:val="none"/>
                <w:lang w:val="en-US" w:eastAsia="zh-CN" w:bidi="ar-SA"/>
              </w:rPr>
              <w:t>塑料食品餐盒如出现破损、表面不平滑等因素，会判定为不合格产品，而</w:t>
            </w:r>
            <w:r>
              <w:rPr>
                <w:rFonts w:hint="eastAsia" w:cs="Times New Roman"/>
                <w:highlight w:val="none"/>
                <w:lang w:val="en-US" w:eastAsia="zh-CN" w:bidi="ar-SA"/>
              </w:rPr>
              <w:t>产生的不合格产品作为一般固体废物，定期收集后</w:t>
            </w:r>
            <w:r>
              <w:rPr>
                <w:rFonts w:hint="default" w:ascii="Times New Roman" w:hAnsi="Times New Roman" w:cs="Times New Roman"/>
                <w:highlight w:val="none"/>
                <w:lang w:val="en-US" w:eastAsia="zh-CN" w:bidi="ar-SA"/>
              </w:rPr>
              <w:t>暂存于一般固废间，</w:t>
            </w:r>
            <w:r>
              <w:rPr>
                <w:rFonts w:hint="eastAsia" w:ascii="Times New Roman" w:hAnsi="Times New Roman" w:cs="Times New Roman"/>
                <w:highlight w:val="none"/>
                <w:lang w:val="en-US" w:eastAsia="zh-CN" w:bidi="ar-SA"/>
              </w:rPr>
              <w:t>定期</w:t>
            </w:r>
            <w:r>
              <w:rPr>
                <w:rFonts w:hint="default" w:ascii="Times New Roman" w:hAnsi="Times New Roman" w:cs="Times New Roman"/>
                <w:highlight w:val="none"/>
                <w:lang w:val="en-US" w:eastAsia="zh-CN" w:bidi="ar-SA"/>
              </w:rPr>
              <w:t>外售综合利用</w:t>
            </w:r>
            <w:r>
              <w:rPr>
                <w:rFonts w:hint="eastAsia" w:ascii="Times New Roman" w:hAnsi="Times New Roman" w:cs="Times New Roman"/>
                <w:highlight w:val="none"/>
                <w:lang w:val="en-US" w:eastAsia="zh-CN" w:bidi="ar-SA"/>
              </w:rPr>
              <w:t>。</w:t>
            </w:r>
            <w:r>
              <w:rPr>
                <w:rFonts w:hint="default" w:ascii="Times New Roman" w:hAnsi="Times New Roman" w:cs="Times New Roman"/>
                <w:highlight w:val="none"/>
                <w:lang w:val="en-US" w:eastAsia="zh-CN" w:bidi="ar-SA"/>
              </w:rPr>
              <w:t>根据企业提供，</w:t>
            </w:r>
            <w:r>
              <w:rPr>
                <w:rFonts w:hint="eastAsia" w:ascii="Times New Roman" w:hAnsi="Times New Roman" w:cs="Times New Roman"/>
                <w:highlight w:val="none"/>
                <w:lang w:val="en-US" w:eastAsia="zh-CN" w:bidi="ar-SA"/>
              </w:rPr>
              <w:t>该生产线不合格产品</w:t>
            </w:r>
            <w:r>
              <w:rPr>
                <w:rFonts w:hint="default" w:ascii="Times New Roman" w:hAnsi="Times New Roman" w:cs="Times New Roman"/>
                <w:highlight w:val="none"/>
                <w:lang w:val="en-US" w:eastAsia="zh-CN" w:bidi="ar-SA"/>
              </w:rPr>
              <w:t>年产生量约</w:t>
            </w:r>
            <w:r>
              <w:rPr>
                <w:rFonts w:hint="eastAsia" w:cs="Times New Roman"/>
                <w:highlight w:val="none"/>
                <w:lang w:val="en-US" w:eastAsia="zh-CN" w:bidi="ar-SA"/>
              </w:rPr>
              <w:t>4.25</w:t>
            </w:r>
            <w:r>
              <w:rPr>
                <w:rFonts w:hint="default" w:ascii="Times New Roman" w:hAnsi="Times New Roman" w:cs="Times New Roman"/>
                <w:highlight w:val="none"/>
                <w:lang w:val="en-US" w:eastAsia="zh-CN" w:bidi="ar-SA"/>
              </w:rPr>
              <w:t>t/a</w:t>
            </w:r>
            <w:r>
              <w:rPr>
                <w:rFonts w:hint="eastAsia" w:cs="Times New Roman"/>
                <w:highlight w:val="none"/>
                <w:lang w:val="en-US" w:eastAsia="zh-CN" w:bidi="ar-SA"/>
              </w:rPr>
              <w:t>。</w:t>
            </w:r>
            <w:r>
              <w:rPr>
                <w:rFonts w:hint="default" w:ascii="Times New Roman" w:hAnsi="Times New Roman" w:cs="Times New Roman"/>
                <w:bCs/>
                <w:kern w:val="0"/>
                <w:highlight w:val="none"/>
                <w:lang w:val="en-US" w:eastAsia="zh-CN" w:bidi="ar-SA"/>
              </w:rPr>
              <w:t>根据《固体废物分类与代码目录》（2024年版），</w:t>
            </w:r>
            <w:r>
              <w:rPr>
                <w:rFonts w:hint="eastAsia" w:ascii="Times New Roman" w:hAnsi="Times New Roman" w:cs="Times New Roman"/>
                <w:bCs/>
                <w:kern w:val="0"/>
                <w:highlight w:val="none"/>
                <w:lang w:val="en-US" w:eastAsia="zh-CN" w:bidi="ar-SA"/>
              </w:rPr>
              <w:t>不合格产品</w:t>
            </w:r>
            <w:r>
              <w:rPr>
                <w:rFonts w:hint="default" w:ascii="Times New Roman" w:hAnsi="Times New Roman" w:cs="Times New Roman"/>
                <w:bCs/>
                <w:kern w:val="0"/>
                <w:highlight w:val="none"/>
                <w:lang w:val="en-US" w:eastAsia="zh-CN" w:bidi="ar-SA"/>
              </w:rPr>
              <w:t>属于SW</w:t>
            </w:r>
            <w:r>
              <w:rPr>
                <w:rFonts w:hint="eastAsia" w:ascii="Times New Roman" w:hAnsi="Times New Roman" w:cs="Times New Roman"/>
                <w:bCs/>
                <w:kern w:val="0"/>
                <w:highlight w:val="none"/>
                <w:lang w:val="en-US" w:eastAsia="zh-CN" w:bidi="ar-SA"/>
              </w:rPr>
              <w:t>59其它工业固体废物</w:t>
            </w:r>
            <w:r>
              <w:rPr>
                <w:rFonts w:hint="default" w:ascii="Times New Roman" w:hAnsi="Times New Roman" w:cs="Times New Roman"/>
                <w:bCs/>
                <w:kern w:val="0"/>
                <w:highlight w:val="none"/>
                <w:lang w:val="en-US" w:eastAsia="zh-CN" w:bidi="ar-SA"/>
              </w:rPr>
              <w:t>-非特定行业，废物代码为：900-0</w:t>
            </w:r>
            <w:r>
              <w:rPr>
                <w:rFonts w:hint="eastAsia" w:ascii="Times New Roman" w:hAnsi="Times New Roman" w:cs="Times New Roman"/>
                <w:bCs/>
                <w:kern w:val="0"/>
                <w:highlight w:val="none"/>
                <w:lang w:val="en-US" w:eastAsia="zh-CN" w:bidi="ar-SA"/>
              </w:rPr>
              <w:t>99</w:t>
            </w:r>
            <w:r>
              <w:rPr>
                <w:rFonts w:hint="default" w:ascii="Times New Roman" w:hAnsi="Times New Roman" w:cs="Times New Roman"/>
                <w:bCs/>
                <w:kern w:val="0"/>
                <w:highlight w:val="none"/>
                <w:lang w:val="en-US" w:eastAsia="zh-CN" w:bidi="ar-SA"/>
              </w:rPr>
              <w:t>-S</w:t>
            </w:r>
            <w:r>
              <w:rPr>
                <w:rFonts w:hint="eastAsia" w:ascii="Times New Roman" w:hAnsi="Times New Roman" w:cs="Times New Roman"/>
                <w:bCs/>
                <w:kern w:val="0"/>
                <w:highlight w:val="none"/>
                <w:lang w:val="en-US" w:eastAsia="zh-CN" w:bidi="ar-SA"/>
              </w:rPr>
              <w:t>59</w:t>
            </w:r>
            <w:r>
              <w:rPr>
                <w:rFonts w:hint="default" w:ascii="Times New Roman" w:hAnsi="Times New Roman" w:cs="Times New Roman"/>
                <w:bCs/>
                <w:kern w:val="0"/>
                <w:highlight w:val="none"/>
                <w:lang w:val="en-US" w:eastAsia="zh-CN" w:bidi="ar-SA"/>
              </w:rPr>
              <w:t>。</w:t>
            </w:r>
          </w:p>
          <w:p w14:paraId="5193F534">
            <w:pPr>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lang w:bidi="ar"/>
              </w:rPr>
              <w:t>项目一般固废产生、治理及排放情况见表4-</w:t>
            </w:r>
            <w:r>
              <w:rPr>
                <w:rFonts w:hint="eastAsia" w:cs="Times New Roman"/>
                <w:sz w:val="24"/>
                <w:lang w:val="en-US" w:eastAsia="zh-CN" w:bidi="ar"/>
              </w:rPr>
              <w:t>19</w:t>
            </w:r>
            <w:r>
              <w:rPr>
                <w:rFonts w:hint="default" w:ascii="Times New Roman" w:hAnsi="Times New Roman" w:cs="Times New Roman"/>
                <w:sz w:val="24"/>
                <w:lang w:bidi="ar"/>
              </w:rPr>
              <w:t>。</w:t>
            </w:r>
          </w:p>
          <w:p w14:paraId="509B0EEA">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Times New Roman"/>
                <w:b/>
                <w:bCs/>
                <w:color w:val="000000"/>
                <w:sz w:val="24"/>
                <w:u w:val="none"/>
              </w:rPr>
            </w:pPr>
            <w:r>
              <w:rPr>
                <w:rFonts w:hint="default" w:ascii="Times New Roman" w:hAnsi="Times New Roman" w:cs="Times New Roman"/>
                <w:b/>
                <w:bCs/>
                <w:color w:val="000000"/>
                <w:sz w:val="24"/>
                <w:u w:val="none"/>
              </w:rPr>
              <w:t>表4-</w:t>
            </w:r>
            <w:r>
              <w:rPr>
                <w:rFonts w:hint="eastAsia" w:cs="Times New Roman"/>
                <w:b/>
                <w:bCs/>
                <w:color w:val="000000"/>
                <w:sz w:val="24"/>
                <w:u w:val="none"/>
                <w:lang w:val="en-US" w:eastAsia="zh-CN"/>
              </w:rPr>
              <w:t>19</w:t>
            </w:r>
            <w:r>
              <w:rPr>
                <w:rFonts w:hint="default" w:ascii="Times New Roman" w:hAnsi="Times New Roman" w:cs="Times New Roman"/>
                <w:b/>
                <w:bCs/>
                <w:color w:val="000000"/>
                <w:sz w:val="24"/>
                <w:u w:val="none"/>
              </w:rPr>
              <w:t xml:space="preserve">   一般固废产生排放情况一览表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1610"/>
              <w:gridCol w:w="1477"/>
              <w:gridCol w:w="2371"/>
              <w:gridCol w:w="1013"/>
            </w:tblGrid>
            <w:tr w14:paraId="39F5A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64" w:type="pct"/>
                  <w:tcBorders>
                    <w:top w:val="single" w:color="auto" w:sz="4" w:space="0"/>
                    <w:left w:val="single" w:color="auto" w:sz="4" w:space="0"/>
                    <w:bottom w:val="single" w:color="auto" w:sz="4" w:space="0"/>
                    <w:right w:val="single" w:color="auto" w:sz="4" w:space="0"/>
                  </w:tcBorders>
                  <w:noWrap w:val="0"/>
                  <w:vAlign w:val="center"/>
                </w:tcPr>
                <w:p w14:paraId="71EA976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rPr>
                  </w:pPr>
                  <w:r>
                    <w:rPr>
                      <w:rFonts w:hint="default" w:ascii="Times New Roman" w:hAnsi="Times New Roman" w:cs="Times New Roman"/>
                      <w:b w:val="0"/>
                      <w:bCs w:val="0"/>
                      <w:i w:val="0"/>
                      <w:iCs w:val="0"/>
                      <w:sz w:val="21"/>
                      <w:szCs w:val="21"/>
                      <w:u w:val="none"/>
                      <w:lang w:bidi="ar"/>
                    </w:rPr>
                    <w:t>类别</w:t>
                  </w:r>
                </w:p>
              </w:tc>
              <w:tc>
                <w:tcPr>
                  <w:tcW w:w="979" w:type="pct"/>
                  <w:tcBorders>
                    <w:top w:val="single" w:color="auto" w:sz="4" w:space="0"/>
                    <w:left w:val="single" w:color="auto" w:sz="4" w:space="0"/>
                    <w:bottom w:val="single" w:color="auto" w:sz="4" w:space="0"/>
                    <w:right w:val="single" w:color="auto" w:sz="4" w:space="0"/>
                  </w:tcBorders>
                  <w:noWrap w:val="0"/>
                  <w:vAlign w:val="center"/>
                </w:tcPr>
                <w:p w14:paraId="4739B11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lang w:bidi="ar"/>
                    </w:rPr>
                  </w:pPr>
                  <w:r>
                    <w:rPr>
                      <w:rFonts w:hint="default" w:ascii="Times New Roman" w:hAnsi="Times New Roman" w:cs="Times New Roman"/>
                      <w:b w:val="0"/>
                      <w:bCs w:val="0"/>
                      <w:i w:val="0"/>
                      <w:iCs w:val="0"/>
                      <w:sz w:val="21"/>
                      <w:szCs w:val="21"/>
                      <w:u w:val="none"/>
                      <w:lang w:bidi="ar"/>
                    </w:rPr>
                    <w:t>分类代码</w:t>
                  </w:r>
                </w:p>
              </w:tc>
              <w:tc>
                <w:tcPr>
                  <w:tcW w:w="898" w:type="pct"/>
                  <w:tcBorders>
                    <w:top w:val="single" w:color="auto" w:sz="4" w:space="0"/>
                    <w:left w:val="single" w:color="auto" w:sz="4" w:space="0"/>
                    <w:bottom w:val="single" w:color="auto" w:sz="4" w:space="0"/>
                    <w:right w:val="single" w:color="auto" w:sz="4" w:space="0"/>
                  </w:tcBorders>
                  <w:noWrap w:val="0"/>
                  <w:vAlign w:val="center"/>
                </w:tcPr>
                <w:p w14:paraId="10A3651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rPr>
                  </w:pPr>
                  <w:r>
                    <w:rPr>
                      <w:rFonts w:hint="default" w:ascii="Times New Roman" w:hAnsi="Times New Roman" w:cs="Times New Roman"/>
                      <w:b w:val="0"/>
                      <w:bCs w:val="0"/>
                      <w:i w:val="0"/>
                      <w:iCs w:val="0"/>
                      <w:sz w:val="21"/>
                      <w:szCs w:val="21"/>
                      <w:u w:val="none"/>
                      <w:lang w:bidi="ar"/>
                    </w:rPr>
                    <w:t>产生量（t/a）</w:t>
                  </w:r>
                </w:p>
              </w:tc>
              <w:tc>
                <w:tcPr>
                  <w:tcW w:w="1442" w:type="pct"/>
                  <w:tcBorders>
                    <w:top w:val="single" w:color="auto" w:sz="4" w:space="0"/>
                    <w:left w:val="single" w:color="auto" w:sz="4" w:space="0"/>
                    <w:bottom w:val="single" w:color="auto" w:sz="4" w:space="0"/>
                    <w:right w:val="single" w:color="auto" w:sz="4" w:space="0"/>
                  </w:tcBorders>
                  <w:noWrap w:val="0"/>
                  <w:vAlign w:val="center"/>
                </w:tcPr>
                <w:p w14:paraId="3ACFC12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rPr>
                  </w:pPr>
                  <w:r>
                    <w:rPr>
                      <w:rFonts w:hint="default" w:ascii="Times New Roman" w:hAnsi="Times New Roman" w:cs="Times New Roman"/>
                      <w:b w:val="0"/>
                      <w:bCs w:val="0"/>
                      <w:i w:val="0"/>
                      <w:iCs w:val="0"/>
                      <w:sz w:val="21"/>
                      <w:szCs w:val="21"/>
                      <w:u w:val="none"/>
                      <w:lang w:bidi="ar"/>
                    </w:rPr>
                    <w:t>治理措施</w:t>
                  </w:r>
                </w:p>
              </w:tc>
              <w:tc>
                <w:tcPr>
                  <w:tcW w:w="616" w:type="pct"/>
                  <w:tcBorders>
                    <w:top w:val="single" w:color="auto" w:sz="4" w:space="0"/>
                    <w:left w:val="single" w:color="auto" w:sz="4" w:space="0"/>
                    <w:bottom w:val="single" w:color="auto" w:sz="4" w:space="0"/>
                    <w:right w:val="single" w:color="auto" w:sz="4" w:space="0"/>
                  </w:tcBorders>
                  <w:noWrap w:val="0"/>
                  <w:vAlign w:val="center"/>
                </w:tcPr>
                <w:p w14:paraId="6735694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rPr>
                  </w:pPr>
                  <w:r>
                    <w:rPr>
                      <w:rFonts w:hint="default" w:ascii="Times New Roman" w:hAnsi="Times New Roman" w:cs="Times New Roman"/>
                      <w:b w:val="0"/>
                      <w:bCs w:val="0"/>
                      <w:i w:val="0"/>
                      <w:iCs w:val="0"/>
                      <w:sz w:val="21"/>
                      <w:szCs w:val="21"/>
                      <w:u w:val="none"/>
                      <w:lang w:bidi="ar"/>
                    </w:rPr>
                    <w:t>排放量</w:t>
                  </w:r>
                </w:p>
              </w:tc>
            </w:tr>
            <w:tr w14:paraId="0DAB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064" w:type="pct"/>
                  <w:tcBorders>
                    <w:top w:val="single" w:color="auto" w:sz="4" w:space="0"/>
                    <w:left w:val="single" w:color="auto" w:sz="4" w:space="0"/>
                    <w:bottom w:val="single" w:color="auto" w:sz="4" w:space="0"/>
                    <w:right w:val="single" w:color="auto" w:sz="4" w:space="0"/>
                  </w:tcBorders>
                  <w:noWrap w:val="0"/>
                  <w:vAlign w:val="center"/>
                </w:tcPr>
                <w:p w14:paraId="7DBB649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b w:val="0"/>
                      <w:bCs w:val="0"/>
                      <w:i w:val="0"/>
                      <w:iCs w:val="0"/>
                      <w:sz w:val="21"/>
                      <w:szCs w:val="21"/>
                      <w:u w:val="none"/>
                      <w:lang w:eastAsia="zh-CN"/>
                    </w:rPr>
                  </w:pPr>
                  <w:r>
                    <w:rPr>
                      <w:rFonts w:hint="default" w:ascii="Times New Roman" w:hAnsi="Times New Roman" w:cs="Times New Roman"/>
                      <w:b w:val="0"/>
                      <w:bCs w:val="0"/>
                      <w:i w:val="0"/>
                      <w:iCs w:val="0"/>
                      <w:sz w:val="21"/>
                      <w:szCs w:val="21"/>
                      <w:u w:val="none"/>
                    </w:rPr>
                    <w:t>废</w:t>
                  </w:r>
                  <w:r>
                    <w:rPr>
                      <w:rFonts w:hint="eastAsia" w:cs="Times New Roman"/>
                      <w:b w:val="0"/>
                      <w:bCs w:val="0"/>
                      <w:i w:val="0"/>
                      <w:iCs w:val="0"/>
                      <w:sz w:val="21"/>
                      <w:szCs w:val="21"/>
                      <w:u w:val="none"/>
                      <w:lang w:eastAsia="zh-CN"/>
                    </w:rPr>
                    <w:t>边角料</w:t>
                  </w:r>
                </w:p>
              </w:tc>
              <w:tc>
                <w:tcPr>
                  <w:tcW w:w="979" w:type="pct"/>
                  <w:tcBorders>
                    <w:top w:val="single" w:color="auto" w:sz="4" w:space="0"/>
                    <w:left w:val="single" w:color="auto" w:sz="4" w:space="0"/>
                    <w:bottom w:val="single" w:color="auto" w:sz="4" w:space="0"/>
                    <w:right w:val="single" w:color="auto" w:sz="4" w:space="0"/>
                  </w:tcBorders>
                  <w:noWrap w:val="0"/>
                  <w:vAlign w:val="center"/>
                </w:tcPr>
                <w:p w14:paraId="3FBFA66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rPr>
                  </w:pPr>
                  <w:r>
                    <w:rPr>
                      <w:rFonts w:hint="default" w:ascii="Times New Roman" w:hAnsi="Times New Roman" w:cs="Times New Roman"/>
                      <w:b w:val="0"/>
                      <w:bCs w:val="0"/>
                      <w:i w:val="0"/>
                      <w:iCs w:val="0"/>
                      <w:color w:val="000000"/>
                      <w:sz w:val="21"/>
                      <w:szCs w:val="21"/>
                      <w:u w:val="none"/>
                    </w:rPr>
                    <w:t>900-003-S17</w:t>
                  </w:r>
                </w:p>
              </w:tc>
              <w:tc>
                <w:tcPr>
                  <w:tcW w:w="898" w:type="pct"/>
                  <w:tcBorders>
                    <w:top w:val="single" w:color="auto" w:sz="4" w:space="0"/>
                    <w:left w:val="single" w:color="auto" w:sz="4" w:space="0"/>
                    <w:bottom w:val="single" w:color="auto" w:sz="4" w:space="0"/>
                    <w:right w:val="single" w:color="auto" w:sz="4" w:space="0"/>
                  </w:tcBorders>
                  <w:noWrap w:val="0"/>
                  <w:vAlign w:val="center"/>
                </w:tcPr>
                <w:p w14:paraId="20A6E94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i w:val="0"/>
                      <w:iCs w:val="0"/>
                      <w:sz w:val="21"/>
                      <w:szCs w:val="21"/>
                      <w:u w:val="none"/>
                      <w:lang w:val="en-US" w:eastAsia="zh-CN" w:bidi="ar"/>
                    </w:rPr>
                  </w:pPr>
                  <w:r>
                    <w:rPr>
                      <w:rFonts w:hint="eastAsia" w:cs="Times New Roman"/>
                      <w:b w:val="0"/>
                      <w:bCs w:val="0"/>
                      <w:i w:val="0"/>
                      <w:iCs w:val="0"/>
                      <w:sz w:val="21"/>
                      <w:szCs w:val="21"/>
                      <w:u w:val="none"/>
                      <w:lang w:val="en-US" w:eastAsia="zh-CN" w:bidi="ar"/>
                    </w:rPr>
                    <w:t>55.08</w:t>
                  </w:r>
                </w:p>
              </w:tc>
              <w:tc>
                <w:tcPr>
                  <w:tcW w:w="1442" w:type="pct"/>
                  <w:tcBorders>
                    <w:top w:val="single" w:color="auto" w:sz="4" w:space="0"/>
                    <w:left w:val="single" w:color="auto" w:sz="4" w:space="0"/>
                    <w:bottom w:val="single" w:color="auto" w:sz="4" w:space="0"/>
                    <w:right w:val="single" w:color="auto" w:sz="4" w:space="0"/>
                  </w:tcBorders>
                  <w:noWrap w:val="0"/>
                  <w:vAlign w:val="center"/>
                </w:tcPr>
                <w:p w14:paraId="78C743F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kern w:val="0"/>
                      <w:sz w:val="21"/>
                      <w:szCs w:val="21"/>
                      <w:u w:val="none"/>
                    </w:rPr>
                  </w:pPr>
                  <w:r>
                    <w:rPr>
                      <w:rFonts w:hint="default" w:ascii="Times New Roman" w:hAnsi="Times New Roman" w:cs="Times New Roman"/>
                      <w:b w:val="0"/>
                      <w:bCs w:val="0"/>
                      <w:i w:val="0"/>
                      <w:iCs w:val="0"/>
                      <w:kern w:val="0"/>
                      <w:sz w:val="21"/>
                      <w:szCs w:val="21"/>
                      <w:u w:val="none"/>
                    </w:rPr>
                    <w:t>定期</w:t>
                  </w:r>
                  <w:r>
                    <w:rPr>
                      <w:rFonts w:hint="default" w:ascii="Times New Roman" w:hAnsi="Times New Roman" w:cs="Times New Roman"/>
                      <w:b w:val="0"/>
                      <w:bCs w:val="0"/>
                      <w:i w:val="0"/>
                      <w:iCs w:val="0"/>
                      <w:kern w:val="0"/>
                      <w:sz w:val="21"/>
                      <w:szCs w:val="21"/>
                      <w:u w:val="none"/>
                      <w:lang w:eastAsia="zh-CN"/>
                    </w:rPr>
                    <w:t>进行外售</w:t>
                  </w:r>
                </w:p>
              </w:tc>
              <w:tc>
                <w:tcPr>
                  <w:tcW w:w="616" w:type="pct"/>
                  <w:tcBorders>
                    <w:top w:val="single" w:color="auto" w:sz="4" w:space="0"/>
                    <w:left w:val="single" w:color="auto" w:sz="4" w:space="0"/>
                    <w:bottom w:val="single" w:color="auto" w:sz="4" w:space="0"/>
                    <w:right w:val="single" w:color="auto" w:sz="4" w:space="0"/>
                  </w:tcBorders>
                  <w:noWrap w:val="0"/>
                  <w:vAlign w:val="center"/>
                </w:tcPr>
                <w:p w14:paraId="293CBAB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lang w:bidi="ar"/>
                    </w:rPr>
                  </w:pPr>
                  <w:r>
                    <w:rPr>
                      <w:rFonts w:hint="default" w:ascii="Times New Roman" w:hAnsi="Times New Roman" w:cs="Times New Roman"/>
                      <w:b w:val="0"/>
                      <w:bCs w:val="0"/>
                      <w:i w:val="0"/>
                      <w:iCs w:val="0"/>
                      <w:sz w:val="21"/>
                      <w:szCs w:val="21"/>
                      <w:u w:val="none"/>
                      <w:lang w:bidi="ar"/>
                    </w:rPr>
                    <w:t>0</w:t>
                  </w:r>
                </w:p>
              </w:tc>
            </w:tr>
            <w:tr w14:paraId="4B015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064" w:type="pct"/>
                  <w:tcBorders>
                    <w:top w:val="single" w:color="auto" w:sz="4" w:space="0"/>
                    <w:left w:val="single" w:color="auto" w:sz="4" w:space="0"/>
                    <w:bottom w:val="single" w:color="auto" w:sz="4" w:space="0"/>
                    <w:right w:val="single" w:color="auto" w:sz="4" w:space="0"/>
                  </w:tcBorders>
                  <w:noWrap w:val="0"/>
                  <w:vAlign w:val="center"/>
                </w:tcPr>
                <w:p w14:paraId="6328608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i w:val="0"/>
                      <w:iCs w:val="0"/>
                      <w:sz w:val="21"/>
                      <w:szCs w:val="21"/>
                      <w:u w:val="none"/>
                      <w:lang w:eastAsia="zh-CN"/>
                    </w:rPr>
                  </w:pPr>
                  <w:r>
                    <w:rPr>
                      <w:rFonts w:hint="eastAsia" w:cs="Times New Roman"/>
                      <w:b w:val="0"/>
                      <w:bCs w:val="0"/>
                      <w:i w:val="0"/>
                      <w:iCs w:val="0"/>
                      <w:sz w:val="21"/>
                      <w:szCs w:val="21"/>
                      <w:highlight w:val="none"/>
                      <w:u w:val="none"/>
                      <w:lang w:eastAsia="zh-CN"/>
                    </w:rPr>
                    <w:t>不合格产品</w:t>
                  </w:r>
                </w:p>
              </w:tc>
              <w:tc>
                <w:tcPr>
                  <w:tcW w:w="979" w:type="pct"/>
                  <w:tcBorders>
                    <w:top w:val="single" w:color="auto" w:sz="4" w:space="0"/>
                    <w:left w:val="single" w:color="auto" w:sz="4" w:space="0"/>
                    <w:bottom w:val="single" w:color="auto" w:sz="4" w:space="0"/>
                    <w:right w:val="single" w:color="auto" w:sz="4" w:space="0"/>
                  </w:tcBorders>
                  <w:noWrap w:val="0"/>
                  <w:vAlign w:val="center"/>
                </w:tcPr>
                <w:p w14:paraId="12D5974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i w:val="0"/>
                      <w:iCs w:val="0"/>
                      <w:sz w:val="21"/>
                      <w:szCs w:val="21"/>
                      <w:u w:val="none"/>
                      <w:lang w:val="en-US" w:eastAsia="zh-CN"/>
                    </w:rPr>
                  </w:pPr>
                  <w:r>
                    <w:rPr>
                      <w:rFonts w:hint="default" w:ascii="Times New Roman" w:hAnsi="Times New Roman" w:cs="Times New Roman"/>
                      <w:b w:val="0"/>
                      <w:bCs w:val="0"/>
                      <w:i w:val="0"/>
                      <w:iCs w:val="0"/>
                      <w:color w:val="000000"/>
                      <w:sz w:val="21"/>
                      <w:szCs w:val="21"/>
                      <w:u w:val="none"/>
                    </w:rPr>
                    <w:t>900-0</w:t>
                  </w:r>
                  <w:r>
                    <w:rPr>
                      <w:rFonts w:hint="eastAsia" w:cs="Times New Roman"/>
                      <w:b w:val="0"/>
                      <w:bCs w:val="0"/>
                      <w:i w:val="0"/>
                      <w:iCs w:val="0"/>
                      <w:color w:val="000000"/>
                      <w:sz w:val="21"/>
                      <w:szCs w:val="21"/>
                      <w:u w:val="none"/>
                      <w:lang w:val="en-US" w:eastAsia="zh-CN"/>
                    </w:rPr>
                    <w:t>99</w:t>
                  </w:r>
                  <w:r>
                    <w:rPr>
                      <w:rFonts w:hint="default" w:ascii="Times New Roman" w:hAnsi="Times New Roman" w:cs="Times New Roman"/>
                      <w:b w:val="0"/>
                      <w:bCs w:val="0"/>
                      <w:i w:val="0"/>
                      <w:iCs w:val="0"/>
                      <w:color w:val="000000"/>
                      <w:sz w:val="21"/>
                      <w:szCs w:val="21"/>
                      <w:u w:val="none"/>
                    </w:rPr>
                    <w:t>-S</w:t>
                  </w:r>
                  <w:r>
                    <w:rPr>
                      <w:rFonts w:hint="eastAsia" w:cs="Times New Roman"/>
                      <w:b w:val="0"/>
                      <w:bCs w:val="0"/>
                      <w:i w:val="0"/>
                      <w:iCs w:val="0"/>
                      <w:color w:val="000000"/>
                      <w:sz w:val="21"/>
                      <w:szCs w:val="21"/>
                      <w:u w:val="none"/>
                      <w:lang w:val="en-US" w:eastAsia="zh-CN"/>
                    </w:rPr>
                    <w:t>59</w:t>
                  </w:r>
                </w:p>
              </w:tc>
              <w:tc>
                <w:tcPr>
                  <w:tcW w:w="898" w:type="pct"/>
                  <w:tcBorders>
                    <w:top w:val="single" w:color="auto" w:sz="4" w:space="0"/>
                    <w:left w:val="single" w:color="auto" w:sz="4" w:space="0"/>
                    <w:bottom w:val="single" w:color="auto" w:sz="4" w:space="0"/>
                    <w:right w:val="single" w:color="auto" w:sz="4" w:space="0"/>
                  </w:tcBorders>
                  <w:noWrap w:val="0"/>
                  <w:vAlign w:val="center"/>
                </w:tcPr>
                <w:p w14:paraId="3F022E7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i w:val="0"/>
                      <w:iCs w:val="0"/>
                      <w:sz w:val="21"/>
                      <w:szCs w:val="21"/>
                      <w:u w:val="none"/>
                      <w:lang w:val="en-US" w:eastAsia="zh-CN"/>
                    </w:rPr>
                  </w:pPr>
                  <w:r>
                    <w:rPr>
                      <w:rFonts w:hint="eastAsia" w:cs="Times New Roman"/>
                      <w:b w:val="0"/>
                      <w:bCs w:val="0"/>
                      <w:i w:val="0"/>
                      <w:iCs w:val="0"/>
                      <w:sz w:val="21"/>
                      <w:szCs w:val="21"/>
                      <w:u w:val="none"/>
                      <w:lang w:val="en-US" w:eastAsia="zh-CN"/>
                    </w:rPr>
                    <w:t>4.25</w:t>
                  </w:r>
                </w:p>
              </w:tc>
              <w:tc>
                <w:tcPr>
                  <w:tcW w:w="1442" w:type="pct"/>
                  <w:tcBorders>
                    <w:top w:val="single" w:color="auto" w:sz="4" w:space="0"/>
                    <w:left w:val="single" w:color="auto" w:sz="4" w:space="0"/>
                    <w:bottom w:val="single" w:color="auto" w:sz="4" w:space="0"/>
                    <w:right w:val="single" w:color="auto" w:sz="4" w:space="0"/>
                  </w:tcBorders>
                  <w:noWrap w:val="0"/>
                  <w:vAlign w:val="center"/>
                </w:tcPr>
                <w:p w14:paraId="578A601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i w:val="0"/>
                      <w:iCs w:val="0"/>
                      <w:sz w:val="21"/>
                      <w:szCs w:val="21"/>
                      <w:u w:val="none"/>
                      <w:lang w:eastAsia="zh-CN"/>
                    </w:rPr>
                  </w:pPr>
                  <w:r>
                    <w:rPr>
                      <w:rFonts w:hint="default" w:ascii="Times New Roman" w:hAnsi="Times New Roman" w:cs="Times New Roman"/>
                      <w:b w:val="0"/>
                      <w:bCs w:val="0"/>
                      <w:i w:val="0"/>
                      <w:iCs w:val="0"/>
                      <w:kern w:val="0"/>
                      <w:sz w:val="21"/>
                      <w:szCs w:val="21"/>
                      <w:u w:val="none"/>
                    </w:rPr>
                    <w:t>定期</w:t>
                  </w:r>
                  <w:r>
                    <w:rPr>
                      <w:rFonts w:hint="default" w:ascii="Times New Roman" w:hAnsi="Times New Roman" w:cs="Times New Roman"/>
                      <w:b w:val="0"/>
                      <w:bCs w:val="0"/>
                      <w:i w:val="0"/>
                      <w:iCs w:val="0"/>
                      <w:kern w:val="0"/>
                      <w:sz w:val="21"/>
                      <w:szCs w:val="21"/>
                      <w:u w:val="none"/>
                      <w:lang w:eastAsia="zh-CN"/>
                    </w:rPr>
                    <w:t>进行外售</w:t>
                  </w:r>
                </w:p>
              </w:tc>
              <w:tc>
                <w:tcPr>
                  <w:tcW w:w="616" w:type="pct"/>
                  <w:tcBorders>
                    <w:top w:val="single" w:color="auto" w:sz="4" w:space="0"/>
                    <w:left w:val="single" w:color="auto" w:sz="4" w:space="0"/>
                    <w:bottom w:val="single" w:color="auto" w:sz="4" w:space="0"/>
                    <w:right w:val="single" w:color="auto" w:sz="4" w:space="0"/>
                  </w:tcBorders>
                  <w:noWrap w:val="0"/>
                  <w:vAlign w:val="center"/>
                </w:tcPr>
                <w:p w14:paraId="65B9511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b w:val="0"/>
                      <w:bCs w:val="0"/>
                      <w:i w:val="0"/>
                      <w:iCs w:val="0"/>
                      <w:sz w:val="21"/>
                      <w:szCs w:val="21"/>
                      <w:u w:val="none"/>
                    </w:rPr>
                  </w:pPr>
                  <w:r>
                    <w:rPr>
                      <w:rFonts w:hint="default" w:ascii="Times New Roman" w:hAnsi="Times New Roman" w:cs="Times New Roman"/>
                      <w:b w:val="0"/>
                      <w:bCs w:val="0"/>
                      <w:i w:val="0"/>
                      <w:iCs w:val="0"/>
                      <w:sz w:val="21"/>
                      <w:szCs w:val="21"/>
                      <w:u w:val="none"/>
                      <w:lang w:bidi="ar"/>
                    </w:rPr>
                    <w:t>0</w:t>
                  </w:r>
                </w:p>
              </w:tc>
            </w:tr>
          </w:tbl>
          <w:p w14:paraId="36C73FC1">
            <w:pPr>
              <w:keepNext w:val="0"/>
              <w:keepLines w:val="0"/>
              <w:pageBreakBefore w:val="0"/>
              <w:widowControl w:val="0"/>
              <w:kinsoku/>
              <w:wordWrap/>
              <w:overflowPunct/>
              <w:topLinePunct w:val="0"/>
              <w:autoSpaceDE/>
              <w:autoSpaceDN/>
              <w:bidi w:val="0"/>
              <w:spacing w:line="480" w:lineRule="atLeast"/>
              <w:ind w:left="0" w:leftChars="0" w:right="0" w:rightChars="0" w:firstLine="480" w:firstLineChars="200"/>
              <w:textAlignment w:val="auto"/>
              <w:outlineLvl w:val="9"/>
              <w:rPr>
                <w:rFonts w:hint="default" w:ascii="Times New Roman" w:hAnsi="Times New Roman" w:cs="Times New Roman"/>
                <w:b w:val="0"/>
                <w:bCs w:val="0"/>
                <w:color w:val="000000"/>
                <w:sz w:val="24"/>
                <w:highlight w:val="none"/>
                <w:u w:val="none"/>
              </w:rPr>
            </w:pPr>
            <w:r>
              <w:rPr>
                <w:rFonts w:hint="eastAsia" w:ascii="Times New Roman" w:hAnsi="Times New Roman" w:eastAsia="宋体" w:cs="Times New Roman"/>
                <w:b w:val="0"/>
                <w:bCs w:val="0"/>
                <w:snapToGrid w:val="0"/>
                <w:color w:val="auto"/>
                <w:sz w:val="24"/>
                <w:u w:val="none" w:color="auto"/>
                <w:lang w:val="en-US" w:eastAsia="zh-CN"/>
              </w:rPr>
              <w:t>评价要求工程设置1座10m</w:t>
            </w:r>
            <w:r>
              <w:rPr>
                <w:rFonts w:hint="eastAsia" w:ascii="Times New Roman" w:hAnsi="Times New Roman" w:eastAsia="宋体" w:cs="Times New Roman"/>
                <w:b w:val="0"/>
                <w:bCs w:val="0"/>
                <w:snapToGrid w:val="0"/>
                <w:color w:val="auto"/>
                <w:sz w:val="24"/>
                <w:u w:val="none" w:color="auto"/>
                <w:vertAlign w:val="superscript"/>
                <w:lang w:val="en-US" w:eastAsia="zh-CN"/>
              </w:rPr>
              <w:t>2</w:t>
            </w:r>
            <w:r>
              <w:rPr>
                <w:rFonts w:hint="eastAsia" w:ascii="Times New Roman" w:hAnsi="Times New Roman" w:eastAsia="宋体" w:cs="Times New Roman"/>
                <w:b w:val="0"/>
                <w:bCs w:val="0"/>
                <w:snapToGrid w:val="0"/>
                <w:color w:val="auto"/>
                <w:sz w:val="24"/>
                <w:u w:val="none" w:color="auto"/>
                <w:lang w:val="en-US" w:eastAsia="zh-CN"/>
              </w:rPr>
              <w:t>一般固废间，</w:t>
            </w:r>
            <w:r>
              <w:rPr>
                <w:rFonts w:ascii="Times New Roman" w:hAnsi="Times New Roman" w:eastAsia="宋体" w:cs="Times New Roman"/>
                <w:b w:val="0"/>
                <w:bCs w:val="0"/>
                <w:color w:val="auto"/>
                <w:sz w:val="24"/>
                <w:u w:val="none" w:color="auto"/>
              </w:rPr>
              <w:t>将项目产生的一般固废统一收集，分类暂存</w:t>
            </w:r>
            <w:r>
              <w:rPr>
                <w:rFonts w:hint="eastAsia" w:ascii="Times New Roman" w:hAnsi="Times New Roman" w:eastAsia="宋体" w:cs="Times New Roman"/>
                <w:b w:val="0"/>
                <w:bCs w:val="0"/>
                <w:color w:val="auto"/>
                <w:sz w:val="24"/>
                <w:u w:val="none" w:color="auto"/>
                <w:lang w:eastAsia="zh-CN"/>
              </w:rPr>
              <w:t>，</w:t>
            </w:r>
            <w:r>
              <w:rPr>
                <w:rFonts w:hint="default" w:ascii="Times New Roman" w:hAnsi="Times New Roman" w:cs="Times New Roman"/>
                <w:b w:val="0"/>
                <w:bCs w:val="0"/>
                <w:color w:val="000000"/>
                <w:sz w:val="24"/>
                <w:highlight w:val="none"/>
                <w:u w:val="none"/>
              </w:rPr>
              <w:t>一般固废</w:t>
            </w:r>
            <w:r>
              <w:rPr>
                <w:rFonts w:hint="default" w:ascii="Times New Roman" w:hAnsi="Times New Roman" w:cs="Times New Roman"/>
                <w:b w:val="0"/>
                <w:bCs w:val="0"/>
                <w:color w:val="000000"/>
                <w:sz w:val="24"/>
                <w:highlight w:val="none"/>
                <w:u w:val="none"/>
                <w:lang w:eastAsia="zh-CN"/>
              </w:rPr>
              <w:t>间</w:t>
            </w:r>
            <w:r>
              <w:rPr>
                <w:rFonts w:hint="default" w:ascii="Times New Roman" w:hAnsi="Times New Roman" w:cs="Times New Roman"/>
                <w:b w:val="0"/>
                <w:bCs w:val="0"/>
                <w:color w:val="000000"/>
                <w:sz w:val="24"/>
                <w:highlight w:val="none"/>
                <w:u w:val="none"/>
              </w:rPr>
              <w:t>的建设应满足《一般工业固体废物贮存和填埋场污染控制标准》（GB18599-2020）的要求进行设计、施工，做到防扬散、防雨淋、防渗漏处理，避免对环境产生二次污染。一般固废在贮存处置过程中应注意以下几点</w:t>
            </w:r>
            <w:r>
              <w:rPr>
                <w:rFonts w:hint="default" w:ascii="Times New Roman" w:hAnsi="Times New Roman" w:cs="Times New Roman"/>
                <w:b w:val="0"/>
                <w:bCs w:val="0"/>
                <w:color w:val="000000"/>
                <w:sz w:val="24"/>
                <w:highlight w:val="none"/>
                <w:u w:val="none"/>
                <w:lang w:eastAsia="zh-CN"/>
              </w:rPr>
              <w:t>：</w:t>
            </w:r>
            <w:r>
              <w:rPr>
                <w:rFonts w:hint="default" w:ascii="Times New Roman" w:hAnsi="Times New Roman" w:cs="Times New Roman"/>
                <w:b w:val="0"/>
                <w:bCs w:val="0"/>
                <w:color w:val="000000"/>
                <w:sz w:val="24"/>
                <w:highlight w:val="none"/>
                <w:u w:val="none"/>
              </w:rPr>
              <w:t>①对固体废物实行从产生、收集、运输、贮存直至最终处理全过程管理，加强固体废物运输过程的事故风险防范。②加强固体废物规范化管理，固体废物分类定点堆放，堆放场所远离周围环境敏感点。为了减少雨水侵蚀造成的二次污染，临时堆放场地要加盖顶棚，地面进行水泥硬化。</w:t>
            </w:r>
          </w:p>
          <w:p w14:paraId="52D2376D">
            <w:pPr>
              <w:keepNext w:val="0"/>
              <w:keepLines w:val="0"/>
              <w:pageBreakBefore w:val="0"/>
              <w:kinsoku/>
              <w:wordWrap/>
              <w:overflowPunct/>
              <w:topLinePunct w:val="0"/>
              <w:autoSpaceDE/>
              <w:autoSpaceDN/>
              <w:bidi w:val="0"/>
              <w:adjustRightInd w:val="0"/>
              <w:snapToGrid w:val="0"/>
              <w:spacing w:line="520" w:lineRule="exact"/>
              <w:ind w:left="0" w:leftChars="0" w:firstLine="480" w:firstLineChars="20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lang w:eastAsia="zh-CN"/>
              </w:rPr>
              <w:t>项目一般固废暂存应</w:t>
            </w:r>
            <w:r>
              <w:rPr>
                <w:rFonts w:hint="default" w:ascii="Times New Roman" w:hAnsi="Times New Roman" w:cs="Times New Roman"/>
                <w:sz w:val="24"/>
                <w:highlight w:val="none"/>
              </w:rPr>
              <w:t>严格按照</w:t>
            </w:r>
            <w:r>
              <w:rPr>
                <w:rFonts w:hint="default" w:ascii="Times New Roman" w:hAnsi="Times New Roman" w:cs="Times New Roman"/>
                <w:kern w:val="0"/>
                <w:sz w:val="24"/>
                <w:highlight w:val="none"/>
              </w:rPr>
              <w:t>《一般工业固体废物贮存和填埋污染控制标准》（GB18599-2020）中的相关规定</w:t>
            </w:r>
            <w:r>
              <w:rPr>
                <w:rFonts w:hint="default" w:ascii="Times New Roman" w:hAnsi="Times New Roman" w:cs="Times New Roman"/>
                <w:sz w:val="24"/>
                <w:highlight w:val="none"/>
              </w:rPr>
              <w:t>建设，项目固体废物全部妥善处置，能够避免固体废物排放对环境的二次污染，不会对当地环境产生不利影响。</w:t>
            </w:r>
            <w:r>
              <w:rPr>
                <w:rFonts w:hint="default" w:ascii="Times New Roman" w:hAnsi="Times New Roman" w:cs="Times New Roman"/>
                <w:bCs/>
                <w:sz w:val="24"/>
                <w:highlight w:val="none"/>
              </w:rPr>
              <w:t>另外，根据《固体废物污染防治法》（2020年9月1日），评价要求企业建立健全工业固体废物产生、收集、贮存、运输、利用、处置全过程的污染环境防治责任主体，建立工业固体废物管理台账、如实记录产生工业固体废物的种类、数量、流向、贮存、利用、处置等信息，实现工业固体废物可追溯、可查询、并采取防治工业固体废物污染环境的措施。</w:t>
            </w:r>
          </w:p>
          <w:p w14:paraId="2A900548">
            <w:pPr>
              <w:keepNext/>
              <w:keepLines/>
              <w:widowControl/>
              <w:tabs>
                <w:tab w:val="left" w:pos="1322"/>
              </w:tabs>
              <w:spacing w:line="520" w:lineRule="exact"/>
              <w:ind w:firstLine="482"/>
              <w:outlineLvl w:val="1"/>
              <w:rPr>
                <w:b/>
                <w:bCs/>
              </w:rPr>
            </w:pPr>
            <w:r>
              <w:rPr>
                <w:rFonts w:hint="eastAsia"/>
                <w:b/>
                <w:bCs/>
              </w:rPr>
              <w:t>4.3</w:t>
            </w:r>
            <w:r>
              <w:rPr>
                <w:b/>
                <w:bCs/>
              </w:rPr>
              <w:t>危废产生情况及处置措施</w:t>
            </w:r>
          </w:p>
          <w:p w14:paraId="57665899">
            <w:pPr>
              <w:keepNext w:val="0"/>
              <w:keepLines w:val="0"/>
              <w:pageBreakBefore w:val="0"/>
              <w:widowControl w:val="0"/>
              <w:numPr>
                <w:ilvl w:val="0"/>
                <w:numId w:val="0"/>
              </w:numPr>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color w:val="auto"/>
                <w:sz w:val="24"/>
                <w:szCs w:val="22"/>
                <w:highlight w:val="none"/>
                <w:lang w:val="en-US" w:eastAsia="zh-CN" w:bidi="ar-SA"/>
              </w:rPr>
            </w:pPr>
            <w:r>
              <w:rPr>
                <w:rFonts w:hint="eastAsia" w:ascii="Times New Roman" w:hAnsi="Times New Roman" w:eastAsia="宋体" w:cs="Times New Roman"/>
                <w:color w:val="auto"/>
                <w:kern w:val="2"/>
                <w:sz w:val="24"/>
                <w:szCs w:val="22"/>
                <w:highlight w:val="none"/>
                <w:lang w:val="en-US" w:eastAsia="zh-CN" w:bidi="ar-SA"/>
              </w:rPr>
              <w:t>①</w:t>
            </w:r>
            <w:r>
              <w:rPr>
                <w:rFonts w:hint="default" w:ascii="Times New Roman" w:hAnsi="Times New Roman" w:eastAsia="宋体" w:cs="Times New Roman"/>
                <w:color w:val="auto"/>
                <w:sz w:val="24"/>
                <w:szCs w:val="22"/>
                <w:highlight w:val="none"/>
                <w:lang w:val="en-US" w:eastAsia="zh-CN"/>
              </w:rPr>
              <w:t>废活性炭</w:t>
            </w:r>
          </w:p>
          <w:p w14:paraId="66DE699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bCs/>
                <w:color w:val="000000"/>
                <w:highlight w:val="none"/>
                <w:u w:val="none"/>
                <w:lang w:val="en-US" w:eastAsia="zh-CN" w:bidi="ar-SA"/>
              </w:rPr>
            </w:pPr>
            <w:r>
              <w:rPr>
                <w:rFonts w:hint="eastAsia"/>
                <w:bCs/>
                <w:color w:val="000000"/>
                <w:highlight w:val="none"/>
                <w:u w:val="none"/>
                <w:lang w:val="en-US" w:eastAsia="zh-CN" w:bidi="ar-SA"/>
              </w:rPr>
              <w:t>本项目采用吸附效率较高的蜂窝状活性炭，根据焦作市生态环境局《关于规范挥发性有机物治理过程中活性炭使用管理的通知》，评价要求企业</w:t>
            </w:r>
            <w:r>
              <w:rPr>
                <w:rFonts w:hint="eastAsia"/>
                <w:bCs/>
                <w:highlight w:val="none"/>
                <w:u w:val="none"/>
                <w:lang w:val="en-US" w:eastAsia="zh-CN" w:bidi="ar-SA"/>
              </w:rPr>
              <w:t>使用蜂窝状活性炭</w:t>
            </w:r>
            <w:r>
              <w:rPr>
                <w:rFonts w:hint="eastAsia"/>
                <w:bCs/>
                <w:color w:val="000000"/>
                <w:highlight w:val="none"/>
                <w:u w:val="none"/>
                <w:lang w:val="en-US" w:eastAsia="zh-CN" w:bidi="ar-SA"/>
              </w:rPr>
              <w:t>碘值≥650mg/g、比表面积应不低于750m</w:t>
            </w:r>
            <w:r>
              <w:rPr>
                <w:rFonts w:hint="eastAsia"/>
                <w:bCs/>
                <w:color w:val="000000"/>
                <w:highlight w:val="none"/>
                <w:u w:val="none"/>
                <w:vertAlign w:val="superscript"/>
                <w:lang w:val="en-US" w:eastAsia="zh-CN" w:bidi="ar-SA"/>
              </w:rPr>
              <w:t>2</w:t>
            </w:r>
            <w:r>
              <w:rPr>
                <w:rFonts w:hint="eastAsia"/>
                <w:bCs/>
                <w:color w:val="000000"/>
                <w:highlight w:val="none"/>
                <w:u w:val="none"/>
                <w:lang w:val="en-US" w:eastAsia="zh-CN" w:bidi="ar-SA"/>
              </w:rPr>
              <w:t>/g，</w:t>
            </w:r>
            <w:r>
              <w:rPr>
                <w:rFonts w:hint="eastAsia"/>
                <w:bCs/>
                <w:highlight w:val="none"/>
                <w:u w:val="none"/>
                <w:lang w:val="en-US" w:eastAsia="zh-CN" w:bidi="ar-SA"/>
              </w:rPr>
              <w:t>且填充量与每小时处理废气量体积之比满足1:5000的要求。</w:t>
            </w:r>
            <w:r>
              <w:rPr>
                <w:rFonts w:hint="eastAsia"/>
                <w:bCs/>
                <w:color w:val="000000"/>
                <w:highlight w:val="none"/>
                <w:u w:val="none"/>
                <w:lang w:val="en-US" w:eastAsia="zh-CN" w:bidi="ar-SA"/>
              </w:rPr>
              <w:t>根据上述设计参数，则单个碳箱活性炭理论填装量不少于1.43m</w:t>
            </w:r>
            <w:r>
              <w:rPr>
                <w:rFonts w:hint="eastAsia"/>
                <w:bCs/>
                <w:color w:val="000000"/>
                <w:highlight w:val="none"/>
                <w:u w:val="none"/>
                <w:vertAlign w:val="superscript"/>
                <w:lang w:val="en-US" w:eastAsia="zh-CN" w:bidi="ar-SA"/>
              </w:rPr>
              <w:t>3</w:t>
            </w:r>
            <w:r>
              <w:rPr>
                <w:rFonts w:hint="eastAsia"/>
                <w:bCs/>
                <w:color w:val="000000"/>
                <w:highlight w:val="none"/>
                <w:u w:val="none"/>
                <w:lang w:val="en-US" w:eastAsia="zh-CN" w:bidi="ar-SA"/>
              </w:rPr>
              <w:t>，符合体积之比不小于1:5000且活性炭填充量不低于0.5m</w:t>
            </w:r>
            <w:r>
              <w:rPr>
                <w:rFonts w:hint="eastAsia"/>
                <w:bCs/>
                <w:color w:val="000000"/>
                <w:highlight w:val="none"/>
                <w:u w:val="none"/>
                <w:vertAlign w:val="superscript"/>
                <w:lang w:val="en-US" w:eastAsia="zh-CN" w:bidi="ar-SA"/>
              </w:rPr>
              <w:t>3</w:t>
            </w:r>
            <w:r>
              <w:rPr>
                <w:rFonts w:hint="eastAsia"/>
                <w:bCs/>
                <w:color w:val="000000"/>
                <w:highlight w:val="none"/>
                <w:u w:val="none"/>
                <w:lang w:val="en-US" w:eastAsia="zh-CN" w:bidi="ar-SA"/>
              </w:rPr>
              <w:t>的要求。</w:t>
            </w:r>
          </w:p>
          <w:p w14:paraId="63F621E7">
            <w:pPr>
              <w:keepNext w:val="0"/>
              <w:keepLines w:val="0"/>
              <w:pageBreakBefore w:val="0"/>
              <w:widowControl w:val="0"/>
              <w:numPr>
                <w:ilvl w:val="0"/>
                <w:numId w:val="0"/>
              </w:numPr>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color w:val="auto"/>
                <w:highlight w:val="none"/>
                <w:lang w:val="en-US" w:eastAsia="zh-CN" w:bidi="ar-SA"/>
              </w:rPr>
            </w:pPr>
            <w:r>
              <w:rPr>
                <w:rFonts w:hint="eastAsia" w:cs="Times New Roman"/>
                <w:color w:val="auto"/>
                <w:sz w:val="24"/>
                <w:szCs w:val="22"/>
                <w:highlight w:val="none"/>
                <w:lang w:val="en-US" w:eastAsia="zh-CN"/>
              </w:rPr>
              <w:t>本</w:t>
            </w:r>
            <w:r>
              <w:rPr>
                <w:rFonts w:hint="default" w:ascii="Times New Roman" w:hAnsi="Times New Roman" w:eastAsia="宋体" w:cs="Times New Roman"/>
                <w:color w:val="auto"/>
                <w:sz w:val="24"/>
                <w:szCs w:val="22"/>
                <w:highlight w:val="none"/>
                <w:lang w:val="en-US" w:eastAsia="zh-CN"/>
              </w:rPr>
              <w:t>项目有机废气采用“</w:t>
            </w:r>
            <w:r>
              <w:rPr>
                <w:rFonts w:hint="default" w:ascii="Times New Roman" w:hAnsi="Times New Roman" w:cs="Times New Roman"/>
                <w:color w:val="auto"/>
                <w:sz w:val="24"/>
                <w:szCs w:val="22"/>
                <w:highlight w:val="none"/>
                <w:lang w:val="en-US" w:eastAsia="zh-CN"/>
              </w:rPr>
              <w:t>两级</w:t>
            </w:r>
            <w:r>
              <w:rPr>
                <w:rFonts w:hint="default" w:ascii="Times New Roman" w:hAnsi="Times New Roman" w:eastAsia="宋体" w:cs="Times New Roman"/>
                <w:color w:val="auto"/>
                <w:sz w:val="24"/>
                <w:szCs w:val="22"/>
                <w:highlight w:val="none"/>
                <w:lang w:val="en-US" w:eastAsia="zh-CN"/>
              </w:rPr>
              <w:t>活性炭吸附装置”进行处理</w:t>
            </w:r>
            <w:r>
              <w:rPr>
                <w:rFonts w:hint="eastAsia" w:ascii="Times New Roman" w:hAnsi="Times New Roman" w:eastAsia="宋体" w:cs="Times New Roman"/>
                <w:color w:val="auto"/>
                <w:sz w:val="24"/>
                <w:szCs w:val="22"/>
                <w:highlight w:val="none"/>
                <w:lang w:val="en-US" w:eastAsia="zh-CN"/>
              </w:rPr>
              <w:t>，活性炭吸附饱和</w:t>
            </w:r>
            <w:r>
              <w:rPr>
                <w:rFonts w:hint="eastAsia" w:cs="Times New Roman"/>
                <w:color w:val="auto"/>
                <w:sz w:val="24"/>
                <w:szCs w:val="22"/>
                <w:highlight w:val="none"/>
                <w:lang w:val="en-US" w:eastAsia="zh-CN"/>
              </w:rPr>
              <w:t>后</w:t>
            </w:r>
            <w:r>
              <w:rPr>
                <w:rFonts w:hint="eastAsia" w:ascii="Times New Roman" w:hAnsi="Times New Roman" w:eastAsia="宋体" w:cs="Times New Roman"/>
                <w:color w:val="auto"/>
                <w:sz w:val="24"/>
                <w:szCs w:val="22"/>
                <w:highlight w:val="none"/>
                <w:lang w:val="en-US" w:eastAsia="zh-CN"/>
              </w:rPr>
              <w:t>，活性炭</w:t>
            </w:r>
            <w:r>
              <w:rPr>
                <w:rFonts w:hint="eastAsia" w:cs="Times New Roman"/>
                <w:color w:val="auto"/>
                <w:sz w:val="24"/>
                <w:szCs w:val="22"/>
                <w:highlight w:val="none"/>
                <w:lang w:val="en-US" w:eastAsia="zh-CN"/>
              </w:rPr>
              <w:t>每年更换5次，通过计算，本项目活性炭填充量共7.865t/a，</w:t>
            </w:r>
            <w:r>
              <w:rPr>
                <w:rFonts w:hint="default" w:ascii="Times New Roman" w:hAnsi="Times New Roman" w:cs="Times New Roman"/>
                <w:color w:val="auto"/>
                <w:sz w:val="24"/>
                <w:szCs w:val="22"/>
                <w:highlight w:val="none"/>
                <w:lang w:val="en-US" w:eastAsia="zh-CN"/>
              </w:rPr>
              <w:t>两级</w:t>
            </w:r>
            <w:r>
              <w:rPr>
                <w:rFonts w:hint="default" w:ascii="Times New Roman" w:hAnsi="Times New Roman" w:eastAsia="宋体" w:cs="Times New Roman"/>
                <w:color w:val="auto"/>
                <w:sz w:val="24"/>
                <w:szCs w:val="22"/>
                <w:highlight w:val="none"/>
                <w:lang w:val="en-US" w:eastAsia="zh-CN"/>
              </w:rPr>
              <w:t>活性炭吸附装置</w:t>
            </w:r>
            <w:r>
              <w:rPr>
                <w:rFonts w:hint="default" w:ascii="Times New Roman" w:hAnsi="Times New Roman" w:eastAsia="宋体" w:cs="Times New Roman"/>
                <w:color w:val="auto"/>
                <w:sz w:val="24"/>
                <w:highlight w:val="none"/>
                <w:lang w:val="en-US" w:eastAsia="zh-CN"/>
              </w:rPr>
              <w:t>对有机废气的去除效率</w:t>
            </w:r>
            <w:r>
              <w:rPr>
                <w:rFonts w:hint="eastAsia" w:cs="Times New Roman"/>
                <w:color w:val="auto"/>
                <w:sz w:val="24"/>
                <w:highlight w:val="none"/>
                <w:lang w:val="en-US" w:eastAsia="zh-CN"/>
              </w:rPr>
              <w:t>按照</w:t>
            </w:r>
            <w:r>
              <w:rPr>
                <w:rFonts w:hint="default" w:ascii="Times New Roman" w:hAnsi="Times New Roman" w:cs="Times New Roman"/>
                <w:color w:val="auto"/>
                <w:sz w:val="24"/>
                <w:highlight w:val="none"/>
                <w:lang w:val="en-US" w:eastAsia="zh-CN"/>
              </w:rPr>
              <w:t>8</w:t>
            </w:r>
            <w:r>
              <w:rPr>
                <w:rFonts w:hint="eastAsia" w:cs="Times New Roman"/>
                <w:color w:val="auto"/>
                <w:sz w:val="24"/>
                <w:highlight w:val="none"/>
                <w:lang w:val="en-US" w:eastAsia="zh-CN"/>
              </w:rPr>
              <w:t>0</w:t>
            </w:r>
            <w:r>
              <w:rPr>
                <w:rFonts w:hint="default" w:ascii="Times New Roman" w:hAnsi="Times New Roman" w:eastAsia="宋体" w:cs="Times New Roman"/>
                <w:color w:val="auto"/>
                <w:sz w:val="24"/>
                <w:highlight w:val="none"/>
                <w:lang w:val="en-US" w:eastAsia="zh-CN"/>
              </w:rPr>
              <w:t>%计，则活性炭吸附装置吸附</w:t>
            </w:r>
            <w:r>
              <w:rPr>
                <w:rFonts w:hint="eastAsia" w:cs="Times New Roman"/>
                <w:color w:val="auto"/>
                <w:sz w:val="24"/>
                <w:highlight w:val="none"/>
                <w:lang w:val="en-US" w:eastAsia="zh-CN"/>
              </w:rPr>
              <w:t>加热成型工序的</w:t>
            </w:r>
            <w:r>
              <w:rPr>
                <w:rFonts w:hint="default" w:ascii="Times New Roman" w:hAnsi="Times New Roman" w:eastAsia="宋体" w:cs="Times New Roman"/>
                <w:color w:val="auto"/>
                <w:sz w:val="24"/>
                <w:highlight w:val="none"/>
                <w:lang w:val="en-US" w:eastAsia="zh-CN"/>
              </w:rPr>
              <w:t>废气约为</w:t>
            </w:r>
            <w:r>
              <w:rPr>
                <w:rFonts w:hint="eastAsia" w:ascii="Times New Roman" w:hAnsi="Times New Roman" w:eastAsia="宋体" w:cs="Times New Roman"/>
                <w:color w:val="auto"/>
                <w:sz w:val="24"/>
                <w:highlight w:val="none"/>
                <w:lang w:val="en-US" w:eastAsia="zh-CN"/>
              </w:rPr>
              <w:t>0.</w:t>
            </w:r>
            <w:r>
              <w:rPr>
                <w:rFonts w:hint="eastAsia" w:cs="Times New Roman"/>
                <w:color w:val="auto"/>
                <w:sz w:val="24"/>
                <w:highlight w:val="none"/>
                <w:lang w:val="en-US" w:eastAsia="zh-CN"/>
              </w:rPr>
              <w:t>5092</w:t>
            </w:r>
            <w:r>
              <w:rPr>
                <w:rFonts w:hint="default" w:ascii="Times New Roman" w:hAnsi="Times New Roman" w:eastAsia="宋体" w:cs="Times New Roman"/>
                <w:color w:val="auto"/>
                <w:sz w:val="24"/>
                <w:highlight w:val="none"/>
                <w:lang w:val="en-US" w:eastAsia="zh-CN"/>
              </w:rPr>
              <w:t>t/a，本次废活性炭产生量约</w:t>
            </w:r>
            <w:r>
              <w:rPr>
                <w:rFonts w:hint="eastAsia" w:cs="Times New Roman"/>
                <w:color w:val="auto"/>
                <w:sz w:val="24"/>
                <w:highlight w:val="none"/>
                <w:lang w:val="en-US" w:eastAsia="zh-CN"/>
              </w:rPr>
              <w:t>8.3742</w:t>
            </w:r>
            <w:r>
              <w:rPr>
                <w:rFonts w:hint="default" w:ascii="Times New Roman" w:hAnsi="Times New Roman" w:eastAsia="宋体" w:cs="Times New Roman"/>
                <w:color w:val="auto"/>
                <w:sz w:val="24"/>
                <w:highlight w:val="none"/>
                <w:lang w:val="en-US" w:eastAsia="zh-CN"/>
              </w:rPr>
              <w:t>t/a（含有机废气</w:t>
            </w:r>
            <w:r>
              <w:rPr>
                <w:rFonts w:hint="eastAsia" w:cs="Times New Roman"/>
                <w:color w:val="auto"/>
                <w:sz w:val="24"/>
                <w:highlight w:val="none"/>
                <w:lang w:val="en-US" w:eastAsia="zh-CN"/>
              </w:rPr>
              <w:t>0.5092</w:t>
            </w:r>
            <w:r>
              <w:rPr>
                <w:rFonts w:hint="default" w:ascii="Times New Roman" w:hAnsi="Times New Roman" w:eastAsia="宋体" w:cs="Times New Roman"/>
                <w:color w:val="auto"/>
                <w:sz w:val="24"/>
                <w:highlight w:val="none"/>
                <w:lang w:val="en-US" w:eastAsia="zh-CN"/>
              </w:rPr>
              <w:t>t/a）</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szCs w:val="22"/>
                <w:highlight w:val="none"/>
                <w:lang w:val="en-US" w:eastAsia="zh-CN"/>
              </w:rPr>
              <w:t>废活性炭属于《国家危险废物名录》（202</w:t>
            </w:r>
            <w:r>
              <w:rPr>
                <w:rFonts w:hint="default" w:ascii="Times New Roman" w:hAnsi="Times New Roman" w:cs="Times New Roman"/>
                <w:color w:val="auto"/>
                <w:sz w:val="24"/>
                <w:szCs w:val="22"/>
                <w:highlight w:val="none"/>
                <w:lang w:val="en-US" w:eastAsia="zh-CN"/>
              </w:rPr>
              <w:t>5</w:t>
            </w:r>
            <w:r>
              <w:rPr>
                <w:rFonts w:hint="default" w:ascii="Times New Roman" w:hAnsi="Times New Roman" w:eastAsia="宋体" w:cs="Times New Roman"/>
                <w:color w:val="auto"/>
                <w:sz w:val="24"/>
                <w:szCs w:val="22"/>
                <w:highlight w:val="none"/>
                <w:lang w:val="en-US" w:eastAsia="zh-CN"/>
              </w:rPr>
              <w:t>年版）中的危险废物，编号为HW49，废物代码为900-0</w:t>
            </w:r>
            <w:r>
              <w:rPr>
                <w:rFonts w:hint="eastAsia" w:ascii="Times New Roman" w:hAnsi="Times New Roman" w:eastAsia="宋体" w:cs="Times New Roman"/>
                <w:color w:val="auto"/>
                <w:sz w:val="24"/>
                <w:szCs w:val="22"/>
                <w:highlight w:val="none"/>
                <w:lang w:val="en-US" w:eastAsia="zh-CN"/>
              </w:rPr>
              <w:t>39</w:t>
            </w:r>
            <w:r>
              <w:rPr>
                <w:rFonts w:hint="default" w:ascii="Times New Roman" w:hAnsi="Times New Roman" w:eastAsia="宋体" w:cs="Times New Roman"/>
                <w:color w:val="auto"/>
                <w:sz w:val="24"/>
                <w:szCs w:val="22"/>
                <w:highlight w:val="none"/>
                <w:lang w:val="en-US" w:eastAsia="zh-CN"/>
              </w:rPr>
              <w:t>-49，危险特性为：毒性</w:t>
            </w:r>
            <w:r>
              <w:rPr>
                <w:rFonts w:hint="eastAsia" w:ascii="Times New Roman" w:hAnsi="Times New Roman" w:eastAsia="宋体" w:cs="Times New Roman"/>
                <w:color w:val="auto"/>
                <w:sz w:val="24"/>
                <w:szCs w:val="22"/>
                <w:highlight w:val="none"/>
                <w:lang w:val="en-US" w:eastAsia="zh-CN"/>
              </w:rPr>
              <w:t>（T）</w:t>
            </w:r>
            <w:r>
              <w:rPr>
                <w:rFonts w:hint="eastAsia" w:ascii="Times New Roman" w:hAnsi="Times New Roman" w:cs="Times New Roman"/>
                <w:bCs/>
                <w:highlight w:val="none"/>
                <w:lang w:val="en-US" w:eastAsia="zh-CN" w:bidi="ar-SA"/>
              </w:rPr>
              <w:t>，</w:t>
            </w:r>
            <w:r>
              <w:rPr>
                <w:rFonts w:hint="default" w:ascii="Times New Roman" w:hAnsi="Times New Roman" w:cs="Times New Roman"/>
                <w:bCs/>
                <w:highlight w:val="none"/>
                <w:lang w:val="en-US" w:eastAsia="zh-CN" w:bidi="ar-SA"/>
              </w:rPr>
              <w:t>评价要求工程采用密闭容器收集，</w:t>
            </w:r>
            <w:r>
              <w:rPr>
                <w:rFonts w:hint="default" w:ascii="Times New Roman" w:hAnsi="Times New Roman" w:cs="Times New Roman"/>
                <w:bCs/>
                <w:kern w:val="0"/>
                <w:highlight w:val="none"/>
                <w:lang w:val="en-US" w:eastAsia="zh-CN" w:bidi="ar-SA"/>
              </w:rPr>
              <w:t>在危废间暂存</w:t>
            </w:r>
            <w:r>
              <w:rPr>
                <w:rFonts w:hint="default" w:ascii="Times New Roman" w:hAnsi="Times New Roman" w:cs="Times New Roman"/>
                <w:highlight w:val="none"/>
                <w:lang w:val="en-US" w:eastAsia="zh-CN" w:bidi="ar-SA"/>
              </w:rPr>
              <w:t>（</w:t>
            </w:r>
            <w:r>
              <w:rPr>
                <w:rFonts w:hint="eastAsia" w:cs="Times New Roman"/>
                <w:highlight w:val="none"/>
                <w:lang w:val="en-US" w:eastAsia="zh-CN" w:bidi="ar-SA"/>
              </w:rPr>
              <w:t>5</w:t>
            </w:r>
            <w:r>
              <w:rPr>
                <w:rFonts w:hint="default" w:ascii="Times New Roman" w:hAnsi="Times New Roman" w:cs="Times New Roman"/>
                <w:highlight w:val="none"/>
                <w:lang w:val="en-US" w:eastAsia="zh-CN" w:bidi="ar-SA"/>
              </w:rPr>
              <w:t>m</w:t>
            </w:r>
            <w:r>
              <w:rPr>
                <w:rFonts w:hint="default" w:ascii="Times New Roman" w:hAnsi="Times New Roman" w:cs="Times New Roman"/>
                <w:highlight w:val="none"/>
                <w:vertAlign w:val="superscript"/>
                <w:lang w:val="en-US" w:eastAsia="zh-CN" w:bidi="ar-SA"/>
              </w:rPr>
              <w:t>2</w:t>
            </w:r>
            <w:r>
              <w:rPr>
                <w:rFonts w:hint="default" w:ascii="Times New Roman" w:hAnsi="Times New Roman" w:cs="Times New Roman"/>
                <w:highlight w:val="none"/>
                <w:lang w:val="en-US" w:eastAsia="zh-CN" w:bidi="ar-SA"/>
              </w:rPr>
              <w:t>）</w:t>
            </w:r>
            <w:r>
              <w:rPr>
                <w:rFonts w:hint="default" w:ascii="Times New Roman" w:hAnsi="Times New Roman" w:cs="Times New Roman"/>
                <w:bCs/>
                <w:kern w:val="0"/>
                <w:highlight w:val="none"/>
                <w:lang w:val="en-US" w:eastAsia="zh-CN" w:bidi="ar-SA"/>
              </w:rPr>
              <w:t>，定期委托有危废处理资质单位进行安全处置</w:t>
            </w:r>
            <w:r>
              <w:rPr>
                <w:rFonts w:hint="default" w:ascii="Times New Roman" w:hAnsi="Times New Roman" w:eastAsia="宋体" w:cs="Times New Roman"/>
                <w:color w:val="auto"/>
                <w:sz w:val="24"/>
                <w:szCs w:val="22"/>
                <w:highlight w:val="none"/>
                <w:lang w:val="en-US" w:eastAsia="zh-CN"/>
              </w:rPr>
              <w:t>。</w:t>
            </w:r>
          </w:p>
          <w:p w14:paraId="61F56CF1">
            <w:pPr>
              <w:pStyle w:val="26"/>
              <w:keepNext w:val="0"/>
              <w:keepLines w:val="0"/>
              <w:pageBreakBefore w:val="0"/>
              <w:kinsoku/>
              <w:wordWrap/>
              <w:overflowPunct/>
              <w:topLinePunct w:val="0"/>
              <w:autoSpaceDE/>
              <w:autoSpaceDN/>
              <w:bidi w:val="0"/>
              <w:spacing w:line="520" w:lineRule="exact"/>
              <w:ind w:firstLine="480"/>
              <w:textAlignment w:val="auto"/>
              <w:rPr>
                <w:rFonts w:hint="default" w:ascii="Times New Roman" w:hAnsi="Times New Roman" w:cs="Times New Roman"/>
                <w:bCs/>
                <w:kern w:val="0"/>
              </w:rPr>
            </w:pPr>
            <w:r>
              <w:rPr>
                <w:rFonts w:hint="eastAsia" w:cs="Times New Roman"/>
                <w:bCs/>
                <w:kern w:val="0"/>
                <w:lang w:eastAsia="zh-CN"/>
              </w:rPr>
              <w:t>②</w:t>
            </w:r>
            <w:r>
              <w:rPr>
                <w:rFonts w:hint="default" w:ascii="Times New Roman" w:hAnsi="Times New Roman" w:cs="Times New Roman"/>
                <w:bCs/>
                <w:kern w:val="0"/>
              </w:rPr>
              <w:t>废润滑油</w:t>
            </w:r>
          </w:p>
          <w:p w14:paraId="59E65E74">
            <w:pPr>
              <w:keepNext w:val="0"/>
              <w:keepLines w:val="0"/>
              <w:pageBreakBefore w:val="0"/>
              <w:widowControl w:val="0"/>
              <w:kinsoku/>
              <w:wordWrap/>
              <w:overflowPunct/>
              <w:topLinePunct w:val="0"/>
              <w:autoSpaceDE/>
              <w:autoSpaceDN/>
              <w:bidi w:val="0"/>
              <w:spacing w:line="520" w:lineRule="exact"/>
              <w:textAlignment w:val="auto"/>
              <w:rPr>
                <w:rFonts w:hint="default" w:ascii="Times New Roman" w:hAnsi="Times New Roman" w:cs="Times New Roman"/>
                <w:highlight w:val="none"/>
                <w:lang w:val="en-US" w:eastAsia="zh-CN" w:bidi="ar-SA"/>
              </w:rPr>
            </w:pPr>
            <w:r>
              <w:rPr>
                <w:rFonts w:hint="default" w:ascii="Times New Roman" w:hAnsi="Times New Roman" w:cs="Times New Roman"/>
                <w:highlight w:val="none"/>
                <w:lang w:val="en-US" w:eastAsia="zh-CN" w:bidi="ar-SA"/>
              </w:rPr>
              <w:t>生产过程中设备维护需要使用润滑油，润滑油经重复使用后，杂质含量增加</w:t>
            </w:r>
            <w:r>
              <w:rPr>
                <w:rFonts w:hint="default" w:ascii="Times New Roman" w:hAnsi="Times New Roman" w:cs="Times New Roman"/>
                <w:bCs/>
                <w:kern w:val="0"/>
                <w:highlight w:val="none"/>
                <w:lang w:val="en-US" w:eastAsia="zh-CN" w:bidi="ar-SA"/>
              </w:rPr>
              <w:t>润滑性能下降</w:t>
            </w:r>
            <w:r>
              <w:rPr>
                <w:rFonts w:hint="default" w:ascii="Times New Roman" w:hAnsi="Times New Roman" w:cs="Times New Roman"/>
                <w:highlight w:val="none"/>
                <w:lang w:val="en-US" w:eastAsia="zh-CN" w:bidi="ar-SA"/>
              </w:rPr>
              <w:t>，</w:t>
            </w:r>
            <w:r>
              <w:rPr>
                <w:rFonts w:hint="default" w:ascii="Times New Roman" w:hAnsi="Times New Roman" w:cs="Times New Roman"/>
                <w:bCs/>
                <w:kern w:val="0"/>
                <w:highlight w:val="none"/>
                <w:lang w:val="en-US" w:eastAsia="zh-CN" w:bidi="ar-SA"/>
              </w:rPr>
              <w:t>需每年定期更换一次</w:t>
            </w:r>
            <w:r>
              <w:rPr>
                <w:rFonts w:hint="default" w:ascii="Times New Roman" w:hAnsi="Times New Roman" w:cs="Times New Roman"/>
                <w:highlight w:val="none"/>
                <w:lang w:val="en-US" w:eastAsia="zh-CN" w:bidi="ar-SA"/>
              </w:rPr>
              <w:t>。</w:t>
            </w:r>
            <w:r>
              <w:rPr>
                <w:rFonts w:hint="default" w:ascii="Times New Roman" w:hAnsi="Times New Roman" w:cs="Times New Roman"/>
                <w:b w:val="0"/>
                <w:bCs w:val="0"/>
                <w:color w:val="000000"/>
                <w:sz w:val="24"/>
                <w:highlight w:val="none"/>
                <w:u w:val="none"/>
                <w:lang w:val="en-US" w:eastAsia="zh-CN" w:bidi="ar-SA"/>
              </w:rPr>
              <w:t>项目润滑油使用量为</w:t>
            </w:r>
            <w:r>
              <w:rPr>
                <w:rFonts w:hint="eastAsia" w:ascii="Times New Roman" w:hAnsi="Times New Roman" w:cs="Times New Roman"/>
                <w:b w:val="0"/>
                <w:bCs w:val="0"/>
                <w:color w:val="000000"/>
                <w:sz w:val="24"/>
                <w:highlight w:val="none"/>
                <w:u w:val="none"/>
                <w:lang w:val="en-US" w:eastAsia="zh-CN" w:bidi="ar-SA"/>
              </w:rPr>
              <w:t>0.5</w:t>
            </w:r>
            <w:r>
              <w:rPr>
                <w:rFonts w:hint="default" w:ascii="Times New Roman" w:hAnsi="Times New Roman" w:cs="Times New Roman"/>
                <w:b w:val="0"/>
                <w:bCs w:val="0"/>
                <w:color w:val="000000"/>
                <w:sz w:val="24"/>
                <w:highlight w:val="none"/>
                <w:u w:val="none"/>
                <w:lang w:val="en-US" w:eastAsia="zh-CN" w:bidi="ar-SA"/>
              </w:rPr>
              <w:t>t/a，其中使用过程中会有一定的损耗，损耗量约为</w:t>
            </w:r>
            <w:r>
              <w:rPr>
                <w:rFonts w:hint="eastAsia" w:cs="Times New Roman"/>
                <w:b w:val="0"/>
                <w:bCs w:val="0"/>
                <w:color w:val="000000"/>
                <w:sz w:val="24"/>
                <w:highlight w:val="none"/>
                <w:u w:val="none"/>
                <w:lang w:val="en-US" w:eastAsia="zh-CN" w:bidi="ar-SA"/>
              </w:rPr>
              <w:t>3</w:t>
            </w:r>
            <w:r>
              <w:rPr>
                <w:rFonts w:hint="default" w:ascii="Times New Roman" w:hAnsi="Times New Roman" w:cs="Times New Roman"/>
                <w:b w:val="0"/>
                <w:bCs w:val="0"/>
                <w:color w:val="000000"/>
                <w:sz w:val="24"/>
                <w:highlight w:val="none"/>
                <w:u w:val="none"/>
                <w:lang w:val="en-US" w:eastAsia="zh-CN" w:bidi="ar-SA"/>
              </w:rPr>
              <w:t>0%，则</w:t>
            </w:r>
            <w:r>
              <w:rPr>
                <w:rFonts w:hint="default" w:ascii="Times New Roman" w:hAnsi="Times New Roman" w:cs="Times New Roman"/>
                <w:bCs/>
                <w:kern w:val="0"/>
                <w:highlight w:val="none"/>
                <w:lang w:val="en-US" w:eastAsia="zh-CN" w:bidi="ar-SA"/>
              </w:rPr>
              <w:t>废润滑油的产生量为0.</w:t>
            </w:r>
            <w:r>
              <w:rPr>
                <w:rFonts w:hint="eastAsia" w:cs="Times New Roman"/>
                <w:bCs/>
                <w:kern w:val="0"/>
                <w:highlight w:val="none"/>
                <w:lang w:val="en-US" w:eastAsia="zh-CN" w:bidi="ar-SA"/>
              </w:rPr>
              <w:t>35</w:t>
            </w:r>
            <w:r>
              <w:rPr>
                <w:rFonts w:hint="default" w:ascii="Times New Roman" w:hAnsi="Times New Roman" w:cs="Times New Roman"/>
                <w:bCs/>
                <w:kern w:val="0"/>
                <w:highlight w:val="none"/>
                <w:lang w:val="en-US" w:eastAsia="zh-CN" w:bidi="ar-SA"/>
              </w:rPr>
              <w:t>t/a。</w:t>
            </w:r>
            <w:r>
              <w:rPr>
                <w:rFonts w:hint="default" w:ascii="Times New Roman" w:hAnsi="Times New Roman" w:cs="Times New Roman"/>
                <w:bCs/>
                <w:highlight w:val="none"/>
                <w:lang w:val="en-US" w:eastAsia="zh-CN" w:bidi="ar-SA"/>
              </w:rPr>
              <w:t>根据《国家危险废物名录》（2025年版），废润滑油属于危险废物，危废编号为HW08（废矿物油与含矿物油废物），危废代码为900-217-08（使用工业齿轮油进行机械设备润滑过程中产生的废润滑油），危险特性为毒性</w:t>
            </w:r>
            <w:r>
              <w:rPr>
                <w:rFonts w:hint="eastAsia" w:cs="Times New Roman"/>
                <w:bCs/>
                <w:highlight w:val="none"/>
                <w:lang w:val="en-US" w:eastAsia="zh-CN" w:bidi="ar-SA"/>
              </w:rPr>
              <w:t>（T）</w:t>
            </w:r>
            <w:r>
              <w:rPr>
                <w:rFonts w:hint="default" w:ascii="Times New Roman" w:hAnsi="Times New Roman" w:cs="Times New Roman"/>
                <w:bCs/>
                <w:highlight w:val="none"/>
                <w:lang w:val="en-US" w:eastAsia="zh-CN" w:bidi="ar-SA"/>
              </w:rPr>
              <w:t>、易燃性</w:t>
            </w:r>
            <w:r>
              <w:rPr>
                <w:rFonts w:hint="eastAsia" w:cs="Times New Roman"/>
                <w:bCs/>
                <w:highlight w:val="none"/>
                <w:lang w:val="en-US" w:eastAsia="zh-CN" w:bidi="ar-SA"/>
              </w:rPr>
              <w:t>（I）</w:t>
            </w:r>
            <w:r>
              <w:rPr>
                <w:rFonts w:hint="default" w:ascii="Times New Roman" w:hAnsi="Times New Roman" w:cs="Times New Roman"/>
                <w:bCs/>
                <w:highlight w:val="none"/>
                <w:lang w:val="en-US" w:eastAsia="zh-CN" w:bidi="ar-SA"/>
              </w:rPr>
              <w:t>，评价要求工程采用密闭容器收集，</w:t>
            </w:r>
            <w:r>
              <w:rPr>
                <w:rFonts w:hint="default" w:ascii="Times New Roman" w:hAnsi="Times New Roman" w:cs="Times New Roman"/>
                <w:bCs/>
                <w:kern w:val="0"/>
                <w:highlight w:val="none"/>
                <w:lang w:val="en-US" w:eastAsia="zh-CN" w:bidi="ar-SA"/>
              </w:rPr>
              <w:t>在危废间暂存</w:t>
            </w:r>
            <w:r>
              <w:rPr>
                <w:rFonts w:hint="default" w:ascii="Times New Roman" w:hAnsi="Times New Roman" w:cs="Times New Roman"/>
                <w:highlight w:val="none"/>
                <w:lang w:val="en-US" w:eastAsia="zh-CN" w:bidi="ar-SA"/>
              </w:rPr>
              <w:t>（</w:t>
            </w:r>
            <w:r>
              <w:rPr>
                <w:rFonts w:hint="eastAsia" w:cs="Times New Roman"/>
                <w:highlight w:val="none"/>
                <w:lang w:val="en-US" w:eastAsia="zh-CN" w:bidi="ar-SA"/>
              </w:rPr>
              <w:t>5</w:t>
            </w:r>
            <w:r>
              <w:rPr>
                <w:rFonts w:hint="default" w:ascii="Times New Roman" w:hAnsi="Times New Roman" w:cs="Times New Roman"/>
                <w:highlight w:val="none"/>
                <w:lang w:val="en-US" w:eastAsia="zh-CN" w:bidi="ar-SA"/>
              </w:rPr>
              <w:t>m</w:t>
            </w:r>
            <w:r>
              <w:rPr>
                <w:rFonts w:hint="default" w:ascii="Times New Roman" w:hAnsi="Times New Roman" w:cs="Times New Roman"/>
                <w:highlight w:val="none"/>
                <w:vertAlign w:val="superscript"/>
                <w:lang w:val="en-US" w:eastAsia="zh-CN" w:bidi="ar-SA"/>
              </w:rPr>
              <w:t>2</w:t>
            </w:r>
            <w:r>
              <w:rPr>
                <w:rFonts w:hint="default" w:ascii="Times New Roman" w:hAnsi="Times New Roman" w:cs="Times New Roman"/>
                <w:highlight w:val="none"/>
                <w:lang w:val="en-US" w:eastAsia="zh-CN" w:bidi="ar-SA"/>
              </w:rPr>
              <w:t>）</w:t>
            </w:r>
            <w:r>
              <w:rPr>
                <w:rFonts w:hint="default" w:ascii="Times New Roman" w:hAnsi="Times New Roman" w:cs="Times New Roman"/>
                <w:bCs/>
                <w:kern w:val="0"/>
                <w:highlight w:val="none"/>
                <w:lang w:val="en-US" w:eastAsia="zh-CN" w:bidi="ar-SA"/>
              </w:rPr>
              <w:t>，定期委托有危废处理资质单位进行安全处置。</w:t>
            </w:r>
          </w:p>
          <w:p w14:paraId="772A82F9">
            <w:pPr>
              <w:pStyle w:val="26"/>
              <w:keepNext w:val="0"/>
              <w:keepLines w:val="0"/>
              <w:pageBreakBefore w:val="0"/>
              <w:kinsoku/>
              <w:wordWrap/>
              <w:overflowPunct/>
              <w:topLinePunct w:val="0"/>
              <w:autoSpaceDE/>
              <w:autoSpaceDN/>
              <w:bidi w:val="0"/>
              <w:spacing w:line="520" w:lineRule="exact"/>
              <w:ind w:firstLine="480"/>
              <w:textAlignment w:val="auto"/>
              <w:rPr>
                <w:rFonts w:hint="default" w:ascii="Times New Roman" w:hAnsi="Times New Roman" w:cs="Times New Roman"/>
                <w:bCs/>
                <w:kern w:val="0"/>
              </w:rPr>
            </w:pPr>
            <w:r>
              <w:rPr>
                <w:rFonts w:hint="eastAsia" w:cs="Times New Roman"/>
                <w:bCs/>
                <w:kern w:val="0"/>
                <w:lang w:eastAsia="zh-CN"/>
              </w:rPr>
              <w:t>③</w:t>
            </w:r>
            <w:r>
              <w:rPr>
                <w:rFonts w:hint="default" w:ascii="Times New Roman" w:hAnsi="Times New Roman" w:cs="Times New Roman"/>
                <w:bCs/>
                <w:kern w:val="0"/>
              </w:rPr>
              <w:t>废油桶</w:t>
            </w:r>
          </w:p>
          <w:p w14:paraId="07EE089A">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bCs/>
                <w:kern w:val="0"/>
                <w:highlight w:val="none"/>
                <w:lang w:val="en-US" w:eastAsia="zh-CN" w:bidi="ar-SA"/>
              </w:rPr>
            </w:pPr>
            <w:r>
              <w:rPr>
                <w:rFonts w:hint="default" w:ascii="Times New Roman" w:hAnsi="Times New Roman" w:cs="Times New Roman"/>
                <w:highlight w:val="none"/>
                <w:lang w:val="en-US" w:eastAsia="zh-CN" w:bidi="ar-SA"/>
              </w:rPr>
              <w:t>本项目设备更换润滑油过程中会产生沾染润滑油的废包装桶。项目废包装桶产生量约为</w:t>
            </w:r>
            <w:r>
              <w:rPr>
                <w:rFonts w:hint="eastAsia" w:cs="Times New Roman"/>
                <w:highlight w:val="none"/>
                <w:lang w:val="en-US" w:eastAsia="zh-CN" w:bidi="ar-SA"/>
              </w:rPr>
              <w:t>25</w:t>
            </w:r>
            <w:r>
              <w:rPr>
                <w:rFonts w:hint="default" w:ascii="Times New Roman" w:hAnsi="Times New Roman" w:cs="Times New Roman"/>
                <w:highlight w:val="none"/>
                <w:lang w:val="en-US" w:eastAsia="zh-CN" w:bidi="ar-SA"/>
              </w:rPr>
              <w:t>个/a，</w:t>
            </w:r>
            <w:r>
              <w:rPr>
                <w:rFonts w:hint="default" w:ascii="Times New Roman" w:hAnsi="Times New Roman" w:cs="Times New Roman"/>
                <w:bCs/>
                <w:kern w:val="0"/>
                <w:highlight w:val="none"/>
                <w:lang w:val="en-US" w:eastAsia="zh-CN" w:bidi="ar-SA"/>
              </w:rPr>
              <w:t>单个废油桶的重量约为0.3kg</w:t>
            </w:r>
            <w:r>
              <w:rPr>
                <w:rFonts w:hint="default" w:ascii="Times New Roman" w:hAnsi="Times New Roman" w:cs="Times New Roman"/>
                <w:highlight w:val="none"/>
                <w:lang w:val="en-US" w:eastAsia="zh-CN" w:bidi="ar-SA"/>
              </w:rPr>
              <w:t>，总产生量约为0.0</w:t>
            </w:r>
            <w:r>
              <w:rPr>
                <w:rFonts w:hint="eastAsia" w:cs="Times New Roman"/>
                <w:highlight w:val="none"/>
                <w:lang w:val="en-US" w:eastAsia="zh-CN" w:bidi="ar-SA"/>
              </w:rPr>
              <w:t>075</w:t>
            </w:r>
            <w:r>
              <w:rPr>
                <w:rFonts w:hint="default" w:ascii="Times New Roman" w:hAnsi="Times New Roman" w:cs="Times New Roman"/>
                <w:highlight w:val="none"/>
                <w:lang w:val="en-US" w:eastAsia="zh-CN" w:bidi="ar-SA"/>
              </w:rPr>
              <w:t>t/a。</w:t>
            </w:r>
            <w:r>
              <w:rPr>
                <w:rFonts w:hint="default" w:ascii="Times New Roman" w:hAnsi="Times New Roman" w:cs="Times New Roman"/>
                <w:bCs/>
                <w:kern w:val="0"/>
                <w:highlight w:val="none"/>
                <w:lang w:val="en-US" w:eastAsia="zh-CN" w:bidi="ar-SA"/>
              </w:rPr>
              <w:t>根据《国家危险废物名录》</w:t>
            </w:r>
            <w:r>
              <w:rPr>
                <w:rFonts w:hint="default" w:ascii="Times New Roman" w:hAnsi="Times New Roman" w:cs="Times New Roman"/>
                <w:bCs/>
                <w:highlight w:val="none"/>
                <w:lang w:val="en-US" w:eastAsia="zh-CN" w:bidi="ar-SA"/>
              </w:rPr>
              <w:t>（2025年版）</w:t>
            </w:r>
            <w:r>
              <w:rPr>
                <w:rFonts w:hint="default" w:ascii="Times New Roman" w:hAnsi="Times New Roman" w:cs="Times New Roman"/>
                <w:bCs/>
                <w:kern w:val="0"/>
                <w:highlight w:val="none"/>
                <w:lang w:val="en-US" w:eastAsia="zh-CN" w:bidi="ar-SA"/>
              </w:rPr>
              <w:t>，危废编号为HW08</w:t>
            </w:r>
            <w:r>
              <w:rPr>
                <w:rFonts w:hint="eastAsia" w:cs="Times New Roman"/>
                <w:bCs/>
                <w:kern w:val="0"/>
                <w:highlight w:val="none"/>
                <w:lang w:val="en-US" w:eastAsia="zh-CN" w:bidi="ar-SA"/>
              </w:rPr>
              <w:t>（</w:t>
            </w:r>
            <w:r>
              <w:rPr>
                <w:rFonts w:hint="default" w:ascii="Times New Roman" w:hAnsi="Times New Roman" w:cs="Times New Roman"/>
                <w:bCs/>
                <w:kern w:val="0"/>
                <w:highlight w:val="none"/>
                <w:lang w:val="en-US" w:eastAsia="zh-CN" w:bidi="ar-SA"/>
              </w:rPr>
              <w:t>废矿物油与含矿物油废物</w:t>
            </w:r>
            <w:r>
              <w:rPr>
                <w:rFonts w:hint="eastAsia" w:cs="Times New Roman"/>
                <w:bCs/>
                <w:kern w:val="0"/>
                <w:highlight w:val="none"/>
                <w:lang w:val="en-US" w:eastAsia="zh-CN" w:bidi="ar-SA"/>
              </w:rPr>
              <w:t>）</w:t>
            </w:r>
            <w:r>
              <w:rPr>
                <w:rFonts w:hint="default" w:ascii="Times New Roman" w:hAnsi="Times New Roman" w:cs="Times New Roman"/>
                <w:bCs/>
                <w:kern w:val="0"/>
                <w:highlight w:val="none"/>
                <w:lang w:val="en-US" w:eastAsia="zh-CN" w:bidi="ar-SA"/>
              </w:rPr>
              <w:t>，危废代码为900-249-08</w:t>
            </w:r>
            <w:r>
              <w:rPr>
                <w:rFonts w:hint="eastAsia" w:cs="Times New Roman"/>
                <w:bCs/>
                <w:kern w:val="0"/>
                <w:highlight w:val="none"/>
                <w:lang w:val="en-US" w:eastAsia="zh-CN" w:bidi="ar-SA"/>
              </w:rPr>
              <w:t>（</w:t>
            </w:r>
            <w:r>
              <w:rPr>
                <w:rFonts w:hint="default" w:ascii="Times New Roman" w:hAnsi="Times New Roman" w:cs="Times New Roman"/>
                <w:bCs/>
                <w:kern w:val="0"/>
                <w:highlight w:val="none"/>
                <w:lang w:val="en-US" w:eastAsia="zh-CN" w:bidi="ar-SA"/>
              </w:rPr>
              <w:t>其他生产、销售、使用过程中产生的废矿物油及沾染矿物油的废弃包装物</w:t>
            </w:r>
            <w:r>
              <w:rPr>
                <w:rFonts w:hint="eastAsia" w:cs="Times New Roman"/>
                <w:bCs/>
                <w:kern w:val="0"/>
                <w:highlight w:val="none"/>
                <w:lang w:val="en-US" w:eastAsia="zh-CN" w:bidi="ar-SA"/>
              </w:rPr>
              <w:t>）</w:t>
            </w:r>
            <w:r>
              <w:rPr>
                <w:rFonts w:hint="default" w:ascii="Times New Roman" w:hAnsi="Times New Roman" w:cs="Times New Roman"/>
                <w:bCs/>
                <w:kern w:val="0"/>
                <w:highlight w:val="none"/>
                <w:lang w:val="en-US" w:eastAsia="zh-CN" w:bidi="ar-SA"/>
              </w:rPr>
              <w:t>危险特性为毒性</w:t>
            </w:r>
            <w:r>
              <w:rPr>
                <w:rFonts w:hint="eastAsia" w:cs="Times New Roman"/>
                <w:bCs/>
                <w:highlight w:val="none"/>
                <w:lang w:val="en-US" w:eastAsia="zh-CN" w:bidi="ar-SA"/>
              </w:rPr>
              <w:t>（T）</w:t>
            </w:r>
            <w:r>
              <w:rPr>
                <w:rFonts w:hint="default" w:ascii="Times New Roman" w:hAnsi="Times New Roman" w:cs="Times New Roman"/>
                <w:bCs/>
                <w:highlight w:val="none"/>
                <w:lang w:val="en-US" w:eastAsia="zh-CN" w:bidi="ar-SA"/>
              </w:rPr>
              <w:t>、易燃性</w:t>
            </w:r>
            <w:r>
              <w:rPr>
                <w:rFonts w:hint="eastAsia" w:cs="Times New Roman"/>
                <w:bCs/>
                <w:highlight w:val="none"/>
                <w:lang w:val="en-US" w:eastAsia="zh-CN" w:bidi="ar-SA"/>
              </w:rPr>
              <w:t>（I）</w:t>
            </w:r>
            <w:r>
              <w:rPr>
                <w:rFonts w:hint="default" w:ascii="Times New Roman" w:hAnsi="Times New Roman" w:cs="Times New Roman"/>
                <w:bCs/>
                <w:kern w:val="0"/>
                <w:highlight w:val="none"/>
                <w:lang w:val="en-US" w:eastAsia="zh-CN" w:bidi="ar-SA"/>
              </w:rPr>
              <w:t>。评价要求将其密闭带盖后在危废间暂存后交有资质的单位处置。</w:t>
            </w:r>
          </w:p>
          <w:p w14:paraId="0E1CEF77">
            <w:pPr>
              <w:pStyle w:val="26"/>
              <w:keepNext w:val="0"/>
              <w:keepLines w:val="0"/>
              <w:pageBreakBefore w:val="0"/>
              <w:kinsoku/>
              <w:wordWrap/>
              <w:overflowPunct/>
              <w:topLinePunct w:val="0"/>
              <w:autoSpaceDE/>
              <w:autoSpaceDN/>
              <w:bidi w:val="0"/>
              <w:spacing w:line="520" w:lineRule="exact"/>
              <w:ind w:firstLine="480"/>
              <w:textAlignment w:val="auto"/>
              <w:rPr>
                <w:rFonts w:hint="default" w:ascii="Times New Roman" w:hAnsi="Times New Roman" w:cs="Times New Roman"/>
                <w:bCs/>
              </w:rPr>
            </w:pPr>
            <w:r>
              <w:rPr>
                <w:rFonts w:hint="default" w:ascii="Times New Roman" w:hAnsi="Times New Roman" w:cs="Times New Roman"/>
                <w:bCs/>
              </w:rPr>
              <w:t>本项目危险废物产生及处置措施见下表：</w:t>
            </w:r>
          </w:p>
          <w:p w14:paraId="1E2ECDB2">
            <w:pPr>
              <w:pStyle w:val="28"/>
              <w:rPr>
                <w:rFonts w:hint="default" w:ascii="Times New Roman" w:hAnsi="Times New Roman" w:cs="Times New Roman"/>
              </w:rPr>
            </w:pPr>
            <w:r>
              <w:rPr>
                <w:rFonts w:hint="default" w:ascii="Times New Roman" w:hAnsi="Times New Roman" w:cs="Times New Roman"/>
              </w:rPr>
              <w:t>表4-</w:t>
            </w:r>
            <w:r>
              <w:rPr>
                <w:rFonts w:hint="default" w:ascii="Times New Roman" w:hAnsi="Times New Roman" w:cs="Times New Roman"/>
                <w:lang w:val="en-US" w:eastAsia="zh-CN"/>
              </w:rPr>
              <w:t>2</w:t>
            </w:r>
            <w:r>
              <w:rPr>
                <w:rFonts w:hint="eastAsia" w:cs="Times New Roman"/>
                <w:lang w:val="en-US" w:eastAsia="zh-CN"/>
              </w:rPr>
              <w:t>0</w:t>
            </w:r>
            <w:r>
              <w:rPr>
                <w:rFonts w:hint="default" w:ascii="Times New Roman" w:hAnsi="Times New Roman" w:cs="Times New Roman"/>
              </w:rPr>
              <w:t xml:space="preserve">  危险废物产生及处理情况一览表</w:t>
            </w:r>
          </w:p>
          <w:tbl>
            <w:tblPr>
              <w:tblStyle w:val="15"/>
              <w:tblW w:w="49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972"/>
              <w:gridCol w:w="746"/>
              <w:gridCol w:w="1171"/>
              <w:gridCol w:w="790"/>
              <w:gridCol w:w="513"/>
              <w:gridCol w:w="638"/>
              <w:gridCol w:w="679"/>
              <w:gridCol w:w="584"/>
              <w:gridCol w:w="679"/>
              <w:gridCol w:w="957"/>
            </w:tblGrid>
            <w:tr w14:paraId="5B2C4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280" w:type="pct"/>
                  <w:noWrap w:val="0"/>
                  <w:tcMar>
                    <w:left w:w="57" w:type="dxa"/>
                    <w:right w:w="57" w:type="dxa"/>
                  </w:tcMar>
                  <w:vAlign w:val="center"/>
                </w:tcPr>
                <w:p w14:paraId="2B910369">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序号</w:t>
                  </w:r>
                </w:p>
              </w:tc>
              <w:tc>
                <w:tcPr>
                  <w:tcW w:w="593" w:type="pct"/>
                  <w:noWrap w:val="0"/>
                  <w:tcMar>
                    <w:left w:w="57" w:type="dxa"/>
                    <w:right w:w="57" w:type="dxa"/>
                  </w:tcMar>
                  <w:vAlign w:val="center"/>
                </w:tcPr>
                <w:p w14:paraId="6EDAAD54">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危险废</w:t>
                  </w:r>
                </w:p>
                <w:p w14:paraId="00C8B7B6">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物名称</w:t>
                  </w:r>
                </w:p>
              </w:tc>
              <w:tc>
                <w:tcPr>
                  <w:tcW w:w="455" w:type="pct"/>
                  <w:noWrap w:val="0"/>
                  <w:tcMar>
                    <w:left w:w="57" w:type="dxa"/>
                    <w:right w:w="57" w:type="dxa"/>
                  </w:tcMar>
                  <w:vAlign w:val="center"/>
                </w:tcPr>
                <w:p w14:paraId="7921F965">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危险废物类别</w:t>
                  </w:r>
                </w:p>
              </w:tc>
              <w:tc>
                <w:tcPr>
                  <w:tcW w:w="714" w:type="pct"/>
                  <w:noWrap w:val="0"/>
                  <w:tcMar>
                    <w:left w:w="57" w:type="dxa"/>
                    <w:right w:w="57" w:type="dxa"/>
                  </w:tcMar>
                  <w:vAlign w:val="center"/>
                </w:tcPr>
                <w:p w14:paraId="0C55F2B1">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危险废物代码</w:t>
                  </w:r>
                </w:p>
              </w:tc>
              <w:tc>
                <w:tcPr>
                  <w:tcW w:w="482" w:type="pct"/>
                  <w:noWrap w:val="0"/>
                  <w:tcMar>
                    <w:left w:w="57" w:type="dxa"/>
                    <w:right w:w="57" w:type="dxa"/>
                  </w:tcMar>
                  <w:vAlign w:val="center"/>
                </w:tcPr>
                <w:p w14:paraId="5364B8A7">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产生量(t/a)</w:t>
                  </w:r>
                </w:p>
              </w:tc>
              <w:tc>
                <w:tcPr>
                  <w:tcW w:w="313" w:type="pct"/>
                  <w:noWrap w:val="0"/>
                  <w:tcMar>
                    <w:left w:w="57" w:type="dxa"/>
                    <w:right w:w="57" w:type="dxa"/>
                  </w:tcMar>
                  <w:vAlign w:val="center"/>
                </w:tcPr>
                <w:p w14:paraId="7E060E3D">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形态</w:t>
                  </w:r>
                </w:p>
              </w:tc>
              <w:tc>
                <w:tcPr>
                  <w:tcW w:w="389" w:type="pct"/>
                  <w:noWrap w:val="0"/>
                  <w:tcMar>
                    <w:left w:w="57" w:type="dxa"/>
                    <w:right w:w="57" w:type="dxa"/>
                  </w:tcMar>
                  <w:vAlign w:val="center"/>
                </w:tcPr>
                <w:p w14:paraId="6790BCA2">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主要成分</w:t>
                  </w:r>
                </w:p>
              </w:tc>
              <w:tc>
                <w:tcPr>
                  <w:tcW w:w="414" w:type="pct"/>
                  <w:noWrap w:val="0"/>
                  <w:tcMar>
                    <w:left w:w="57" w:type="dxa"/>
                    <w:right w:w="57" w:type="dxa"/>
                  </w:tcMar>
                  <w:vAlign w:val="center"/>
                </w:tcPr>
                <w:p w14:paraId="7A6AC6D0">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有害成分</w:t>
                  </w:r>
                </w:p>
              </w:tc>
              <w:tc>
                <w:tcPr>
                  <w:tcW w:w="356" w:type="pct"/>
                  <w:noWrap w:val="0"/>
                  <w:tcMar>
                    <w:left w:w="57" w:type="dxa"/>
                    <w:right w:w="57" w:type="dxa"/>
                  </w:tcMar>
                  <w:vAlign w:val="center"/>
                </w:tcPr>
                <w:p w14:paraId="17A04E5C">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产废周期</w:t>
                  </w:r>
                </w:p>
              </w:tc>
              <w:tc>
                <w:tcPr>
                  <w:tcW w:w="414" w:type="pct"/>
                  <w:noWrap w:val="0"/>
                  <w:tcMar>
                    <w:left w:w="57" w:type="dxa"/>
                    <w:right w:w="57" w:type="dxa"/>
                  </w:tcMar>
                  <w:vAlign w:val="center"/>
                </w:tcPr>
                <w:p w14:paraId="78FFA408">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危险特性</w:t>
                  </w:r>
                </w:p>
              </w:tc>
              <w:tc>
                <w:tcPr>
                  <w:tcW w:w="584" w:type="pct"/>
                  <w:noWrap w:val="0"/>
                  <w:tcMar>
                    <w:left w:w="57" w:type="dxa"/>
                    <w:right w:w="57" w:type="dxa"/>
                  </w:tcMar>
                  <w:vAlign w:val="center"/>
                </w:tcPr>
                <w:p w14:paraId="4CDF1F35">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污染防治措施</w:t>
                  </w:r>
                </w:p>
              </w:tc>
            </w:tr>
            <w:tr w14:paraId="588C4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80" w:type="pct"/>
                  <w:noWrap w:val="0"/>
                  <w:tcMar>
                    <w:left w:w="57" w:type="dxa"/>
                    <w:right w:w="57" w:type="dxa"/>
                  </w:tcMar>
                  <w:vAlign w:val="center"/>
                </w:tcPr>
                <w:p w14:paraId="64A62B88">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Times New Roman" w:hAnsi="Times New Roman" w:eastAsia="宋体" w:cs="Times New Roman"/>
                      <w:lang w:val="en-US" w:eastAsia="zh-CN"/>
                    </w:rPr>
                  </w:pPr>
                  <w:r>
                    <w:rPr>
                      <w:rFonts w:hint="eastAsia" w:cs="Times New Roman"/>
                      <w:lang w:val="en-US" w:eastAsia="zh-CN"/>
                    </w:rPr>
                    <w:t>1</w:t>
                  </w:r>
                </w:p>
              </w:tc>
              <w:tc>
                <w:tcPr>
                  <w:tcW w:w="593" w:type="pct"/>
                  <w:noWrap w:val="0"/>
                  <w:tcMar>
                    <w:left w:w="57" w:type="dxa"/>
                    <w:right w:w="57" w:type="dxa"/>
                  </w:tcMar>
                  <w:vAlign w:val="center"/>
                </w:tcPr>
                <w:p w14:paraId="49C91823">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废活性炭</w:t>
                  </w:r>
                </w:p>
              </w:tc>
              <w:tc>
                <w:tcPr>
                  <w:tcW w:w="455" w:type="pct"/>
                  <w:shd w:val="clear" w:color="auto" w:fill="auto"/>
                  <w:noWrap w:val="0"/>
                  <w:tcMar>
                    <w:left w:w="57" w:type="dxa"/>
                    <w:right w:w="57" w:type="dxa"/>
                  </w:tcMar>
                  <w:vAlign w:val="center"/>
                </w:tcPr>
                <w:p w14:paraId="28763790">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eastAsia" w:cs="Times New Roman"/>
                      <w:highlight w:val="none"/>
                      <w:lang w:val="en-US" w:eastAsia="zh-CN"/>
                    </w:rPr>
                    <w:t>HW49</w:t>
                  </w:r>
                </w:p>
              </w:tc>
              <w:tc>
                <w:tcPr>
                  <w:tcW w:w="714" w:type="pct"/>
                  <w:shd w:val="clear" w:color="auto" w:fill="auto"/>
                  <w:noWrap w:val="0"/>
                  <w:tcMar>
                    <w:left w:w="57" w:type="dxa"/>
                    <w:right w:w="57" w:type="dxa"/>
                  </w:tcMar>
                  <w:vAlign w:val="center"/>
                </w:tcPr>
                <w:p w14:paraId="2C322134">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default" w:ascii="Times New Roman" w:hAnsi="Times New Roman" w:cs="Times New Roman"/>
                      <w:highlight w:val="none"/>
                    </w:rPr>
                    <w:t>900-0</w:t>
                  </w:r>
                  <w:r>
                    <w:rPr>
                      <w:rFonts w:hint="eastAsia" w:cs="Times New Roman"/>
                      <w:highlight w:val="none"/>
                      <w:lang w:val="en-US" w:eastAsia="zh-CN"/>
                    </w:rPr>
                    <w:t>39</w:t>
                  </w:r>
                  <w:r>
                    <w:rPr>
                      <w:rFonts w:hint="default" w:ascii="Times New Roman" w:hAnsi="Times New Roman" w:cs="Times New Roman"/>
                      <w:highlight w:val="none"/>
                    </w:rPr>
                    <w:t>-49</w:t>
                  </w:r>
                </w:p>
              </w:tc>
              <w:tc>
                <w:tcPr>
                  <w:tcW w:w="482" w:type="pct"/>
                  <w:shd w:val="clear" w:color="auto" w:fill="auto"/>
                  <w:noWrap w:val="0"/>
                  <w:tcMar>
                    <w:left w:w="57" w:type="dxa"/>
                    <w:right w:w="57" w:type="dxa"/>
                  </w:tcMar>
                  <w:vAlign w:val="center"/>
                </w:tcPr>
                <w:p w14:paraId="70E908FA">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eastAsia" w:cs="Times New Roman"/>
                      <w:highlight w:val="none"/>
                      <w:lang w:val="en-US" w:eastAsia="zh-CN"/>
                    </w:rPr>
                    <w:t>8.3742</w:t>
                  </w:r>
                </w:p>
              </w:tc>
              <w:tc>
                <w:tcPr>
                  <w:tcW w:w="313" w:type="pct"/>
                  <w:shd w:val="clear" w:color="auto" w:fill="auto"/>
                  <w:noWrap w:val="0"/>
                  <w:tcMar>
                    <w:left w:w="57" w:type="dxa"/>
                    <w:right w:w="57" w:type="dxa"/>
                  </w:tcMar>
                  <w:vAlign w:val="center"/>
                </w:tcPr>
                <w:p w14:paraId="65277912">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eastAsia" w:cs="Times New Roman"/>
                      <w:highlight w:val="none"/>
                      <w:lang w:eastAsia="zh-CN"/>
                    </w:rPr>
                    <w:t>固态</w:t>
                  </w:r>
                </w:p>
              </w:tc>
              <w:tc>
                <w:tcPr>
                  <w:tcW w:w="389" w:type="pct"/>
                  <w:shd w:val="clear" w:color="auto" w:fill="auto"/>
                  <w:noWrap w:val="0"/>
                  <w:tcMar>
                    <w:left w:w="57" w:type="dxa"/>
                    <w:right w:w="57" w:type="dxa"/>
                  </w:tcMar>
                  <w:vAlign w:val="center"/>
                </w:tcPr>
                <w:p w14:paraId="214E08AC">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eastAsia" w:cs="Times New Roman"/>
                      <w:highlight w:val="none"/>
                      <w:lang w:eastAsia="zh-CN"/>
                    </w:rPr>
                    <w:t>活性炭</w:t>
                  </w:r>
                </w:p>
              </w:tc>
              <w:tc>
                <w:tcPr>
                  <w:tcW w:w="414" w:type="pct"/>
                  <w:shd w:val="clear" w:color="auto" w:fill="auto"/>
                  <w:noWrap w:val="0"/>
                  <w:tcMar>
                    <w:left w:w="57" w:type="dxa"/>
                    <w:right w:w="57" w:type="dxa"/>
                  </w:tcMar>
                  <w:vAlign w:val="center"/>
                </w:tcPr>
                <w:p w14:paraId="7F0A906B">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cs="Times New Roman"/>
                      <w:b w:val="0"/>
                      <w:bCs w:val="0"/>
                      <w:color w:val="000000"/>
                      <w:szCs w:val="21"/>
                      <w:highlight w:val="none"/>
                      <w:u w:val="none"/>
                      <w:lang w:eastAsia="zh-CN"/>
                    </w:rPr>
                    <w:t>有机废气</w:t>
                  </w:r>
                </w:p>
              </w:tc>
              <w:tc>
                <w:tcPr>
                  <w:tcW w:w="356" w:type="pct"/>
                  <w:shd w:val="clear" w:color="auto" w:fill="auto"/>
                  <w:noWrap w:val="0"/>
                  <w:tcMar>
                    <w:left w:w="57" w:type="dxa"/>
                    <w:right w:w="57" w:type="dxa"/>
                  </w:tcMar>
                  <w:vAlign w:val="center"/>
                </w:tcPr>
                <w:p w14:paraId="36F4BBB0">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eastAsia" w:cs="Times New Roman"/>
                      <w:highlight w:val="none"/>
                      <w:lang w:val="en-US" w:eastAsia="zh-CN"/>
                    </w:rPr>
                    <w:t>3个</w:t>
                  </w:r>
                  <w:r>
                    <w:rPr>
                      <w:rFonts w:hint="eastAsia" w:ascii="Times New Roman" w:hAnsi="Times New Roman" w:cs="Times New Roman"/>
                      <w:highlight w:val="none"/>
                      <w:lang w:val="en-US" w:eastAsia="zh-CN"/>
                    </w:rPr>
                    <w:t>月</w:t>
                  </w:r>
                </w:p>
              </w:tc>
              <w:tc>
                <w:tcPr>
                  <w:tcW w:w="414" w:type="pct"/>
                  <w:shd w:val="clear" w:color="auto" w:fill="auto"/>
                  <w:noWrap w:val="0"/>
                  <w:tcMar>
                    <w:left w:w="57" w:type="dxa"/>
                    <w:right w:w="57" w:type="dxa"/>
                  </w:tcMar>
                  <w:vAlign w:val="center"/>
                </w:tcPr>
                <w:p w14:paraId="1D320AEE">
                  <w:pPr>
                    <w:pStyle w:val="21"/>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0"/>
                      <w:highlight w:val="none"/>
                      <w:lang w:val="en-US" w:eastAsia="zh-CN" w:bidi="ar-SA"/>
                    </w:rPr>
                  </w:pPr>
                  <w:r>
                    <w:rPr>
                      <w:rFonts w:hint="eastAsia" w:cs="Times New Roman"/>
                      <w:highlight w:val="none"/>
                      <w:lang w:val="en-US" w:eastAsia="zh-CN"/>
                    </w:rPr>
                    <w:t>T</w:t>
                  </w:r>
                </w:p>
              </w:tc>
              <w:tc>
                <w:tcPr>
                  <w:tcW w:w="584" w:type="pct"/>
                  <w:vMerge w:val="restart"/>
                  <w:noWrap w:val="0"/>
                  <w:tcMar>
                    <w:left w:w="57" w:type="dxa"/>
                    <w:right w:w="57" w:type="dxa"/>
                  </w:tcMar>
                  <w:vAlign w:val="center"/>
                </w:tcPr>
                <w:p w14:paraId="3399DC97">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危废间(</w:t>
                  </w:r>
                  <w:r>
                    <w:rPr>
                      <w:rFonts w:hint="eastAsia" w:cs="Times New Roman"/>
                      <w:highlight w:val="none"/>
                      <w:lang w:val="en-US" w:eastAsia="zh-CN"/>
                    </w:rPr>
                    <w:t>5</w:t>
                  </w:r>
                  <w:r>
                    <w:rPr>
                      <w:rFonts w:hint="default" w:ascii="Times New Roman" w:hAnsi="Times New Roman" w:cs="Times New Roman"/>
                      <w:highlight w:val="none"/>
                    </w:rPr>
                    <w:t>m</w:t>
                  </w:r>
                  <w:r>
                    <w:rPr>
                      <w:rFonts w:hint="default" w:ascii="Times New Roman" w:hAnsi="Times New Roman" w:cs="Times New Roman"/>
                      <w:highlight w:val="none"/>
                      <w:vertAlign w:val="superscript"/>
                    </w:rPr>
                    <w:t>2</w:t>
                  </w:r>
                  <w:r>
                    <w:rPr>
                      <w:rFonts w:hint="default" w:ascii="Times New Roman" w:hAnsi="Times New Roman" w:cs="Times New Roman"/>
                      <w:highlight w:val="none"/>
                    </w:rPr>
                    <w:t>)暂存，定期交由有资质单位处理</w:t>
                  </w:r>
                </w:p>
              </w:tc>
            </w:tr>
            <w:tr w14:paraId="08F3F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80" w:type="pct"/>
                  <w:noWrap w:val="0"/>
                  <w:tcMar>
                    <w:left w:w="57" w:type="dxa"/>
                    <w:right w:w="57" w:type="dxa"/>
                  </w:tcMar>
                  <w:vAlign w:val="center"/>
                </w:tcPr>
                <w:p w14:paraId="49794760">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Times New Roman" w:hAnsi="Times New Roman" w:eastAsia="宋体" w:cs="Times New Roman"/>
                      <w:lang w:eastAsia="zh-CN"/>
                    </w:rPr>
                  </w:pPr>
                  <w:r>
                    <w:rPr>
                      <w:rFonts w:hint="eastAsia" w:cs="Times New Roman"/>
                      <w:lang w:val="en-US" w:eastAsia="zh-CN"/>
                    </w:rPr>
                    <w:t>2</w:t>
                  </w:r>
                </w:p>
              </w:tc>
              <w:tc>
                <w:tcPr>
                  <w:tcW w:w="593" w:type="pct"/>
                  <w:noWrap w:val="0"/>
                  <w:tcMar>
                    <w:left w:w="57" w:type="dxa"/>
                    <w:right w:w="57" w:type="dxa"/>
                  </w:tcMar>
                  <w:vAlign w:val="center"/>
                </w:tcPr>
                <w:p w14:paraId="4EC561CD">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废润滑油</w:t>
                  </w:r>
                </w:p>
              </w:tc>
              <w:tc>
                <w:tcPr>
                  <w:tcW w:w="455" w:type="pct"/>
                  <w:noWrap w:val="0"/>
                  <w:tcMar>
                    <w:left w:w="57" w:type="dxa"/>
                    <w:right w:w="57" w:type="dxa"/>
                  </w:tcMar>
                  <w:vAlign w:val="center"/>
                </w:tcPr>
                <w:p w14:paraId="2E603624">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HW08</w:t>
                  </w:r>
                </w:p>
              </w:tc>
              <w:tc>
                <w:tcPr>
                  <w:tcW w:w="714" w:type="pct"/>
                  <w:noWrap w:val="0"/>
                  <w:tcMar>
                    <w:left w:w="57" w:type="dxa"/>
                    <w:right w:w="57" w:type="dxa"/>
                  </w:tcMar>
                  <w:vAlign w:val="center"/>
                </w:tcPr>
                <w:p w14:paraId="0AA675F6">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900-214-08</w:t>
                  </w:r>
                </w:p>
              </w:tc>
              <w:tc>
                <w:tcPr>
                  <w:tcW w:w="482" w:type="pct"/>
                  <w:noWrap w:val="0"/>
                  <w:tcMar>
                    <w:left w:w="57" w:type="dxa"/>
                    <w:right w:w="57" w:type="dxa"/>
                  </w:tcMar>
                  <w:vAlign w:val="center"/>
                </w:tcPr>
                <w:p w14:paraId="0E727B85">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0.</w:t>
                  </w:r>
                  <w:r>
                    <w:rPr>
                      <w:rFonts w:hint="eastAsia" w:cs="Times New Roman"/>
                      <w:highlight w:val="none"/>
                      <w:lang w:val="en-US" w:eastAsia="zh-CN"/>
                    </w:rPr>
                    <w:t>35</w:t>
                  </w:r>
                </w:p>
              </w:tc>
              <w:tc>
                <w:tcPr>
                  <w:tcW w:w="313" w:type="pct"/>
                  <w:noWrap w:val="0"/>
                  <w:tcMar>
                    <w:left w:w="57" w:type="dxa"/>
                    <w:right w:w="57" w:type="dxa"/>
                  </w:tcMar>
                  <w:vAlign w:val="center"/>
                </w:tcPr>
                <w:p w14:paraId="320F9DCF">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液态</w:t>
                  </w:r>
                </w:p>
              </w:tc>
              <w:tc>
                <w:tcPr>
                  <w:tcW w:w="389" w:type="pct"/>
                  <w:noWrap w:val="0"/>
                  <w:tcMar>
                    <w:left w:w="57" w:type="dxa"/>
                    <w:right w:w="57" w:type="dxa"/>
                  </w:tcMar>
                  <w:vAlign w:val="center"/>
                </w:tcPr>
                <w:p w14:paraId="37A531E3">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油类</w:t>
                  </w:r>
                </w:p>
              </w:tc>
              <w:tc>
                <w:tcPr>
                  <w:tcW w:w="414" w:type="pct"/>
                  <w:noWrap w:val="0"/>
                  <w:tcMar>
                    <w:left w:w="57" w:type="dxa"/>
                    <w:right w:w="57" w:type="dxa"/>
                  </w:tcMar>
                  <w:vAlign w:val="center"/>
                </w:tcPr>
                <w:p w14:paraId="78BEEAD6">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Times New Roman" w:hAnsi="Times New Roman" w:eastAsia="宋体" w:cs="Times New Roman"/>
                      <w:lang w:eastAsia="zh-CN"/>
                    </w:rPr>
                  </w:pPr>
                  <w:r>
                    <w:rPr>
                      <w:rFonts w:hint="default" w:ascii="Times New Roman" w:hAnsi="Times New Roman" w:cs="Times New Roman"/>
                    </w:rPr>
                    <w:t>油</w:t>
                  </w:r>
                  <w:r>
                    <w:rPr>
                      <w:rFonts w:hint="eastAsia" w:cs="Times New Roman"/>
                      <w:lang w:eastAsia="zh-CN"/>
                    </w:rPr>
                    <w:t>泥</w:t>
                  </w:r>
                </w:p>
              </w:tc>
              <w:tc>
                <w:tcPr>
                  <w:tcW w:w="356" w:type="pct"/>
                  <w:noWrap w:val="0"/>
                  <w:tcMar>
                    <w:left w:w="57" w:type="dxa"/>
                    <w:right w:w="57" w:type="dxa"/>
                  </w:tcMar>
                  <w:vAlign w:val="center"/>
                </w:tcPr>
                <w:p w14:paraId="48471F94">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3</w:t>
                  </w:r>
                  <w:r>
                    <w:rPr>
                      <w:rFonts w:hint="eastAsia" w:cs="Times New Roman"/>
                      <w:lang w:eastAsia="zh-CN"/>
                    </w:rPr>
                    <w:t>个</w:t>
                  </w:r>
                  <w:r>
                    <w:rPr>
                      <w:rFonts w:hint="default" w:ascii="Times New Roman" w:hAnsi="Times New Roman" w:cs="Times New Roman"/>
                    </w:rPr>
                    <w:t>月</w:t>
                  </w:r>
                </w:p>
              </w:tc>
              <w:tc>
                <w:tcPr>
                  <w:tcW w:w="414" w:type="pct"/>
                  <w:noWrap w:val="0"/>
                  <w:tcMar>
                    <w:left w:w="57" w:type="dxa"/>
                    <w:right w:w="57" w:type="dxa"/>
                  </w:tcMar>
                  <w:vAlign w:val="center"/>
                </w:tcPr>
                <w:p w14:paraId="410237E5">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T，I</w:t>
                  </w:r>
                </w:p>
              </w:tc>
              <w:tc>
                <w:tcPr>
                  <w:tcW w:w="584" w:type="pct"/>
                  <w:vMerge w:val="continue"/>
                  <w:noWrap w:val="0"/>
                  <w:tcMar>
                    <w:left w:w="57" w:type="dxa"/>
                    <w:right w:w="57" w:type="dxa"/>
                  </w:tcMar>
                  <w:vAlign w:val="center"/>
                </w:tcPr>
                <w:p w14:paraId="2B270B5D">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highlight w:val="none"/>
                    </w:rPr>
                  </w:pPr>
                </w:p>
              </w:tc>
            </w:tr>
            <w:tr w14:paraId="67A69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80" w:type="pct"/>
                  <w:noWrap w:val="0"/>
                  <w:tcMar>
                    <w:left w:w="57" w:type="dxa"/>
                    <w:right w:w="57" w:type="dxa"/>
                  </w:tcMar>
                  <w:vAlign w:val="center"/>
                </w:tcPr>
                <w:p w14:paraId="25762A96">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Times New Roman" w:hAnsi="Times New Roman" w:eastAsia="宋体" w:cs="Times New Roman"/>
                      <w:lang w:eastAsia="zh-CN"/>
                    </w:rPr>
                  </w:pPr>
                  <w:r>
                    <w:rPr>
                      <w:rFonts w:hint="eastAsia" w:cs="Times New Roman"/>
                      <w:lang w:val="en-US" w:eastAsia="zh-CN"/>
                    </w:rPr>
                    <w:t>3</w:t>
                  </w:r>
                </w:p>
              </w:tc>
              <w:tc>
                <w:tcPr>
                  <w:tcW w:w="593" w:type="pct"/>
                  <w:noWrap w:val="0"/>
                  <w:tcMar>
                    <w:left w:w="57" w:type="dxa"/>
                    <w:right w:w="57" w:type="dxa"/>
                  </w:tcMar>
                  <w:vAlign w:val="center"/>
                </w:tcPr>
                <w:p w14:paraId="43B04F6E">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废油桶</w:t>
                  </w:r>
                </w:p>
              </w:tc>
              <w:tc>
                <w:tcPr>
                  <w:tcW w:w="455" w:type="pct"/>
                  <w:noWrap w:val="0"/>
                  <w:tcMar>
                    <w:left w:w="57" w:type="dxa"/>
                    <w:right w:w="57" w:type="dxa"/>
                  </w:tcMar>
                  <w:vAlign w:val="center"/>
                </w:tcPr>
                <w:p w14:paraId="34FF6A8B">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HW08</w:t>
                  </w:r>
                </w:p>
              </w:tc>
              <w:tc>
                <w:tcPr>
                  <w:tcW w:w="714" w:type="pct"/>
                  <w:noWrap w:val="0"/>
                  <w:tcMar>
                    <w:left w:w="57" w:type="dxa"/>
                    <w:right w:w="57" w:type="dxa"/>
                  </w:tcMar>
                  <w:vAlign w:val="center"/>
                </w:tcPr>
                <w:p w14:paraId="65ED8BDD">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900-249-08</w:t>
                  </w:r>
                </w:p>
              </w:tc>
              <w:tc>
                <w:tcPr>
                  <w:tcW w:w="482" w:type="pct"/>
                  <w:noWrap w:val="0"/>
                  <w:tcMar>
                    <w:left w:w="57" w:type="dxa"/>
                    <w:right w:w="57" w:type="dxa"/>
                  </w:tcMar>
                  <w:vAlign w:val="center"/>
                </w:tcPr>
                <w:p w14:paraId="5CCF1015">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0.0</w:t>
                  </w:r>
                  <w:r>
                    <w:rPr>
                      <w:rFonts w:hint="default" w:ascii="Times New Roman" w:hAnsi="Times New Roman" w:cs="Times New Roman"/>
                      <w:highlight w:val="none"/>
                      <w:lang w:val="en-US" w:eastAsia="zh-CN"/>
                    </w:rPr>
                    <w:t>0</w:t>
                  </w:r>
                  <w:r>
                    <w:rPr>
                      <w:rFonts w:hint="eastAsia" w:cs="Times New Roman"/>
                      <w:highlight w:val="none"/>
                      <w:lang w:val="en-US" w:eastAsia="zh-CN"/>
                    </w:rPr>
                    <w:t>7</w:t>
                  </w:r>
                  <w:r>
                    <w:rPr>
                      <w:rFonts w:hint="default" w:ascii="Times New Roman" w:hAnsi="Times New Roman" w:cs="Times New Roman"/>
                      <w:highlight w:val="none"/>
                      <w:lang w:val="en-US" w:eastAsia="zh-CN"/>
                    </w:rPr>
                    <w:t>5</w:t>
                  </w:r>
                </w:p>
              </w:tc>
              <w:tc>
                <w:tcPr>
                  <w:tcW w:w="313" w:type="pct"/>
                  <w:noWrap w:val="0"/>
                  <w:tcMar>
                    <w:left w:w="57" w:type="dxa"/>
                    <w:right w:w="57" w:type="dxa"/>
                  </w:tcMar>
                  <w:vAlign w:val="center"/>
                </w:tcPr>
                <w:p w14:paraId="395AAD30">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固态</w:t>
                  </w:r>
                </w:p>
              </w:tc>
              <w:tc>
                <w:tcPr>
                  <w:tcW w:w="389" w:type="pct"/>
                  <w:noWrap w:val="0"/>
                  <w:tcMar>
                    <w:left w:w="57" w:type="dxa"/>
                    <w:right w:w="57" w:type="dxa"/>
                  </w:tcMar>
                  <w:vAlign w:val="center"/>
                </w:tcPr>
                <w:p w14:paraId="62EEE563">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金属、残油</w:t>
                  </w:r>
                </w:p>
              </w:tc>
              <w:tc>
                <w:tcPr>
                  <w:tcW w:w="414" w:type="pct"/>
                  <w:noWrap w:val="0"/>
                  <w:tcMar>
                    <w:left w:w="57" w:type="dxa"/>
                    <w:right w:w="57" w:type="dxa"/>
                  </w:tcMar>
                  <w:vAlign w:val="center"/>
                </w:tcPr>
                <w:p w14:paraId="01BBE265">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矿物油</w:t>
                  </w:r>
                </w:p>
              </w:tc>
              <w:tc>
                <w:tcPr>
                  <w:tcW w:w="356" w:type="pct"/>
                  <w:noWrap w:val="0"/>
                  <w:tcMar>
                    <w:left w:w="57" w:type="dxa"/>
                    <w:right w:w="57" w:type="dxa"/>
                  </w:tcMar>
                  <w:vAlign w:val="center"/>
                </w:tcPr>
                <w:p w14:paraId="7652A933">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3</w:t>
                  </w:r>
                  <w:r>
                    <w:rPr>
                      <w:rFonts w:hint="eastAsia" w:cs="Times New Roman"/>
                      <w:lang w:eastAsia="zh-CN"/>
                    </w:rPr>
                    <w:t>个</w:t>
                  </w:r>
                  <w:r>
                    <w:rPr>
                      <w:rFonts w:hint="default" w:ascii="Times New Roman" w:hAnsi="Times New Roman" w:cs="Times New Roman"/>
                    </w:rPr>
                    <w:t>月</w:t>
                  </w:r>
                </w:p>
              </w:tc>
              <w:tc>
                <w:tcPr>
                  <w:tcW w:w="414" w:type="pct"/>
                  <w:noWrap w:val="0"/>
                  <w:tcMar>
                    <w:left w:w="57" w:type="dxa"/>
                    <w:right w:w="57" w:type="dxa"/>
                  </w:tcMar>
                  <w:vAlign w:val="center"/>
                </w:tcPr>
                <w:p w14:paraId="010056B1">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T，I</w:t>
                  </w:r>
                </w:p>
              </w:tc>
              <w:tc>
                <w:tcPr>
                  <w:tcW w:w="584" w:type="pct"/>
                  <w:vMerge w:val="continue"/>
                  <w:noWrap w:val="0"/>
                  <w:tcMar>
                    <w:left w:w="57" w:type="dxa"/>
                    <w:right w:w="57" w:type="dxa"/>
                  </w:tcMar>
                  <w:vAlign w:val="center"/>
                </w:tcPr>
                <w:p w14:paraId="59DBD56F">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rPr>
                  </w:pPr>
                </w:p>
              </w:tc>
            </w:tr>
          </w:tbl>
          <w:p w14:paraId="5CEC8EA5">
            <w:pPr>
              <w:pStyle w:val="26"/>
              <w:ind w:firstLine="480"/>
              <w:rPr>
                <w:rFonts w:hint="default" w:ascii="Times New Roman" w:hAnsi="Times New Roman" w:cs="Times New Roman"/>
              </w:rPr>
            </w:pPr>
            <w:r>
              <w:rPr>
                <w:rFonts w:hint="default" w:ascii="Times New Roman" w:hAnsi="Times New Roman" w:cs="Times New Roman"/>
                <w:b w:val="0"/>
                <w:bCs w:val="0"/>
                <w:color w:val="000000"/>
                <w:sz w:val="24"/>
                <w:highlight w:val="none"/>
                <w:u w:val="none"/>
              </w:rPr>
              <w:t>本次工程产生的危险废物，采用密闭容器收集后</w:t>
            </w:r>
            <w:r>
              <w:rPr>
                <w:rFonts w:hint="default" w:ascii="Times New Roman" w:hAnsi="Times New Roman" w:cs="Times New Roman"/>
                <w:b w:val="0"/>
                <w:bCs w:val="0"/>
                <w:color w:val="000000"/>
                <w:sz w:val="24"/>
                <w:highlight w:val="none"/>
                <w:u w:val="none"/>
                <w:lang w:eastAsia="zh-CN"/>
              </w:rPr>
              <w:t>暂存</w:t>
            </w:r>
            <w:r>
              <w:rPr>
                <w:rFonts w:hint="default" w:ascii="Times New Roman" w:hAnsi="Times New Roman" w:cs="Times New Roman"/>
                <w:b w:val="0"/>
                <w:bCs w:val="0"/>
                <w:color w:val="000000"/>
                <w:sz w:val="24"/>
                <w:highlight w:val="none"/>
                <w:u w:val="none"/>
              </w:rPr>
              <w:t>于</w:t>
            </w:r>
            <w:r>
              <w:rPr>
                <w:rFonts w:hint="eastAsia" w:cs="Times New Roman"/>
                <w:b w:val="0"/>
                <w:bCs w:val="0"/>
                <w:color w:val="000000"/>
                <w:sz w:val="24"/>
                <w:highlight w:val="none"/>
                <w:u w:val="none"/>
                <w:lang w:eastAsia="zh-CN"/>
              </w:rPr>
              <w:t>厂房的</w:t>
            </w:r>
            <w:r>
              <w:rPr>
                <w:rFonts w:hint="default" w:ascii="Times New Roman" w:hAnsi="Times New Roman" w:cs="Times New Roman"/>
                <w:b w:val="0"/>
                <w:bCs w:val="0"/>
                <w:color w:val="000000"/>
                <w:sz w:val="24"/>
                <w:highlight w:val="none"/>
                <w:u w:val="none"/>
                <w:lang w:eastAsia="zh-CN"/>
              </w:rPr>
              <w:t>危废间内，</w:t>
            </w:r>
            <w:r>
              <w:rPr>
                <w:rFonts w:hint="default" w:ascii="Times New Roman" w:hAnsi="Times New Roman" w:cs="Times New Roman"/>
                <w:b w:val="0"/>
                <w:bCs w:val="0"/>
                <w:color w:val="000000"/>
                <w:sz w:val="24"/>
                <w:highlight w:val="none"/>
                <w:u w:val="none"/>
              </w:rPr>
              <w:t>定期委托有危废处理资质的单位进行安全处置</w:t>
            </w:r>
            <w:r>
              <w:rPr>
                <w:rFonts w:hint="default" w:ascii="Times New Roman" w:hAnsi="Times New Roman" w:cs="Times New Roman"/>
                <w:b w:val="0"/>
                <w:bCs w:val="0"/>
                <w:color w:val="000000"/>
                <w:sz w:val="24"/>
                <w:highlight w:val="none"/>
                <w:u w:val="none"/>
                <w:lang w:eastAsia="zh-CN"/>
              </w:rPr>
              <w:t>，危废间面积为</w:t>
            </w:r>
            <w:r>
              <w:rPr>
                <w:rFonts w:hint="eastAsia" w:cs="Times New Roman"/>
                <w:b w:val="0"/>
                <w:bCs w:val="0"/>
                <w:color w:val="000000"/>
                <w:sz w:val="24"/>
                <w:highlight w:val="none"/>
                <w:u w:val="none"/>
                <w:lang w:val="en-US" w:eastAsia="zh-CN"/>
              </w:rPr>
              <w:t>5</w:t>
            </w:r>
            <w:r>
              <w:rPr>
                <w:rFonts w:hint="default" w:ascii="Times New Roman" w:hAnsi="Times New Roman" w:cs="Times New Roman"/>
                <w:b w:val="0"/>
                <w:bCs w:val="0"/>
                <w:color w:val="000000"/>
                <w:sz w:val="24"/>
                <w:highlight w:val="none"/>
                <w:u w:val="none"/>
                <w:lang w:val="en-US" w:eastAsia="zh-CN"/>
              </w:rPr>
              <w:t>m</w:t>
            </w:r>
            <w:r>
              <w:rPr>
                <w:rFonts w:hint="default" w:ascii="Times New Roman" w:hAnsi="Times New Roman" w:cs="Times New Roman"/>
                <w:b w:val="0"/>
                <w:bCs w:val="0"/>
                <w:color w:val="000000"/>
                <w:sz w:val="24"/>
                <w:highlight w:val="none"/>
                <w:u w:val="none"/>
                <w:vertAlign w:val="superscript"/>
                <w:lang w:val="en-US" w:eastAsia="zh-CN"/>
              </w:rPr>
              <w:t>2</w:t>
            </w:r>
            <w:r>
              <w:rPr>
                <w:rFonts w:hint="default" w:ascii="Times New Roman" w:hAnsi="Times New Roman" w:cs="Times New Roman"/>
                <w:b w:val="0"/>
                <w:bCs w:val="0"/>
                <w:color w:val="000000"/>
                <w:sz w:val="24"/>
                <w:highlight w:val="none"/>
                <w:u w:val="none"/>
              </w:rPr>
              <w:t>，</w:t>
            </w:r>
            <w:r>
              <w:rPr>
                <w:rFonts w:hint="default" w:ascii="Times New Roman" w:hAnsi="Times New Roman" w:cs="Times New Roman"/>
                <w:b w:val="0"/>
                <w:bCs w:val="0"/>
                <w:color w:val="000000"/>
                <w:sz w:val="24"/>
                <w:highlight w:val="none"/>
                <w:u w:val="none"/>
                <w:lang w:eastAsia="zh-CN"/>
              </w:rPr>
              <w:t>贮存能力为</w:t>
            </w:r>
            <w:r>
              <w:rPr>
                <w:rFonts w:hint="eastAsia" w:cs="Times New Roman"/>
                <w:b w:val="0"/>
                <w:bCs w:val="0"/>
                <w:color w:val="000000"/>
                <w:sz w:val="24"/>
                <w:highlight w:val="none"/>
                <w:u w:val="none"/>
                <w:lang w:val="en-US" w:eastAsia="zh-CN"/>
              </w:rPr>
              <w:t>8</w:t>
            </w:r>
            <w:r>
              <w:rPr>
                <w:rFonts w:hint="default" w:ascii="Times New Roman" w:hAnsi="Times New Roman" w:cs="Times New Roman"/>
                <w:b w:val="0"/>
                <w:bCs w:val="0"/>
                <w:color w:val="000000"/>
                <w:sz w:val="24"/>
                <w:highlight w:val="none"/>
                <w:u w:val="none"/>
                <w:lang w:val="en-US" w:eastAsia="zh-CN"/>
              </w:rPr>
              <w:t>t，能够满足</w:t>
            </w:r>
            <w:r>
              <w:rPr>
                <w:rFonts w:hint="default" w:ascii="Times New Roman" w:hAnsi="Times New Roman" w:eastAsia="宋体" w:cs="Times New Roman"/>
                <w:b w:val="0"/>
                <w:bCs w:val="0"/>
                <w:snapToGrid w:val="0"/>
                <w:color w:val="auto"/>
                <w:sz w:val="24"/>
                <w:u w:val="none" w:color="auto"/>
                <w:lang w:val="en-US" w:eastAsia="zh-CN"/>
              </w:rPr>
              <w:t>本项目产生的危险废物</w:t>
            </w:r>
            <w:r>
              <w:rPr>
                <w:rFonts w:hint="eastAsia" w:cs="Times New Roman"/>
                <w:b w:val="0"/>
                <w:bCs w:val="0"/>
                <w:snapToGrid w:val="0"/>
                <w:color w:val="auto"/>
                <w:sz w:val="24"/>
                <w:u w:val="none" w:color="auto"/>
                <w:lang w:val="en-US" w:eastAsia="zh-CN"/>
              </w:rPr>
              <w:t>使用</w:t>
            </w:r>
            <w:r>
              <w:rPr>
                <w:rFonts w:hint="default" w:ascii="Times New Roman" w:hAnsi="Times New Roman" w:eastAsia="宋体" w:cs="Times New Roman"/>
                <w:b w:val="0"/>
                <w:bCs w:val="0"/>
                <w:snapToGrid w:val="0"/>
                <w:color w:val="auto"/>
                <w:sz w:val="24"/>
                <w:u w:val="none" w:color="auto"/>
                <w:lang w:val="en-US" w:eastAsia="zh-CN"/>
              </w:rPr>
              <w:t>。</w:t>
            </w:r>
          </w:p>
          <w:p w14:paraId="5367FB15">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20" w:lineRule="exact"/>
              <w:ind w:firstLine="0" w:firstLineChars="0"/>
              <w:jc w:val="center"/>
              <w:textAlignment w:val="auto"/>
              <w:rPr>
                <w:rFonts w:hint="default" w:ascii="Times New Roman" w:hAnsi="Times New Roman" w:eastAsia="宋体" w:cs="Times New Roman"/>
                <w:b/>
                <w:bCs/>
                <w:kern w:val="0"/>
                <w:sz w:val="24"/>
                <w:szCs w:val="24"/>
                <w:lang w:val="en-US" w:eastAsia="zh-CN" w:bidi="ar-SA"/>
              </w:rPr>
            </w:pPr>
            <w:r>
              <w:rPr>
                <w:rFonts w:hint="default" w:ascii="Times New Roman" w:hAnsi="Times New Roman" w:eastAsia="宋体" w:cs="Times New Roman"/>
                <w:b/>
                <w:bCs/>
                <w:kern w:val="0"/>
                <w:sz w:val="24"/>
                <w:szCs w:val="24"/>
                <w:lang w:val="en-US" w:eastAsia="zh-CN" w:bidi="ar-SA"/>
              </w:rPr>
              <w:t>表4-2</w:t>
            </w:r>
            <w:r>
              <w:rPr>
                <w:rFonts w:hint="eastAsia" w:cs="Times New Roman"/>
                <w:b/>
                <w:bCs/>
                <w:kern w:val="0"/>
                <w:sz w:val="24"/>
                <w:szCs w:val="24"/>
                <w:lang w:val="en-US" w:eastAsia="zh-CN" w:bidi="ar-SA"/>
              </w:rPr>
              <w:t>1</w:t>
            </w:r>
            <w:r>
              <w:rPr>
                <w:rFonts w:hint="default" w:ascii="Times New Roman" w:hAnsi="Times New Roman" w:eastAsia="宋体" w:cs="Times New Roman"/>
                <w:b/>
                <w:bCs/>
                <w:kern w:val="0"/>
                <w:sz w:val="24"/>
                <w:szCs w:val="24"/>
                <w:lang w:val="en-US" w:eastAsia="zh-CN" w:bidi="ar-SA"/>
              </w:rPr>
              <w:t xml:space="preserve">   危险废物贮存场所基本情况一览表</w:t>
            </w:r>
          </w:p>
          <w:tbl>
            <w:tblPr>
              <w:tblStyle w:val="15"/>
              <w:tblW w:w="8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29"/>
              <w:gridCol w:w="1150"/>
              <w:gridCol w:w="942"/>
              <w:gridCol w:w="1394"/>
              <w:gridCol w:w="798"/>
              <w:gridCol w:w="570"/>
              <w:gridCol w:w="1186"/>
              <w:gridCol w:w="821"/>
              <w:gridCol w:w="661"/>
            </w:tblGrid>
            <w:tr w14:paraId="46319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7" w:hRule="atLeast"/>
                <w:jc w:val="center"/>
              </w:trPr>
              <w:tc>
                <w:tcPr>
                  <w:tcW w:w="441" w:type="pct"/>
                  <w:tcBorders>
                    <w:top w:val="single" w:color="auto" w:sz="4" w:space="0"/>
                    <w:left w:val="single" w:color="auto" w:sz="4" w:space="0"/>
                    <w:bottom w:val="single" w:color="auto" w:sz="4" w:space="0"/>
                    <w:right w:val="single" w:color="auto" w:sz="4" w:space="0"/>
                  </w:tcBorders>
                  <w:noWrap w:val="0"/>
                  <w:vAlign w:val="center"/>
                </w:tcPr>
                <w:p w14:paraId="11BBC7C6">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贮存场</w:t>
                  </w:r>
                </w:p>
                <w:p w14:paraId="627B3C57">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所名称</w:t>
                  </w:r>
                </w:p>
              </w:tc>
              <w:tc>
                <w:tcPr>
                  <w:tcW w:w="696" w:type="pct"/>
                  <w:tcBorders>
                    <w:top w:val="single" w:color="auto" w:sz="4" w:space="0"/>
                    <w:left w:val="single" w:color="auto" w:sz="4" w:space="0"/>
                    <w:bottom w:val="single" w:color="auto" w:sz="4" w:space="0"/>
                    <w:right w:val="single" w:color="auto" w:sz="4" w:space="0"/>
                  </w:tcBorders>
                  <w:noWrap w:val="0"/>
                  <w:vAlign w:val="center"/>
                </w:tcPr>
                <w:p w14:paraId="7161A196">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危险废</w:t>
                  </w:r>
                </w:p>
                <w:p w14:paraId="4F833D29">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物名称</w:t>
                  </w:r>
                </w:p>
              </w:tc>
              <w:tc>
                <w:tcPr>
                  <w:tcW w:w="570" w:type="pct"/>
                  <w:tcBorders>
                    <w:top w:val="single" w:color="auto" w:sz="4" w:space="0"/>
                    <w:left w:val="single" w:color="auto" w:sz="4" w:space="0"/>
                    <w:bottom w:val="single" w:color="auto" w:sz="4" w:space="0"/>
                    <w:right w:val="single" w:color="auto" w:sz="4" w:space="0"/>
                  </w:tcBorders>
                  <w:noWrap w:val="0"/>
                  <w:vAlign w:val="center"/>
                </w:tcPr>
                <w:p w14:paraId="39974E64">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危险废物类别</w:t>
                  </w:r>
                </w:p>
              </w:tc>
              <w:tc>
                <w:tcPr>
                  <w:tcW w:w="844" w:type="pct"/>
                  <w:tcBorders>
                    <w:top w:val="single" w:color="auto" w:sz="4" w:space="0"/>
                    <w:left w:val="single" w:color="auto" w:sz="4" w:space="0"/>
                    <w:bottom w:val="single" w:color="auto" w:sz="4" w:space="0"/>
                    <w:right w:val="single" w:color="auto" w:sz="4" w:space="0"/>
                  </w:tcBorders>
                  <w:noWrap w:val="0"/>
                  <w:vAlign w:val="center"/>
                </w:tcPr>
                <w:p w14:paraId="0EFA2D92">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危险废物代码</w:t>
                  </w:r>
                </w:p>
              </w:tc>
              <w:tc>
                <w:tcPr>
                  <w:tcW w:w="483" w:type="pct"/>
                  <w:tcBorders>
                    <w:top w:val="single" w:color="auto" w:sz="4" w:space="0"/>
                    <w:left w:val="single" w:color="auto" w:sz="4" w:space="0"/>
                    <w:bottom w:val="single" w:color="auto" w:sz="4" w:space="0"/>
                    <w:right w:val="single" w:color="auto" w:sz="4" w:space="0"/>
                  </w:tcBorders>
                  <w:noWrap w:val="0"/>
                  <w:vAlign w:val="center"/>
                </w:tcPr>
                <w:p w14:paraId="06786742">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位置</w:t>
                  </w:r>
                </w:p>
              </w:tc>
              <w:tc>
                <w:tcPr>
                  <w:tcW w:w="345" w:type="pct"/>
                  <w:tcBorders>
                    <w:top w:val="single" w:color="auto" w:sz="4" w:space="0"/>
                    <w:left w:val="single" w:color="auto" w:sz="4" w:space="0"/>
                    <w:bottom w:val="single" w:color="auto" w:sz="4" w:space="0"/>
                    <w:right w:val="single" w:color="auto" w:sz="4" w:space="0"/>
                  </w:tcBorders>
                  <w:noWrap w:val="0"/>
                  <w:vAlign w:val="center"/>
                </w:tcPr>
                <w:p w14:paraId="3C5F0920">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占地</w:t>
                  </w:r>
                </w:p>
                <w:p w14:paraId="6A5E6155">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面积</w:t>
                  </w:r>
                </w:p>
              </w:tc>
              <w:tc>
                <w:tcPr>
                  <w:tcW w:w="718" w:type="pct"/>
                  <w:tcBorders>
                    <w:top w:val="single" w:color="auto" w:sz="4" w:space="0"/>
                    <w:left w:val="single" w:color="auto" w:sz="4" w:space="0"/>
                    <w:bottom w:val="single" w:color="auto" w:sz="4" w:space="0"/>
                    <w:right w:val="single" w:color="auto" w:sz="4" w:space="0"/>
                  </w:tcBorders>
                  <w:noWrap w:val="0"/>
                  <w:vAlign w:val="center"/>
                </w:tcPr>
                <w:p w14:paraId="5D182D88">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贮存</w:t>
                  </w:r>
                </w:p>
                <w:p w14:paraId="5ADE9971">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方式</w:t>
                  </w:r>
                </w:p>
              </w:tc>
              <w:tc>
                <w:tcPr>
                  <w:tcW w:w="497" w:type="pct"/>
                  <w:tcBorders>
                    <w:top w:val="single" w:color="auto" w:sz="4" w:space="0"/>
                    <w:left w:val="single" w:color="auto" w:sz="4" w:space="0"/>
                    <w:bottom w:val="single" w:color="auto" w:sz="4" w:space="0"/>
                    <w:right w:val="single" w:color="auto" w:sz="4" w:space="0"/>
                  </w:tcBorders>
                  <w:noWrap w:val="0"/>
                  <w:vAlign w:val="center"/>
                </w:tcPr>
                <w:p w14:paraId="698CF83D">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贮存能力（t/a）</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3C02744">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贮存</w:t>
                  </w:r>
                </w:p>
                <w:p w14:paraId="735BCFCA">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bidi="ar-SA"/>
                    </w:rPr>
                    <w:t>周期</w:t>
                  </w:r>
                </w:p>
              </w:tc>
            </w:tr>
            <w:tr w14:paraId="0F09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9" w:hRule="atLeast"/>
                <w:jc w:val="center"/>
              </w:trPr>
              <w:tc>
                <w:tcPr>
                  <w:tcW w:w="441" w:type="pct"/>
                  <w:vMerge w:val="restart"/>
                  <w:tcBorders>
                    <w:top w:val="single" w:color="auto" w:sz="4" w:space="0"/>
                    <w:left w:val="single" w:color="auto" w:sz="4" w:space="0"/>
                    <w:right w:val="single" w:color="auto" w:sz="4" w:space="0"/>
                  </w:tcBorders>
                  <w:noWrap w:val="0"/>
                  <w:vAlign w:val="center"/>
                </w:tcPr>
                <w:p w14:paraId="189EE8EC">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危废间</w:t>
                  </w:r>
                </w:p>
              </w:tc>
              <w:tc>
                <w:tcPr>
                  <w:tcW w:w="696" w:type="pct"/>
                  <w:tcBorders>
                    <w:top w:val="single" w:color="auto" w:sz="4" w:space="0"/>
                    <w:left w:val="single" w:color="auto" w:sz="4" w:space="0"/>
                    <w:bottom w:val="single" w:color="auto" w:sz="4" w:space="0"/>
                    <w:right w:val="single" w:color="auto" w:sz="4" w:space="0"/>
                  </w:tcBorders>
                  <w:noWrap w:val="0"/>
                  <w:vAlign w:val="center"/>
                </w:tcPr>
                <w:p w14:paraId="0B65A741">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废活性炭</w:t>
                  </w:r>
                </w:p>
              </w:tc>
              <w:tc>
                <w:tcPr>
                  <w:tcW w:w="570" w:type="pct"/>
                  <w:tcBorders>
                    <w:top w:val="single" w:color="auto" w:sz="4" w:space="0"/>
                    <w:left w:val="single" w:color="auto" w:sz="4" w:space="0"/>
                    <w:bottom w:val="single" w:color="auto" w:sz="4" w:space="0"/>
                    <w:right w:val="single" w:color="auto" w:sz="4" w:space="0"/>
                  </w:tcBorders>
                  <w:noWrap w:val="0"/>
                  <w:vAlign w:val="center"/>
                </w:tcPr>
                <w:p w14:paraId="61270556">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eastAsia" w:cs="Times New Roman"/>
                      <w:sz w:val="21"/>
                      <w:szCs w:val="21"/>
                      <w:highlight w:val="none"/>
                      <w:lang w:val="en-US" w:eastAsia="zh-CN"/>
                    </w:rPr>
                    <w:t>HW49</w:t>
                  </w:r>
                </w:p>
              </w:tc>
              <w:tc>
                <w:tcPr>
                  <w:tcW w:w="844" w:type="pct"/>
                  <w:tcBorders>
                    <w:top w:val="single" w:color="auto" w:sz="4" w:space="0"/>
                    <w:left w:val="single" w:color="auto" w:sz="4" w:space="0"/>
                    <w:bottom w:val="single" w:color="auto" w:sz="4" w:space="0"/>
                    <w:right w:val="single" w:color="auto" w:sz="4" w:space="0"/>
                  </w:tcBorders>
                  <w:noWrap w:val="0"/>
                  <w:vAlign w:val="center"/>
                </w:tcPr>
                <w:p w14:paraId="5C009C00">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highlight w:val="none"/>
                    </w:rPr>
                    <w:t>900-0</w:t>
                  </w:r>
                  <w:r>
                    <w:rPr>
                      <w:rFonts w:hint="eastAsia" w:cs="Times New Roman"/>
                      <w:sz w:val="21"/>
                      <w:szCs w:val="21"/>
                      <w:highlight w:val="none"/>
                      <w:lang w:val="en-US" w:eastAsia="zh-CN"/>
                    </w:rPr>
                    <w:t>39</w:t>
                  </w:r>
                  <w:r>
                    <w:rPr>
                      <w:rFonts w:hint="default" w:ascii="Times New Roman" w:hAnsi="Times New Roman" w:cs="Times New Roman"/>
                      <w:sz w:val="21"/>
                      <w:szCs w:val="21"/>
                      <w:highlight w:val="none"/>
                    </w:rPr>
                    <w:t>-49</w:t>
                  </w:r>
                </w:p>
              </w:tc>
              <w:tc>
                <w:tcPr>
                  <w:tcW w:w="483" w:type="pct"/>
                  <w:vMerge w:val="restart"/>
                  <w:tcBorders>
                    <w:top w:val="single" w:color="auto" w:sz="4" w:space="0"/>
                    <w:left w:val="single" w:color="auto" w:sz="4" w:space="0"/>
                    <w:right w:val="single" w:color="auto" w:sz="4" w:space="0"/>
                  </w:tcBorders>
                  <w:noWrap w:val="0"/>
                  <w:vAlign w:val="center"/>
                </w:tcPr>
                <w:p w14:paraId="42949315">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eastAsia"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车间</w:t>
                  </w:r>
                </w:p>
                <w:p w14:paraId="125009FE">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highlight w:val="none"/>
                      <w:lang w:val="en-US" w:eastAsia="zh-CN" w:bidi="ar-SA"/>
                    </w:rPr>
                    <w:t>北</w:t>
                  </w:r>
                  <w:r>
                    <w:rPr>
                      <w:rFonts w:hint="default" w:ascii="Times New Roman" w:hAnsi="Times New Roman" w:eastAsia="宋体" w:cs="Times New Roman"/>
                      <w:color w:val="auto"/>
                      <w:kern w:val="0"/>
                      <w:sz w:val="21"/>
                      <w:szCs w:val="21"/>
                      <w:highlight w:val="none"/>
                      <w:lang w:val="en-US" w:eastAsia="zh-CN" w:bidi="ar-SA"/>
                    </w:rPr>
                    <w:t>侧</w:t>
                  </w:r>
                </w:p>
              </w:tc>
              <w:tc>
                <w:tcPr>
                  <w:tcW w:w="345" w:type="pct"/>
                  <w:vMerge w:val="restart"/>
                  <w:tcBorders>
                    <w:top w:val="single" w:color="auto" w:sz="4" w:space="0"/>
                    <w:left w:val="single" w:color="auto" w:sz="4" w:space="0"/>
                    <w:right w:val="single" w:color="auto" w:sz="4" w:space="0"/>
                  </w:tcBorders>
                  <w:noWrap w:val="0"/>
                  <w:vAlign w:val="center"/>
                </w:tcPr>
                <w:p w14:paraId="1FE9034C">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w:t>
                  </w:r>
                  <w:r>
                    <w:rPr>
                      <w:rFonts w:hint="default" w:ascii="Times New Roman" w:hAnsi="Times New Roman" w:eastAsia="宋体" w:cs="Times New Roman"/>
                      <w:color w:val="auto"/>
                      <w:kern w:val="0"/>
                      <w:sz w:val="21"/>
                      <w:szCs w:val="21"/>
                      <w:lang w:val="en-US" w:eastAsia="zh-CN" w:bidi="ar-SA"/>
                    </w:rPr>
                    <w:t>m</w:t>
                  </w:r>
                  <w:r>
                    <w:rPr>
                      <w:rFonts w:hint="default" w:ascii="Times New Roman" w:hAnsi="Times New Roman" w:eastAsia="宋体" w:cs="Times New Roman"/>
                      <w:color w:val="auto"/>
                      <w:kern w:val="0"/>
                      <w:sz w:val="21"/>
                      <w:szCs w:val="21"/>
                      <w:vertAlign w:val="superscript"/>
                      <w:lang w:val="en-US" w:eastAsia="zh-CN" w:bidi="ar-SA"/>
                    </w:rPr>
                    <w:t>2</w:t>
                  </w:r>
                </w:p>
              </w:tc>
              <w:tc>
                <w:tcPr>
                  <w:tcW w:w="718" w:type="pct"/>
                  <w:tcBorders>
                    <w:top w:val="single" w:color="auto" w:sz="4" w:space="0"/>
                    <w:left w:val="single" w:color="auto" w:sz="4" w:space="0"/>
                    <w:bottom w:val="single" w:color="auto" w:sz="4" w:space="0"/>
                    <w:right w:val="single" w:color="auto" w:sz="4" w:space="0"/>
                  </w:tcBorders>
                  <w:noWrap w:val="0"/>
                  <w:vAlign w:val="center"/>
                </w:tcPr>
                <w:p w14:paraId="320A4AC7">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密闭贮存</w:t>
                  </w:r>
                </w:p>
              </w:tc>
              <w:tc>
                <w:tcPr>
                  <w:tcW w:w="497" w:type="pct"/>
                  <w:vMerge w:val="restart"/>
                  <w:tcBorders>
                    <w:top w:val="single" w:color="auto" w:sz="4" w:space="0"/>
                    <w:left w:val="single" w:color="auto" w:sz="4" w:space="0"/>
                    <w:right w:val="single" w:color="auto" w:sz="4" w:space="0"/>
                  </w:tcBorders>
                  <w:noWrap w:val="0"/>
                  <w:vAlign w:val="center"/>
                </w:tcPr>
                <w:p w14:paraId="4A58BB5A">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8</w:t>
                  </w:r>
                  <w:r>
                    <w:rPr>
                      <w:rFonts w:hint="default" w:ascii="Times New Roman" w:hAnsi="Times New Roman" w:eastAsia="宋体" w:cs="Times New Roman"/>
                      <w:color w:val="auto"/>
                      <w:kern w:val="0"/>
                      <w:sz w:val="21"/>
                      <w:szCs w:val="21"/>
                      <w:lang w:val="en-US" w:eastAsia="zh-CN" w:bidi="ar-SA"/>
                    </w:rPr>
                    <w:t>t</w:t>
                  </w:r>
                </w:p>
              </w:tc>
              <w:tc>
                <w:tcPr>
                  <w:tcW w:w="400" w:type="pct"/>
                  <w:tcBorders>
                    <w:top w:val="single" w:color="auto" w:sz="4" w:space="0"/>
                    <w:left w:val="single" w:color="auto" w:sz="4" w:space="0"/>
                    <w:right w:val="single" w:color="auto" w:sz="4" w:space="0"/>
                  </w:tcBorders>
                  <w:noWrap w:val="0"/>
                  <w:vAlign w:val="center"/>
                </w:tcPr>
                <w:p w14:paraId="16A771A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eastAsia" w:cs="Times New Roman"/>
                      <w:color w:val="auto"/>
                      <w:kern w:val="0"/>
                      <w:sz w:val="21"/>
                      <w:szCs w:val="21"/>
                      <w:lang w:val="en-US" w:eastAsia="zh-CN"/>
                    </w:rPr>
                    <w:t>3</w:t>
                  </w:r>
                  <w:r>
                    <w:rPr>
                      <w:rFonts w:hint="default" w:ascii="Times New Roman" w:hAnsi="Times New Roman" w:eastAsia="宋体" w:cs="Times New Roman"/>
                      <w:color w:val="auto"/>
                      <w:kern w:val="0"/>
                      <w:sz w:val="21"/>
                      <w:szCs w:val="21"/>
                      <w:lang w:val="en-US" w:eastAsia="zh-CN"/>
                    </w:rPr>
                    <w:t>个月</w:t>
                  </w:r>
                </w:p>
              </w:tc>
            </w:tr>
            <w:tr w14:paraId="1EE70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9" w:hRule="atLeast"/>
                <w:jc w:val="center"/>
              </w:trPr>
              <w:tc>
                <w:tcPr>
                  <w:tcW w:w="441" w:type="pct"/>
                  <w:vMerge w:val="continue"/>
                  <w:tcBorders>
                    <w:left w:val="single" w:color="auto" w:sz="4" w:space="0"/>
                    <w:right w:val="single" w:color="auto" w:sz="4" w:space="0"/>
                  </w:tcBorders>
                  <w:noWrap w:val="0"/>
                  <w:vAlign w:val="center"/>
                </w:tcPr>
                <w:p w14:paraId="2361F1DE">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p>
              </w:tc>
              <w:tc>
                <w:tcPr>
                  <w:tcW w:w="696" w:type="pct"/>
                  <w:tcBorders>
                    <w:top w:val="single" w:color="auto" w:sz="4" w:space="0"/>
                    <w:left w:val="single" w:color="auto" w:sz="4" w:space="0"/>
                    <w:bottom w:val="single" w:color="auto" w:sz="4" w:space="0"/>
                    <w:right w:val="single" w:color="auto" w:sz="4" w:space="0"/>
                  </w:tcBorders>
                  <w:noWrap w:val="0"/>
                  <w:vAlign w:val="center"/>
                </w:tcPr>
                <w:p w14:paraId="3BE05983">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废润滑油</w:t>
                  </w:r>
                </w:p>
              </w:tc>
              <w:tc>
                <w:tcPr>
                  <w:tcW w:w="570" w:type="pct"/>
                  <w:tcBorders>
                    <w:top w:val="single" w:color="auto" w:sz="4" w:space="0"/>
                    <w:left w:val="single" w:color="auto" w:sz="4" w:space="0"/>
                    <w:bottom w:val="single" w:color="auto" w:sz="4" w:space="0"/>
                    <w:right w:val="single" w:color="auto" w:sz="4" w:space="0"/>
                  </w:tcBorders>
                  <w:noWrap w:val="0"/>
                  <w:vAlign w:val="center"/>
                </w:tcPr>
                <w:p w14:paraId="0CB70D1D">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HW08</w:t>
                  </w:r>
                </w:p>
              </w:tc>
              <w:tc>
                <w:tcPr>
                  <w:tcW w:w="844" w:type="pct"/>
                  <w:tcBorders>
                    <w:top w:val="single" w:color="auto" w:sz="4" w:space="0"/>
                    <w:left w:val="single" w:color="auto" w:sz="4" w:space="0"/>
                    <w:bottom w:val="single" w:color="auto" w:sz="4" w:space="0"/>
                    <w:right w:val="single" w:color="auto" w:sz="4" w:space="0"/>
                  </w:tcBorders>
                  <w:noWrap w:val="0"/>
                  <w:vAlign w:val="center"/>
                </w:tcPr>
                <w:p w14:paraId="0761362E">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900-217-08</w:t>
                  </w:r>
                </w:p>
              </w:tc>
              <w:tc>
                <w:tcPr>
                  <w:tcW w:w="483" w:type="pct"/>
                  <w:vMerge w:val="continue"/>
                  <w:tcBorders>
                    <w:left w:val="single" w:color="auto" w:sz="4" w:space="0"/>
                    <w:right w:val="single" w:color="auto" w:sz="4" w:space="0"/>
                  </w:tcBorders>
                  <w:noWrap w:val="0"/>
                  <w:vAlign w:val="center"/>
                </w:tcPr>
                <w:p w14:paraId="7BB42955">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p>
              </w:tc>
              <w:tc>
                <w:tcPr>
                  <w:tcW w:w="345" w:type="pct"/>
                  <w:vMerge w:val="continue"/>
                  <w:tcBorders>
                    <w:left w:val="single" w:color="auto" w:sz="4" w:space="0"/>
                    <w:right w:val="single" w:color="auto" w:sz="4" w:space="0"/>
                  </w:tcBorders>
                  <w:noWrap w:val="0"/>
                  <w:vAlign w:val="center"/>
                </w:tcPr>
                <w:p w14:paraId="503857AB">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p>
              </w:tc>
              <w:tc>
                <w:tcPr>
                  <w:tcW w:w="718" w:type="pct"/>
                  <w:tcBorders>
                    <w:top w:val="single" w:color="auto" w:sz="4" w:space="0"/>
                    <w:left w:val="single" w:color="auto" w:sz="4" w:space="0"/>
                    <w:bottom w:val="single" w:color="auto" w:sz="4" w:space="0"/>
                    <w:right w:val="single" w:color="auto" w:sz="4" w:space="0"/>
                  </w:tcBorders>
                  <w:noWrap w:val="0"/>
                  <w:vAlign w:val="center"/>
                </w:tcPr>
                <w:p w14:paraId="774484E3">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密闭贮存</w:t>
                  </w:r>
                </w:p>
              </w:tc>
              <w:tc>
                <w:tcPr>
                  <w:tcW w:w="497" w:type="pct"/>
                  <w:vMerge w:val="continue"/>
                  <w:tcBorders>
                    <w:left w:val="single" w:color="auto" w:sz="4" w:space="0"/>
                    <w:right w:val="single" w:color="auto" w:sz="4" w:space="0"/>
                  </w:tcBorders>
                  <w:noWrap w:val="0"/>
                  <w:vAlign w:val="center"/>
                </w:tcPr>
                <w:p w14:paraId="51E52C87">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p>
              </w:tc>
              <w:tc>
                <w:tcPr>
                  <w:tcW w:w="400" w:type="pct"/>
                  <w:tcBorders>
                    <w:left w:val="single" w:color="auto" w:sz="4" w:space="0"/>
                    <w:right w:val="single" w:color="auto" w:sz="4" w:space="0"/>
                  </w:tcBorders>
                  <w:noWrap w:val="0"/>
                  <w:vAlign w:val="center"/>
                </w:tcPr>
                <w:p w14:paraId="65751CC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val="en-US" w:eastAsia="zh-CN"/>
                    </w:rPr>
                    <w:t>3个月</w:t>
                  </w:r>
                </w:p>
              </w:tc>
            </w:tr>
            <w:tr w14:paraId="178B8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9" w:hRule="atLeast"/>
                <w:jc w:val="center"/>
              </w:trPr>
              <w:tc>
                <w:tcPr>
                  <w:tcW w:w="441" w:type="pct"/>
                  <w:vMerge w:val="continue"/>
                  <w:tcBorders>
                    <w:left w:val="single" w:color="auto" w:sz="4" w:space="0"/>
                    <w:right w:val="single" w:color="auto" w:sz="4" w:space="0"/>
                  </w:tcBorders>
                  <w:noWrap w:val="0"/>
                  <w:vAlign w:val="center"/>
                </w:tcPr>
                <w:p w14:paraId="1F1565BB">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p>
              </w:tc>
              <w:tc>
                <w:tcPr>
                  <w:tcW w:w="696" w:type="pct"/>
                  <w:tcBorders>
                    <w:top w:val="single" w:color="auto" w:sz="4" w:space="0"/>
                    <w:left w:val="single" w:color="auto" w:sz="4" w:space="0"/>
                    <w:bottom w:val="single" w:color="auto" w:sz="4" w:space="0"/>
                    <w:right w:val="single" w:color="auto" w:sz="4" w:space="0"/>
                  </w:tcBorders>
                  <w:noWrap w:val="0"/>
                  <w:vAlign w:val="center"/>
                </w:tcPr>
                <w:p w14:paraId="67B431DF">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废油桶</w:t>
                  </w:r>
                </w:p>
              </w:tc>
              <w:tc>
                <w:tcPr>
                  <w:tcW w:w="570" w:type="pct"/>
                  <w:tcBorders>
                    <w:top w:val="single" w:color="auto" w:sz="4" w:space="0"/>
                    <w:left w:val="single" w:color="auto" w:sz="4" w:space="0"/>
                    <w:bottom w:val="single" w:color="auto" w:sz="4" w:space="0"/>
                    <w:right w:val="single" w:color="auto" w:sz="4" w:space="0"/>
                  </w:tcBorders>
                  <w:noWrap w:val="0"/>
                  <w:vAlign w:val="center"/>
                </w:tcPr>
                <w:p w14:paraId="0B9CFBB3">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HW08</w:t>
                  </w:r>
                </w:p>
              </w:tc>
              <w:tc>
                <w:tcPr>
                  <w:tcW w:w="844" w:type="pct"/>
                  <w:tcBorders>
                    <w:top w:val="single" w:color="auto" w:sz="4" w:space="0"/>
                    <w:left w:val="single" w:color="auto" w:sz="4" w:space="0"/>
                    <w:bottom w:val="single" w:color="auto" w:sz="4" w:space="0"/>
                    <w:right w:val="single" w:color="auto" w:sz="4" w:space="0"/>
                  </w:tcBorders>
                  <w:noWrap w:val="0"/>
                  <w:vAlign w:val="center"/>
                </w:tcPr>
                <w:p w14:paraId="09114E44">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900-249-08</w:t>
                  </w:r>
                </w:p>
              </w:tc>
              <w:tc>
                <w:tcPr>
                  <w:tcW w:w="483" w:type="pct"/>
                  <w:vMerge w:val="continue"/>
                  <w:tcBorders>
                    <w:left w:val="single" w:color="auto" w:sz="4" w:space="0"/>
                    <w:right w:val="single" w:color="auto" w:sz="4" w:space="0"/>
                  </w:tcBorders>
                  <w:noWrap w:val="0"/>
                  <w:vAlign w:val="center"/>
                </w:tcPr>
                <w:p w14:paraId="5227E72F">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p>
              </w:tc>
              <w:tc>
                <w:tcPr>
                  <w:tcW w:w="345" w:type="pct"/>
                  <w:vMerge w:val="continue"/>
                  <w:tcBorders>
                    <w:left w:val="single" w:color="auto" w:sz="4" w:space="0"/>
                    <w:right w:val="single" w:color="auto" w:sz="4" w:space="0"/>
                  </w:tcBorders>
                  <w:noWrap w:val="0"/>
                  <w:vAlign w:val="center"/>
                </w:tcPr>
                <w:p w14:paraId="6E74C063">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p>
              </w:tc>
              <w:tc>
                <w:tcPr>
                  <w:tcW w:w="718" w:type="pct"/>
                  <w:tcBorders>
                    <w:top w:val="single" w:color="auto" w:sz="4" w:space="0"/>
                    <w:left w:val="single" w:color="auto" w:sz="4" w:space="0"/>
                    <w:bottom w:val="single" w:color="auto" w:sz="4" w:space="0"/>
                    <w:right w:val="single" w:color="auto" w:sz="4" w:space="0"/>
                  </w:tcBorders>
                  <w:noWrap w:val="0"/>
                  <w:vAlign w:val="center"/>
                </w:tcPr>
                <w:p w14:paraId="1C234815">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带盖密闭</w:t>
                  </w:r>
                </w:p>
              </w:tc>
              <w:tc>
                <w:tcPr>
                  <w:tcW w:w="497" w:type="pct"/>
                  <w:vMerge w:val="continue"/>
                  <w:tcBorders>
                    <w:left w:val="single" w:color="auto" w:sz="4" w:space="0"/>
                    <w:right w:val="single" w:color="auto" w:sz="4" w:space="0"/>
                  </w:tcBorders>
                  <w:noWrap w:val="0"/>
                  <w:vAlign w:val="center"/>
                </w:tcPr>
                <w:p w14:paraId="29DDC660">
                  <w:pPr>
                    <w:keepNext w:val="0"/>
                    <w:keepLines w:val="0"/>
                    <w:pageBreakBefore w:val="0"/>
                    <w:widowControl w:val="0"/>
                    <w:kinsoku/>
                    <w:wordWrap/>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FF0000"/>
                      <w:kern w:val="0"/>
                      <w:sz w:val="21"/>
                      <w:szCs w:val="21"/>
                      <w:lang w:val="en-US" w:eastAsia="zh-CN" w:bidi="ar-SA"/>
                    </w:rPr>
                  </w:pPr>
                </w:p>
              </w:tc>
              <w:tc>
                <w:tcPr>
                  <w:tcW w:w="400" w:type="pct"/>
                  <w:tcBorders>
                    <w:left w:val="single" w:color="auto" w:sz="4" w:space="0"/>
                    <w:right w:val="single" w:color="auto" w:sz="4" w:space="0"/>
                  </w:tcBorders>
                  <w:noWrap w:val="0"/>
                  <w:vAlign w:val="center"/>
                </w:tcPr>
                <w:p w14:paraId="7E6D366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color w:val="FF0000"/>
                      <w:kern w:val="0"/>
                      <w:sz w:val="21"/>
                      <w:szCs w:val="21"/>
                    </w:rPr>
                  </w:pPr>
                  <w:r>
                    <w:rPr>
                      <w:rFonts w:hint="default" w:ascii="Times New Roman" w:hAnsi="Times New Roman" w:eastAsia="宋体" w:cs="Times New Roman"/>
                      <w:color w:val="auto"/>
                      <w:kern w:val="0"/>
                      <w:sz w:val="21"/>
                      <w:szCs w:val="21"/>
                      <w:lang w:val="en-US" w:eastAsia="zh-CN"/>
                    </w:rPr>
                    <w:t>3个月</w:t>
                  </w:r>
                </w:p>
              </w:tc>
            </w:tr>
          </w:tbl>
          <w:p w14:paraId="3CF3B321">
            <w:pPr>
              <w:keepNext/>
              <w:keepLines/>
              <w:pageBreakBefore w:val="0"/>
              <w:widowControl/>
              <w:tabs>
                <w:tab w:val="left" w:pos="1322"/>
              </w:tabs>
              <w:kinsoku/>
              <w:overflowPunct/>
              <w:topLinePunct w:val="0"/>
              <w:autoSpaceDE/>
              <w:autoSpaceDN/>
              <w:bidi w:val="0"/>
              <w:adjustRightInd/>
              <w:snapToGrid/>
              <w:spacing w:before="0" w:after="0" w:line="520" w:lineRule="exact"/>
              <w:ind w:left="0" w:leftChars="0" w:firstLine="482" w:firstLineChars="200"/>
              <w:jc w:val="both"/>
              <w:textAlignment w:val="auto"/>
              <w:outlineLvl w:val="1"/>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4.</w:t>
            </w:r>
            <w:r>
              <w:rPr>
                <w:rFonts w:hint="eastAsia" w:cs="Times New Roman"/>
                <w:b/>
                <w:bCs/>
                <w:kern w:val="2"/>
                <w:sz w:val="24"/>
                <w:szCs w:val="24"/>
                <w:lang w:val="en-US" w:eastAsia="zh-CN" w:bidi="ar-SA"/>
              </w:rPr>
              <w:t>4</w:t>
            </w:r>
            <w:r>
              <w:rPr>
                <w:rFonts w:hint="default" w:ascii="Times New Roman" w:hAnsi="Times New Roman" w:eastAsia="宋体" w:cs="Times New Roman"/>
                <w:b/>
                <w:bCs/>
                <w:kern w:val="2"/>
                <w:sz w:val="24"/>
                <w:szCs w:val="24"/>
                <w:lang w:val="en-US" w:eastAsia="zh-CN" w:bidi="ar-SA"/>
              </w:rPr>
              <w:t>危险废物防治措施分析</w:t>
            </w:r>
          </w:p>
          <w:p w14:paraId="790405E3">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（1）危险废物储存场所污染防治措施分析</w:t>
            </w:r>
          </w:p>
          <w:p w14:paraId="0F4F32DA">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lang w:eastAsia="zh-CN"/>
              </w:rPr>
              <w:t>危废间</w:t>
            </w:r>
            <w:r>
              <w:rPr>
                <w:rFonts w:hint="default" w:ascii="Times New Roman" w:hAnsi="Times New Roman" w:eastAsia="宋体" w:cs="Times New Roman"/>
                <w:sz w:val="24"/>
              </w:rPr>
              <w:t>应严格按照《危险废物贮存污染控制标准》</w:t>
            </w:r>
            <w:r>
              <w:rPr>
                <w:rFonts w:hint="default" w:ascii="Times New Roman" w:hAnsi="Times New Roman" w:eastAsia="宋体" w:cs="Times New Roman"/>
                <w:bCs/>
                <w:sz w:val="24"/>
              </w:rPr>
              <w:t>（GB18597-20</w:t>
            </w:r>
            <w:r>
              <w:rPr>
                <w:rFonts w:hint="default" w:ascii="Times New Roman" w:hAnsi="Times New Roman" w:eastAsia="宋体" w:cs="Times New Roman"/>
                <w:bCs/>
                <w:sz w:val="24"/>
                <w:lang w:val="en-US" w:eastAsia="zh-CN"/>
              </w:rPr>
              <w:t>23</w:t>
            </w:r>
            <w:r>
              <w:rPr>
                <w:rFonts w:hint="default" w:ascii="Times New Roman" w:hAnsi="Times New Roman" w:eastAsia="宋体" w:cs="Times New Roman"/>
                <w:bCs/>
                <w:sz w:val="24"/>
              </w:rPr>
              <w:t>）</w:t>
            </w:r>
            <w:r>
              <w:rPr>
                <w:rFonts w:hint="default" w:ascii="Times New Roman" w:hAnsi="Times New Roman" w:eastAsia="宋体" w:cs="Times New Roman"/>
                <w:sz w:val="24"/>
              </w:rPr>
              <w:t>中相关要求进行设置，</w:t>
            </w:r>
            <w:r>
              <w:rPr>
                <w:rFonts w:hint="default" w:ascii="Times New Roman" w:hAnsi="Times New Roman" w:eastAsia="宋体" w:cs="Times New Roman"/>
                <w:bCs/>
                <w:sz w:val="24"/>
              </w:rPr>
              <w:t>做到</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防风、防雨、防晒、防渗</w:t>
            </w:r>
            <w:r>
              <w:rPr>
                <w:rFonts w:hint="default" w:ascii="Times New Roman" w:hAnsi="Times New Roman" w:eastAsia="宋体" w:cs="Times New Roman"/>
                <w:sz w:val="24"/>
                <w:lang w:eastAsia="zh-CN"/>
              </w:rPr>
              <w:t>、防漏、防腐”</w:t>
            </w:r>
            <w:r>
              <w:rPr>
                <w:rFonts w:hint="default" w:ascii="Times New Roman" w:hAnsi="Times New Roman" w:eastAsia="宋体" w:cs="Times New Roman"/>
                <w:sz w:val="24"/>
              </w:rPr>
              <w:t>；</w:t>
            </w:r>
            <w:r>
              <w:rPr>
                <w:rFonts w:hint="default" w:ascii="Times New Roman" w:hAnsi="Times New Roman" w:eastAsia="宋体" w:cs="Times New Roman"/>
                <w:sz w:val="24"/>
                <w:lang w:eastAsia="zh-CN"/>
              </w:rPr>
              <w:t>危废间</w:t>
            </w:r>
            <w:r>
              <w:rPr>
                <w:rFonts w:hint="default" w:ascii="Times New Roman" w:hAnsi="Times New Roman" w:eastAsia="宋体" w:cs="Times New Roman"/>
                <w:sz w:val="24"/>
              </w:rPr>
              <w:t>作为重点防渗区必须防渗；同时应设置危险废物识别标志、标明具体物质名称，并做好警示标志。另外，危废储存同时应满足以下几点：</w:t>
            </w:r>
          </w:p>
          <w:p w14:paraId="46CBADB8">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bCs/>
                <w:spacing w:val="-2"/>
                <w:sz w:val="24"/>
              </w:rPr>
            </w:pPr>
            <w:r>
              <w:rPr>
                <w:rFonts w:hint="default" w:ascii="Times New Roman" w:hAnsi="Times New Roman" w:eastAsia="宋体" w:cs="Times New Roman"/>
                <w:bCs/>
                <w:sz w:val="24"/>
              </w:rPr>
              <w:t>①</w:t>
            </w:r>
            <w:r>
              <w:rPr>
                <w:rFonts w:hint="default" w:ascii="Times New Roman" w:hAnsi="Times New Roman" w:eastAsia="宋体" w:cs="Times New Roman"/>
                <w:bCs/>
                <w:spacing w:val="-2"/>
                <w:sz w:val="24"/>
              </w:rPr>
              <w:t>项目应将</w:t>
            </w:r>
            <w:r>
              <w:rPr>
                <w:rFonts w:hint="default" w:ascii="Times New Roman" w:hAnsi="Times New Roman" w:eastAsia="宋体" w:cs="Times New Roman"/>
                <w:bCs/>
                <w:sz w:val="24"/>
              </w:rPr>
              <w:t>产生的各类危险废物全部分类</w:t>
            </w:r>
            <w:r>
              <w:rPr>
                <w:rFonts w:hint="default" w:ascii="Times New Roman" w:hAnsi="Times New Roman" w:eastAsia="宋体" w:cs="Times New Roman"/>
                <w:bCs/>
                <w:spacing w:val="-2"/>
                <w:sz w:val="24"/>
              </w:rPr>
              <w:t>装入专用密闭容器中，容器及材质要满足相应的强度要求，且完好无损，容器材质和衬里要与危险废物相容（不相互反应）；</w:t>
            </w:r>
          </w:p>
          <w:p w14:paraId="400689AF">
            <w:pPr>
              <w:pageBreakBefore w:val="0"/>
              <w:kinsoku/>
              <w:overflowPunct/>
              <w:topLinePunct w:val="0"/>
              <w:autoSpaceDE/>
              <w:autoSpaceDN/>
              <w:bidi w:val="0"/>
              <w:adjustRightInd/>
              <w:snapToGrid/>
              <w:spacing w:line="520" w:lineRule="exact"/>
              <w:ind w:firstLine="472"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pacing w:val="-2"/>
                <w:sz w:val="24"/>
              </w:rPr>
              <w:t>②</w:t>
            </w:r>
            <w:r>
              <w:rPr>
                <w:rFonts w:hint="default" w:ascii="Times New Roman" w:hAnsi="Times New Roman" w:eastAsia="宋体" w:cs="Times New Roman"/>
                <w:sz w:val="24"/>
              </w:rPr>
              <w:t>危险废物</w:t>
            </w:r>
            <w:r>
              <w:rPr>
                <w:rFonts w:hint="default" w:ascii="Times New Roman" w:hAnsi="Times New Roman" w:eastAsia="宋体" w:cs="Times New Roman"/>
                <w:bCs/>
                <w:sz w:val="24"/>
              </w:rPr>
              <w:t>的收集、存放要严格按照《危险废物贮存污染控制标准》（GB18597-20</w:t>
            </w:r>
            <w:r>
              <w:rPr>
                <w:rFonts w:hint="default" w:ascii="Times New Roman" w:hAnsi="Times New Roman" w:eastAsia="宋体" w:cs="Times New Roman"/>
                <w:bCs/>
                <w:sz w:val="24"/>
                <w:lang w:val="en-US" w:eastAsia="zh-CN"/>
              </w:rPr>
              <w:t>23</w:t>
            </w:r>
            <w:r>
              <w:rPr>
                <w:rFonts w:hint="default" w:ascii="Times New Roman" w:hAnsi="Times New Roman" w:eastAsia="宋体" w:cs="Times New Roman"/>
                <w:bCs/>
                <w:sz w:val="24"/>
              </w:rPr>
              <w:t>）有关要求，且</w:t>
            </w:r>
            <w:r>
              <w:rPr>
                <w:rFonts w:hint="default" w:ascii="Times New Roman" w:hAnsi="Times New Roman" w:eastAsia="宋体" w:cs="Times New Roman"/>
                <w:sz w:val="24"/>
                <w:lang w:eastAsia="zh-CN"/>
              </w:rPr>
              <w:t>危废间</w:t>
            </w:r>
            <w:r>
              <w:rPr>
                <w:rFonts w:hint="default" w:ascii="Times New Roman" w:hAnsi="Times New Roman" w:eastAsia="宋体" w:cs="Times New Roman"/>
                <w:bCs/>
                <w:sz w:val="24"/>
              </w:rPr>
              <w:t>内要设置备用收集桶以及围堰；</w:t>
            </w:r>
          </w:p>
          <w:p w14:paraId="1A1A79CC">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③定期委托有资质的危险废物处置单位运走安全处置，</w:t>
            </w:r>
            <w:r>
              <w:rPr>
                <w:rFonts w:hint="default" w:ascii="Times New Roman" w:hAnsi="Times New Roman" w:eastAsia="宋体" w:cs="Times New Roman"/>
                <w:sz w:val="24"/>
              </w:rPr>
              <w:t>危险废物</w:t>
            </w:r>
            <w:r>
              <w:rPr>
                <w:rFonts w:hint="default" w:ascii="Times New Roman" w:hAnsi="Times New Roman" w:eastAsia="宋体" w:cs="Times New Roman"/>
                <w:bCs/>
                <w:sz w:val="24"/>
              </w:rPr>
              <w:t>转运过程严格执行《危险废物转移管理办法》（生态环境部 公安部 交通运输部 部令 第23号）的相关规定。采取评价要求的措施后，项目固废对周围环境的影响将进一步降低；</w:t>
            </w:r>
          </w:p>
          <w:p w14:paraId="2DB08399">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④</w:t>
            </w:r>
            <w:r>
              <w:rPr>
                <w:rFonts w:hint="default" w:ascii="Times New Roman" w:hAnsi="Times New Roman" w:eastAsia="宋体" w:cs="Times New Roman"/>
                <w:sz w:val="24"/>
                <w:lang w:eastAsia="zh-CN"/>
              </w:rPr>
              <w:t>危废间</w:t>
            </w:r>
            <w:r>
              <w:rPr>
                <w:rFonts w:hint="default" w:ascii="Times New Roman" w:hAnsi="Times New Roman" w:eastAsia="宋体" w:cs="Times New Roman"/>
                <w:bCs/>
                <w:sz w:val="24"/>
              </w:rPr>
              <w:t>应设置</w:t>
            </w:r>
            <w:r>
              <w:rPr>
                <w:rFonts w:hint="default" w:ascii="Times New Roman" w:hAnsi="Times New Roman" w:eastAsia="宋体" w:cs="Times New Roman"/>
                <w:bCs/>
                <w:sz w:val="24"/>
                <w:lang w:eastAsia="zh-CN"/>
              </w:rPr>
              <w:t>危险废物</w:t>
            </w:r>
            <w:r>
              <w:rPr>
                <w:rFonts w:hint="default" w:ascii="Times New Roman" w:hAnsi="Times New Roman" w:eastAsia="宋体" w:cs="Times New Roman"/>
                <w:bCs/>
                <w:sz w:val="24"/>
              </w:rPr>
              <w:t>管理台账，严格控制</w:t>
            </w:r>
            <w:r>
              <w:rPr>
                <w:rFonts w:hint="default" w:ascii="Times New Roman" w:hAnsi="Times New Roman" w:eastAsia="宋体" w:cs="Times New Roman"/>
                <w:bCs/>
                <w:sz w:val="24"/>
                <w:lang w:eastAsia="zh-CN"/>
              </w:rPr>
              <w:t>危险废物</w:t>
            </w:r>
            <w:r>
              <w:rPr>
                <w:rFonts w:hint="default" w:ascii="Times New Roman" w:hAnsi="Times New Roman" w:eastAsia="宋体" w:cs="Times New Roman"/>
                <w:bCs/>
                <w:sz w:val="24"/>
              </w:rPr>
              <w:t>的产生、收集和转移；</w:t>
            </w:r>
          </w:p>
          <w:p w14:paraId="6CED7F1D">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（2）</w:t>
            </w:r>
            <w:r>
              <w:rPr>
                <w:rFonts w:hint="default" w:ascii="Times New Roman" w:hAnsi="Times New Roman" w:eastAsia="宋体" w:cs="Times New Roman"/>
                <w:sz w:val="24"/>
                <w:highlight w:val="none"/>
                <w:lang w:eastAsia="zh-CN"/>
              </w:rPr>
              <w:t>危险废物贮存场所</w:t>
            </w:r>
            <w:r>
              <w:rPr>
                <w:rFonts w:hint="default" w:ascii="Times New Roman" w:hAnsi="Times New Roman" w:eastAsia="宋体" w:cs="Times New Roman"/>
                <w:sz w:val="24"/>
                <w:highlight w:val="none"/>
              </w:rPr>
              <w:t>环境影响分析</w:t>
            </w:r>
          </w:p>
          <w:p w14:paraId="2E26B2B9">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①该区域地质结构稳定，不在洪水、滑坡、泥石流等自然灾害影响范围内。评价要求项目危废间严格按照《危险废物贮存污染控制标准》（GB18597-20</w:t>
            </w:r>
            <w:r>
              <w:rPr>
                <w:rFonts w:hint="default" w:ascii="Times New Roman" w:hAnsi="Times New Roman" w:eastAsia="宋体" w:cs="Times New Roman"/>
                <w:sz w:val="24"/>
                <w:lang w:val="en-US" w:eastAsia="zh-CN"/>
              </w:rPr>
              <w:t>23</w:t>
            </w:r>
            <w:r>
              <w:rPr>
                <w:rFonts w:hint="default" w:ascii="Times New Roman" w:hAnsi="Times New Roman" w:eastAsia="宋体" w:cs="Times New Roman"/>
                <w:sz w:val="24"/>
              </w:rPr>
              <w:t>）有关要求建设。</w:t>
            </w:r>
          </w:p>
          <w:p w14:paraId="65F73F38">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②项目各类危险废物分类收集于相应的密闭容器中，分区暂存于</w:t>
            </w:r>
            <w:r>
              <w:rPr>
                <w:rFonts w:hint="default" w:ascii="Times New Roman" w:hAnsi="Times New Roman" w:eastAsia="宋体" w:cs="Times New Roman"/>
                <w:sz w:val="24"/>
                <w:lang w:eastAsia="zh-CN"/>
              </w:rPr>
              <w:t>危废间内</w:t>
            </w:r>
            <w:r>
              <w:rPr>
                <w:rFonts w:hint="default" w:ascii="Times New Roman" w:hAnsi="Times New Roman" w:eastAsia="宋体" w:cs="Times New Roman"/>
                <w:sz w:val="24"/>
              </w:rPr>
              <w:t>，危险定期委托有资质的危险废物处置单位运走安全处置。</w:t>
            </w:r>
          </w:p>
          <w:p w14:paraId="129185C3">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③本项目危险废物对环境的主要影响为事故情况下危废泄漏对地下水的影响，评价要求储存区周围设置围堰以及备用容器，地面按照《危险废物贮存污染控制标准》（GB18597-20</w:t>
            </w:r>
            <w:r>
              <w:rPr>
                <w:rFonts w:hint="default" w:ascii="Times New Roman" w:hAnsi="Times New Roman" w:eastAsia="宋体" w:cs="Times New Roman"/>
                <w:sz w:val="24"/>
                <w:lang w:val="en-US" w:eastAsia="zh-CN"/>
              </w:rPr>
              <w:t>23</w:t>
            </w:r>
            <w:r>
              <w:rPr>
                <w:rFonts w:hint="default" w:ascii="Times New Roman" w:hAnsi="Times New Roman" w:eastAsia="宋体" w:cs="Times New Roman"/>
                <w:sz w:val="24"/>
              </w:rPr>
              <w:t>）有关要求进行防渗处理。在确保各项防渗场所得以落实，并加强维护和厂区环境管理的前提下，可有效控制厂区内的危废污染物下渗现象，避免污染地下水。</w:t>
            </w:r>
          </w:p>
          <w:p w14:paraId="3B4F4E8C">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同时应做到以下几点：</w:t>
            </w:r>
            <w:r>
              <w:rPr>
                <w:rFonts w:hint="default" w:ascii="Times New Roman" w:hAnsi="Times New Roman" w:eastAsia="微软雅黑" w:cs="Times New Roman"/>
                <w:sz w:val="24"/>
              </w:rPr>
              <w:t>①</w:t>
            </w:r>
            <w:r>
              <w:rPr>
                <w:rFonts w:hint="default" w:ascii="Times New Roman" w:hAnsi="Times New Roman" w:eastAsia="宋体" w:cs="Times New Roman"/>
                <w:sz w:val="24"/>
              </w:rPr>
              <w:t>工程使用的专用容器材质要满足相应的强度要求，且完好无损；②设置危险废物识别标志、标明具体物质名称，并做好警示标志；③</w:t>
            </w:r>
            <w:r>
              <w:rPr>
                <w:rFonts w:hint="default" w:ascii="Times New Roman" w:hAnsi="Times New Roman" w:eastAsia="宋体" w:cs="Times New Roman"/>
                <w:sz w:val="24"/>
                <w:lang w:eastAsia="zh-CN"/>
              </w:rPr>
              <w:t>危废间</w:t>
            </w:r>
            <w:r>
              <w:rPr>
                <w:rFonts w:hint="default" w:ascii="Times New Roman" w:hAnsi="Times New Roman" w:eastAsia="宋体" w:cs="Times New Roman"/>
                <w:sz w:val="24"/>
              </w:rPr>
              <w:t>应密闭，满足“防风、防雨、防火、防渗</w:t>
            </w:r>
            <w:r>
              <w:rPr>
                <w:rFonts w:hint="default" w:ascii="Times New Roman" w:hAnsi="Times New Roman" w:eastAsia="宋体" w:cs="Times New Roman"/>
                <w:sz w:val="24"/>
                <w:lang w:eastAsia="zh-CN"/>
              </w:rPr>
              <w:t>、防漏、防腐</w:t>
            </w:r>
            <w:r>
              <w:rPr>
                <w:rFonts w:hint="default" w:ascii="Times New Roman" w:hAnsi="Times New Roman" w:eastAsia="宋体" w:cs="Times New Roman"/>
                <w:sz w:val="24"/>
              </w:rPr>
              <w:t>”</w:t>
            </w:r>
            <w:r>
              <w:rPr>
                <w:rFonts w:hint="default" w:ascii="Times New Roman" w:hAnsi="Times New Roman" w:eastAsia="宋体" w:cs="Times New Roman"/>
                <w:sz w:val="24"/>
                <w:lang w:eastAsia="zh-CN"/>
              </w:rPr>
              <w:t>六</w:t>
            </w:r>
            <w:r>
              <w:rPr>
                <w:rFonts w:hint="default" w:ascii="Times New Roman" w:hAnsi="Times New Roman" w:eastAsia="宋体" w:cs="Times New Roman"/>
                <w:sz w:val="24"/>
              </w:rPr>
              <w:t>防要求，防渗层采用抗渗混凝土（20cm）高密度聚乙烯（2mm）或其他等同材料进行防渗，渗透系数≤10</w:t>
            </w:r>
            <w:r>
              <w:rPr>
                <w:rFonts w:hint="default" w:ascii="Times New Roman" w:hAnsi="Times New Roman" w:eastAsia="宋体" w:cs="Times New Roman"/>
                <w:sz w:val="24"/>
                <w:vertAlign w:val="superscript"/>
              </w:rPr>
              <w:t>-10</w:t>
            </w:r>
            <w:r>
              <w:rPr>
                <w:rFonts w:hint="default" w:ascii="Times New Roman" w:hAnsi="Times New Roman" w:eastAsia="宋体" w:cs="Times New Roman"/>
                <w:sz w:val="24"/>
              </w:rPr>
              <w:t>cm/s；④危险废物的收集、存放要严格按照《危险废物贮存污染控制标准》（GB18597-20</w:t>
            </w:r>
            <w:r>
              <w:rPr>
                <w:rFonts w:hint="default" w:ascii="Times New Roman" w:hAnsi="Times New Roman" w:eastAsia="宋体" w:cs="Times New Roman"/>
                <w:sz w:val="24"/>
                <w:lang w:val="en-US" w:eastAsia="zh-CN"/>
              </w:rPr>
              <w:t>23</w:t>
            </w:r>
            <w:r>
              <w:rPr>
                <w:rFonts w:hint="default" w:ascii="Times New Roman" w:hAnsi="Times New Roman" w:eastAsia="宋体" w:cs="Times New Roman"/>
                <w:sz w:val="24"/>
              </w:rPr>
              <w:t>）有关要求；⑤定期委托有资质的危险废物处置单位运走安全处置，危险废物转运过程严格执行《危险废物转移管理办法》（生态环境部 公安部 交通运输部 部令 第23号）的相关规定，设置台帐，如实记录每次转运情况。</w:t>
            </w:r>
          </w:p>
          <w:p w14:paraId="344F7ABE">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（3）危险废物的收集、储存、转移等管理措施分析</w:t>
            </w:r>
          </w:p>
          <w:p w14:paraId="630F4B94">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根据《危险废物收集、贮存、运输技术规范》（HJ2025-2012）、《河南省环境保护厅关于印发河南省危险废物规范化管理工作指南（试行）的通知》（豫环文[2012]18号），危险废物的收集、储存和运输等管理措施如下：</w:t>
            </w:r>
          </w:p>
          <w:p w14:paraId="6374449B">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①危废的收集应制定详细的操作规程，内容至少应包括适用范围、操作程序和方法、专用设备和工具、转移和交接、安全保障和应急防护等。收集在危废产生工序进行，直接将其收集至密闭容器后转运至危废暂存间，不在危废</w:t>
            </w:r>
            <w:r>
              <w:rPr>
                <w:rFonts w:hint="default" w:ascii="Times New Roman" w:hAnsi="Times New Roman" w:eastAsia="宋体" w:cs="Times New Roman"/>
                <w:sz w:val="24"/>
                <w:lang w:eastAsia="zh-CN"/>
              </w:rPr>
              <w:t>间</w:t>
            </w:r>
            <w:r>
              <w:rPr>
                <w:rFonts w:hint="default" w:ascii="Times New Roman" w:hAnsi="Times New Roman" w:eastAsia="宋体" w:cs="Times New Roman"/>
                <w:sz w:val="24"/>
              </w:rPr>
              <w:t>外存放，且收集过程应保证不洒漏。</w:t>
            </w:r>
          </w:p>
          <w:p w14:paraId="3DC4982C">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②企业应当向固体废物污染防治物联网产废单位管理系统申报危险废物的种类、产生量、产生环节、流向、贮存处置情况等事项。</w:t>
            </w:r>
          </w:p>
          <w:p w14:paraId="43E07E30">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③企业必须按照国家有关规定制定危险废物管理计划，并向环境保护主管部门备案。危险废物管理计划的期限一般为1年，鼓励制定中长期的危险废物管理计划，但一般不超过5年。</w:t>
            </w:r>
          </w:p>
          <w:p w14:paraId="5545FB9E">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④危险废物应由具有《危险废物经营许可证》并可以处置该类废物的单位进行处理处置，并严格执行危险废物转移联单制度，在危险废物转移前在固体废物污染防治物联网填报转移联单。</w:t>
            </w:r>
          </w:p>
          <w:p w14:paraId="20A4E2A8">
            <w:pPr>
              <w:pageBreakBefore w:val="0"/>
              <w:kinsoku/>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⑤在危废的转移处置过程中，应严格按照《中华人民共和国固体废物污染环境防治法》、《危险废物转移管理办法》（生态环境部 公安部 交通运输部 部令 第23号）及《建设项目危险废物环境影响评价指南》的有关规定执行：a.企业必须按照国家有关规定通过国家危险废物信息管理系统产废单位管理系统向所在地生态环境部门申报危险废物种类、产生量、流向、贮存、处置等有关资料。b.企业、危废运输单位及危废处置单位必须如实填写危废联单，做好危废转移的记录，记录上必须注明危废的名称、来源、数量、特定和包装容器的类型等内容。c.运输人员必须掌握危险废物运输的安全知识，了解其性质、危险特征、包装容器的使用特性和发生意外的应急措施；运输车辆必须具有车辆危险货物运输许可证；驾驶人员必须由取得驾驶执照的熟练人员担任；危险废物运输时必须配备押运人员，并按照行车路线行驶，不得进入危险化学品运输车辆禁止通过的区域。d.对危险废物的容器和包装物以及收集、贮存、运输、处置危险废物的设施、场所，必须设置危险废物识别标志。e.产生危险废物的单位必须按照国家有关规定制定危险废物管理计划，废物管理计划应当包括减少危险废物产生量和危害性的措施以及危险废物贮存、利用、处置措施。危险废物管理计划应当报产生危险废物的单位所在地生态环境主管部门备案。f.产生危废的单位已经取得排污许可证的，执行排污许可管理制度的规定。g.产生危险废物的单位，必须按照国家有关规定处置危险废物，不得擅自倾倒、堆放。收集、贮存危险废物，必须按照危险废物特性分类进行。禁止混合收集、贮存、运输、处置性质不相容而未经安全性处置的危险废物。h.转移危险废物的，应当向河南省生态环境主管部门申请，并经接受地省、自治区、直辖市人民政府生态环境主管部门同意后，在规定期限内批准转移该危险废物，并将批准信息通报相关省、自治区、直辖市人民政府生态环境主管部门和交通运输主管部门。未经批准的，不得转移。</w:t>
            </w:r>
          </w:p>
          <w:p w14:paraId="779D8EFC">
            <w:pPr>
              <w:pStyle w:val="26"/>
              <w:pageBreakBefore w:val="0"/>
              <w:kinsoku/>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kern w:val="0"/>
              </w:rPr>
              <w:t>本项目固体废物产生及处置情况见下表。</w:t>
            </w:r>
          </w:p>
          <w:p w14:paraId="060C1458">
            <w:pPr>
              <w:pStyle w:val="28"/>
              <w:rPr>
                <w:rFonts w:hint="default" w:ascii="Times New Roman" w:hAnsi="Times New Roman" w:cs="Times New Roman"/>
              </w:rPr>
            </w:pPr>
            <w:r>
              <w:rPr>
                <w:rFonts w:hint="default" w:ascii="Times New Roman" w:hAnsi="Times New Roman" w:cs="Times New Roman"/>
              </w:rPr>
              <w:t>表4-</w:t>
            </w:r>
            <w:r>
              <w:rPr>
                <w:rFonts w:hint="default" w:ascii="Times New Roman" w:hAnsi="Times New Roman" w:cs="Times New Roman"/>
                <w:lang w:val="en-US" w:eastAsia="zh-CN"/>
              </w:rPr>
              <w:t>2</w:t>
            </w:r>
            <w:r>
              <w:rPr>
                <w:rFonts w:hint="eastAsia" w:cs="Times New Roman"/>
                <w:lang w:val="en-US" w:eastAsia="zh-CN"/>
              </w:rPr>
              <w:t>2</w:t>
            </w:r>
            <w:r>
              <w:rPr>
                <w:rFonts w:hint="default" w:ascii="Times New Roman" w:hAnsi="Times New Roman" w:cs="Times New Roman"/>
              </w:rPr>
              <w:t xml:space="preserve">  本项目固废产生情况一览表</w:t>
            </w:r>
          </w:p>
          <w:tbl>
            <w:tblPr>
              <w:tblStyle w:val="15"/>
              <w:tblW w:w="497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09"/>
              <w:gridCol w:w="1264"/>
              <w:gridCol w:w="697"/>
              <w:gridCol w:w="916"/>
              <w:gridCol w:w="731"/>
              <w:gridCol w:w="1236"/>
              <w:gridCol w:w="747"/>
              <w:gridCol w:w="1115"/>
              <w:gridCol w:w="969"/>
            </w:tblGrid>
            <w:tr w14:paraId="15E53B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11" w:type="pct"/>
                  <w:noWrap w:val="0"/>
                  <w:vAlign w:val="center"/>
                </w:tcPr>
                <w:p w14:paraId="3C430689">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序号</w:t>
                  </w:r>
                </w:p>
              </w:tc>
              <w:tc>
                <w:tcPr>
                  <w:tcW w:w="771" w:type="pct"/>
                  <w:noWrap w:val="0"/>
                  <w:vAlign w:val="center"/>
                </w:tcPr>
                <w:p w14:paraId="5770DB30">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固废名称</w:t>
                  </w:r>
                </w:p>
              </w:tc>
              <w:tc>
                <w:tcPr>
                  <w:tcW w:w="425" w:type="pct"/>
                  <w:noWrap w:val="0"/>
                  <w:vAlign w:val="center"/>
                </w:tcPr>
                <w:p w14:paraId="7DFDCB9C">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产生工序</w:t>
                  </w:r>
                </w:p>
              </w:tc>
              <w:tc>
                <w:tcPr>
                  <w:tcW w:w="559" w:type="pct"/>
                  <w:noWrap w:val="0"/>
                  <w:vAlign w:val="center"/>
                </w:tcPr>
                <w:p w14:paraId="0BB91023">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产生量t/a</w:t>
                  </w:r>
                </w:p>
              </w:tc>
              <w:tc>
                <w:tcPr>
                  <w:tcW w:w="446" w:type="pct"/>
                  <w:noWrap w:val="0"/>
                  <w:vAlign w:val="center"/>
                </w:tcPr>
                <w:p w14:paraId="615E0225">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形态</w:t>
                  </w:r>
                </w:p>
              </w:tc>
              <w:tc>
                <w:tcPr>
                  <w:tcW w:w="754" w:type="pct"/>
                  <w:noWrap w:val="0"/>
                  <w:vAlign w:val="center"/>
                </w:tcPr>
                <w:p w14:paraId="12BDC3F8">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主要成分</w:t>
                  </w:r>
                </w:p>
              </w:tc>
              <w:tc>
                <w:tcPr>
                  <w:tcW w:w="456" w:type="pct"/>
                  <w:noWrap w:val="0"/>
                  <w:vAlign w:val="center"/>
                </w:tcPr>
                <w:p w14:paraId="4593C9CA">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属性</w:t>
                  </w:r>
                </w:p>
              </w:tc>
              <w:tc>
                <w:tcPr>
                  <w:tcW w:w="680" w:type="pct"/>
                  <w:noWrap w:val="0"/>
                  <w:vAlign w:val="center"/>
                </w:tcPr>
                <w:p w14:paraId="2E3B79DA">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存储设施</w:t>
                  </w:r>
                </w:p>
              </w:tc>
              <w:tc>
                <w:tcPr>
                  <w:tcW w:w="591" w:type="pct"/>
                  <w:noWrap w:val="0"/>
                  <w:vAlign w:val="center"/>
                </w:tcPr>
                <w:p w14:paraId="659816E9">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处置</w:t>
                  </w:r>
                </w:p>
                <w:p w14:paraId="7B27DB22">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 w:val="0"/>
                      <w:bCs/>
                    </w:rPr>
                  </w:pPr>
                  <w:r>
                    <w:rPr>
                      <w:rFonts w:hint="default" w:ascii="Times New Roman" w:hAnsi="Times New Roman" w:cs="Times New Roman"/>
                      <w:b w:val="0"/>
                      <w:bCs/>
                    </w:rPr>
                    <w:t>情况</w:t>
                  </w:r>
                </w:p>
              </w:tc>
            </w:tr>
            <w:tr w14:paraId="2A83BA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311" w:type="pct"/>
                  <w:noWrap w:val="0"/>
                  <w:vAlign w:val="center"/>
                </w:tcPr>
                <w:p w14:paraId="28BA2A7F">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1</w:t>
                  </w:r>
                </w:p>
              </w:tc>
              <w:tc>
                <w:tcPr>
                  <w:tcW w:w="771" w:type="pct"/>
                  <w:noWrap w:val="0"/>
                  <w:vAlign w:val="center"/>
                </w:tcPr>
                <w:p w14:paraId="0FEC3710">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default" w:ascii="Times New Roman" w:hAnsi="Times New Roman" w:cs="Times New Roman"/>
                    </w:rPr>
                    <w:t>废</w:t>
                  </w:r>
                  <w:r>
                    <w:rPr>
                      <w:rFonts w:hint="eastAsia" w:cs="Times New Roman"/>
                      <w:lang w:eastAsia="zh-CN"/>
                    </w:rPr>
                    <w:t>边角料</w:t>
                  </w:r>
                </w:p>
              </w:tc>
              <w:tc>
                <w:tcPr>
                  <w:tcW w:w="425" w:type="pct"/>
                  <w:vMerge w:val="restart"/>
                  <w:noWrap w:val="0"/>
                  <w:vAlign w:val="center"/>
                </w:tcPr>
                <w:p w14:paraId="56923309">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生产过程</w:t>
                  </w:r>
                </w:p>
              </w:tc>
              <w:tc>
                <w:tcPr>
                  <w:tcW w:w="559" w:type="pct"/>
                  <w:noWrap w:val="0"/>
                  <w:vAlign w:val="center"/>
                </w:tcPr>
                <w:p w14:paraId="338203EA">
                  <w:pPr>
                    <w:pStyle w:val="32"/>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bCs/>
                      <w:lang w:val="en-US" w:eastAsia="zh-CN"/>
                    </w:rPr>
                  </w:pPr>
                  <w:r>
                    <w:rPr>
                      <w:rFonts w:hint="eastAsia" w:cs="Times New Roman"/>
                      <w:bCs/>
                      <w:lang w:val="en-US" w:eastAsia="zh-CN"/>
                    </w:rPr>
                    <w:t>55.08</w:t>
                  </w:r>
                </w:p>
              </w:tc>
              <w:tc>
                <w:tcPr>
                  <w:tcW w:w="446" w:type="pct"/>
                  <w:noWrap w:val="0"/>
                  <w:vAlign w:val="center"/>
                </w:tcPr>
                <w:p w14:paraId="1F653390">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固态</w:t>
                  </w:r>
                </w:p>
              </w:tc>
              <w:tc>
                <w:tcPr>
                  <w:tcW w:w="754" w:type="pct"/>
                  <w:noWrap w:val="0"/>
                  <w:vAlign w:val="center"/>
                </w:tcPr>
                <w:p w14:paraId="4194CCB4">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lang w:val="en-US" w:eastAsia="zh-CN"/>
                    </w:rPr>
                  </w:pPr>
                  <w:r>
                    <w:rPr>
                      <w:rFonts w:hint="eastAsia" w:cs="Times New Roman"/>
                      <w:lang w:val="en-US" w:eastAsia="zh-CN"/>
                    </w:rPr>
                    <w:t>BOPS片材</w:t>
                  </w:r>
                </w:p>
              </w:tc>
              <w:tc>
                <w:tcPr>
                  <w:tcW w:w="456" w:type="pct"/>
                  <w:vMerge w:val="restart"/>
                  <w:noWrap w:val="0"/>
                  <w:vAlign w:val="center"/>
                </w:tcPr>
                <w:p w14:paraId="283582EB">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一般工业固废</w:t>
                  </w:r>
                </w:p>
              </w:tc>
              <w:tc>
                <w:tcPr>
                  <w:tcW w:w="680" w:type="pct"/>
                  <w:vMerge w:val="restart"/>
                  <w:noWrap w:val="0"/>
                  <w:vAlign w:val="center"/>
                </w:tcPr>
                <w:p w14:paraId="04901332">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vertAlign w:val="superscript"/>
                      <w:lang w:eastAsia="zh-CN"/>
                    </w:rPr>
                  </w:pPr>
                  <w:r>
                    <w:rPr>
                      <w:rFonts w:hint="default" w:ascii="Times New Roman" w:hAnsi="Times New Roman" w:cs="Times New Roman"/>
                    </w:rPr>
                    <w:t>一般固废间</w:t>
                  </w:r>
                  <w:r>
                    <w:rPr>
                      <w:rFonts w:hint="default" w:ascii="Times New Roman" w:hAnsi="Times New Roman" w:cs="Times New Roman"/>
                      <w:lang w:eastAsia="zh-CN"/>
                    </w:rPr>
                    <w:t>暂存（</w:t>
                  </w:r>
                  <w:r>
                    <w:rPr>
                      <w:rFonts w:hint="default" w:ascii="Times New Roman" w:hAnsi="Times New Roman" w:cs="Times New Roman"/>
                      <w:lang w:val="en-US" w:eastAsia="zh-CN"/>
                    </w:rPr>
                    <w:t>10m</w:t>
                  </w:r>
                  <w:r>
                    <w:rPr>
                      <w:rFonts w:hint="default" w:ascii="Times New Roman" w:hAnsi="Times New Roman" w:cs="Times New Roman"/>
                      <w:vertAlign w:val="superscript"/>
                      <w:lang w:val="en-US" w:eastAsia="zh-CN"/>
                    </w:rPr>
                    <w:t>2</w:t>
                  </w:r>
                  <w:r>
                    <w:rPr>
                      <w:rFonts w:hint="default" w:ascii="Times New Roman" w:hAnsi="Times New Roman" w:cs="Times New Roman"/>
                      <w:lang w:eastAsia="zh-CN"/>
                    </w:rPr>
                    <w:t>）</w:t>
                  </w:r>
                </w:p>
              </w:tc>
              <w:tc>
                <w:tcPr>
                  <w:tcW w:w="591" w:type="pct"/>
                  <w:vMerge w:val="restart"/>
                  <w:noWrap w:val="0"/>
                  <w:vAlign w:val="center"/>
                </w:tcPr>
                <w:p w14:paraId="1DAB3447">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定期</w:t>
                  </w:r>
                </w:p>
                <w:p w14:paraId="068EF350">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外售</w:t>
                  </w:r>
                </w:p>
              </w:tc>
            </w:tr>
            <w:tr w14:paraId="3A63B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311" w:type="pct"/>
                  <w:noWrap w:val="0"/>
                  <w:vAlign w:val="center"/>
                </w:tcPr>
                <w:p w14:paraId="459BBDC8">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2</w:t>
                  </w:r>
                </w:p>
              </w:tc>
              <w:tc>
                <w:tcPr>
                  <w:tcW w:w="771" w:type="pct"/>
                  <w:noWrap w:val="0"/>
                  <w:vAlign w:val="center"/>
                </w:tcPr>
                <w:p w14:paraId="34C7739F">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cs="Times New Roman"/>
                      <w:lang w:eastAsia="zh-CN"/>
                    </w:rPr>
                  </w:pPr>
                  <w:r>
                    <w:rPr>
                      <w:rFonts w:hint="eastAsia" w:cs="Times New Roman"/>
                      <w:lang w:eastAsia="zh-CN"/>
                    </w:rPr>
                    <w:t>不合格</w:t>
                  </w:r>
                </w:p>
                <w:p w14:paraId="51E712C8">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产品</w:t>
                  </w:r>
                </w:p>
              </w:tc>
              <w:tc>
                <w:tcPr>
                  <w:tcW w:w="425" w:type="pct"/>
                  <w:vMerge w:val="continue"/>
                  <w:noWrap w:val="0"/>
                  <w:vAlign w:val="center"/>
                </w:tcPr>
                <w:p w14:paraId="0855F4EB">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c>
                <w:tcPr>
                  <w:tcW w:w="559" w:type="pct"/>
                  <w:noWrap w:val="0"/>
                  <w:vAlign w:val="center"/>
                </w:tcPr>
                <w:p w14:paraId="798E03AC">
                  <w:pPr>
                    <w:pStyle w:val="32"/>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bCs/>
                      <w:lang w:val="en-US" w:eastAsia="zh-CN"/>
                    </w:rPr>
                  </w:pPr>
                  <w:r>
                    <w:rPr>
                      <w:rFonts w:hint="eastAsia" w:cs="Times New Roman"/>
                      <w:bCs/>
                      <w:lang w:val="en-US" w:eastAsia="zh-CN"/>
                    </w:rPr>
                    <w:t>4.25</w:t>
                  </w:r>
                </w:p>
              </w:tc>
              <w:tc>
                <w:tcPr>
                  <w:tcW w:w="446" w:type="pct"/>
                  <w:noWrap w:val="0"/>
                  <w:vAlign w:val="center"/>
                </w:tcPr>
                <w:p w14:paraId="05836D0A">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固态</w:t>
                  </w:r>
                </w:p>
              </w:tc>
              <w:tc>
                <w:tcPr>
                  <w:tcW w:w="754" w:type="pct"/>
                  <w:noWrap w:val="0"/>
                  <w:vAlign w:val="center"/>
                </w:tcPr>
                <w:p w14:paraId="71DEE381">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lang w:eastAsia="zh-CN"/>
                    </w:rPr>
                  </w:pPr>
                  <w:r>
                    <w:rPr>
                      <w:rFonts w:hint="eastAsia" w:cs="Times New Roman"/>
                      <w:lang w:val="en-US" w:eastAsia="zh-CN"/>
                    </w:rPr>
                    <w:t>BOPS片材</w:t>
                  </w:r>
                </w:p>
              </w:tc>
              <w:tc>
                <w:tcPr>
                  <w:tcW w:w="456" w:type="pct"/>
                  <w:vMerge w:val="continue"/>
                  <w:noWrap w:val="0"/>
                  <w:vAlign w:val="center"/>
                </w:tcPr>
                <w:p w14:paraId="553A1B2E">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c>
                <w:tcPr>
                  <w:tcW w:w="680" w:type="pct"/>
                  <w:vMerge w:val="continue"/>
                  <w:noWrap w:val="0"/>
                  <w:vAlign w:val="center"/>
                </w:tcPr>
                <w:p w14:paraId="3E31BA29">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c>
                <w:tcPr>
                  <w:tcW w:w="591" w:type="pct"/>
                  <w:vMerge w:val="continue"/>
                  <w:noWrap w:val="0"/>
                  <w:vAlign w:val="center"/>
                </w:tcPr>
                <w:p w14:paraId="592A2362">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r>
            <w:tr w14:paraId="58BD9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jc w:val="center"/>
              </w:trPr>
              <w:tc>
                <w:tcPr>
                  <w:tcW w:w="311" w:type="pct"/>
                  <w:noWrap w:val="0"/>
                  <w:vAlign w:val="center"/>
                </w:tcPr>
                <w:p w14:paraId="12F66F06">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lang w:val="en-US" w:eastAsia="zh-CN"/>
                    </w:rPr>
                  </w:pPr>
                  <w:r>
                    <w:rPr>
                      <w:rFonts w:hint="eastAsia" w:cs="Times New Roman"/>
                      <w:lang w:val="en-US" w:eastAsia="zh-CN"/>
                    </w:rPr>
                    <w:t>3</w:t>
                  </w:r>
                </w:p>
              </w:tc>
              <w:tc>
                <w:tcPr>
                  <w:tcW w:w="771" w:type="pct"/>
                  <w:noWrap w:val="0"/>
                  <w:vAlign w:val="center"/>
                </w:tcPr>
                <w:p w14:paraId="3E31D619">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废活性炭</w:t>
                  </w:r>
                </w:p>
              </w:tc>
              <w:tc>
                <w:tcPr>
                  <w:tcW w:w="425" w:type="pct"/>
                  <w:noWrap w:val="0"/>
                  <w:vAlign w:val="center"/>
                </w:tcPr>
                <w:p w14:paraId="17E36764">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废气处理</w:t>
                  </w:r>
                </w:p>
              </w:tc>
              <w:tc>
                <w:tcPr>
                  <w:tcW w:w="559" w:type="pct"/>
                  <w:noWrap w:val="0"/>
                  <w:vAlign w:val="center"/>
                </w:tcPr>
                <w:p w14:paraId="278CAFF8">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highlight w:val="none"/>
                      <w:lang w:val="en-US" w:eastAsia="zh-CN"/>
                    </w:rPr>
                  </w:pPr>
                  <w:r>
                    <w:rPr>
                      <w:rFonts w:hint="eastAsia" w:cs="Times New Roman"/>
                      <w:highlight w:val="none"/>
                      <w:lang w:val="en-US" w:eastAsia="zh-CN"/>
                    </w:rPr>
                    <w:t>8.3742</w:t>
                  </w:r>
                </w:p>
              </w:tc>
              <w:tc>
                <w:tcPr>
                  <w:tcW w:w="446" w:type="pct"/>
                  <w:noWrap w:val="0"/>
                  <w:vAlign w:val="center"/>
                </w:tcPr>
                <w:p w14:paraId="3D0A282F">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固体</w:t>
                  </w:r>
                </w:p>
              </w:tc>
              <w:tc>
                <w:tcPr>
                  <w:tcW w:w="754" w:type="pct"/>
                  <w:noWrap w:val="0"/>
                  <w:vAlign w:val="center"/>
                </w:tcPr>
                <w:p w14:paraId="206BD597">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有机废气</w:t>
                  </w:r>
                </w:p>
              </w:tc>
              <w:tc>
                <w:tcPr>
                  <w:tcW w:w="456" w:type="pct"/>
                  <w:vMerge w:val="restart"/>
                  <w:noWrap w:val="0"/>
                  <w:vAlign w:val="center"/>
                </w:tcPr>
                <w:p w14:paraId="4C5722F1">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危险废物</w:t>
                  </w:r>
                </w:p>
              </w:tc>
              <w:tc>
                <w:tcPr>
                  <w:tcW w:w="680" w:type="pct"/>
                  <w:vMerge w:val="restart"/>
                  <w:noWrap w:val="0"/>
                  <w:vAlign w:val="center"/>
                </w:tcPr>
                <w:p w14:paraId="1427F852">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Cs w:val="0"/>
                    </w:rPr>
                  </w:pPr>
                  <w:r>
                    <w:rPr>
                      <w:rFonts w:hint="default" w:ascii="Times New Roman" w:hAnsi="Times New Roman" w:cs="Times New Roman"/>
                      <w:bCs w:val="0"/>
                      <w:lang w:eastAsia="zh-CN"/>
                    </w:rPr>
                    <w:t>危废间</w:t>
                  </w:r>
                  <w:r>
                    <w:rPr>
                      <w:rFonts w:hint="default" w:ascii="Times New Roman" w:hAnsi="Times New Roman" w:cs="Times New Roman"/>
                      <w:bCs w:val="0"/>
                    </w:rPr>
                    <w:t>暂存</w:t>
                  </w:r>
                  <w:r>
                    <w:rPr>
                      <w:rFonts w:hint="default" w:ascii="Times New Roman" w:hAnsi="Times New Roman" w:cs="Times New Roman"/>
                      <w:lang w:eastAsia="zh-CN"/>
                    </w:rPr>
                    <w:t>（</w:t>
                  </w:r>
                  <w:r>
                    <w:rPr>
                      <w:rFonts w:hint="eastAsia" w:cs="Times New Roman"/>
                      <w:lang w:val="en-US" w:eastAsia="zh-CN"/>
                    </w:rPr>
                    <w:t>5</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hint="default" w:ascii="Times New Roman" w:hAnsi="Times New Roman" w:cs="Times New Roman"/>
                      <w:lang w:eastAsia="zh-CN"/>
                    </w:rPr>
                    <w:t>）</w:t>
                  </w:r>
                </w:p>
              </w:tc>
              <w:tc>
                <w:tcPr>
                  <w:tcW w:w="591" w:type="pct"/>
                  <w:vMerge w:val="restart"/>
                  <w:noWrap w:val="0"/>
                  <w:vAlign w:val="center"/>
                </w:tcPr>
                <w:p w14:paraId="18F7FA44">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定期交由有资质单位处理</w:t>
                  </w:r>
                </w:p>
              </w:tc>
            </w:tr>
            <w:tr w14:paraId="6EE41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311" w:type="pct"/>
                  <w:noWrap w:val="0"/>
                  <w:vAlign w:val="center"/>
                </w:tcPr>
                <w:p w14:paraId="03BA83F6">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lang w:val="en-US" w:eastAsia="zh-CN"/>
                    </w:rPr>
                  </w:pPr>
                  <w:r>
                    <w:rPr>
                      <w:rFonts w:hint="eastAsia" w:cs="Times New Roman"/>
                      <w:lang w:val="en-US" w:eastAsia="zh-CN"/>
                    </w:rPr>
                    <w:t>4</w:t>
                  </w:r>
                </w:p>
              </w:tc>
              <w:tc>
                <w:tcPr>
                  <w:tcW w:w="771" w:type="pct"/>
                  <w:noWrap w:val="0"/>
                  <w:vAlign w:val="center"/>
                </w:tcPr>
                <w:p w14:paraId="01EA822A">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废润滑油</w:t>
                  </w:r>
                </w:p>
              </w:tc>
              <w:tc>
                <w:tcPr>
                  <w:tcW w:w="425" w:type="pct"/>
                  <w:vMerge w:val="restart"/>
                  <w:noWrap w:val="0"/>
                  <w:vAlign w:val="center"/>
                </w:tcPr>
                <w:p w14:paraId="63264CE3">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设备检修</w:t>
                  </w:r>
                </w:p>
              </w:tc>
              <w:tc>
                <w:tcPr>
                  <w:tcW w:w="559" w:type="pct"/>
                  <w:noWrap w:val="0"/>
                  <w:vAlign w:val="center"/>
                </w:tcPr>
                <w:p w14:paraId="2349FE53">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0.</w:t>
                  </w:r>
                  <w:r>
                    <w:rPr>
                      <w:rFonts w:hint="eastAsia" w:cs="Times New Roman"/>
                      <w:highlight w:val="none"/>
                      <w:lang w:val="en-US" w:eastAsia="zh-CN"/>
                    </w:rPr>
                    <w:t>35</w:t>
                  </w:r>
                </w:p>
              </w:tc>
              <w:tc>
                <w:tcPr>
                  <w:tcW w:w="446" w:type="pct"/>
                  <w:noWrap w:val="0"/>
                  <w:vAlign w:val="center"/>
                </w:tcPr>
                <w:p w14:paraId="6063E56E">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液态</w:t>
                  </w:r>
                </w:p>
              </w:tc>
              <w:tc>
                <w:tcPr>
                  <w:tcW w:w="754" w:type="pct"/>
                  <w:noWrap w:val="0"/>
                  <w:vAlign w:val="center"/>
                </w:tcPr>
                <w:p w14:paraId="2FDB7064">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default" w:ascii="Times New Roman" w:hAnsi="Times New Roman" w:cs="Times New Roman"/>
                    </w:rPr>
                    <w:t>油</w:t>
                  </w:r>
                  <w:r>
                    <w:rPr>
                      <w:rFonts w:hint="eastAsia" w:cs="Times New Roman"/>
                      <w:lang w:eastAsia="zh-CN"/>
                    </w:rPr>
                    <w:t>泥</w:t>
                  </w:r>
                </w:p>
              </w:tc>
              <w:tc>
                <w:tcPr>
                  <w:tcW w:w="456" w:type="pct"/>
                  <w:vMerge w:val="continue"/>
                  <w:noWrap w:val="0"/>
                  <w:vAlign w:val="center"/>
                </w:tcPr>
                <w:p w14:paraId="7AC7428F">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c>
                <w:tcPr>
                  <w:tcW w:w="680" w:type="pct"/>
                  <w:vMerge w:val="continue"/>
                  <w:noWrap w:val="0"/>
                  <w:vAlign w:val="center"/>
                </w:tcPr>
                <w:p w14:paraId="2362EEE1">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Cs w:val="0"/>
                    </w:rPr>
                  </w:pPr>
                </w:p>
              </w:tc>
              <w:tc>
                <w:tcPr>
                  <w:tcW w:w="591" w:type="pct"/>
                  <w:vMerge w:val="continue"/>
                  <w:noWrap w:val="0"/>
                  <w:vAlign w:val="center"/>
                </w:tcPr>
                <w:p w14:paraId="3373EBAF">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r>
            <w:tr w14:paraId="4C5F41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5" w:hRule="atLeast"/>
                <w:jc w:val="center"/>
              </w:trPr>
              <w:tc>
                <w:tcPr>
                  <w:tcW w:w="311" w:type="pct"/>
                  <w:noWrap w:val="0"/>
                  <w:vAlign w:val="center"/>
                </w:tcPr>
                <w:p w14:paraId="66E8D0AE">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lang w:val="en-US" w:eastAsia="zh-CN"/>
                    </w:rPr>
                  </w:pPr>
                  <w:r>
                    <w:rPr>
                      <w:rFonts w:hint="eastAsia" w:cs="Times New Roman"/>
                      <w:lang w:val="en-US" w:eastAsia="zh-CN"/>
                    </w:rPr>
                    <w:t>5</w:t>
                  </w:r>
                </w:p>
              </w:tc>
              <w:tc>
                <w:tcPr>
                  <w:tcW w:w="771" w:type="pct"/>
                  <w:noWrap w:val="0"/>
                  <w:vAlign w:val="center"/>
                </w:tcPr>
                <w:p w14:paraId="16EC3911">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废油桶</w:t>
                  </w:r>
                </w:p>
              </w:tc>
              <w:tc>
                <w:tcPr>
                  <w:tcW w:w="425" w:type="pct"/>
                  <w:vMerge w:val="continue"/>
                  <w:noWrap w:val="0"/>
                  <w:vAlign w:val="center"/>
                </w:tcPr>
                <w:p w14:paraId="6961C2A4">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c>
                <w:tcPr>
                  <w:tcW w:w="559" w:type="pct"/>
                  <w:noWrap w:val="0"/>
                  <w:vAlign w:val="center"/>
                </w:tcPr>
                <w:p w14:paraId="3F70C796">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0.0</w:t>
                  </w:r>
                  <w:r>
                    <w:rPr>
                      <w:rFonts w:hint="default" w:ascii="Times New Roman" w:hAnsi="Times New Roman" w:cs="Times New Roman"/>
                      <w:highlight w:val="none"/>
                      <w:lang w:val="en-US" w:eastAsia="zh-CN"/>
                    </w:rPr>
                    <w:t>0</w:t>
                  </w:r>
                  <w:r>
                    <w:rPr>
                      <w:rFonts w:hint="eastAsia" w:cs="Times New Roman"/>
                      <w:highlight w:val="none"/>
                      <w:lang w:val="en-US" w:eastAsia="zh-CN"/>
                    </w:rPr>
                    <w:t>7</w:t>
                  </w:r>
                  <w:r>
                    <w:rPr>
                      <w:rFonts w:hint="default" w:ascii="Times New Roman" w:hAnsi="Times New Roman" w:cs="Times New Roman"/>
                      <w:highlight w:val="none"/>
                      <w:lang w:val="en-US" w:eastAsia="zh-CN"/>
                    </w:rPr>
                    <w:t>5</w:t>
                  </w:r>
                </w:p>
              </w:tc>
              <w:tc>
                <w:tcPr>
                  <w:tcW w:w="446" w:type="pct"/>
                  <w:noWrap w:val="0"/>
                  <w:vAlign w:val="center"/>
                </w:tcPr>
                <w:p w14:paraId="3812DB94">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固态</w:t>
                  </w:r>
                </w:p>
              </w:tc>
              <w:tc>
                <w:tcPr>
                  <w:tcW w:w="754" w:type="pct"/>
                  <w:noWrap w:val="0"/>
                  <w:vAlign w:val="center"/>
                </w:tcPr>
                <w:p w14:paraId="394B6068">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金属、</w:t>
                  </w:r>
                </w:p>
                <w:p w14:paraId="55BEAF1C">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eastAsia" w:ascii="Times New Roman" w:hAnsi="Times New Roman" w:eastAsia="宋体" w:cs="Times New Roman"/>
                      <w:lang w:eastAsia="zh-CN"/>
                    </w:rPr>
                  </w:pPr>
                  <w:r>
                    <w:rPr>
                      <w:rFonts w:hint="eastAsia" w:cs="Times New Roman"/>
                      <w:lang w:eastAsia="zh-CN"/>
                    </w:rPr>
                    <w:t>矿物油</w:t>
                  </w:r>
                </w:p>
              </w:tc>
              <w:tc>
                <w:tcPr>
                  <w:tcW w:w="456" w:type="pct"/>
                  <w:vMerge w:val="continue"/>
                  <w:noWrap w:val="0"/>
                  <w:vAlign w:val="center"/>
                </w:tcPr>
                <w:p w14:paraId="235A7507">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c>
                <w:tcPr>
                  <w:tcW w:w="680" w:type="pct"/>
                  <w:vMerge w:val="continue"/>
                  <w:noWrap w:val="0"/>
                  <w:vAlign w:val="center"/>
                </w:tcPr>
                <w:p w14:paraId="180264A3">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Cs w:val="0"/>
                    </w:rPr>
                  </w:pPr>
                </w:p>
              </w:tc>
              <w:tc>
                <w:tcPr>
                  <w:tcW w:w="591" w:type="pct"/>
                  <w:vMerge w:val="continue"/>
                  <w:noWrap w:val="0"/>
                  <w:vAlign w:val="center"/>
                </w:tcPr>
                <w:p w14:paraId="7ACAE81B">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p>
              </w:tc>
            </w:tr>
            <w:tr w14:paraId="6550A9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5" w:hRule="atLeast"/>
                <w:jc w:val="center"/>
              </w:trPr>
              <w:tc>
                <w:tcPr>
                  <w:tcW w:w="311" w:type="pct"/>
                  <w:noWrap w:val="0"/>
                  <w:vAlign w:val="center"/>
                </w:tcPr>
                <w:p w14:paraId="6D7715E4">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lang w:eastAsia="zh-CN"/>
                    </w:rPr>
                  </w:pPr>
                  <w:r>
                    <w:rPr>
                      <w:rFonts w:hint="eastAsia" w:cs="Times New Roman"/>
                      <w:lang w:val="en-US" w:eastAsia="zh-CN"/>
                    </w:rPr>
                    <w:t>6</w:t>
                  </w:r>
                </w:p>
              </w:tc>
              <w:tc>
                <w:tcPr>
                  <w:tcW w:w="771" w:type="pct"/>
                  <w:noWrap w:val="0"/>
                  <w:vAlign w:val="center"/>
                </w:tcPr>
                <w:p w14:paraId="1E197846">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生活垃圾</w:t>
                  </w:r>
                </w:p>
              </w:tc>
              <w:tc>
                <w:tcPr>
                  <w:tcW w:w="425" w:type="pct"/>
                  <w:noWrap w:val="0"/>
                  <w:vAlign w:val="center"/>
                </w:tcPr>
                <w:p w14:paraId="6A001C87">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办公生活</w:t>
                  </w:r>
                </w:p>
              </w:tc>
              <w:tc>
                <w:tcPr>
                  <w:tcW w:w="559" w:type="pct"/>
                  <w:noWrap w:val="0"/>
                  <w:vAlign w:val="center"/>
                </w:tcPr>
                <w:p w14:paraId="0984DEB6">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eastAsia="宋体" w:cs="Times New Roman"/>
                      <w:highlight w:val="none"/>
                      <w:lang w:val="en-US" w:eastAsia="zh-CN"/>
                    </w:rPr>
                  </w:pPr>
                  <w:r>
                    <w:rPr>
                      <w:rFonts w:hint="eastAsia" w:cs="Times New Roman"/>
                      <w:highlight w:val="none"/>
                      <w:lang w:val="en-US" w:eastAsia="zh-CN"/>
                    </w:rPr>
                    <w:t>1.5</w:t>
                  </w:r>
                </w:p>
              </w:tc>
              <w:tc>
                <w:tcPr>
                  <w:tcW w:w="446" w:type="pct"/>
                  <w:noWrap w:val="0"/>
                  <w:vAlign w:val="center"/>
                </w:tcPr>
                <w:p w14:paraId="37122791">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固态</w:t>
                  </w:r>
                </w:p>
              </w:tc>
              <w:tc>
                <w:tcPr>
                  <w:tcW w:w="754" w:type="pct"/>
                  <w:noWrap w:val="0"/>
                  <w:vAlign w:val="center"/>
                </w:tcPr>
                <w:p w14:paraId="5CDF4B18">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生活垃圾</w:t>
                  </w:r>
                </w:p>
              </w:tc>
              <w:tc>
                <w:tcPr>
                  <w:tcW w:w="456" w:type="pct"/>
                  <w:noWrap w:val="0"/>
                  <w:vAlign w:val="center"/>
                </w:tcPr>
                <w:p w14:paraId="6A0488F7">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w:t>
                  </w:r>
                </w:p>
              </w:tc>
              <w:tc>
                <w:tcPr>
                  <w:tcW w:w="680" w:type="pct"/>
                  <w:noWrap w:val="0"/>
                  <w:vAlign w:val="center"/>
                </w:tcPr>
                <w:p w14:paraId="23856C2D">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bCs w:val="0"/>
                    </w:rPr>
                  </w:pPr>
                  <w:r>
                    <w:rPr>
                      <w:rFonts w:hint="default" w:ascii="Times New Roman" w:hAnsi="Times New Roman" w:cs="Times New Roman"/>
                      <w:bCs w:val="0"/>
                    </w:rPr>
                    <w:t>垃圾桶</w:t>
                  </w:r>
                </w:p>
              </w:tc>
              <w:tc>
                <w:tcPr>
                  <w:tcW w:w="591" w:type="pct"/>
                  <w:noWrap w:val="0"/>
                  <w:vAlign w:val="center"/>
                </w:tcPr>
                <w:p w14:paraId="32F2A25D">
                  <w:pPr>
                    <w:pStyle w:val="21"/>
                    <w:keepNext w:val="0"/>
                    <w:keepLines w:val="0"/>
                    <w:pageBreakBefore w:val="0"/>
                    <w:widowControl w:val="0"/>
                    <w:kinsoku/>
                    <w:wordWrap/>
                    <w:overflowPunct/>
                    <w:topLinePunct w:val="0"/>
                    <w:autoSpaceDE/>
                    <w:autoSpaceDN/>
                    <w:bidi w:val="0"/>
                    <w:snapToGrid w:val="0"/>
                    <w:spacing w:line="360" w:lineRule="exact"/>
                    <w:textAlignment w:val="auto"/>
                    <w:rPr>
                      <w:rFonts w:hint="default" w:ascii="Times New Roman" w:hAnsi="Times New Roman" w:cs="Times New Roman"/>
                    </w:rPr>
                  </w:pPr>
                  <w:r>
                    <w:rPr>
                      <w:rFonts w:hint="default" w:ascii="Times New Roman" w:hAnsi="Times New Roman" w:cs="Times New Roman"/>
                    </w:rPr>
                    <w:t>环卫部门处置</w:t>
                  </w:r>
                </w:p>
              </w:tc>
            </w:tr>
          </w:tbl>
          <w:p w14:paraId="4B12428A">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rPr>
            </w:pPr>
            <w:r>
              <w:rPr>
                <w:rFonts w:hint="default" w:ascii="Times New Roman" w:hAnsi="Times New Roman" w:cs="Times New Roman"/>
              </w:rPr>
              <w:t>综上所述，本项目产生的固废经妥善处理、处置后，可以实现零排放，对周围环境及人体不会造成影响，亦不会对环境产生二次污染，所采取的治理措施是可行的。</w:t>
            </w:r>
          </w:p>
          <w:p w14:paraId="26F6E4F3">
            <w:pPr>
              <w:pStyle w:val="26"/>
              <w:keepNext w:val="0"/>
              <w:keepLines w:val="0"/>
              <w:pageBreakBefore w:val="0"/>
              <w:widowControl w:val="0"/>
              <w:kinsoku/>
              <w:wordWrap/>
              <w:overflowPunct/>
              <w:topLinePunct w:val="0"/>
              <w:autoSpaceDE/>
              <w:autoSpaceDN/>
              <w:bidi w:val="0"/>
              <w:spacing w:line="520" w:lineRule="exact"/>
              <w:ind w:firstLine="0" w:firstLineChars="0"/>
              <w:textAlignment w:val="auto"/>
              <w:rPr>
                <w:rFonts w:hint="default" w:ascii="Times New Roman" w:hAnsi="Times New Roman" w:cs="Times New Roman"/>
                <w:b/>
              </w:rPr>
            </w:pPr>
            <w:r>
              <w:rPr>
                <w:rFonts w:hint="eastAsia" w:cs="Times New Roman"/>
                <w:b/>
                <w:highlight w:val="none"/>
                <w:lang w:eastAsia="zh-CN"/>
              </w:rPr>
              <w:t>五</w:t>
            </w:r>
            <w:r>
              <w:rPr>
                <w:rFonts w:hint="default" w:ascii="Times New Roman" w:hAnsi="Times New Roman" w:cs="Times New Roman"/>
                <w:b/>
                <w:highlight w:val="none"/>
              </w:rPr>
              <w:t>、土</w:t>
            </w:r>
            <w:r>
              <w:rPr>
                <w:rFonts w:hint="default" w:ascii="Times New Roman" w:hAnsi="Times New Roman" w:cs="Times New Roman"/>
                <w:b/>
              </w:rPr>
              <w:t>壤、地下水环境影响分析</w:t>
            </w:r>
          </w:p>
          <w:p w14:paraId="24CD4593">
            <w:pPr>
              <w:pStyle w:val="26"/>
              <w:keepNext w:val="0"/>
              <w:keepLines w:val="0"/>
              <w:pageBreakBefore w:val="0"/>
              <w:widowControl w:val="0"/>
              <w:kinsoku/>
              <w:wordWrap/>
              <w:overflowPunct/>
              <w:topLinePunct w:val="0"/>
              <w:autoSpaceDE/>
              <w:autoSpaceDN/>
              <w:bidi w:val="0"/>
              <w:spacing w:line="520" w:lineRule="exact"/>
              <w:ind w:firstLine="480"/>
              <w:textAlignment w:val="auto"/>
              <w:rPr>
                <w:rFonts w:hint="default" w:ascii="Times New Roman" w:hAnsi="Times New Roman" w:cs="Times New Roman"/>
                <w:highlight w:val="none"/>
                <w:lang w:val="en-US" w:eastAsia="zh-CN" w:bidi="ar-SA"/>
              </w:rPr>
            </w:pPr>
            <w:r>
              <w:rPr>
                <w:rFonts w:hint="default" w:ascii="Times New Roman" w:hAnsi="Times New Roman" w:cs="Times New Roman"/>
                <w:highlight w:val="none"/>
                <w:lang w:val="en-US" w:eastAsia="zh-CN" w:bidi="ar-SA"/>
              </w:rPr>
              <w:t>根据《环境影响评价技术导则 地下水环境》（HJ610-2016）附录A土壤环境影响评价项目类别，</w:t>
            </w:r>
            <w:r>
              <w:rPr>
                <w:rFonts w:hint="eastAsia" w:ascii="Times New Roman" w:hAnsi="Times New Roman" w:cs="Times New Roman"/>
                <w:highlight w:val="none"/>
                <w:lang w:val="en-US" w:eastAsia="zh-CN" w:bidi="ar-SA"/>
              </w:rPr>
              <w:t>本</w:t>
            </w:r>
            <w:r>
              <w:rPr>
                <w:rFonts w:hint="default" w:ascii="Times New Roman" w:hAnsi="Times New Roman" w:cs="Times New Roman"/>
                <w:highlight w:val="none"/>
                <w:lang w:val="en-US" w:eastAsia="zh-CN" w:bidi="ar-SA"/>
              </w:rPr>
              <w:t>项目属于</w:t>
            </w:r>
            <w:r>
              <w:rPr>
                <w:rFonts w:hint="eastAsia" w:ascii="Times New Roman" w:hAnsi="Times New Roman" w:cs="Times New Roman"/>
                <w:highlight w:val="none"/>
                <w:lang w:val="en-US" w:eastAsia="zh-CN" w:bidi="ar-SA"/>
              </w:rPr>
              <w:t>日用塑料制品制造</w:t>
            </w:r>
            <w:r>
              <w:rPr>
                <w:rFonts w:hint="default" w:ascii="Times New Roman" w:hAnsi="Times New Roman" w:cs="Times New Roman"/>
                <w:highlight w:val="none"/>
                <w:lang w:val="en-US" w:eastAsia="zh-CN" w:bidi="ar-SA"/>
              </w:rPr>
              <w:t>，</w:t>
            </w:r>
            <w:r>
              <w:rPr>
                <w:rFonts w:hint="eastAsia" w:ascii="Times New Roman" w:hAnsi="Times New Roman" w:cs="Times New Roman"/>
                <w:highlight w:val="none"/>
                <w:lang w:val="en-US" w:eastAsia="zh-CN" w:bidi="ar-SA"/>
              </w:rPr>
              <w:t>本项目</w:t>
            </w:r>
            <w:r>
              <w:rPr>
                <w:rFonts w:hint="default" w:ascii="Times New Roman" w:hAnsi="Times New Roman" w:cs="Times New Roman"/>
                <w:highlight w:val="none"/>
                <w:lang w:val="en-US" w:eastAsia="zh-CN" w:bidi="ar-SA"/>
              </w:rPr>
              <w:t>为编制报告表项目且</w:t>
            </w:r>
            <w:r>
              <w:rPr>
                <w:rFonts w:hint="default" w:ascii="Times New Roman" w:hAnsi="Times New Roman" w:cs="Times New Roman"/>
                <w:sz w:val="24"/>
                <w:szCs w:val="24"/>
                <w:highlight w:val="none"/>
                <w:lang w:val="en-US" w:eastAsia="zh-CN" w:bidi="ar-SA"/>
              </w:rPr>
              <w:t>本项目不涉及集中式饮用水水源和热水、矿泉水、温泉等特殊地下水资源保护区</w:t>
            </w:r>
            <w:r>
              <w:rPr>
                <w:rFonts w:hint="default" w:ascii="Times New Roman" w:hAnsi="Times New Roman" w:cs="Times New Roman"/>
                <w:highlight w:val="none"/>
                <w:lang w:val="en-US" w:eastAsia="zh-CN" w:bidi="ar-SA"/>
              </w:rPr>
              <w:t>，属于Ⅳ类建设项目。因此项目仅对地下水影响进行简要分析。根据《环境影响评价技术导则 土壤环境》（HJ964-2018）附录A土壤环境影响评价项目类别，本项目属于“其他行业”，属于Ⅳ类项目，不需要开展土壤环境影响评价。结合厂区实际情况，地下水和土壤防护区域分为重点防渗区、一般防渗区和简单防渗区，厂区在做好基础防渗措施后，对区域地下水和土壤环境影响较小。</w:t>
            </w:r>
            <w:r>
              <w:rPr>
                <w:rFonts w:hint="default" w:ascii="Times New Roman" w:hAnsi="Times New Roman" w:cs="Times New Roman"/>
                <w:sz w:val="24"/>
                <w:szCs w:val="24"/>
                <w:highlight w:val="none"/>
                <w:lang w:val="en-US" w:eastAsia="zh-CN" w:bidi="ar-SA"/>
              </w:rPr>
              <w:t>因此本项目仅对地下水和土壤进行简单分析。</w:t>
            </w:r>
          </w:p>
          <w:p w14:paraId="6D6CFD8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482" w:firstLineChars="200"/>
              <w:jc w:val="left"/>
              <w:textAlignment w:val="auto"/>
              <w:outlineLvl w:val="1"/>
              <w:rPr>
                <w:rFonts w:hint="default" w:ascii="Times New Roman" w:hAnsi="Times New Roman" w:eastAsia="宋体" w:cs="Times New Roman"/>
                <w:b/>
                <w:bCs/>
                <w:kern w:val="0"/>
                <w:sz w:val="24"/>
                <w:szCs w:val="36"/>
                <w:lang w:val="en-US" w:eastAsia="zh-CN" w:bidi="ar"/>
              </w:rPr>
            </w:pPr>
            <w:r>
              <w:rPr>
                <w:rFonts w:hint="default" w:ascii="Times New Roman" w:hAnsi="Times New Roman" w:eastAsia="宋体" w:cs="Times New Roman"/>
                <w:b/>
                <w:bCs/>
                <w:kern w:val="0"/>
                <w:sz w:val="24"/>
                <w:szCs w:val="36"/>
                <w:lang w:val="en-US" w:eastAsia="zh-CN" w:bidi="ar"/>
              </w:rPr>
              <w:t>5.1污染途径分析</w:t>
            </w:r>
          </w:p>
          <w:p w14:paraId="12A7D944">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 xml:space="preserve">本项目对地下水、土壤的污染途径主要为： </w:t>
            </w:r>
          </w:p>
          <w:p w14:paraId="307B1C91">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w:t>
            </w:r>
            <w:r>
              <w:rPr>
                <w:rFonts w:hint="eastAsia" w:cs="Times New Roman"/>
                <w:sz w:val="24"/>
                <w:lang w:val="en-US" w:eastAsia="zh-CN"/>
              </w:rPr>
              <w:t>废</w:t>
            </w:r>
            <w:r>
              <w:rPr>
                <w:rFonts w:hint="default" w:ascii="Times New Roman" w:hAnsi="Times New Roman" w:eastAsia="宋体" w:cs="Times New Roman"/>
                <w:color w:val="auto"/>
                <w:sz w:val="24"/>
                <w:lang w:val="en-US" w:eastAsia="zh-CN"/>
              </w:rPr>
              <w:t>润滑油在</w:t>
            </w:r>
            <w:r>
              <w:rPr>
                <w:rFonts w:hint="eastAsia" w:cs="Times New Roman"/>
                <w:color w:val="auto"/>
                <w:sz w:val="24"/>
                <w:lang w:val="en-US" w:eastAsia="zh-CN"/>
              </w:rPr>
              <w:t>危废间</w:t>
            </w:r>
            <w:r>
              <w:rPr>
                <w:rFonts w:hint="default" w:ascii="Times New Roman" w:hAnsi="Times New Roman" w:eastAsia="宋体" w:cs="Times New Roman"/>
                <w:color w:val="auto"/>
                <w:sz w:val="24"/>
                <w:lang w:val="en-US" w:eastAsia="zh-CN"/>
              </w:rPr>
              <w:t>储存</w:t>
            </w:r>
            <w:r>
              <w:rPr>
                <w:rFonts w:hint="default" w:ascii="Times New Roman" w:hAnsi="Times New Roman" w:eastAsia="宋体" w:cs="Times New Roman"/>
                <w:sz w:val="24"/>
                <w:lang w:val="en-US" w:eastAsia="zh-CN"/>
              </w:rPr>
              <w:t>过程</w:t>
            </w:r>
            <w:r>
              <w:rPr>
                <w:rFonts w:hint="eastAsia" w:cs="Times New Roman"/>
                <w:sz w:val="24"/>
                <w:lang w:val="en-US" w:eastAsia="zh-CN"/>
              </w:rPr>
              <w:t>中</w:t>
            </w:r>
            <w:r>
              <w:rPr>
                <w:rFonts w:hint="default" w:ascii="Times New Roman" w:hAnsi="Times New Roman" w:eastAsia="宋体" w:cs="Times New Roman"/>
                <w:sz w:val="24"/>
                <w:lang w:val="en-US" w:eastAsia="zh-CN"/>
              </w:rPr>
              <w:t>，发生渗漏会对厂区所在地段的浅层孔隙水水质及土壤造成污染。</w:t>
            </w:r>
          </w:p>
          <w:p w14:paraId="5299E7FD">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bCs/>
                <w:color w:val="auto"/>
                <w:sz w:val="24"/>
                <w:highlight w:val="none"/>
                <w:u w:val="none"/>
                <w:lang w:eastAsia="zh-CN"/>
              </w:rPr>
              <w:t>（</w:t>
            </w:r>
            <w:r>
              <w:rPr>
                <w:rFonts w:hint="default" w:ascii="Times New Roman" w:hAnsi="Times New Roman" w:eastAsia="宋体" w:cs="Times New Roman"/>
                <w:bCs/>
                <w:color w:val="auto"/>
                <w:sz w:val="24"/>
                <w:highlight w:val="none"/>
                <w:u w:val="none"/>
                <w:lang w:val="en-US" w:eastAsia="zh-CN"/>
              </w:rPr>
              <w:t>2</w:t>
            </w:r>
            <w:r>
              <w:rPr>
                <w:rFonts w:hint="default" w:ascii="Times New Roman" w:hAnsi="Times New Roman" w:eastAsia="宋体" w:cs="Times New Roman"/>
                <w:bCs/>
                <w:color w:val="auto"/>
                <w:sz w:val="24"/>
                <w:highlight w:val="none"/>
                <w:u w:val="none"/>
                <w:lang w:eastAsia="zh-CN"/>
              </w:rPr>
              <w:t>）</w:t>
            </w:r>
            <w:r>
              <w:rPr>
                <w:rFonts w:hint="default" w:ascii="Times New Roman" w:hAnsi="Times New Roman" w:eastAsia="宋体" w:cs="Times New Roman"/>
                <w:bCs/>
                <w:color w:val="auto"/>
                <w:sz w:val="24"/>
                <w:highlight w:val="none"/>
                <w:u w:val="none"/>
              </w:rPr>
              <w:t>本项目废气主要为</w:t>
            </w:r>
            <w:r>
              <w:rPr>
                <w:rFonts w:hint="eastAsia" w:cs="Times New Roman"/>
                <w:bCs/>
                <w:color w:val="auto"/>
                <w:sz w:val="24"/>
                <w:highlight w:val="none"/>
                <w:u w:val="none"/>
                <w:lang w:val="en-US" w:eastAsia="zh-CN"/>
              </w:rPr>
              <w:t>非甲烷总烃和苯乙烯</w:t>
            </w:r>
            <w:r>
              <w:rPr>
                <w:rFonts w:hint="default" w:ascii="Times New Roman" w:hAnsi="Times New Roman" w:eastAsia="宋体" w:cs="Times New Roman"/>
                <w:bCs/>
                <w:color w:val="auto"/>
                <w:sz w:val="24"/>
                <w:highlight w:val="none"/>
                <w:u w:val="none"/>
              </w:rPr>
              <w:t>，</w:t>
            </w:r>
            <w:r>
              <w:rPr>
                <w:rFonts w:hint="default" w:ascii="Times New Roman" w:hAnsi="Times New Roman" w:eastAsia="宋体" w:cs="Times New Roman"/>
                <w:bCs/>
                <w:color w:val="auto"/>
                <w:sz w:val="24"/>
                <w:highlight w:val="none"/>
                <w:u w:val="none"/>
                <w:lang w:eastAsia="zh-CN"/>
              </w:rPr>
              <w:t>废气</w:t>
            </w:r>
            <w:r>
              <w:rPr>
                <w:rFonts w:hint="default" w:ascii="Times New Roman" w:hAnsi="Times New Roman" w:eastAsia="宋体" w:cs="Times New Roman"/>
                <w:sz w:val="24"/>
                <w:lang w:val="en-US" w:eastAsia="zh-CN"/>
              </w:rPr>
              <w:t>可能由于重力</w:t>
            </w:r>
            <w:r>
              <w:rPr>
                <w:rFonts w:hint="eastAsia" w:cs="Times New Roman"/>
                <w:sz w:val="24"/>
                <w:lang w:val="en-US" w:eastAsia="zh-CN"/>
              </w:rPr>
              <w:t>而下沉</w:t>
            </w:r>
            <w:r>
              <w:rPr>
                <w:rFonts w:hint="default" w:ascii="Times New Roman" w:hAnsi="Times New Roman" w:eastAsia="宋体" w:cs="Times New Roman"/>
                <w:sz w:val="24"/>
                <w:lang w:val="en-US" w:eastAsia="zh-CN"/>
              </w:rPr>
              <w:t>，雨水淋洗等作用而降落到地表，污染土壤并有可能被水携带渗入地下水中，并通过受污</w:t>
            </w:r>
            <w:r>
              <w:rPr>
                <w:rFonts w:hint="default" w:ascii="Times New Roman" w:hAnsi="Times New Roman" w:eastAsia="宋体" w:cs="Times New Roman"/>
                <w:sz w:val="24"/>
                <w:highlight w:val="none"/>
                <w:lang w:val="en-US" w:eastAsia="zh-CN"/>
              </w:rPr>
              <w:t>染的浅层孔隙水下渗污染深层孔隙水。</w:t>
            </w:r>
          </w:p>
          <w:p w14:paraId="49167D4B">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highlight w:val="none"/>
                <w:lang w:val="en-US" w:eastAsia="zh-CN"/>
              </w:rPr>
              <w:t>（3）项目的危废间设施发</w:t>
            </w:r>
            <w:r>
              <w:rPr>
                <w:rFonts w:hint="default" w:ascii="Times New Roman" w:hAnsi="Times New Roman" w:eastAsia="宋体" w:cs="Times New Roman"/>
                <w:sz w:val="24"/>
                <w:lang w:val="en-US" w:eastAsia="zh-CN"/>
              </w:rPr>
              <w:t>生破损导致危险废物下渗对地下水及土壤环境造成污染。</w:t>
            </w:r>
          </w:p>
          <w:p w14:paraId="79B30E1F">
            <w:pPr>
              <w:keepNext w:val="0"/>
              <w:keepLines w:val="0"/>
              <w:pageBreakBefore w:val="0"/>
              <w:widowControl w:val="0"/>
              <w:kinsoku/>
              <w:wordWrap/>
              <w:overflowPunct/>
              <w:topLinePunct w:val="0"/>
              <w:autoSpaceDE/>
              <w:autoSpaceDN/>
              <w:bidi w:val="0"/>
              <w:spacing w:line="520" w:lineRule="exact"/>
              <w:ind w:firstLine="482" w:firstLineChars="200"/>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 xml:space="preserve">5.2源头控制措施 </w:t>
            </w:r>
          </w:p>
          <w:p w14:paraId="45D30D50">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本项目产生废润滑油暂存于危废间内，其容器发生破裂时可能对地下水、土壤环境造成影响。因此评价要求采用密闭容器储存废润滑油，并加强设备的日常管理和检修，严格做好危废间的的防渗、截流措施。</w:t>
            </w:r>
          </w:p>
          <w:p w14:paraId="6D93316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leftChars="0" w:right="0" w:rightChars="0" w:firstLine="480" w:firstLineChars="200"/>
              <w:textAlignment w:val="auto"/>
              <w:rPr>
                <w:rFonts w:hint="default" w:ascii="Times New Roman" w:hAnsi="Times New Roman" w:eastAsia="宋体" w:cs="Times New Roman"/>
                <w:bCs/>
                <w:color w:val="auto"/>
                <w:sz w:val="24"/>
                <w:highlight w:val="none"/>
                <w:u w:val="none"/>
                <w:lang w:val="en-US" w:eastAsia="zh-CN"/>
              </w:rPr>
            </w:pPr>
            <w:r>
              <w:rPr>
                <w:rFonts w:hint="default" w:ascii="Times New Roman" w:hAnsi="Times New Roman" w:eastAsia="宋体" w:cs="Times New Roman"/>
                <w:bCs/>
                <w:color w:val="auto"/>
                <w:kern w:val="2"/>
                <w:sz w:val="24"/>
                <w:szCs w:val="24"/>
                <w:lang w:val="en-US" w:eastAsia="zh-CN" w:bidi="ar-SA"/>
              </w:rPr>
              <w:t>（2）</w:t>
            </w:r>
            <w:r>
              <w:rPr>
                <w:rFonts w:hint="default" w:ascii="Times New Roman" w:hAnsi="Times New Roman" w:eastAsia="宋体" w:cs="Times New Roman"/>
                <w:bCs/>
                <w:color w:val="auto"/>
                <w:sz w:val="24"/>
                <w:highlight w:val="none"/>
                <w:u w:val="none"/>
              </w:rPr>
              <w:t>严格按照国家相关规范要求，对工艺、设备、仓库等采取相应措施，防止和降低污染物跑冒滴漏，将污染物泄漏环境风险事故降到最低程度。防渗工程设计使用年限不应低于设备、管线及建、构筑物的设计使用年限。</w:t>
            </w:r>
          </w:p>
          <w:p w14:paraId="45E606F0">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default" w:ascii="Times New Roman" w:hAnsi="Times New Roman" w:cs="Times New Roman"/>
                <w:color w:val="000000"/>
                <w:szCs w:val="21"/>
                <w:highlight w:val="none"/>
                <w:lang w:val="en-US" w:eastAsia="zh-CN"/>
              </w:rPr>
              <w:t>3</w:t>
            </w:r>
            <w:r>
              <w:rPr>
                <w:rFonts w:hint="default" w:ascii="Times New Roman" w:hAnsi="Times New Roman" w:cs="Times New Roman"/>
                <w:color w:val="000000"/>
                <w:szCs w:val="21"/>
                <w:highlight w:val="none"/>
              </w:rPr>
              <w:t>）尽量减少储存量，做到多批次、少量储存。润滑</w:t>
            </w:r>
            <w:r>
              <w:rPr>
                <w:rFonts w:hint="default" w:ascii="Times New Roman" w:hAnsi="Times New Roman" w:cs="Times New Roman"/>
                <w:bCs/>
                <w:color w:val="000000"/>
                <w:szCs w:val="21"/>
                <w:highlight w:val="none"/>
              </w:rPr>
              <w:t>油</w:t>
            </w:r>
            <w:r>
              <w:rPr>
                <w:rFonts w:hint="default" w:ascii="Times New Roman" w:hAnsi="Times New Roman" w:cs="Times New Roman"/>
                <w:color w:val="000000"/>
                <w:szCs w:val="21"/>
                <w:highlight w:val="none"/>
              </w:rPr>
              <w:t>应随用随买，应注意防止碰撞引起包装桶破裂泄露，并设置备用物料收集容器，及时收集泄漏物质。配置手提式灭火器等；生产区及危废</w:t>
            </w:r>
            <w:r>
              <w:rPr>
                <w:rFonts w:hint="default" w:ascii="Times New Roman" w:hAnsi="Times New Roman" w:cs="Times New Roman"/>
                <w:color w:val="000000"/>
                <w:szCs w:val="21"/>
                <w:highlight w:val="none"/>
                <w:lang w:eastAsia="zh-CN"/>
              </w:rPr>
              <w:t>间</w:t>
            </w:r>
            <w:r>
              <w:rPr>
                <w:rFonts w:hint="default" w:ascii="Times New Roman" w:hAnsi="Times New Roman" w:cs="Times New Roman"/>
                <w:color w:val="000000"/>
                <w:szCs w:val="21"/>
                <w:highlight w:val="none"/>
              </w:rPr>
              <w:t>必须有专人负责，禁止在项目区域内吸烟，远离一切热源和明火。</w:t>
            </w:r>
          </w:p>
          <w:p w14:paraId="47517840">
            <w:pPr>
              <w:keepNext w:val="0"/>
              <w:keepLines w:val="0"/>
              <w:pageBreakBefore w:val="0"/>
              <w:widowControl w:val="0"/>
              <w:kinsoku/>
              <w:wordWrap/>
              <w:overflowPunct/>
              <w:topLinePunct w:val="0"/>
              <w:autoSpaceDE/>
              <w:autoSpaceDN/>
              <w:bidi w:val="0"/>
              <w:spacing w:line="520" w:lineRule="exact"/>
              <w:ind w:firstLine="482" w:firstLineChars="200"/>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5.3分区防渗措施</w:t>
            </w:r>
          </w:p>
          <w:p w14:paraId="41CE3BF5">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根据项目实际情况，地下水、土壤防护区域分为重点防渗区、一般防渗区和简单防渗区。项目厂区分区情况详见表4-2</w:t>
            </w:r>
            <w:r>
              <w:rPr>
                <w:rFonts w:hint="eastAsia" w:cs="Times New Roman"/>
                <w:sz w:val="24"/>
                <w:lang w:val="en-US" w:eastAsia="zh-CN"/>
              </w:rPr>
              <w:t>3</w:t>
            </w:r>
            <w:r>
              <w:rPr>
                <w:rFonts w:hint="default" w:ascii="Times New Roman" w:hAnsi="Times New Roman" w:eastAsia="宋体" w:cs="Times New Roman"/>
                <w:sz w:val="24"/>
                <w:lang w:val="en-US" w:eastAsia="zh-CN"/>
              </w:rPr>
              <w:t>。</w:t>
            </w:r>
          </w:p>
          <w:p w14:paraId="6BC64A4D">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4-2</w:t>
            </w:r>
            <w:r>
              <w:rPr>
                <w:rFonts w:hint="eastAsia" w:cs="Times New Roman"/>
                <w:b/>
                <w:sz w:val="24"/>
                <w:lang w:val="en-US" w:eastAsia="zh-CN"/>
              </w:rPr>
              <w:t>3</w:t>
            </w:r>
            <w:r>
              <w:rPr>
                <w:rFonts w:hint="default" w:ascii="Times New Roman" w:hAnsi="Times New Roman" w:eastAsia="宋体" w:cs="Times New Roman"/>
                <w:b/>
                <w:sz w:val="24"/>
              </w:rPr>
              <w:t xml:space="preserve"> </w:t>
            </w:r>
            <w:r>
              <w:rPr>
                <w:rFonts w:hint="default" w:ascii="Times New Roman" w:hAnsi="Times New Roman" w:eastAsia="宋体" w:cs="Times New Roman"/>
                <w:b/>
                <w:sz w:val="24"/>
                <w:lang w:val="en-US" w:eastAsia="zh-CN"/>
              </w:rPr>
              <w:t xml:space="preserve"> </w:t>
            </w:r>
            <w:r>
              <w:rPr>
                <w:rFonts w:hint="default" w:ascii="Times New Roman" w:hAnsi="Times New Roman" w:eastAsia="宋体" w:cs="Times New Roman"/>
                <w:b/>
                <w:sz w:val="24"/>
              </w:rPr>
              <w:t>项目地下水</w:t>
            </w:r>
            <w:r>
              <w:rPr>
                <w:rFonts w:hint="default" w:ascii="Times New Roman" w:hAnsi="Times New Roman" w:eastAsia="宋体" w:cs="Times New Roman"/>
                <w:b/>
                <w:sz w:val="24"/>
                <w:lang w:eastAsia="zh-CN"/>
              </w:rPr>
              <w:t>、土壤</w:t>
            </w:r>
            <w:r>
              <w:rPr>
                <w:rFonts w:hint="default" w:ascii="Times New Roman" w:hAnsi="Times New Roman" w:eastAsia="宋体" w:cs="Times New Roman"/>
                <w:b/>
                <w:sz w:val="24"/>
              </w:rPr>
              <w:t>污染防治分区详情一览表</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6638"/>
            </w:tblGrid>
            <w:tr w14:paraId="26C56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3" w:type="pct"/>
                  <w:noWrap w:val="0"/>
                  <w:vAlign w:val="center"/>
                </w:tcPr>
                <w:p w14:paraId="77BBB1FF">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防渗分区</w:t>
                  </w:r>
                </w:p>
              </w:tc>
              <w:tc>
                <w:tcPr>
                  <w:tcW w:w="4036" w:type="pct"/>
                  <w:noWrap w:val="0"/>
                  <w:vAlign w:val="center"/>
                </w:tcPr>
                <w:p w14:paraId="596BAAE2">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r>
            <w:tr w14:paraId="7D946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3" w:type="pct"/>
                  <w:noWrap w:val="0"/>
                  <w:vAlign w:val="center"/>
                </w:tcPr>
                <w:p w14:paraId="43E58AAC">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重点防渗区</w:t>
                  </w:r>
                </w:p>
              </w:tc>
              <w:tc>
                <w:tcPr>
                  <w:tcW w:w="4036" w:type="pct"/>
                  <w:noWrap w:val="0"/>
                  <w:vAlign w:val="center"/>
                </w:tcPr>
                <w:p w14:paraId="06CE3BDE">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危废间</w:t>
                  </w:r>
                  <w:r>
                    <w:rPr>
                      <w:rFonts w:hint="eastAsia" w:cs="Times New Roman"/>
                      <w:sz w:val="21"/>
                      <w:szCs w:val="21"/>
                      <w:lang w:eastAsia="zh-CN"/>
                    </w:rPr>
                    <w:t>、生产区</w:t>
                  </w:r>
                </w:p>
              </w:tc>
            </w:tr>
            <w:tr w14:paraId="5ED54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3" w:type="pct"/>
                  <w:noWrap w:val="0"/>
                  <w:vAlign w:val="center"/>
                </w:tcPr>
                <w:p w14:paraId="34DAD2AD">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一般防渗区</w:t>
                  </w:r>
                </w:p>
              </w:tc>
              <w:tc>
                <w:tcPr>
                  <w:tcW w:w="4036" w:type="pct"/>
                  <w:noWrap w:val="0"/>
                  <w:vAlign w:val="center"/>
                </w:tcPr>
                <w:p w14:paraId="797BCFB1">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一般固废间</w:t>
                  </w:r>
                </w:p>
              </w:tc>
            </w:tr>
            <w:tr w14:paraId="71C8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3" w:type="pct"/>
                  <w:noWrap w:val="0"/>
                  <w:vAlign w:val="center"/>
                </w:tcPr>
                <w:p w14:paraId="0523B608">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简单防渗区</w:t>
                  </w:r>
                </w:p>
              </w:tc>
              <w:tc>
                <w:tcPr>
                  <w:tcW w:w="4036" w:type="pct"/>
                  <w:noWrap w:val="0"/>
                  <w:vAlign w:val="center"/>
                </w:tcPr>
                <w:p w14:paraId="649D843A">
                  <w:pPr>
                    <w:keepNext w:val="0"/>
                    <w:keepLines w:val="0"/>
                    <w:pageBreakBefore w:val="0"/>
                    <w:widowControl w:val="0"/>
                    <w:tabs>
                      <w:tab w:val="left" w:pos="1605"/>
                    </w:tabs>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cs="Times New Roman"/>
                      <w:sz w:val="21"/>
                      <w:szCs w:val="21"/>
                      <w:lang w:eastAsia="zh-CN"/>
                    </w:rPr>
                    <w:t>办公</w:t>
                  </w:r>
                  <w:r>
                    <w:rPr>
                      <w:rFonts w:hint="eastAsia" w:cs="Times New Roman"/>
                      <w:sz w:val="21"/>
                      <w:szCs w:val="21"/>
                      <w:lang w:eastAsia="zh-CN"/>
                    </w:rPr>
                    <w:t>区</w:t>
                  </w:r>
                  <w:r>
                    <w:rPr>
                      <w:rFonts w:hint="eastAsia" w:ascii="Times New Roman" w:hAnsi="Times New Roman" w:cs="Times New Roman"/>
                      <w:sz w:val="21"/>
                      <w:szCs w:val="21"/>
                      <w:lang w:eastAsia="zh-CN"/>
                    </w:rPr>
                    <w:t>、</w:t>
                  </w:r>
                  <w:r>
                    <w:rPr>
                      <w:rFonts w:hint="eastAsia" w:cs="Times New Roman"/>
                      <w:sz w:val="21"/>
                      <w:szCs w:val="21"/>
                      <w:lang w:eastAsia="zh-CN"/>
                    </w:rPr>
                    <w:t>原料区、成品区</w:t>
                  </w:r>
                  <w:r>
                    <w:rPr>
                      <w:rFonts w:hint="eastAsia" w:ascii="Times New Roman" w:hAnsi="Times New Roman" w:cs="Times New Roman"/>
                      <w:sz w:val="21"/>
                      <w:szCs w:val="21"/>
                      <w:lang w:eastAsia="zh-CN"/>
                    </w:rPr>
                    <w:t>等</w:t>
                  </w:r>
                  <w:r>
                    <w:rPr>
                      <w:rFonts w:hint="default" w:ascii="Times New Roman" w:hAnsi="Times New Roman" w:cs="Times New Roman"/>
                      <w:sz w:val="21"/>
                      <w:szCs w:val="21"/>
                    </w:rPr>
                    <w:t>其他需要硬化的区域</w:t>
                  </w:r>
                </w:p>
              </w:tc>
            </w:tr>
          </w:tbl>
          <w:p w14:paraId="0F6D3057">
            <w:pPr>
              <w:keepNext w:val="0"/>
              <w:keepLines w:val="0"/>
              <w:pageBreakBefore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bCs/>
              </w:rPr>
            </w:pPr>
            <w:r>
              <w:rPr>
                <w:rFonts w:hint="default" w:ascii="Times New Roman" w:hAnsi="Times New Roman" w:cs="Times New Roman"/>
                <w:bCs/>
              </w:rPr>
              <w:t>为避免对地下水环境产生影响，评价要求采取以下分级防渗措施：</w:t>
            </w:r>
          </w:p>
          <w:p w14:paraId="59D29D37">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hint="default" w:ascii="Times New Roman" w:hAnsi="Times New Roman" w:cs="Times New Roman"/>
              </w:rPr>
            </w:pPr>
            <w:r>
              <w:rPr>
                <w:rFonts w:hint="default" w:ascii="Times New Roman" w:hAnsi="Times New Roman" w:cs="Times New Roman"/>
              </w:rPr>
              <w:t>①重点防渗区：</w:t>
            </w:r>
            <w:r>
              <w:rPr>
                <w:rFonts w:hint="default" w:ascii="Times New Roman" w:hAnsi="Times New Roman" w:cs="Times New Roman"/>
                <w:lang w:eastAsia="zh-CN"/>
              </w:rPr>
              <w:t>危废间</w:t>
            </w:r>
            <w:r>
              <w:rPr>
                <w:rFonts w:hint="default" w:ascii="Times New Roman" w:hAnsi="Times New Roman" w:cs="Times New Roman"/>
              </w:rPr>
              <w:t>、</w:t>
            </w:r>
            <w:r>
              <w:rPr>
                <w:rFonts w:hint="default" w:ascii="Times New Roman" w:hAnsi="Times New Roman" w:cs="Times New Roman"/>
                <w:lang w:eastAsia="zh-CN"/>
              </w:rPr>
              <w:t>生产</w:t>
            </w:r>
            <w:r>
              <w:rPr>
                <w:rFonts w:hint="eastAsia" w:cs="Times New Roman"/>
                <w:lang w:eastAsia="zh-CN"/>
              </w:rPr>
              <w:t>区</w:t>
            </w:r>
            <w:r>
              <w:rPr>
                <w:rFonts w:hint="default" w:ascii="Times New Roman" w:hAnsi="Times New Roman" w:cs="Times New Roman"/>
              </w:rPr>
              <w:t>。评价要求</w:t>
            </w:r>
            <w:r>
              <w:rPr>
                <w:rFonts w:hint="default" w:ascii="Times New Roman" w:hAnsi="Times New Roman" w:eastAsia="宋体" w:cs="Times New Roman"/>
                <w:sz w:val="24"/>
                <w:lang w:val="en-US" w:eastAsia="zh-CN"/>
              </w:rPr>
              <w:t>防渗层采用2mm厚高密度聚乙烯，或至少2mm厚的其它人工材料，渗透系数≤10</w:t>
            </w:r>
            <w:r>
              <w:rPr>
                <w:rFonts w:hint="default" w:ascii="Times New Roman" w:hAnsi="Times New Roman" w:eastAsia="宋体" w:cs="Times New Roman"/>
                <w:sz w:val="24"/>
                <w:vertAlign w:val="superscript"/>
                <w:lang w:val="en-US" w:eastAsia="zh-CN"/>
              </w:rPr>
              <w:t>-10</w:t>
            </w:r>
            <w:r>
              <w:rPr>
                <w:rFonts w:hint="default" w:ascii="Times New Roman" w:hAnsi="Times New Roman" w:eastAsia="宋体" w:cs="Times New Roman"/>
                <w:sz w:val="24"/>
                <w:lang w:val="en-US" w:eastAsia="zh-CN"/>
              </w:rPr>
              <w:t>cm/s。</w:t>
            </w:r>
          </w:p>
          <w:p w14:paraId="43DF17EE">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hint="default" w:ascii="Times New Roman" w:hAnsi="Times New Roman" w:cs="Times New Roman"/>
              </w:rPr>
            </w:pPr>
            <w:r>
              <w:rPr>
                <w:rFonts w:hint="default" w:ascii="Times New Roman" w:hAnsi="Times New Roman" w:cs="Times New Roman"/>
              </w:rPr>
              <w:t>②一般防渗区：一般固废间，评价要求防渗层采用1.5m厚粘土铺底，再在上层铺设不小于10cm厚的抗渗混凝土进行防渗处理，要求防渗系数不大于1.0×10</w:t>
            </w:r>
            <w:r>
              <w:rPr>
                <w:rFonts w:hint="default" w:ascii="Times New Roman" w:hAnsi="Times New Roman" w:cs="Times New Roman"/>
                <w:vertAlign w:val="superscript"/>
              </w:rPr>
              <w:t>-7</w:t>
            </w:r>
            <w:r>
              <w:rPr>
                <w:rFonts w:hint="default" w:ascii="Times New Roman" w:hAnsi="Times New Roman" w:cs="Times New Roman"/>
              </w:rPr>
              <w:t>cm/s。</w:t>
            </w:r>
          </w:p>
          <w:p w14:paraId="2C48B39D">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hint="default" w:ascii="Times New Roman" w:hAnsi="Times New Roman" w:cs="Times New Roman"/>
              </w:rPr>
            </w:pPr>
            <w:r>
              <w:rPr>
                <w:rFonts w:hint="default" w:ascii="Times New Roman" w:hAnsi="Times New Roman" w:cs="Times New Roman"/>
              </w:rPr>
              <w:t>③简单防渗区</w:t>
            </w:r>
          </w:p>
          <w:p w14:paraId="21BC1777">
            <w:pPr>
              <w:keepNext w:val="0"/>
              <w:keepLines w:val="0"/>
              <w:pageBreakBefore w:val="0"/>
              <w:widowControl/>
              <w:kinsoku/>
              <w:wordWrap/>
              <w:overflowPunct/>
              <w:topLinePunct w:val="0"/>
              <w:autoSpaceDE/>
              <w:autoSpaceDN/>
              <w:bidi w:val="0"/>
              <w:adjustRightInd/>
              <w:snapToGrid/>
              <w:spacing w:line="520" w:lineRule="exact"/>
              <w:ind w:firstLine="480"/>
              <w:jc w:val="left"/>
              <w:textAlignment w:val="auto"/>
              <w:rPr>
                <w:rFonts w:hint="default" w:ascii="Times New Roman" w:hAnsi="Times New Roman" w:cs="Times New Roman"/>
              </w:rPr>
            </w:pPr>
            <w:r>
              <w:rPr>
                <w:rFonts w:hint="default" w:ascii="Times New Roman" w:hAnsi="Times New Roman" w:cs="Times New Roman"/>
              </w:rPr>
              <w:t>除上述区域外，项目厂</w:t>
            </w:r>
            <w:r>
              <w:rPr>
                <w:rFonts w:hint="eastAsia" w:cs="Times New Roman"/>
                <w:lang w:eastAsia="zh-CN"/>
              </w:rPr>
              <w:t>房内</w:t>
            </w:r>
            <w:r>
              <w:rPr>
                <w:rFonts w:hint="default" w:ascii="Times New Roman" w:hAnsi="Times New Roman" w:cs="Times New Roman"/>
              </w:rPr>
              <w:t>等区域均属于简单防渗区，建设单位进行地面硬化即可。</w:t>
            </w:r>
          </w:p>
          <w:p w14:paraId="7FE604A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综上所述，项目对可能产生地下水、土壤环境影响的各项途径均进行有效预防，在确保各项防渗措施得以落实，并加强维护和厂区环境管理的前提下，可有效控制厂区废水污染物下渗现象，避免污染地下水，项目营运期污染物经采取评价要求的相应防治措施及工程措施后，不会对周围环境造成大的影响。</w:t>
            </w:r>
          </w:p>
          <w:p w14:paraId="5DCB4266">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cs="Times New Roman"/>
                <w:b/>
              </w:rPr>
            </w:pPr>
            <w:r>
              <w:rPr>
                <w:rFonts w:hint="eastAsia" w:cs="Times New Roman"/>
                <w:b/>
                <w:lang w:eastAsia="zh-CN"/>
              </w:rPr>
              <w:t>六</w:t>
            </w:r>
            <w:r>
              <w:rPr>
                <w:rFonts w:hint="default" w:ascii="Times New Roman" w:hAnsi="Times New Roman" w:cs="Times New Roman"/>
                <w:b/>
              </w:rPr>
              <w:t>、环境风险分析</w:t>
            </w:r>
          </w:p>
          <w:p w14:paraId="3E26801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环境风险评价是对项目建设期和运行期间发生的可预测突发性事件或事故</w:t>
            </w:r>
            <w:r>
              <w:rPr>
                <w:rFonts w:hint="eastAsia" w:eastAsia="宋体" w:cs="Times New Roman"/>
                <w:color w:val="auto"/>
                <w:sz w:val="24"/>
                <w:u w:val="none"/>
                <w:lang w:val="en-US" w:eastAsia="zh-CN"/>
              </w:rPr>
              <w:t>（</w:t>
            </w:r>
            <w:r>
              <w:rPr>
                <w:rFonts w:hint="eastAsia" w:ascii="Times New Roman" w:hAnsi="Times New Roman" w:eastAsia="宋体" w:cs="Times New Roman"/>
                <w:color w:val="auto"/>
                <w:sz w:val="24"/>
                <w:u w:val="none"/>
                <w:lang w:val="en-US" w:eastAsia="zh-CN"/>
              </w:rPr>
              <w:t>一般不包括人为破坏及自然灾害</w:t>
            </w:r>
            <w:r>
              <w:rPr>
                <w:rFonts w:hint="eastAsia" w:eastAsia="宋体" w:cs="Times New Roman"/>
                <w:color w:val="auto"/>
                <w:sz w:val="24"/>
                <w:u w:val="none"/>
                <w:lang w:val="en-US" w:eastAsia="zh-CN"/>
              </w:rPr>
              <w:t>）</w:t>
            </w:r>
            <w:r>
              <w:rPr>
                <w:rFonts w:hint="eastAsia" w:ascii="Times New Roman" w:hAnsi="Times New Roman" w:eastAsia="宋体" w:cs="Times New Roman"/>
                <w:color w:val="auto"/>
                <w:sz w:val="24"/>
                <w:u w:val="none"/>
                <w:lang w:val="en-US" w:eastAsia="zh-CN"/>
              </w:rPr>
              <w:t>，引起有毒有害、易燃易爆等物质泄漏，或突发事件产生的新的有毒有害物质，所造成的对人身安全与环境的影响和损害，进行评估，提出防范、应急与减缓措施。</w:t>
            </w:r>
          </w:p>
          <w:p w14:paraId="44AF5ED3">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cs="Times New Roman"/>
                <w:b/>
                <w:bCs/>
              </w:rPr>
            </w:pPr>
            <w:r>
              <w:rPr>
                <w:rFonts w:hint="default" w:ascii="Times New Roman" w:hAnsi="Times New Roman" w:cs="Times New Roman"/>
                <w:b/>
                <w:bCs/>
              </w:rPr>
              <w:t>6.1环境风险潜势初判及风险评价等级</w:t>
            </w:r>
          </w:p>
          <w:p w14:paraId="19829A0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val="0"/>
              </w:rPr>
            </w:pPr>
            <w:r>
              <w:rPr>
                <w:rFonts w:hint="default" w:ascii="Times New Roman" w:hAnsi="Times New Roman" w:cs="Times New Roman"/>
                <w:b w:val="0"/>
                <w:bCs w:val="0"/>
              </w:rPr>
              <w:t>根据《建设项目环境风险评价技术导则》（HJ/T169-2018）附录B识别项目使用的危险化学品和风险物质对应临界量比值Q如下列内容所示。</w:t>
            </w:r>
          </w:p>
          <w:p w14:paraId="4956A3A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val="0"/>
              </w:rPr>
            </w:pPr>
            <w:r>
              <w:rPr>
                <w:rFonts w:hint="default" w:ascii="Times New Roman" w:hAnsi="Times New Roman" w:cs="Times New Roman"/>
                <w:b w:val="0"/>
                <w:bCs w:val="0"/>
              </w:rPr>
              <w:t>当只涉及一种危险物质时，计算该物质的总量与其临界量比值，即为Q；</w:t>
            </w:r>
          </w:p>
          <w:p w14:paraId="5EB6875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val="0"/>
              </w:rPr>
            </w:pPr>
            <w:r>
              <w:rPr>
                <w:rFonts w:hint="default" w:ascii="Times New Roman" w:hAnsi="Times New Roman" w:cs="Times New Roman"/>
                <w:b w:val="0"/>
                <w:bCs w:val="0"/>
              </w:rPr>
              <w:t>当存在多种危险物质时，按下式计算物质总量与临界量比值（Q）；</w:t>
            </w:r>
          </w:p>
          <w:p w14:paraId="6933A565">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cs="Times New Roman"/>
                <w:b w:val="0"/>
                <w:bCs w:val="0"/>
              </w:rPr>
            </w:pPr>
            <w:r>
              <w:rPr>
                <w:rFonts w:hint="default" w:ascii="Times New Roman" w:hAnsi="Times New Roman" w:cs="Times New Roman"/>
                <w:b w:val="0"/>
                <w:bCs w:val="0"/>
              </w:rPr>
              <w:t>Q=q1/Q1+q2/Q2+…qn/Qn</w:t>
            </w:r>
          </w:p>
          <w:p w14:paraId="7621C50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val="0"/>
              </w:rPr>
            </w:pPr>
            <w:r>
              <w:rPr>
                <w:rFonts w:hint="default" w:ascii="Times New Roman" w:hAnsi="Times New Roman" w:cs="Times New Roman"/>
                <w:b w:val="0"/>
                <w:bCs w:val="0"/>
              </w:rPr>
              <w:t>式中：q1、q2、qn----每种危险物质的最大存在总量，t；</w:t>
            </w:r>
          </w:p>
          <w:p w14:paraId="76973553">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hint="default" w:ascii="Times New Roman" w:hAnsi="Times New Roman" w:cs="Times New Roman"/>
                <w:b w:val="0"/>
                <w:bCs w:val="0"/>
              </w:rPr>
            </w:pPr>
            <w:r>
              <w:rPr>
                <w:rFonts w:hint="default" w:ascii="Times New Roman" w:hAnsi="Times New Roman" w:cs="Times New Roman"/>
                <w:b w:val="0"/>
                <w:bCs w:val="0"/>
              </w:rPr>
              <w:t>Q1、Q2、Qn----每种危险物质的临界量，t。</w:t>
            </w:r>
          </w:p>
          <w:p w14:paraId="6917FD1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val="0"/>
              </w:rPr>
            </w:pPr>
            <w:r>
              <w:rPr>
                <w:rFonts w:hint="default" w:ascii="Times New Roman" w:hAnsi="Times New Roman" w:cs="Times New Roman"/>
                <w:b w:val="0"/>
                <w:bCs w:val="0"/>
              </w:rPr>
              <w:t>当Q＜1时，该项目环境风险潜势为I。</w:t>
            </w:r>
          </w:p>
          <w:p w14:paraId="0D51472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val="0"/>
                <w:bCs w:val="0"/>
              </w:rPr>
            </w:pPr>
            <w:r>
              <w:rPr>
                <w:rFonts w:hint="default" w:ascii="Times New Roman" w:hAnsi="Times New Roman" w:cs="Times New Roman"/>
                <w:b w:val="0"/>
                <w:bCs w:val="0"/>
              </w:rPr>
              <w:t>当Q≥1时，将Q值划分为：（1）1≤Q＜10；（2）10≤Q＜100；（3）Q≥100；</w:t>
            </w:r>
          </w:p>
          <w:p w14:paraId="1B9F8FF9">
            <w:pPr>
              <w:pStyle w:val="30"/>
              <w:keepNext w:val="0"/>
              <w:keepLines w:val="0"/>
              <w:pageBreakBefore w:val="0"/>
              <w:widowControl w:val="0"/>
              <w:kinsoku/>
              <w:wordWrap/>
              <w:overflowPunct/>
              <w:topLinePunct w:val="0"/>
              <w:autoSpaceDE/>
              <w:autoSpaceDN/>
              <w:bidi w:val="0"/>
              <w:adjustRightInd/>
              <w:snapToGrid/>
              <w:spacing w:before="0" w:beforeLines="0"/>
              <w:ind w:left="0" w:leftChars="0" w:firstLine="0" w:firstLineChars="0"/>
              <w:jc w:val="center"/>
              <w:textAlignment w:val="auto"/>
              <w:rPr>
                <w:rFonts w:hint="default" w:ascii="Times New Roman" w:hAnsi="Times New Roman" w:cs="Times New Roman"/>
                <w:b/>
                <w:bCs/>
              </w:rPr>
            </w:pPr>
            <w:r>
              <w:rPr>
                <w:rFonts w:hint="default" w:ascii="Times New Roman" w:hAnsi="Times New Roman" w:eastAsia="宋体" w:cs="Times New Roman"/>
                <w:b/>
                <w:bCs/>
              </w:rPr>
              <w:t>表4-</w:t>
            </w:r>
            <w:r>
              <w:rPr>
                <w:rFonts w:hint="default" w:ascii="Times New Roman" w:hAnsi="Times New Roman" w:eastAsia="宋体" w:cs="Times New Roman"/>
                <w:b/>
                <w:bCs/>
                <w:lang w:val="en-US" w:eastAsia="zh-CN"/>
              </w:rPr>
              <w:t>2</w:t>
            </w:r>
            <w:r>
              <w:rPr>
                <w:rFonts w:hint="eastAsia" w:ascii="Times New Roman" w:hAnsi="Times New Roman" w:eastAsia="宋体" w:cs="Times New Roman"/>
                <w:b/>
                <w:bCs/>
                <w:lang w:val="en-US" w:eastAsia="zh-CN"/>
              </w:rPr>
              <w:t>4</w:t>
            </w:r>
            <w:r>
              <w:rPr>
                <w:rFonts w:hint="default" w:ascii="Times New Roman" w:hAnsi="Times New Roman" w:eastAsia="宋体" w:cs="Times New Roman"/>
                <w:b/>
                <w:bCs/>
              </w:rPr>
              <w:t xml:space="preserve">  </w:t>
            </w:r>
            <w:r>
              <w:rPr>
                <w:rFonts w:hint="eastAsia" w:ascii="Times New Roman" w:hAnsi="Times New Roman" w:eastAsia="宋体" w:cs="Times New Roman"/>
                <w:b/>
                <w:bCs/>
                <w:lang w:eastAsia="zh-CN"/>
              </w:rPr>
              <w:t>本</w:t>
            </w:r>
            <w:r>
              <w:rPr>
                <w:rFonts w:hint="default" w:ascii="Times New Roman" w:hAnsi="Times New Roman" w:eastAsia="宋体" w:cs="Times New Roman"/>
                <w:b/>
                <w:bCs/>
              </w:rPr>
              <w:t>项目</w:t>
            </w:r>
            <w:r>
              <w:rPr>
                <w:rFonts w:ascii="Times New Roman" w:hAnsi="Times New Roman" w:eastAsia="宋体" w:cs="宋体"/>
                <w:b/>
                <w:bCs/>
                <w:kern w:val="0"/>
                <w:sz w:val="24"/>
                <w:szCs w:val="22"/>
                <w:lang w:val="en-US" w:bidi="zh-CN"/>
              </w:rPr>
              <w:t>危险物质Q值辨识结果一览表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1"/>
              <w:gridCol w:w="1673"/>
              <w:gridCol w:w="2135"/>
              <w:gridCol w:w="2011"/>
            </w:tblGrid>
            <w:tr w14:paraId="1E27A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460" w:type="pct"/>
                  <w:noWrap w:val="0"/>
                  <w:vAlign w:val="center"/>
                </w:tcPr>
                <w:p w14:paraId="2043BE02">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b w:val="0"/>
                      <w:bCs/>
                      <w:szCs w:val="21"/>
                    </w:rPr>
                  </w:pPr>
                  <w:r>
                    <w:rPr>
                      <w:rFonts w:hint="default" w:ascii="Times New Roman" w:hAnsi="Times New Roman" w:cs="Times New Roman"/>
                      <w:b w:val="0"/>
                      <w:bCs/>
                      <w:szCs w:val="21"/>
                    </w:rPr>
                    <w:t>风险物质</w:t>
                  </w:r>
                </w:p>
              </w:tc>
              <w:tc>
                <w:tcPr>
                  <w:tcW w:w="1017" w:type="pct"/>
                  <w:noWrap w:val="0"/>
                  <w:vAlign w:val="center"/>
                </w:tcPr>
                <w:p w14:paraId="1C198562">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b w:val="0"/>
                      <w:bCs/>
                      <w:szCs w:val="21"/>
                    </w:rPr>
                  </w:pPr>
                  <w:r>
                    <w:rPr>
                      <w:rFonts w:hint="default" w:ascii="Times New Roman" w:hAnsi="Times New Roman" w:cs="Times New Roman"/>
                      <w:b w:val="0"/>
                      <w:bCs/>
                      <w:szCs w:val="21"/>
                    </w:rPr>
                    <w:t>临界量（t）</w:t>
                  </w:r>
                </w:p>
              </w:tc>
              <w:tc>
                <w:tcPr>
                  <w:tcW w:w="1298" w:type="pct"/>
                  <w:noWrap w:val="0"/>
                  <w:vAlign w:val="center"/>
                </w:tcPr>
                <w:p w14:paraId="6F1A83BD">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b w:val="0"/>
                      <w:bCs/>
                      <w:szCs w:val="21"/>
                    </w:rPr>
                  </w:pPr>
                  <w:r>
                    <w:rPr>
                      <w:rFonts w:hint="default" w:ascii="Times New Roman" w:hAnsi="Times New Roman" w:cs="Times New Roman"/>
                      <w:b w:val="0"/>
                      <w:bCs/>
                      <w:szCs w:val="21"/>
                    </w:rPr>
                    <w:t>最大贮存量（t）</w:t>
                  </w:r>
                </w:p>
              </w:tc>
              <w:tc>
                <w:tcPr>
                  <w:tcW w:w="1223" w:type="pct"/>
                  <w:noWrap w:val="0"/>
                  <w:vAlign w:val="center"/>
                </w:tcPr>
                <w:p w14:paraId="7D65608A">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b w:val="0"/>
                      <w:bCs/>
                      <w:szCs w:val="21"/>
                    </w:rPr>
                  </w:pPr>
                  <w:r>
                    <w:rPr>
                      <w:rFonts w:hint="default" w:ascii="Times New Roman" w:hAnsi="Times New Roman" w:cs="Times New Roman"/>
                      <w:b w:val="0"/>
                      <w:bCs/>
                      <w:szCs w:val="21"/>
                    </w:rPr>
                    <w:t>Q值</w:t>
                  </w:r>
                </w:p>
              </w:tc>
            </w:tr>
            <w:tr w14:paraId="6AB3E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460" w:type="pct"/>
                  <w:noWrap w:val="0"/>
                  <w:vAlign w:val="center"/>
                </w:tcPr>
                <w:p w14:paraId="45F06A2D">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szCs w:val="21"/>
                    </w:rPr>
                  </w:pPr>
                  <w:r>
                    <w:rPr>
                      <w:rFonts w:hint="default" w:ascii="Times New Roman" w:hAnsi="Times New Roman" w:cs="Times New Roman"/>
                      <w:szCs w:val="21"/>
                    </w:rPr>
                    <w:t>润滑油</w:t>
                  </w:r>
                </w:p>
              </w:tc>
              <w:tc>
                <w:tcPr>
                  <w:tcW w:w="1017" w:type="pct"/>
                  <w:vMerge w:val="restart"/>
                  <w:noWrap w:val="0"/>
                  <w:vAlign w:val="center"/>
                </w:tcPr>
                <w:p w14:paraId="01E74C94">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2500</w:t>
                  </w:r>
                </w:p>
              </w:tc>
              <w:tc>
                <w:tcPr>
                  <w:tcW w:w="1298" w:type="pct"/>
                  <w:noWrap w:val="0"/>
                  <w:vAlign w:val="center"/>
                </w:tcPr>
                <w:p w14:paraId="414A5270">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eastAsia="宋体" w:cs="Times New Roman"/>
                      <w:szCs w:val="21"/>
                      <w:lang w:val="en-US" w:eastAsia="zh-CN"/>
                    </w:rPr>
                  </w:pPr>
                  <w:r>
                    <w:rPr>
                      <w:rFonts w:hint="default" w:ascii="Times New Roman" w:hAnsi="Times New Roman" w:cs="Times New Roman"/>
                      <w:szCs w:val="21"/>
                    </w:rPr>
                    <w:t>0.</w:t>
                  </w:r>
                  <w:r>
                    <w:rPr>
                      <w:rFonts w:hint="default" w:ascii="Times New Roman" w:hAnsi="Times New Roman" w:cs="Times New Roman"/>
                      <w:szCs w:val="21"/>
                      <w:lang w:val="en-US" w:eastAsia="zh-CN"/>
                    </w:rPr>
                    <w:t>0</w:t>
                  </w:r>
                  <w:r>
                    <w:rPr>
                      <w:rFonts w:hint="eastAsia" w:ascii="Times New Roman" w:hAnsi="Times New Roman" w:cs="Times New Roman"/>
                      <w:szCs w:val="21"/>
                      <w:lang w:val="en-US" w:eastAsia="zh-CN"/>
                    </w:rPr>
                    <w:t>2</w:t>
                  </w:r>
                </w:p>
              </w:tc>
              <w:tc>
                <w:tcPr>
                  <w:tcW w:w="1223" w:type="pct"/>
                  <w:noWrap w:val="0"/>
                  <w:vAlign w:val="center"/>
                </w:tcPr>
                <w:p w14:paraId="7031FE74">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eastAsia="宋体" w:cs="Times New Roman"/>
                      <w:szCs w:val="21"/>
                      <w:lang w:val="en-US" w:eastAsia="zh-CN"/>
                    </w:rPr>
                  </w:pPr>
                  <w:r>
                    <w:rPr>
                      <w:rFonts w:hint="default" w:ascii="Times New Roman" w:hAnsi="Times New Roman" w:cs="Times New Roman"/>
                      <w:szCs w:val="21"/>
                    </w:rPr>
                    <w:t>0.0000</w:t>
                  </w:r>
                  <w:r>
                    <w:rPr>
                      <w:rFonts w:hint="eastAsia" w:ascii="Times New Roman" w:hAnsi="Times New Roman" w:cs="Times New Roman"/>
                      <w:szCs w:val="21"/>
                      <w:lang w:val="en-US" w:eastAsia="zh-CN"/>
                    </w:rPr>
                    <w:t>08</w:t>
                  </w:r>
                </w:p>
              </w:tc>
            </w:tr>
            <w:tr w14:paraId="71A61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460" w:type="pct"/>
                  <w:noWrap w:val="0"/>
                  <w:vAlign w:val="center"/>
                </w:tcPr>
                <w:p w14:paraId="7AE002B4">
                  <w:pPr>
                    <w:pStyle w:val="21"/>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szCs w:val="21"/>
                    </w:rPr>
                  </w:pPr>
                  <w:r>
                    <w:rPr>
                      <w:rFonts w:hint="default" w:ascii="Times New Roman" w:hAnsi="Times New Roman" w:cs="Times New Roman"/>
                      <w:szCs w:val="21"/>
                    </w:rPr>
                    <w:t>废润滑油</w:t>
                  </w:r>
                </w:p>
              </w:tc>
              <w:tc>
                <w:tcPr>
                  <w:tcW w:w="1017" w:type="pct"/>
                  <w:vMerge w:val="continue"/>
                  <w:noWrap w:val="0"/>
                  <w:vAlign w:val="center"/>
                </w:tcPr>
                <w:p w14:paraId="2DB15B8B">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szCs w:val="21"/>
                    </w:rPr>
                  </w:pPr>
                </w:p>
              </w:tc>
              <w:tc>
                <w:tcPr>
                  <w:tcW w:w="1298" w:type="pct"/>
                  <w:noWrap w:val="0"/>
                  <w:vAlign w:val="center"/>
                </w:tcPr>
                <w:p w14:paraId="32CFAF1B">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eastAsia="宋体" w:cs="Times New Roman"/>
                      <w:szCs w:val="21"/>
                      <w:lang w:val="en-US" w:eastAsia="zh-CN"/>
                    </w:rPr>
                  </w:pPr>
                  <w:r>
                    <w:rPr>
                      <w:rFonts w:hint="default" w:ascii="Times New Roman" w:hAnsi="Times New Roman" w:cs="Times New Roman"/>
                      <w:szCs w:val="21"/>
                    </w:rPr>
                    <w:t>0.</w:t>
                  </w:r>
                  <w:r>
                    <w:rPr>
                      <w:rFonts w:hint="eastAsia" w:ascii="Times New Roman" w:hAnsi="Times New Roman" w:cs="Times New Roman"/>
                      <w:szCs w:val="21"/>
                      <w:lang w:val="en-US" w:eastAsia="zh-CN"/>
                    </w:rPr>
                    <w:t>15</w:t>
                  </w:r>
                </w:p>
              </w:tc>
              <w:tc>
                <w:tcPr>
                  <w:tcW w:w="1223" w:type="pct"/>
                  <w:noWrap w:val="0"/>
                  <w:vAlign w:val="center"/>
                </w:tcPr>
                <w:p w14:paraId="4F40F741">
                  <w:pPr>
                    <w:pStyle w:val="24"/>
                    <w:keepNext w:val="0"/>
                    <w:keepLines w:val="0"/>
                    <w:pageBreakBefore w:val="0"/>
                    <w:widowControl w:val="0"/>
                    <w:kinsoku/>
                    <w:wordWrap/>
                    <w:overflowPunct/>
                    <w:topLinePunct w:val="0"/>
                    <w:autoSpaceDE/>
                    <w:autoSpaceDN/>
                    <w:bidi w:val="0"/>
                    <w:spacing w:line="360" w:lineRule="exact"/>
                    <w:textAlignment w:val="auto"/>
                    <w:rPr>
                      <w:rFonts w:hint="eastAsia" w:ascii="Times New Roman" w:hAnsi="Times New Roman" w:eastAsia="宋体" w:cs="Times New Roman"/>
                      <w:szCs w:val="21"/>
                      <w:lang w:val="en-US" w:eastAsia="zh-CN"/>
                    </w:rPr>
                  </w:pPr>
                  <w:r>
                    <w:rPr>
                      <w:rFonts w:hint="default" w:ascii="Times New Roman" w:hAnsi="Times New Roman" w:cs="Times New Roman"/>
                      <w:szCs w:val="21"/>
                    </w:rPr>
                    <w:t>0.0000</w:t>
                  </w:r>
                  <w:r>
                    <w:rPr>
                      <w:rFonts w:hint="eastAsia" w:ascii="Times New Roman" w:hAnsi="Times New Roman" w:cs="Times New Roman"/>
                      <w:szCs w:val="21"/>
                      <w:lang w:val="en-US" w:eastAsia="zh-CN"/>
                    </w:rPr>
                    <w:t>6</w:t>
                  </w:r>
                </w:p>
              </w:tc>
            </w:tr>
            <w:tr w14:paraId="5C9B5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0" w:type="pct"/>
                  <w:noWrap w:val="0"/>
                  <w:vAlign w:val="center"/>
                </w:tcPr>
                <w:p w14:paraId="2484DD20">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szCs w:val="21"/>
                    </w:rPr>
                  </w:pPr>
                  <w:r>
                    <w:rPr>
                      <w:rFonts w:hint="default" w:ascii="Times New Roman" w:hAnsi="Times New Roman" w:cs="Times New Roman"/>
                      <w:szCs w:val="21"/>
                    </w:rPr>
                    <w:t>合计</w:t>
                  </w:r>
                </w:p>
              </w:tc>
              <w:tc>
                <w:tcPr>
                  <w:tcW w:w="1017" w:type="pct"/>
                  <w:noWrap w:val="0"/>
                  <w:vAlign w:val="center"/>
                </w:tcPr>
                <w:p w14:paraId="793BB9BB">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298" w:type="pct"/>
                  <w:noWrap w:val="0"/>
                  <w:vAlign w:val="center"/>
                </w:tcPr>
                <w:p w14:paraId="56E45815">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223" w:type="pct"/>
                  <w:noWrap w:val="0"/>
                  <w:vAlign w:val="center"/>
                </w:tcPr>
                <w:p w14:paraId="16BDEFB5">
                  <w:pPr>
                    <w:pStyle w:val="24"/>
                    <w:keepNext w:val="0"/>
                    <w:keepLines w:val="0"/>
                    <w:pageBreakBefore w:val="0"/>
                    <w:widowControl w:val="0"/>
                    <w:kinsoku/>
                    <w:wordWrap/>
                    <w:overflowPunct/>
                    <w:topLinePunct w:val="0"/>
                    <w:autoSpaceDE/>
                    <w:autoSpaceDN/>
                    <w:bidi w:val="0"/>
                    <w:spacing w:line="360" w:lineRule="exact"/>
                    <w:textAlignment w:val="auto"/>
                    <w:rPr>
                      <w:rFonts w:hint="default" w:ascii="Times New Roman" w:hAnsi="Times New Roman" w:eastAsia="宋体" w:cs="Times New Roman"/>
                      <w:szCs w:val="21"/>
                      <w:lang w:val="en-US" w:eastAsia="zh-CN"/>
                    </w:rPr>
                  </w:pPr>
                  <w:r>
                    <w:rPr>
                      <w:rFonts w:hint="default" w:ascii="Times New Roman" w:hAnsi="Times New Roman" w:cs="Times New Roman"/>
                      <w:szCs w:val="21"/>
                      <w:highlight w:val="none"/>
                    </w:rPr>
                    <w:t>0.0</w:t>
                  </w:r>
                  <w:r>
                    <w:rPr>
                      <w:rFonts w:hint="default" w:ascii="Times New Roman" w:hAnsi="Times New Roman" w:cs="Times New Roman"/>
                      <w:szCs w:val="21"/>
                      <w:highlight w:val="none"/>
                      <w:lang w:val="en-US" w:eastAsia="zh-CN"/>
                    </w:rPr>
                    <w:t>000</w:t>
                  </w:r>
                  <w:r>
                    <w:rPr>
                      <w:rFonts w:hint="eastAsia" w:ascii="Times New Roman" w:hAnsi="Times New Roman" w:cs="Times New Roman"/>
                      <w:szCs w:val="21"/>
                      <w:highlight w:val="none"/>
                      <w:lang w:val="en-US" w:eastAsia="zh-CN"/>
                    </w:rPr>
                    <w:t>68</w:t>
                  </w:r>
                </w:p>
              </w:tc>
            </w:tr>
          </w:tbl>
          <w:p w14:paraId="61F68EE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根据上表可知，危险物质数量与临界量的比值Q值小于1，项目环境风险潜势为</w:t>
            </w:r>
            <w:r>
              <w:rPr>
                <w:rFonts w:ascii="Times New Roman" w:hAnsi="Times New Roman" w:eastAsia="宋体" w:cs="宋体"/>
                <w:kern w:val="0"/>
                <w:sz w:val="21"/>
                <w:szCs w:val="21"/>
                <w:lang w:val="zh-CN" w:bidi="zh-CN"/>
              </w:rPr>
              <w:fldChar w:fldCharType="begin"/>
            </w:r>
            <w:r>
              <w:rPr>
                <w:rFonts w:ascii="Times New Roman" w:hAnsi="Times New Roman" w:eastAsia="宋体" w:cs="宋体"/>
                <w:kern w:val="0"/>
                <w:sz w:val="21"/>
                <w:szCs w:val="21"/>
                <w:lang w:val="zh-CN" w:bidi="zh-CN"/>
              </w:rPr>
              <w:instrText xml:space="preserve"> = 1 \* ROMAN </w:instrText>
            </w:r>
            <w:r>
              <w:rPr>
                <w:rFonts w:ascii="Times New Roman" w:hAnsi="Times New Roman" w:eastAsia="宋体" w:cs="宋体"/>
                <w:kern w:val="0"/>
                <w:sz w:val="21"/>
                <w:szCs w:val="21"/>
                <w:lang w:val="zh-CN" w:bidi="zh-CN"/>
              </w:rPr>
              <w:fldChar w:fldCharType="separate"/>
            </w:r>
            <w:r>
              <w:rPr>
                <w:rFonts w:ascii="Times New Roman" w:hAnsi="Times New Roman" w:eastAsia="宋体" w:cs="宋体"/>
                <w:kern w:val="0"/>
                <w:sz w:val="21"/>
                <w:szCs w:val="21"/>
                <w:lang w:val="zh-CN" w:bidi="zh-CN"/>
              </w:rPr>
              <w:t>I</w:t>
            </w:r>
            <w:r>
              <w:rPr>
                <w:rFonts w:ascii="Times New Roman" w:hAnsi="Times New Roman" w:eastAsia="宋体" w:cs="宋体"/>
                <w:kern w:val="0"/>
                <w:sz w:val="21"/>
                <w:szCs w:val="21"/>
                <w:lang w:val="zh-CN" w:bidi="zh-CN"/>
              </w:rPr>
              <w:fldChar w:fldCharType="end"/>
            </w:r>
            <w:r>
              <w:rPr>
                <w:rFonts w:hint="default" w:ascii="Times New Roman" w:hAnsi="Times New Roman" w:cs="Times New Roman"/>
              </w:rPr>
              <w:t>。</w:t>
            </w:r>
          </w:p>
          <w:p w14:paraId="146DEF99">
            <w:pPr>
              <w:keepNext w:val="0"/>
              <w:keepLines w:val="0"/>
              <w:pageBreakBefore w:val="0"/>
              <w:widowControl w:val="0"/>
              <w:kinsoku/>
              <w:wordWrap/>
              <w:overflowPunct/>
              <w:topLinePunct w:val="0"/>
              <w:autoSpaceDE w:val="0"/>
              <w:autoSpaceDN w:val="0"/>
              <w:bidi w:val="0"/>
              <w:adjustRightInd w:val="0"/>
              <w:snapToGrid w:val="0"/>
              <w:spacing w:line="520" w:lineRule="exact"/>
              <w:ind w:firstLine="482" w:firstLineChars="200"/>
              <w:textAlignment w:val="auto"/>
              <w:rPr>
                <w:rFonts w:ascii="Times New Roman" w:hAnsi="Times New Roman" w:eastAsia="宋体" w:cs="宋体"/>
                <w:b/>
                <w:bCs/>
                <w:kern w:val="0"/>
                <w:sz w:val="24"/>
                <w:szCs w:val="22"/>
                <w:lang w:val="zh-CN" w:bidi="zh-CN"/>
              </w:rPr>
            </w:pPr>
            <w:r>
              <w:rPr>
                <w:rFonts w:hint="eastAsia" w:ascii="Times New Roman" w:hAnsi="Times New Roman" w:eastAsia="宋体" w:cs="宋体"/>
                <w:b/>
                <w:bCs/>
                <w:kern w:val="0"/>
                <w:sz w:val="24"/>
                <w:szCs w:val="22"/>
                <w:lang w:val="en-US" w:bidi="zh-CN"/>
              </w:rPr>
              <w:t>6.2</w:t>
            </w:r>
            <w:r>
              <w:rPr>
                <w:rFonts w:ascii="Times New Roman" w:hAnsi="Times New Roman" w:eastAsia="宋体" w:cs="宋体"/>
                <w:b/>
                <w:bCs/>
                <w:kern w:val="0"/>
                <w:sz w:val="24"/>
                <w:szCs w:val="22"/>
                <w:lang w:val="zh-CN" w:bidi="zh-CN"/>
              </w:rPr>
              <w:t>风险评价等级</w:t>
            </w:r>
          </w:p>
          <w:p w14:paraId="24024B23">
            <w:pPr>
              <w:keepNext w:val="0"/>
              <w:keepLines w:val="0"/>
              <w:pageBreakBefore w:val="0"/>
              <w:widowControl w:val="0"/>
              <w:kinsoku/>
              <w:wordWrap/>
              <w:overflowPunct/>
              <w:topLinePunct w:val="0"/>
              <w:autoSpaceDE w:val="0"/>
              <w:autoSpaceDN w:val="0"/>
              <w:bidi w:val="0"/>
              <w:adjustRightInd w:val="0"/>
              <w:snapToGrid w:val="0"/>
              <w:spacing w:line="520" w:lineRule="exact"/>
              <w:ind w:firstLine="480" w:firstLineChars="200"/>
              <w:textAlignment w:val="auto"/>
              <w:rPr>
                <w:rFonts w:ascii="Times New Roman" w:hAnsi="Times New Roman" w:eastAsia="宋体" w:cs="宋体"/>
                <w:kern w:val="0"/>
                <w:sz w:val="24"/>
                <w:szCs w:val="22"/>
                <w:lang w:val="zh-CN" w:bidi="zh-CN"/>
              </w:rPr>
            </w:pPr>
            <w:r>
              <w:rPr>
                <w:rFonts w:ascii="Times New Roman" w:hAnsi="Times New Roman" w:eastAsia="宋体" w:cs="宋体"/>
                <w:kern w:val="0"/>
                <w:sz w:val="24"/>
                <w:szCs w:val="22"/>
                <w:lang w:val="zh-CN" w:bidi="zh-CN"/>
              </w:rPr>
              <w:t>根据《建设项目环境风险评价技术导则》（HJ169-2018）要求，环境风险等级划分依据具体见下表。</w:t>
            </w:r>
          </w:p>
          <w:p w14:paraId="655996B9">
            <w:pPr>
              <w:keepNext w:val="0"/>
              <w:keepLines w:val="0"/>
              <w:pageBreakBefore w:val="0"/>
              <w:widowControl w:val="0"/>
              <w:kinsoku/>
              <w:wordWrap/>
              <w:overflowPunct/>
              <w:topLinePunct w:val="0"/>
              <w:autoSpaceDE w:val="0"/>
              <w:autoSpaceDN w:val="0"/>
              <w:bidi w:val="0"/>
              <w:adjustRightInd w:val="0"/>
              <w:snapToGrid w:val="0"/>
              <w:spacing w:line="520" w:lineRule="exact"/>
              <w:ind w:firstLine="0" w:firstLineChars="0"/>
              <w:jc w:val="center"/>
              <w:textAlignment w:val="auto"/>
              <w:rPr>
                <w:rFonts w:ascii="Times New Roman" w:hAnsi="Times New Roman" w:eastAsia="宋体" w:cs="宋体"/>
                <w:b/>
                <w:bCs/>
                <w:kern w:val="0"/>
                <w:sz w:val="24"/>
                <w:szCs w:val="22"/>
                <w:lang w:val="zh-CN" w:bidi="zh-CN"/>
              </w:rPr>
            </w:pPr>
            <w:r>
              <w:rPr>
                <w:rFonts w:ascii="Times New Roman" w:hAnsi="Times New Roman" w:eastAsia="宋体" w:cs="宋体"/>
                <w:b/>
                <w:bCs/>
                <w:kern w:val="0"/>
                <w:sz w:val="24"/>
                <w:szCs w:val="22"/>
                <w:lang w:val="en-US" w:bidi="zh-CN"/>
              </w:rPr>
              <w:t>表</w:t>
            </w:r>
            <w:r>
              <w:rPr>
                <w:rFonts w:hint="eastAsia" w:ascii="Times New Roman" w:hAnsi="Times New Roman" w:eastAsia="宋体" w:cs="宋体"/>
                <w:b/>
                <w:bCs/>
                <w:kern w:val="0"/>
                <w:sz w:val="24"/>
                <w:szCs w:val="22"/>
                <w:lang w:val="en-US" w:bidi="zh-CN"/>
              </w:rPr>
              <w:t>4-2</w:t>
            </w:r>
            <w:r>
              <w:rPr>
                <w:rFonts w:hint="eastAsia" w:eastAsia="宋体" w:cs="宋体"/>
                <w:b/>
                <w:bCs/>
                <w:kern w:val="0"/>
                <w:sz w:val="24"/>
                <w:szCs w:val="22"/>
                <w:lang w:val="en-US" w:bidi="zh-CN"/>
              </w:rPr>
              <w:t>5</w:t>
            </w:r>
            <w:r>
              <w:rPr>
                <w:rFonts w:hint="eastAsia" w:ascii="Times New Roman" w:hAnsi="Times New Roman" w:eastAsia="宋体" w:cs="宋体"/>
                <w:b/>
                <w:bCs/>
                <w:kern w:val="0"/>
                <w:sz w:val="24"/>
                <w:szCs w:val="22"/>
                <w:lang w:val="en-US" w:bidi="zh-CN"/>
              </w:rPr>
              <w:t xml:space="preserve">   </w:t>
            </w:r>
            <w:r>
              <w:rPr>
                <w:rFonts w:ascii="Times New Roman" w:hAnsi="Times New Roman" w:eastAsia="宋体" w:cs="宋体"/>
                <w:b/>
                <w:bCs/>
                <w:kern w:val="0"/>
                <w:sz w:val="24"/>
                <w:szCs w:val="22"/>
                <w:lang w:val="zh-CN" w:bidi="zh-CN"/>
              </w:rPr>
              <w:t>评价工作等级划分</w:t>
            </w:r>
          </w:p>
          <w:tbl>
            <w:tblPr>
              <w:tblStyle w:val="15"/>
              <w:tblW w:w="8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1657"/>
              <w:gridCol w:w="1549"/>
              <w:gridCol w:w="1549"/>
              <w:gridCol w:w="1657"/>
            </w:tblGrid>
            <w:tr w14:paraId="6A578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826" w:type="dxa"/>
                  <w:noWrap w:val="0"/>
                  <w:vAlign w:val="center"/>
                </w:tcPr>
                <w:p w14:paraId="3A311739">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t>环境风险潜势</w:t>
                  </w:r>
                </w:p>
              </w:tc>
              <w:tc>
                <w:tcPr>
                  <w:tcW w:w="1657" w:type="dxa"/>
                  <w:noWrap w:val="0"/>
                  <w:vAlign w:val="center"/>
                </w:tcPr>
                <w:p w14:paraId="72C9380C">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fldChar w:fldCharType="begin"/>
                  </w:r>
                  <w:r>
                    <w:rPr>
                      <w:rFonts w:ascii="Times New Roman" w:hAnsi="Times New Roman" w:eastAsia="宋体" w:cs="宋体"/>
                      <w:kern w:val="0"/>
                      <w:sz w:val="21"/>
                      <w:szCs w:val="21"/>
                      <w:lang w:val="zh-CN" w:bidi="zh-CN"/>
                    </w:rPr>
                    <w:instrText xml:space="preserve"> = 4 \* ROMAN </w:instrText>
                  </w:r>
                  <w:r>
                    <w:rPr>
                      <w:rFonts w:ascii="Times New Roman" w:hAnsi="Times New Roman" w:eastAsia="宋体" w:cs="宋体"/>
                      <w:kern w:val="0"/>
                      <w:sz w:val="21"/>
                      <w:szCs w:val="21"/>
                      <w:lang w:val="zh-CN" w:bidi="zh-CN"/>
                    </w:rPr>
                    <w:fldChar w:fldCharType="separate"/>
                  </w:r>
                  <w:r>
                    <w:rPr>
                      <w:rFonts w:ascii="Times New Roman" w:hAnsi="Times New Roman" w:eastAsia="宋体" w:cs="宋体"/>
                      <w:kern w:val="0"/>
                      <w:sz w:val="21"/>
                      <w:szCs w:val="21"/>
                      <w:lang w:val="zh-CN" w:bidi="zh-CN"/>
                    </w:rPr>
                    <w:t>IV</w:t>
                  </w:r>
                  <w:r>
                    <w:rPr>
                      <w:rFonts w:ascii="Times New Roman" w:hAnsi="Times New Roman" w:eastAsia="宋体" w:cs="宋体"/>
                      <w:kern w:val="0"/>
                      <w:sz w:val="21"/>
                      <w:szCs w:val="21"/>
                      <w:lang w:val="zh-CN" w:bidi="zh-CN"/>
                    </w:rPr>
                    <w:fldChar w:fldCharType="end"/>
                  </w:r>
                  <w:r>
                    <w:rPr>
                      <w:rFonts w:ascii="Times New Roman" w:hAnsi="Times New Roman" w:eastAsia="宋体" w:cs="宋体"/>
                      <w:kern w:val="0"/>
                      <w:sz w:val="21"/>
                      <w:szCs w:val="21"/>
                      <w:lang w:val="zh-CN" w:bidi="zh-CN"/>
                    </w:rPr>
                    <w:t>、</w:t>
                  </w:r>
                  <w:r>
                    <w:rPr>
                      <w:rFonts w:ascii="Times New Roman" w:hAnsi="Times New Roman" w:eastAsia="宋体" w:cs="宋体"/>
                      <w:kern w:val="0"/>
                      <w:sz w:val="21"/>
                      <w:szCs w:val="21"/>
                      <w:lang w:val="zh-CN" w:bidi="zh-CN"/>
                    </w:rPr>
                    <w:fldChar w:fldCharType="begin"/>
                  </w:r>
                  <w:r>
                    <w:rPr>
                      <w:rFonts w:ascii="Times New Roman" w:hAnsi="Times New Roman" w:eastAsia="宋体" w:cs="宋体"/>
                      <w:kern w:val="0"/>
                      <w:sz w:val="21"/>
                      <w:szCs w:val="21"/>
                      <w:lang w:val="zh-CN" w:bidi="zh-CN"/>
                    </w:rPr>
                    <w:instrText xml:space="preserve"> = 4 \* ROMAN </w:instrText>
                  </w:r>
                  <w:r>
                    <w:rPr>
                      <w:rFonts w:ascii="Times New Roman" w:hAnsi="Times New Roman" w:eastAsia="宋体" w:cs="宋体"/>
                      <w:kern w:val="0"/>
                      <w:sz w:val="21"/>
                      <w:szCs w:val="21"/>
                      <w:lang w:val="zh-CN" w:bidi="zh-CN"/>
                    </w:rPr>
                    <w:fldChar w:fldCharType="separate"/>
                  </w:r>
                  <w:r>
                    <w:rPr>
                      <w:rFonts w:ascii="Times New Roman" w:hAnsi="Times New Roman" w:eastAsia="宋体" w:cs="宋体"/>
                      <w:kern w:val="0"/>
                      <w:sz w:val="21"/>
                      <w:szCs w:val="21"/>
                      <w:lang w:val="zh-CN" w:bidi="zh-CN"/>
                    </w:rPr>
                    <w:t>IV</w:t>
                  </w:r>
                  <w:r>
                    <w:rPr>
                      <w:rFonts w:ascii="Times New Roman" w:hAnsi="Times New Roman" w:eastAsia="宋体" w:cs="宋体"/>
                      <w:kern w:val="0"/>
                      <w:sz w:val="21"/>
                      <w:szCs w:val="21"/>
                      <w:lang w:val="zh-CN" w:bidi="zh-CN"/>
                    </w:rPr>
                    <w:fldChar w:fldCharType="end"/>
                  </w:r>
                  <w:r>
                    <w:rPr>
                      <w:rFonts w:ascii="Times New Roman" w:hAnsi="Times New Roman" w:eastAsia="宋体" w:cs="宋体"/>
                      <w:kern w:val="0"/>
                      <w:sz w:val="21"/>
                      <w:szCs w:val="21"/>
                      <w:lang w:val="zh-CN" w:bidi="zh-CN"/>
                    </w:rPr>
                    <w:t>+</w:t>
                  </w:r>
                </w:p>
              </w:tc>
              <w:tc>
                <w:tcPr>
                  <w:tcW w:w="1549" w:type="dxa"/>
                  <w:noWrap w:val="0"/>
                  <w:vAlign w:val="center"/>
                </w:tcPr>
                <w:p w14:paraId="4BA3E0ED">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fldChar w:fldCharType="begin"/>
                  </w:r>
                  <w:r>
                    <w:rPr>
                      <w:rFonts w:ascii="Times New Roman" w:hAnsi="Times New Roman" w:eastAsia="宋体" w:cs="宋体"/>
                      <w:kern w:val="0"/>
                      <w:sz w:val="21"/>
                      <w:szCs w:val="21"/>
                      <w:lang w:val="zh-CN" w:bidi="zh-CN"/>
                    </w:rPr>
                    <w:instrText xml:space="preserve"> = 3 \* ROMAN </w:instrText>
                  </w:r>
                  <w:r>
                    <w:rPr>
                      <w:rFonts w:ascii="Times New Roman" w:hAnsi="Times New Roman" w:eastAsia="宋体" w:cs="宋体"/>
                      <w:kern w:val="0"/>
                      <w:sz w:val="21"/>
                      <w:szCs w:val="21"/>
                      <w:lang w:val="zh-CN" w:bidi="zh-CN"/>
                    </w:rPr>
                    <w:fldChar w:fldCharType="separate"/>
                  </w:r>
                  <w:r>
                    <w:rPr>
                      <w:rFonts w:ascii="Times New Roman" w:hAnsi="Times New Roman" w:eastAsia="宋体" w:cs="宋体"/>
                      <w:kern w:val="0"/>
                      <w:sz w:val="21"/>
                      <w:szCs w:val="21"/>
                      <w:lang w:val="zh-CN" w:bidi="zh-CN"/>
                    </w:rPr>
                    <w:t>III</w:t>
                  </w:r>
                  <w:r>
                    <w:rPr>
                      <w:rFonts w:ascii="Times New Roman" w:hAnsi="Times New Roman" w:eastAsia="宋体" w:cs="宋体"/>
                      <w:kern w:val="0"/>
                      <w:sz w:val="21"/>
                      <w:szCs w:val="21"/>
                      <w:lang w:val="zh-CN" w:bidi="zh-CN"/>
                    </w:rPr>
                    <w:fldChar w:fldCharType="end"/>
                  </w:r>
                </w:p>
              </w:tc>
              <w:tc>
                <w:tcPr>
                  <w:tcW w:w="1549" w:type="dxa"/>
                  <w:noWrap w:val="0"/>
                  <w:vAlign w:val="center"/>
                </w:tcPr>
                <w:p w14:paraId="05B9E0C1">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fldChar w:fldCharType="begin"/>
                  </w:r>
                  <w:r>
                    <w:rPr>
                      <w:rFonts w:ascii="Times New Roman" w:hAnsi="Times New Roman" w:eastAsia="宋体" w:cs="宋体"/>
                      <w:kern w:val="0"/>
                      <w:sz w:val="21"/>
                      <w:szCs w:val="21"/>
                      <w:lang w:val="zh-CN" w:bidi="zh-CN"/>
                    </w:rPr>
                    <w:instrText xml:space="preserve"> = 2 \* ROMAN </w:instrText>
                  </w:r>
                  <w:r>
                    <w:rPr>
                      <w:rFonts w:ascii="Times New Roman" w:hAnsi="Times New Roman" w:eastAsia="宋体" w:cs="宋体"/>
                      <w:kern w:val="0"/>
                      <w:sz w:val="21"/>
                      <w:szCs w:val="21"/>
                      <w:lang w:val="zh-CN" w:bidi="zh-CN"/>
                    </w:rPr>
                    <w:fldChar w:fldCharType="separate"/>
                  </w:r>
                  <w:r>
                    <w:rPr>
                      <w:rFonts w:ascii="Times New Roman" w:hAnsi="Times New Roman" w:eastAsia="宋体" w:cs="宋体"/>
                      <w:kern w:val="0"/>
                      <w:sz w:val="21"/>
                      <w:szCs w:val="21"/>
                      <w:lang w:val="zh-CN" w:bidi="zh-CN"/>
                    </w:rPr>
                    <w:t>II</w:t>
                  </w:r>
                  <w:r>
                    <w:rPr>
                      <w:rFonts w:ascii="Times New Roman" w:hAnsi="Times New Roman" w:eastAsia="宋体" w:cs="宋体"/>
                      <w:kern w:val="0"/>
                      <w:sz w:val="21"/>
                      <w:szCs w:val="21"/>
                      <w:lang w:val="zh-CN" w:bidi="zh-CN"/>
                    </w:rPr>
                    <w:fldChar w:fldCharType="end"/>
                  </w:r>
                </w:p>
              </w:tc>
              <w:tc>
                <w:tcPr>
                  <w:tcW w:w="1657" w:type="dxa"/>
                  <w:noWrap w:val="0"/>
                  <w:vAlign w:val="center"/>
                </w:tcPr>
                <w:p w14:paraId="38FA7C09">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fldChar w:fldCharType="begin"/>
                  </w:r>
                  <w:r>
                    <w:rPr>
                      <w:rFonts w:ascii="Times New Roman" w:hAnsi="Times New Roman" w:eastAsia="宋体" w:cs="宋体"/>
                      <w:kern w:val="0"/>
                      <w:sz w:val="21"/>
                      <w:szCs w:val="21"/>
                      <w:lang w:val="zh-CN" w:bidi="zh-CN"/>
                    </w:rPr>
                    <w:instrText xml:space="preserve"> = 1 \* ROMAN </w:instrText>
                  </w:r>
                  <w:r>
                    <w:rPr>
                      <w:rFonts w:ascii="Times New Roman" w:hAnsi="Times New Roman" w:eastAsia="宋体" w:cs="宋体"/>
                      <w:kern w:val="0"/>
                      <w:sz w:val="21"/>
                      <w:szCs w:val="21"/>
                      <w:lang w:val="zh-CN" w:bidi="zh-CN"/>
                    </w:rPr>
                    <w:fldChar w:fldCharType="separate"/>
                  </w:r>
                  <w:r>
                    <w:rPr>
                      <w:rFonts w:ascii="Times New Roman" w:hAnsi="Times New Roman" w:eastAsia="宋体" w:cs="宋体"/>
                      <w:kern w:val="0"/>
                      <w:sz w:val="21"/>
                      <w:szCs w:val="21"/>
                      <w:lang w:val="zh-CN" w:bidi="zh-CN"/>
                    </w:rPr>
                    <w:t>I</w:t>
                  </w:r>
                  <w:r>
                    <w:rPr>
                      <w:rFonts w:ascii="Times New Roman" w:hAnsi="Times New Roman" w:eastAsia="宋体" w:cs="宋体"/>
                      <w:kern w:val="0"/>
                      <w:sz w:val="21"/>
                      <w:szCs w:val="21"/>
                      <w:lang w:val="zh-CN" w:bidi="zh-CN"/>
                    </w:rPr>
                    <w:fldChar w:fldCharType="end"/>
                  </w:r>
                </w:p>
              </w:tc>
            </w:tr>
            <w:tr w14:paraId="3597F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826" w:type="dxa"/>
                  <w:noWrap w:val="0"/>
                  <w:vAlign w:val="center"/>
                </w:tcPr>
                <w:p w14:paraId="46952F07">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t>评价工作等级</w:t>
                  </w:r>
                </w:p>
              </w:tc>
              <w:tc>
                <w:tcPr>
                  <w:tcW w:w="1657" w:type="dxa"/>
                  <w:noWrap w:val="0"/>
                  <w:vAlign w:val="center"/>
                </w:tcPr>
                <w:p w14:paraId="130A5E76">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t>一</w:t>
                  </w:r>
                </w:p>
              </w:tc>
              <w:tc>
                <w:tcPr>
                  <w:tcW w:w="1549" w:type="dxa"/>
                  <w:noWrap w:val="0"/>
                  <w:vAlign w:val="center"/>
                </w:tcPr>
                <w:p w14:paraId="64A913A9">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t>二</w:t>
                  </w:r>
                </w:p>
              </w:tc>
              <w:tc>
                <w:tcPr>
                  <w:tcW w:w="1549" w:type="dxa"/>
                  <w:noWrap w:val="0"/>
                  <w:vAlign w:val="center"/>
                </w:tcPr>
                <w:p w14:paraId="357B98C1">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t>三</w:t>
                  </w:r>
                </w:p>
              </w:tc>
              <w:tc>
                <w:tcPr>
                  <w:tcW w:w="1657" w:type="dxa"/>
                  <w:noWrap w:val="0"/>
                  <w:vAlign w:val="center"/>
                </w:tcPr>
                <w:p w14:paraId="28BFA19E">
                  <w:pPr>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jc w:val="center"/>
                    <w:textAlignment w:val="auto"/>
                    <w:rPr>
                      <w:rFonts w:ascii="Times New Roman" w:hAnsi="Times New Roman" w:eastAsia="宋体" w:cs="宋体"/>
                      <w:kern w:val="0"/>
                      <w:sz w:val="21"/>
                      <w:szCs w:val="21"/>
                      <w:lang w:val="zh-CN" w:bidi="zh-CN"/>
                    </w:rPr>
                  </w:pPr>
                  <w:r>
                    <w:rPr>
                      <w:rFonts w:ascii="Times New Roman" w:hAnsi="Times New Roman" w:eastAsia="宋体" w:cs="宋体"/>
                      <w:kern w:val="0"/>
                      <w:sz w:val="21"/>
                      <w:szCs w:val="21"/>
                      <w:lang w:val="zh-CN" w:bidi="zh-CN"/>
                    </w:rPr>
                    <w:t>简单分析</w:t>
                  </w:r>
                </w:p>
              </w:tc>
            </w:tr>
          </w:tbl>
          <w:p w14:paraId="0F44CC02">
            <w:pPr>
              <w:keepNext w:val="0"/>
              <w:keepLines w:val="0"/>
              <w:pageBreakBefore w:val="0"/>
              <w:widowControl w:val="0"/>
              <w:kinsoku/>
              <w:wordWrap/>
              <w:overflowPunct/>
              <w:topLinePunct w:val="0"/>
              <w:autoSpaceDE w:val="0"/>
              <w:autoSpaceDN w:val="0"/>
              <w:bidi w:val="0"/>
              <w:adjustRightInd w:val="0"/>
              <w:snapToGrid w:val="0"/>
              <w:spacing w:line="520" w:lineRule="exact"/>
              <w:ind w:firstLine="480" w:firstLineChars="200"/>
              <w:textAlignment w:val="auto"/>
              <w:rPr>
                <w:rFonts w:ascii="Times New Roman" w:hAnsi="Times New Roman" w:eastAsia="宋体" w:cs="宋体"/>
                <w:kern w:val="0"/>
                <w:sz w:val="24"/>
                <w:szCs w:val="22"/>
                <w:lang w:val="zh-CN" w:bidi="zh-CN"/>
              </w:rPr>
            </w:pPr>
            <w:r>
              <w:rPr>
                <w:rFonts w:ascii="Times New Roman" w:hAnsi="Times New Roman" w:eastAsia="宋体" w:cs="宋体"/>
                <w:kern w:val="0"/>
                <w:sz w:val="24"/>
                <w:szCs w:val="22"/>
                <w:lang w:val="zh-CN" w:bidi="zh-CN"/>
              </w:rPr>
              <w:t>本项目环境风险潜势划分为</w:t>
            </w:r>
            <w:r>
              <w:rPr>
                <w:rFonts w:ascii="Times New Roman" w:hAnsi="Times New Roman" w:eastAsia="宋体" w:cs="宋体"/>
                <w:kern w:val="0"/>
                <w:sz w:val="24"/>
                <w:szCs w:val="22"/>
                <w:lang w:val="zh-CN" w:bidi="zh-CN"/>
              </w:rPr>
              <w:fldChar w:fldCharType="begin"/>
            </w:r>
            <w:r>
              <w:rPr>
                <w:rFonts w:ascii="Times New Roman" w:hAnsi="Times New Roman" w:eastAsia="宋体" w:cs="宋体"/>
                <w:kern w:val="0"/>
                <w:sz w:val="24"/>
                <w:szCs w:val="22"/>
                <w:lang w:val="zh-CN" w:bidi="zh-CN"/>
              </w:rPr>
              <w:instrText xml:space="preserve"> = 1 \* ROMAN </w:instrText>
            </w:r>
            <w:r>
              <w:rPr>
                <w:rFonts w:ascii="Times New Roman" w:hAnsi="Times New Roman" w:eastAsia="宋体" w:cs="宋体"/>
                <w:kern w:val="0"/>
                <w:sz w:val="24"/>
                <w:szCs w:val="22"/>
                <w:lang w:val="zh-CN" w:bidi="zh-CN"/>
              </w:rPr>
              <w:fldChar w:fldCharType="separate"/>
            </w:r>
            <w:r>
              <w:rPr>
                <w:rFonts w:ascii="Times New Roman" w:hAnsi="Times New Roman" w:eastAsia="宋体" w:cs="宋体"/>
                <w:kern w:val="0"/>
                <w:sz w:val="24"/>
                <w:szCs w:val="22"/>
                <w:lang w:val="zh-CN" w:bidi="zh-CN"/>
              </w:rPr>
              <w:t>I</w:t>
            </w:r>
            <w:r>
              <w:rPr>
                <w:rFonts w:ascii="Times New Roman" w:hAnsi="Times New Roman" w:eastAsia="宋体" w:cs="宋体"/>
                <w:kern w:val="0"/>
                <w:sz w:val="24"/>
                <w:szCs w:val="22"/>
                <w:lang w:val="zh-CN" w:bidi="zh-CN"/>
              </w:rPr>
              <w:fldChar w:fldCharType="end"/>
            </w:r>
            <w:r>
              <w:rPr>
                <w:rFonts w:ascii="Times New Roman" w:hAnsi="Times New Roman" w:eastAsia="宋体" w:cs="宋体"/>
                <w:kern w:val="0"/>
                <w:sz w:val="24"/>
                <w:szCs w:val="22"/>
                <w:lang w:val="zh-CN" w:bidi="zh-CN"/>
              </w:rPr>
              <w:t>，因此本项目只对环境风险进行简单分析</w:t>
            </w:r>
            <w:r>
              <w:rPr>
                <w:rFonts w:hint="eastAsia" w:ascii="Times New Roman" w:hAnsi="Times New Roman" w:eastAsia="宋体" w:cs="宋体"/>
                <w:kern w:val="0"/>
                <w:sz w:val="24"/>
                <w:szCs w:val="22"/>
                <w:lang w:val="zh-CN" w:bidi="zh-CN"/>
              </w:rPr>
              <w:t>。</w:t>
            </w:r>
          </w:p>
          <w:p w14:paraId="70D97BB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ascii="Times New Roman" w:hAnsi="Times New Roman" w:cs="Times New Roman"/>
              </w:rPr>
            </w:pPr>
            <w:r>
              <w:rPr>
                <w:rFonts w:hint="default" w:ascii="Times New Roman" w:hAnsi="Times New Roman" w:cs="Times New Roman"/>
                <w:b/>
                <w:bCs/>
              </w:rPr>
              <w:t>6.</w:t>
            </w:r>
            <w:r>
              <w:rPr>
                <w:rFonts w:hint="eastAsia" w:cs="Times New Roman"/>
                <w:b/>
                <w:bCs/>
                <w:lang w:val="en-US" w:eastAsia="zh-CN"/>
              </w:rPr>
              <w:t>3</w:t>
            </w:r>
            <w:r>
              <w:rPr>
                <w:rFonts w:hint="default" w:ascii="Times New Roman" w:hAnsi="Times New Roman" w:cs="Times New Roman"/>
                <w:b/>
                <w:bCs/>
              </w:rPr>
              <w:t>风险识别</w:t>
            </w:r>
          </w:p>
          <w:p w14:paraId="0B56327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（1）</w:t>
            </w:r>
            <w:r>
              <w:rPr>
                <w:rFonts w:hint="eastAsia" w:cs="Times New Roman"/>
                <w:lang w:eastAsia="zh-CN"/>
              </w:rPr>
              <w:t>矿物质油（润滑油）</w:t>
            </w:r>
            <w:r>
              <w:rPr>
                <w:rFonts w:hint="default" w:ascii="Times New Roman" w:hAnsi="Times New Roman" w:cs="Times New Roman"/>
              </w:rPr>
              <w:t>在</w:t>
            </w:r>
            <w:r>
              <w:rPr>
                <w:rFonts w:hint="eastAsia" w:cs="Times New Roman"/>
                <w:lang w:eastAsia="zh-CN"/>
              </w:rPr>
              <w:t>转运或</w:t>
            </w:r>
            <w:r>
              <w:rPr>
                <w:rFonts w:hint="default" w:ascii="Times New Roman" w:hAnsi="Times New Roman" w:cs="Times New Roman"/>
              </w:rPr>
              <w:t>使用过程中会因包装桶破裂或操作不当引起泄漏，进入土壤对土壤和地下水的影响。</w:t>
            </w:r>
          </w:p>
          <w:p w14:paraId="570875BD">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rPr>
            </w:pPr>
            <w:r>
              <w:rPr>
                <w:rFonts w:hint="default" w:ascii="Times New Roman" w:hAnsi="Times New Roman" w:cs="Times New Roman"/>
              </w:rPr>
              <w:t>（2）矿物油发生泄露，遇明火或高热会发生火灾、爆炸，引发伴生/次生污染物排放，污染大气环境，消防废水对土壤和地下水也会造成污染。</w:t>
            </w:r>
          </w:p>
          <w:p w14:paraId="77A933AF">
            <w:pPr>
              <w:keepNext w:val="0"/>
              <w:keepLines w:val="0"/>
              <w:pageBreakBefore w:val="0"/>
              <w:kinsoku/>
              <w:wordWrap/>
              <w:overflowPunct/>
              <w:topLinePunct w:val="0"/>
              <w:autoSpaceDE/>
              <w:autoSpaceDN/>
              <w:bidi w:val="0"/>
              <w:adjustRightInd/>
              <w:snapToGrid/>
              <w:ind w:firstLine="482" w:firstLineChars="200"/>
              <w:textAlignment w:val="auto"/>
              <w:rPr>
                <w:rFonts w:hint="default" w:ascii="Times New Roman" w:hAnsi="Times New Roman" w:cs="Times New Roman"/>
                <w:b/>
                <w:bCs/>
              </w:rPr>
            </w:pPr>
            <w:r>
              <w:rPr>
                <w:rFonts w:hint="default" w:ascii="Times New Roman" w:hAnsi="Times New Roman" w:cs="Times New Roman"/>
                <w:b/>
                <w:bCs/>
              </w:rPr>
              <w:t>6.</w:t>
            </w:r>
            <w:r>
              <w:rPr>
                <w:rFonts w:hint="eastAsia" w:cs="Times New Roman"/>
                <w:b/>
                <w:bCs/>
                <w:lang w:val="en-US" w:eastAsia="zh-CN"/>
              </w:rPr>
              <w:t>4</w:t>
            </w:r>
            <w:r>
              <w:rPr>
                <w:rFonts w:hint="default" w:ascii="Times New Roman" w:hAnsi="Times New Roman" w:cs="Times New Roman"/>
                <w:b/>
                <w:bCs/>
              </w:rPr>
              <w:t>风险防范措施</w:t>
            </w:r>
          </w:p>
          <w:p w14:paraId="3C2E4183">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sz w:val="24"/>
                <w:szCs w:val="24"/>
              </w:rPr>
            </w:pPr>
            <w:r>
              <w:rPr>
                <w:rFonts w:hint="default" w:ascii="Times New Roman" w:hAnsi="Times New Roman" w:cs="Times New Roman"/>
                <w:sz w:val="24"/>
                <w:szCs w:val="24"/>
              </w:rPr>
              <w:t>（1）项目危废间的建设和储存应严格按照《危险废物贮存污染控制标准》（GB18597-2023）进行</w:t>
            </w:r>
            <w:r>
              <w:rPr>
                <w:rFonts w:hint="eastAsia" w:cs="Times New Roman"/>
                <w:sz w:val="24"/>
                <w:szCs w:val="24"/>
                <w:lang w:eastAsia="zh-CN"/>
              </w:rPr>
              <w:t>，</w:t>
            </w:r>
            <w:r>
              <w:rPr>
                <w:rFonts w:hint="default" w:ascii="Times New Roman" w:hAnsi="Times New Roman" w:cs="Times New Roman"/>
                <w:sz w:val="24"/>
                <w:szCs w:val="24"/>
                <w:highlight w:val="none"/>
                <w:lang w:val="en-US" w:eastAsia="zh-CN" w:bidi="ar-SA"/>
              </w:rPr>
              <w:t>危险废物转运过程严格执行《危险废物转移管理办法》（生态环境部 公安部 交通运输部 部令第23号）的相关规定</w:t>
            </w:r>
            <w:r>
              <w:rPr>
                <w:rFonts w:hint="default" w:ascii="Times New Roman" w:hAnsi="Times New Roman" w:cs="Times New Roman"/>
                <w:sz w:val="24"/>
                <w:szCs w:val="24"/>
              </w:rPr>
              <w:t>。</w:t>
            </w:r>
          </w:p>
          <w:p w14:paraId="63C6683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（2）项目使用润滑油等现用现购，不在厂区内储存，更换下来的废润滑油及时收集后放入危废间暂存。</w:t>
            </w:r>
          </w:p>
          <w:p w14:paraId="6261169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kern w:val="2"/>
                <w:sz w:val="24"/>
                <w:szCs w:val="24"/>
                <w:lang w:val="en-US" w:eastAsia="zh-CN" w:bidi="ar-SA"/>
              </w:rPr>
              <w:t>（</w:t>
            </w:r>
            <w:r>
              <w:rPr>
                <w:rFonts w:hint="eastAsia" w:cs="Times New Roman"/>
                <w:kern w:val="2"/>
                <w:sz w:val="24"/>
                <w:szCs w:val="24"/>
                <w:lang w:val="en-US" w:eastAsia="zh-CN" w:bidi="ar-SA"/>
              </w:rPr>
              <w:t>3</w:t>
            </w:r>
            <w:r>
              <w:rPr>
                <w:rFonts w:hint="default" w:ascii="Times New Roman" w:hAnsi="Times New Roman" w:cs="Times New Roman"/>
                <w:kern w:val="2"/>
                <w:sz w:val="24"/>
                <w:szCs w:val="24"/>
                <w:lang w:val="en-US" w:eastAsia="zh-CN" w:bidi="ar-SA"/>
              </w:rPr>
              <w:t>）</w:t>
            </w:r>
            <w:r>
              <w:rPr>
                <w:rFonts w:hint="default" w:ascii="Times New Roman" w:hAnsi="Times New Roman" w:cs="Times New Roman"/>
                <w:sz w:val="24"/>
                <w:szCs w:val="24"/>
                <w:lang w:eastAsia="zh-CN"/>
              </w:rPr>
              <w:t>生产车间、危废间</w:t>
            </w:r>
            <w:r>
              <w:rPr>
                <w:rFonts w:hint="default" w:ascii="Times New Roman" w:hAnsi="Times New Roman" w:cs="Times New Roman"/>
                <w:sz w:val="24"/>
                <w:szCs w:val="24"/>
              </w:rPr>
              <w:t>内各个区域悬挂警示标志和禁火标志，配置手动报警按钮以及手提式灭火器等</w:t>
            </w:r>
            <w:r>
              <w:rPr>
                <w:rFonts w:hint="eastAsia" w:cs="Times New Roman"/>
                <w:sz w:val="24"/>
                <w:szCs w:val="24"/>
                <w:lang w:eastAsia="zh-CN"/>
              </w:rPr>
              <w:t>，</w:t>
            </w:r>
            <w:r>
              <w:rPr>
                <w:rFonts w:hint="default" w:ascii="Times New Roman" w:hAnsi="Times New Roman" w:cs="Times New Roman"/>
                <w:sz w:val="24"/>
                <w:szCs w:val="24"/>
                <w:highlight w:val="none"/>
                <w:lang w:val="en-US" w:eastAsia="zh-CN" w:bidi="ar-SA"/>
              </w:rPr>
              <w:t>厂</w:t>
            </w:r>
            <w:r>
              <w:rPr>
                <w:rFonts w:hint="eastAsia" w:ascii="Times New Roman" w:hAnsi="Times New Roman" w:cs="Times New Roman"/>
                <w:sz w:val="24"/>
                <w:szCs w:val="24"/>
                <w:highlight w:val="none"/>
                <w:lang w:val="en-US" w:eastAsia="zh-CN" w:bidi="ar-SA"/>
              </w:rPr>
              <w:t>房</w:t>
            </w:r>
            <w:r>
              <w:rPr>
                <w:rFonts w:hint="default" w:ascii="Times New Roman" w:hAnsi="Times New Roman" w:cs="Times New Roman"/>
                <w:sz w:val="24"/>
                <w:szCs w:val="24"/>
                <w:highlight w:val="none"/>
                <w:lang w:val="en-US" w:eastAsia="zh-CN" w:bidi="ar-SA"/>
              </w:rPr>
              <w:t>内规划安全疏散逃离线路，并且定期进行演练</w:t>
            </w:r>
            <w:r>
              <w:rPr>
                <w:rFonts w:hint="default" w:ascii="Times New Roman" w:hAnsi="Times New Roman" w:cs="Times New Roman"/>
                <w:sz w:val="24"/>
                <w:szCs w:val="24"/>
              </w:rPr>
              <w:t>。</w:t>
            </w:r>
          </w:p>
          <w:p w14:paraId="3F9C63BC">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jc w:val="both"/>
              <w:textAlignment w:val="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w:t>
            </w:r>
            <w:r>
              <w:rPr>
                <w:rFonts w:hint="eastAsia" w:cs="Times New Roman"/>
                <w:color w:val="auto"/>
                <w:kern w:val="0"/>
                <w:sz w:val="24"/>
                <w:szCs w:val="24"/>
                <w:lang w:val="en-US" w:eastAsia="zh-CN" w:bidi="ar-SA"/>
              </w:rPr>
              <w:t>4</w:t>
            </w:r>
            <w:r>
              <w:rPr>
                <w:rFonts w:hint="default" w:ascii="Times New Roman" w:hAnsi="Times New Roman" w:eastAsia="宋体" w:cs="Times New Roman"/>
                <w:color w:val="auto"/>
                <w:kern w:val="0"/>
                <w:sz w:val="24"/>
                <w:szCs w:val="24"/>
                <w:lang w:val="en-US" w:eastAsia="zh-CN" w:bidi="ar-SA"/>
              </w:rPr>
              <w:t>）加强废气处理设施的维护，及时发现处理设备的隐患，确保废气处理系统正常运行；开、停、检修要有预案，有严密周全的计划，确保不发生事故排放或使影响最小。</w:t>
            </w:r>
          </w:p>
          <w:p w14:paraId="43C0F7C1">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w:t>
            </w:r>
            <w:r>
              <w:rPr>
                <w:rFonts w:hint="eastAsia" w:cs="Times New Roman"/>
                <w:color w:val="auto"/>
                <w:kern w:val="0"/>
                <w:sz w:val="24"/>
                <w:szCs w:val="24"/>
                <w:lang w:val="en-US" w:eastAsia="zh-CN" w:bidi="ar-SA"/>
              </w:rPr>
              <w:t>5</w:t>
            </w:r>
            <w:r>
              <w:rPr>
                <w:rFonts w:hint="default" w:ascii="Times New Roman" w:hAnsi="Times New Roman" w:eastAsia="宋体" w:cs="Times New Roman"/>
                <w:color w:val="auto"/>
                <w:kern w:val="0"/>
                <w:sz w:val="24"/>
                <w:szCs w:val="24"/>
                <w:lang w:val="en-US" w:eastAsia="zh-CN" w:bidi="ar-SA"/>
              </w:rPr>
              <w:t>）加强管理，对职工进行必要安全培训，事故应急培训、演练；在灾害发生的时候采取及时有效的应急救援行动，及系统恢复和善后处理。</w:t>
            </w:r>
          </w:p>
          <w:p w14:paraId="23FF5C3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sz w:val="24"/>
                <w:szCs w:val="24"/>
              </w:rPr>
            </w:pPr>
            <w:r>
              <w:rPr>
                <w:rFonts w:hint="default" w:ascii="Times New Roman" w:hAnsi="Times New Roman" w:cs="Times New Roman"/>
                <w:sz w:val="24"/>
                <w:szCs w:val="24"/>
              </w:rPr>
              <w:t>（</w:t>
            </w:r>
            <w:r>
              <w:rPr>
                <w:rFonts w:hint="eastAsia" w:cs="Times New Roman"/>
                <w:sz w:val="24"/>
                <w:szCs w:val="24"/>
                <w:lang w:val="en-US" w:eastAsia="zh-CN"/>
              </w:rPr>
              <w:t>6</w:t>
            </w:r>
            <w:r>
              <w:rPr>
                <w:rFonts w:hint="default" w:ascii="Times New Roman" w:hAnsi="Times New Roman" w:cs="Times New Roman"/>
                <w:sz w:val="24"/>
                <w:szCs w:val="24"/>
              </w:rPr>
              <w:t>）制定应急预案工作计划，设立事故应急处理小组，与当地政府有关的应急预案衔接并建立正常的定期联络制度。</w:t>
            </w:r>
          </w:p>
          <w:p w14:paraId="5E176B6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482" w:firstLineChars="200"/>
              <w:jc w:val="left"/>
              <w:textAlignment w:val="auto"/>
              <w:outlineLvl w:val="1"/>
              <w:rPr>
                <w:rFonts w:hint="eastAsia" w:ascii="Times New Roman" w:hAnsi="Times New Roman" w:eastAsia="宋体" w:cs="宋体"/>
                <w:b/>
                <w:bCs/>
                <w:color w:val="auto"/>
                <w:kern w:val="0"/>
                <w:sz w:val="24"/>
                <w:szCs w:val="36"/>
                <w:lang w:val="zh-CN" w:eastAsia="zh-CN" w:bidi="ar"/>
              </w:rPr>
            </w:pPr>
            <w:r>
              <w:rPr>
                <w:rFonts w:hint="eastAsia" w:ascii="Times New Roman" w:hAnsi="Times New Roman" w:eastAsia="宋体" w:cs="宋体"/>
                <w:b/>
                <w:bCs/>
                <w:color w:val="auto"/>
                <w:kern w:val="0"/>
                <w:sz w:val="24"/>
                <w:szCs w:val="36"/>
                <w:lang w:val="en-US" w:eastAsia="zh-CN" w:bidi="ar"/>
              </w:rPr>
              <w:t>6.5</w:t>
            </w:r>
            <w:r>
              <w:rPr>
                <w:rFonts w:hint="eastAsia" w:ascii="Times New Roman" w:hAnsi="Times New Roman" w:eastAsia="宋体" w:cs="宋体"/>
                <w:b/>
                <w:bCs/>
                <w:color w:val="auto"/>
                <w:kern w:val="0"/>
                <w:sz w:val="24"/>
                <w:szCs w:val="36"/>
                <w:lang w:val="zh-CN" w:eastAsia="zh-CN" w:bidi="ar"/>
              </w:rPr>
              <w:t>结论</w:t>
            </w:r>
          </w:p>
          <w:p w14:paraId="7A865701">
            <w:pPr>
              <w:keepNext w:val="0"/>
              <w:keepLines w:val="0"/>
              <w:pageBreakBefore w:val="0"/>
              <w:widowControl w:val="0"/>
              <w:kinsoku/>
              <w:wordWrap/>
              <w:overflowPunct/>
              <w:topLinePunct w:val="0"/>
              <w:autoSpaceDE w:val="0"/>
              <w:autoSpaceDN w:val="0"/>
              <w:bidi w:val="0"/>
              <w:adjustRightInd w:val="0"/>
              <w:snapToGrid w:val="0"/>
              <w:spacing w:line="520" w:lineRule="exact"/>
              <w:ind w:firstLine="480" w:firstLineChars="200"/>
              <w:textAlignment w:val="auto"/>
              <w:rPr>
                <w:rFonts w:ascii="Times New Roman" w:hAnsi="Times New Roman" w:eastAsia="宋体" w:cs="宋体"/>
                <w:kern w:val="0"/>
                <w:sz w:val="24"/>
                <w:szCs w:val="22"/>
                <w:lang w:val="zh-CN" w:bidi="zh-CN"/>
              </w:rPr>
            </w:pPr>
            <w:r>
              <w:rPr>
                <w:rFonts w:ascii="Times New Roman" w:hAnsi="Times New Roman" w:eastAsia="宋体" w:cs="宋体"/>
                <w:kern w:val="0"/>
                <w:sz w:val="24"/>
                <w:szCs w:val="22"/>
                <w:lang w:val="zh-CN" w:bidi="zh-CN"/>
              </w:rPr>
              <w:t>本项目在设计中充分考虑了各种危险因素和可能造成的危害，已采取了相应的防范措施的。因此，只要各工作岗位严格遵守岗位操作规程，避免误操作，加强设备的维护和管理，严格落实环评提出的各项防范措施后，其环境风险可控，项目建设是可行的</w:t>
            </w:r>
            <w:r>
              <w:rPr>
                <w:rFonts w:hint="eastAsia" w:ascii="Times New Roman" w:hAnsi="Times New Roman" w:eastAsia="宋体" w:cs="宋体"/>
                <w:kern w:val="0"/>
                <w:sz w:val="24"/>
                <w:szCs w:val="22"/>
                <w:lang w:val="zh-CN" w:bidi="zh-CN"/>
              </w:rPr>
              <w:t>。</w:t>
            </w:r>
            <w:r>
              <w:rPr>
                <w:rFonts w:ascii="Times New Roman" w:hAnsi="Times New Roman" w:eastAsia="宋体" w:cs="宋体"/>
                <w:kern w:val="0"/>
                <w:sz w:val="24"/>
                <w:szCs w:val="22"/>
                <w:lang w:val="zh-CN" w:bidi="zh-CN"/>
              </w:rPr>
              <w:t>建设项目环境风险简单分析内容见下表。</w:t>
            </w:r>
          </w:p>
          <w:p w14:paraId="686C5241">
            <w:pPr>
              <w:keepNext w:val="0"/>
              <w:keepLines w:val="0"/>
              <w:pageBreakBefore w:val="0"/>
              <w:widowControl w:val="0"/>
              <w:kinsoku/>
              <w:wordWrap/>
              <w:overflowPunct/>
              <w:topLinePunct w:val="0"/>
              <w:bidi w:val="0"/>
              <w:spacing w:line="520" w:lineRule="exact"/>
              <w:ind w:left="0" w:leftChars="0" w:firstLine="0" w:firstLineChars="0"/>
              <w:jc w:val="center"/>
              <w:textAlignment w:val="auto"/>
              <w:rPr>
                <w:rFonts w:ascii="Times New Roman" w:hAnsi="Times New Roman"/>
                <w:b/>
                <w:bCs/>
                <w:color w:val="000000" w:themeColor="text1"/>
                <w:sz w:val="24"/>
                <w:highlight w:val="none"/>
                <w14:textFill>
                  <w14:solidFill>
                    <w14:schemeClr w14:val="tx1"/>
                  </w14:solidFill>
                </w14:textFill>
              </w:rPr>
            </w:pPr>
            <w:r>
              <w:rPr>
                <w:rFonts w:ascii="Times New Roman" w:hAnsi="Times New Roman"/>
                <w:b/>
                <w:bCs/>
                <w:color w:val="000000" w:themeColor="text1"/>
                <w:sz w:val="24"/>
                <w:highlight w:val="none"/>
                <w14:textFill>
                  <w14:solidFill>
                    <w14:schemeClr w14:val="tx1"/>
                  </w14:solidFill>
                </w14:textFill>
              </w:rPr>
              <w:t>表4-</w:t>
            </w:r>
            <w:r>
              <w:rPr>
                <w:rFonts w:hint="eastAsia" w:ascii="Times New Roman" w:hAnsi="Times New Roman"/>
                <w:b/>
                <w:bCs/>
                <w:color w:val="000000" w:themeColor="text1"/>
                <w:sz w:val="24"/>
                <w:highlight w:val="none"/>
                <w:lang w:val="en-US" w:eastAsia="zh-CN"/>
                <w14:textFill>
                  <w14:solidFill>
                    <w14:schemeClr w14:val="tx1"/>
                  </w14:solidFill>
                </w14:textFill>
              </w:rPr>
              <w:t xml:space="preserve">26  </w:t>
            </w:r>
            <w:r>
              <w:rPr>
                <w:rFonts w:ascii="Times New Roman" w:hAnsi="Times New Roman"/>
                <w:b/>
                <w:bCs/>
                <w:color w:val="000000" w:themeColor="text1"/>
                <w:sz w:val="24"/>
                <w:highlight w:val="none"/>
                <w14:textFill>
                  <w14:solidFill>
                    <w14:schemeClr w14:val="tx1"/>
                  </w14:solidFill>
                </w14:textFill>
              </w:rPr>
              <w:t xml:space="preserve"> 建设项目环境风险简单分析内容表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900"/>
              <w:gridCol w:w="1545"/>
              <w:gridCol w:w="915"/>
              <w:gridCol w:w="3694"/>
            </w:tblGrid>
            <w:tr w14:paraId="08DC4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9" w:type="dxa"/>
                  <w:noWrap w:val="0"/>
                  <w:vAlign w:val="center"/>
                </w:tcPr>
                <w:p w14:paraId="71FE8E96">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建设项</w:t>
                  </w:r>
                </w:p>
                <w:p w14:paraId="4159A8E3">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目名称</w:t>
                  </w:r>
                </w:p>
              </w:tc>
              <w:tc>
                <w:tcPr>
                  <w:tcW w:w="7054" w:type="dxa"/>
                  <w:gridSpan w:val="4"/>
                  <w:noWrap w:val="0"/>
                  <w:vAlign w:val="center"/>
                </w:tcPr>
                <w:p w14:paraId="27CB29E3">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eastAsia="zh-CN"/>
                      <w14:textFill>
                        <w14:solidFill>
                          <w14:schemeClr w14:val="tx1"/>
                        </w14:solidFill>
                      </w14:textFill>
                    </w:rPr>
                    <w:t>年产</w:t>
                  </w:r>
                  <w:r>
                    <w:rPr>
                      <w:rFonts w:hint="eastAsia" w:ascii="Times New Roman" w:hAnsi="Times New Roman"/>
                      <w:color w:val="000000" w:themeColor="text1"/>
                      <w:sz w:val="21"/>
                      <w:szCs w:val="21"/>
                      <w:highlight w:val="none"/>
                      <w:lang w:val="en-US" w:eastAsia="zh-CN"/>
                      <w14:textFill>
                        <w14:solidFill>
                          <w14:schemeClr w14:val="tx1"/>
                        </w14:solidFill>
                      </w14:textFill>
                    </w:rPr>
                    <w:t>300吨塑料食品餐盒项目</w:t>
                  </w:r>
                </w:p>
              </w:tc>
            </w:tr>
            <w:tr w14:paraId="152C4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9" w:type="dxa"/>
                  <w:noWrap w:val="0"/>
                  <w:vAlign w:val="center"/>
                </w:tcPr>
                <w:p w14:paraId="4827231B">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建设地点</w:t>
                  </w:r>
                </w:p>
              </w:tc>
              <w:tc>
                <w:tcPr>
                  <w:tcW w:w="900" w:type="dxa"/>
                  <w:noWrap w:val="0"/>
                  <w:vAlign w:val="center"/>
                </w:tcPr>
                <w:p w14:paraId="293C46C0">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河南省</w:t>
                  </w:r>
                </w:p>
              </w:tc>
              <w:tc>
                <w:tcPr>
                  <w:tcW w:w="1545" w:type="dxa"/>
                  <w:noWrap w:val="0"/>
                  <w:vAlign w:val="center"/>
                </w:tcPr>
                <w:p w14:paraId="564B6294">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焦作市</w:t>
                  </w:r>
                </w:p>
              </w:tc>
              <w:tc>
                <w:tcPr>
                  <w:tcW w:w="915" w:type="dxa"/>
                  <w:noWrap w:val="0"/>
                  <w:vAlign w:val="center"/>
                </w:tcPr>
                <w:p w14:paraId="30EFCFB1">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eastAsia="zh-CN"/>
                      <w14:textFill>
                        <w14:solidFill>
                          <w14:schemeClr w14:val="tx1"/>
                        </w14:solidFill>
                      </w14:textFill>
                    </w:rPr>
                    <w:t>武陟</w:t>
                  </w:r>
                  <w:r>
                    <w:rPr>
                      <w:rFonts w:ascii="Times New Roman" w:hAnsi="Times New Roman"/>
                      <w:color w:val="000000" w:themeColor="text1"/>
                      <w:sz w:val="21"/>
                      <w:szCs w:val="21"/>
                      <w:highlight w:val="none"/>
                      <w14:textFill>
                        <w14:solidFill>
                          <w14:schemeClr w14:val="tx1"/>
                        </w14:solidFill>
                      </w14:textFill>
                    </w:rPr>
                    <w:t>县</w:t>
                  </w:r>
                </w:p>
              </w:tc>
              <w:tc>
                <w:tcPr>
                  <w:tcW w:w="3694" w:type="dxa"/>
                  <w:noWrap w:val="0"/>
                  <w:vAlign w:val="center"/>
                </w:tcPr>
                <w:p w14:paraId="7AE3AE7C">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焦作市武陟县经开区东部园区昌武路与鸿源路交叉口路西200米路南01号</w:t>
                  </w:r>
                </w:p>
              </w:tc>
            </w:tr>
            <w:tr w14:paraId="7D88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69" w:type="dxa"/>
                  <w:noWrap w:val="0"/>
                  <w:vAlign w:val="center"/>
                </w:tcPr>
                <w:p w14:paraId="0C838105">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地理坐标</w:t>
                  </w:r>
                </w:p>
              </w:tc>
              <w:tc>
                <w:tcPr>
                  <w:tcW w:w="900" w:type="dxa"/>
                  <w:noWrap w:val="0"/>
                  <w:vAlign w:val="center"/>
                </w:tcPr>
                <w:p w14:paraId="1D0214B4">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经度</w:t>
                  </w:r>
                </w:p>
              </w:tc>
              <w:tc>
                <w:tcPr>
                  <w:tcW w:w="1545" w:type="dxa"/>
                  <w:noWrap w:val="0"/>
                  <w:vAlign w:val="center"/>
                </w:tcPr>
                <w:p w14:paraId="38CDEBD4">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113°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33</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50.029</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915" w:type="dxa"/>
                  <w:noWrap w:val="0"/>
                  <w:vAlign w:val="center"/>
                </w:tcPr>
                <w:p w14:paraId="420A5923">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纬度</w:t>
                  </w:r>
                </w:p>
              </w:tc>
              <w:tc>
                <w:tcPr>
                  <w:tcW w:w="3694" w:type="dxa"/>
                  <w:noWrap w:val="0"/>
                  <w:vAlign w:val="center"/>
                </w:tcPr>
                <w:p w14:paraId="7BB10A64">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54.729</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r>
            <w:tr w14:paraId="4282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9" w:type="dxa"/>
                  <w:noWrap w:val="0"/>
                  <w:vAlign w:val="center"/>
                </w:tcPr>
                <w:p w14:paraId="453A3B45">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主要危险物质及</w:t>
                  </w:r>
                </w:p>
                <w:p w14:paraId="7F010818">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分布</w:t>
                  </w:r>
                </w:p>
              </w:tc>
              <w:tc>
                <w:tcPr>
                  <w:tcW w:w="7054" w:type="dxa"/>
                  <w:gridSpan w:val="4"/>
                  <w:noWrap w:val="0"/>
                  <w:vAlign w:val="center"/>
                </w:tcPr>
                <w:p w14:paraId="7547A4E5">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润滑油原料随用随买，废润滑油暂存于危废</w:t>
                  </w:r>
                  <w:r>
                    <w:rPr>
                      <w:rFonts w:hint="eastAsia" w:ascii="Times New Roman" w:hAnsi="Times New Roman"/>
                      <w:color w:val="000000" w:themeColor="text1"/>
                      <w:sz w:val="21"/>
                      <w:szCs w:val="21"/>
                      <w:highlight w:val="none"/>
                      <w:lang w:eastAsia="zh-CN"/>
                      <w14:textFill>
                        <w14:solidFill>
                          <w14:schemeClr w14:val="tx1"/>
                        </w14:solidFill>
                      </w14:textFill>
                    </w:rPr>
                    <w:t>仓库</w:t>
                  </w:r>
                  <w:r>
                    <w:rPr>
                      <w:rFonts w:ascii="Times New Roman" w:hAnsi="Times New Roman"/>
                      <w:color w:val="000000" w:themeColor="text1"/>
                      <w:sz w:val="21"/>
                      <w:szCs w:val="21"/>
                      <w:highlight w:val="none"/>
                      <w14:textFill>
                        <w14:solidFill>
                          <w14:schemeClr w14:val="tx1"/>
                        </w14:solidFill>
                      </w14:textFill>
                    </w:rPr>
                    <w:t>内</w:t>
                  </w:r>
                  <w:r>
                    <w:rPr>
                      <w:rFonts w:hint="eastAsia" w:ascii="Times New Roman" w:hAnsi="Times New Roman"/>
                      <w:color w:val="000000" w:themeColor="text1"/>
                      <w:sz w:val="21"/>
                      <w:szCs w:val="21"/>
                      <w:highlight w:val="none"/>
                      <w:lang w:eastAsia="zh-CN"/>
                      <w14:textFill>
                        <w14:solidFill>
                          <w14:schemeClr w14:val="tx1"/>
                        </w14:solidFill>
                      </w14:textFill>
                    </w:rPr>
                    <w:t>。</w:t>
                  </w:r>
                </w:p>
              </w:tc>
            </w:tr>
            <w:tr w14:paraId="491CF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9" w:type="dxa"/>
                  <w:noWrap w:val="0"/>
                  <w:vAlign w:val="center"/>
                </w:tcPr>
                <w:p w14:paraId="52DFA0F2">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环境影响途径及危害后果</w:t>
                  </w:r>
                </w:p>
              </w:tc>
              <w:tc>
                <w:tcPr>
                  <w:tcW w:w="7054" w:type="dxa"/>
                  <w:gridSpan w:val="4"/>
                  <w:noWrap w:val="0"/>
                  <w:vAlign w:val="center"/>
                </w:tcPr>
                <w:p w14:paraId="7424D3AB">
                  <w:pPr>
                    <w:pStyle w:val="2"/>
                    <w:keepLines w:val="0"/>
                    <w:pageBreakBefore w:val="0"/>
                    <w:widowControl w:val="0"/>
                    <w:kinsoku/>
                    <w:wordWrap/>
                    <w:topLinePunct w:val="0"/>
                    <w:autoSpaceDE/>
                    <w:autoSpaceDN/>
                    <w:bidi w:val="0"/>
                    <w:spacing w:line="360" w:lineRule="exact"/>
                    <w:ind w:left="0" w:leftChars="0" w:firstLine="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矿物质油（润滑油）在转运或使用过程中会因包装桶破裂或操作不当引起泄漏，进入土壤对土壤和地下水的影响；</w:t>
                  </w:r>
                </w:p>
                <w:p w14:paraId="562F81DE">
                  <w:pPr>
                    <w:pStyle w:val="2"/>
                    <w:keepLines w:val="0"/>
                    <w:pageBreakBefore w:val="0"/>
                    <w:widowControl w:val="0"/>
                    <w:kinsoku/>
                    <w:wordWrap/>
                    <w:topLinePunct w:val="0"/>
                    <w:autoSpaceDE/>
                    <w:autoSpaceDN/>
                    <w:bidi w:val="0"/>
                    <w:spacing w:line="360" w:lineRule="exact"/>
                    <w:ind w:left="0" w:leftChars="0" w:firstLine="0" w:firstLineChars="0"/>
                    <w:textAlignment w:val="auto"/>
                    <w:rPr>
                      <w:rFonts w:hint="eastAsia"/>
                      <w:lang w:eastAsia="zh-CN"/>
                    </w:rPr>
                  </w:pPr>
                  <w:r>
                    <w:rPr>
                      <w:rFonts w:hint="eastAsia" w:ascii="宋体" w:hAnsi="宋体" w:eastAsia="宋体" w:cs="宋体"/>
                      <w:sz w:val="21"/>
                      <w:szCs w:val="21"/>
                      <w:lang w:eastAsia="zh-CN"/>
                    </w:rPr>
                    <w:t>矿物油发生泄露，遇明火或高热会发生火灾、爆炸，引发伴生/次生污染物排放，污染大气环境，消防废水对土壤和地下水也会造成污染。</w:t>
                  </w:r>
                </w:p>
              </w:tc>
            </w:tr>
            <w:tr w14:paraId="63835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9" w:type="dxa"/>
                  <w:noWrap w:val="0"/>
                  <w:vAlign w:val="center"/>
                </w:tcPr>
                <w:p w14:paraId="7300DF76">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风险防范措施要求</w:t>
                  </w:r>
                </w:p>
              </w:tc>
              <w:tc>
                <w:tcPr>
                  <w:tcW w:w="7054" w:type="dxa"/>
                  <w:gridSpan w:val="4"/>
                  <w:noWrap w:val="0"/>
                  <w:vAlign w:val="center"/>
                </w:tcPr>
                <w:p w14:paraId="461CAE1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（1）项目危废间的建设和储存应严格按照《危险废物贮存污染控制标准》（GB18597-2023）进行，危险废物转运过程严格执行《危险废物转移管理办法》（生态环境部 公安部 交通运输部 部令第23号）的相关规定。</w:t>
                  </w:r>
                </w:p>
                <w:p w14:paraId="330B98E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（2）项目使用润滑油等现用现购，不在厂区内储存，更换下来的废润滑油及时收集后放入危废间暂存。</w:t>
                  </w:r>
                </w:p>
                <w:p w14:paraId="3065E95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（3）生产车间、危废间内各个区域悬挂警示标志和禁火标志，配置手动报警按钮以及手提式灭火器等，厂房内规划安全疏散逃离线路，并且定期进行演练。</w:t>
                  </w:r>
                </w:p>
                <w:p w14:paraId="105DCF9C">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（4）加强废气处理设施的维护，及时发现处理设备的隐患，确保废气处理系统正常运行；开、停、检修要有预案，有严密周全的计划，确保不发生事故排放或使影响最小。</w:t>
                  </w:r>
                </w:p>
                <w:p w14:paraId="2A9938E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（5）加强管理，对职工进行必要安全培训，事故应急培训、演练；在灾害发生的时候采取及时有效的应急救援行动，及系统恢复和善后处理。</w:t>
                  </w:r>
                </w:p>
                <w:p w14:paraId="30726CC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textAlignment w:val="auto"/>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（6）制定应急预案工作计划，设立事故应急处理小组，与当地政府有关的应急预案衔接并建立正常的定期联络制度。</w:t>
                  </w:r>
                </w:p>
              </w:tc>
            </w:tr>
            <w:tr w14:paraId="3999E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9" w:type="dxa"/>
                  <w:noWrap w:val="0"/>
                  <w:vAlign w:val="center"/>
                </w:tcPr>
                <w:p w14:paraId="3090B4F3">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填表说明</w:t>
                  </w:r>
                </w:p>
              </w:tc>
              <w:tc>
                <w:tcPr>
                  <w:tcW w:w="7054" w:type="dxa"/>
                  <w:gridSpan w:val="4"/>
                  <w:noWrap w:val="0"/>
                  <w:vAlign w:val="center"/>
                </w:tcPr>
                <w:p w14:paraId="73625A0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在采取评价要求的措施并加强管理前提下，项目风险影响可控。</w:t>
                  </w:r>
                </w:p>
              </w:tc>
            </w:tr>
          </w:tbl>
          <w:p w14:paraId="75007979">
            <w:pPr>
              <w:pStyle w:val="14"/>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lang w:eastAsia="zh-CN"/>
              </w:rPr>
            </w:pPr>
            <w:r>
              <w:rPr>
                <w:rFonts w:hint="default" w:ascii="Times New Roman" w:hAnsi="Times New Roman" w:cs="Times New Roman"/>
                <w:color w:val="auto"/>
                <w:sz w:val="24"/>
              </w:rPr>
              <w:t>工程在采取环评要求的风险防范、管理措施后，并加强日常管理和职工风险意识后，工程风险事故所造成的环境影响程度可以得到有效控制，工程环境风险可以接受。</w:t>
            </w:r>
          </w:p>
          <w:p w14:paraId="3A826A29">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left"/>
              <w:textAlignment w:val="auto"/>
              <w:rPr>
                <w:rFonts w:hint="default" w:ascii="Times New Roman" w:hAnsi="Times New Roman" w:cs="Times New Roman"/>
                <w:b/>
                <w:color w:val="000000"/>
                <w:sz w:val="24"/>
                <w:highlight w:val="none"/>
              </w:rPr>
            </w:pPr>
            <w:r>
              <w:rPr>
                <w:rFonts w:hint="eastAsia" w:cs="Times New Roman"/>
                <w:b/>
                <w:color w:val="000000"/>
                <w:sz w:val="24"/>
                <w:highlight w:val="none"/>
                <w:lang w:val="en-US" w:eastAsia="zh-CN"/>
              </w:rPr>
              <w:t>七</w:t>
            </w:r>
            <w:r>
              <w:rPr>
                <w:rFonts w:hint="default" w:ascii="Times New Roman" w:hAnsi="Times New Roman" w:cs="Times New Roman"/>
                <w:b/>
                <w:color w:val="000000"/>
                <w:sz w:val="24"/>
                <w:highlight w:val="none"/>
                <w:lang w:eastAsia="zh-CN"/>
              </w:rPr>
              <w:t>、</w:t>
            </w:r>
            <w:r>
              <w:rPr>
                <w:rFonts w:hint="default" w:ascii="Times New Roman" w:hAnsi="Times New Roman" w:cs="Times New Roman"/>
                <w:b/>
                <w:color w:val="000000"/>
                <w:sz w:val="24"/>
                <w:highlight w:val="none"/>
              </w:rPr>
              <w:t>排污管理类别确定</w:t>
            </w:r>
          </w:p>
          <w:p w14:paraId="5BEB120B">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lang w:eastAsia="zh-CN"/>
              </w:rPr>
              <w:t>本次工程</w:t>
            </w:r>
            <w:r>
              <w:rPr>
                <w:rFonts w:hint="default" w:ascii="Times New Roman" w:hAnsi="Times New Roman" w:cs="Times New Roman"/>
                <w:bCs/>
                <w:color w:val="000000"/>
                <w:sz w:val="24"/>
                <w:highlight w:val="none"/>
              </w:rPr>
              <w:t>国民经济行业类别</w:t>
            </w:r>
            <w:r>
              <w:rPr>
                <w:rFonts w:hint="default" w:ascii="Times New Roman" w:hAnsi="Times New Roman" w:cs="Times New Roman"/>
                <w:bCs/>
                <w:color w:val="000000"/>
                <w:sz w:val="24"/>
                <w:highlight w:val="none"/>
                <w:lang w:eastAsia="zh-CN"/>
              </w:rPr>
              <w:t>属于</w:t>
            </w:r>
            <w:r>
              <w:rPr>
                <w:rFonts w:hint="eastAsia" w:cs="Times New Roman"/>
                <w:bCs/>
                <w:color w:val="000000"/>
                <w:sz w:val="24"/>
                <w:highlight w:val="none"/>
                <w:lang w:eastAsia="zh-CN"/>
              </w:rPr>
              <w:t>“</w:t>
            </w:r>
            <w:r>
              <w:rPr>
                <w:rFonts w:hint="default" w:ascii="Times New Roman" w:hAnsi="Times New Roman" w:cs="Times New Roman"/>
                <w:highlight w:val="none"/>
              </w:rPr>
              <w:t>C</w:t>
            </w:r>
            <w:r>
              <w:rPr>
                <w:rFonts w:hint="eastAsia" w:ascii="Times New Roman" w:hAnsi="Times New Roman" w:cs="Times New Roman"/>
                <w:highlight w:val="none"/>
                <w:lang w:val="en-US" w:eastAsia="zh-CN"/>
              </w:rPr>
              <w:t>2927日用塑料制品制造</w:t>
            </w:r>
            <w:r>
              <w:rPr>
                <w:rFonts w:hint="eastAsia" w:cs="Times New Roman"/>
                <w:bCs/>
                <w:color w:val="000000"/>
                <w:sz w:val="24"/>
                <w:highlight w:val="none"/>
                <w:lang w:eastAsia="zh-CN"/>
              </w:rPr>
              <w:t>”</w:t>
            </w:r>
            <w:r>
              <w:rPr>
                <w:rFonts w:hint="default" w:ascii="Times New Roman" w:hAnsi="Times New Roman" w:cs="Times New Roman"/>
                <w:bCs/>
                <w:color w:val="000000"/>
                <w:sz w:val="24"/>
                <w:highlight w:val="none"/>
              </w:rPr>
              <w:t>，按</w:t>
            </w:r>
            <w:r>
              <w:rPr>
                <w:rFonts w:hint="default" w:ascii="Times New Roman" w:hAnsi="Times New Roman" w:cs="Times New Roman"/>
                <w:bCs/>
                <w:color w:val="000000"/>
                <w:sz w:val="24"/>
                <w:highlight w:val="none"/>
              </w:rPr>
              <w:fldChar w:fldCharType="begin"/>
            </w:r>
            <w:r>
              <w:rPr>
                <w:rFonts w:hint="default" w:ascii="Times New Roman" w:hAnsi="Times New Roman" w:cs="Times New Roman"/>
                <w:bCs/>
                <w:color w:val="000000"/>
                <w:sz w:val="24"/>
                <w:highlight w:val="none"/>
              </w:rPr>
              <w:instrText xml:space="preserve"> HYPERLINK "http://www.mee.gov.cn/xxgk2018/xxgk/xxgk02/202001/W020200103660632857898.pdf" </w:instrText>
            </w:r>
            <w:r>
              <w:rPr>
                <w:rFonts w:hint="default" w:ascii="Times New Roman" w:hAnsi="Times New Roman" w:cs="Times New Roman"/>
                <w:bCs/>
                <w:color w:val="000000"/>
                <w:sz w:val="24"/>
                <w:highlight w:val="none"/>
              </w:rPr>
              <w:fldChar w:fldCharType="separate"/>
            </w:r>
            <w:r>
              <w:rPr>
                <w:rFonts w:hint="default" w:ascii="Times New Roman" w:hAnsi="Times New Roman" w:cs="Times New Roman"/>
                <w:bCs/>
                <w:color w:val="000000"/>
                <w:sz w:val="24"/>
                <w:highlight w:val="none"/>
              </w:rPr>
              <w:t>《固定污染源排污许可分类管理名录（2019年版）》</w:t>
            </w:r>
            <w:r>
              <w:rPr>
                <w:rFonts w:hint="default" w:ascii="Times New Roman" w:hAnsi="Times New Roman" w:cs="Times New Roman"/>
                <w:bCs/>
                <w:color w:val="000000"/>
                <w:sz w:val="24"/>
                <w:highlight w:val="none"/>
              </w:rPr>
              <w:fldChar w:fldCharType="end"/>
            </w:r>
            <w:r>
              <w:rPr>
                <w:rFonts w:hint="default" w:ascii="Times New Roman" w:hAnsi="Times New Roman" w:cs="Times New Roman"/>
                <w:bCs/>
                <w:color w:val="000000"/>
                <w:sz w:val="24"/>
                <w:highlight w:val="none"/>
              </w:rPr>
              <w:t>进行判定，可知：本项目属于固定污染源排污许可分类管理名录表中的“二十</w:t>
            </w:r>
            <w:r>
              <w:rPr>
                <w:rFonts w:hint="eastAsia" w:cs="Times New Roman"/>
                <w:bCs/>
                <w:color w:val="000000"/>
                <w:sz w:val="24"/>
                <w:highlight w:val="none"/>
                <w:lang w:eastAsia="zh-CN"/>
              </w:rPr>
              <w:t>四</w:t>
            </w:r>
            <w:r>
              <w:rPr>
                <w:rFonts w:hint="default" w:ascii="Times New Roman" w:hAnsi="Times New Roman" w:cs="Times New Roman"/>
                <w:bCs/>
                <w:color w:val="000000"/>
                <w:sz w:val="24"/>
                <w:highlight w:val="none"/>
              </w:rPr>
              <w:t>、</w:t>
            </w:r>
            <w:r>
              <w:rPr>
                <w:rFonts w:hint="eastAsia" w:cs="Times New Roman"/>
                <w:bCs/>
                <w:color w:val="000000"/>
                <w:sz w:val="24"/>
                <w:highlight w:val="none"/>
                <w:lang w:eastAsia="zh-CN"/>
              </w:rPr>
              <w:t>橡胶和塑料制品业</w:t>
            </w:r>
            <w:r>
              <w:rPr>
                <w:rFonts w:hint="eastAsia" w:cs="Times New Roman"/>
                <w:bCs/>
                <w:color w:val="000000"/>
                <w:sz w:val="24"/>
                <w:highlight w:val="none"/>
                <w:lang w:val="en-US" w:eastAsia="zh-CN"/>
              </w:rPr>
              <w:t>29</w:t>
            </w:r>
            <w:r>
              <w:rPr>
                <w:rFonts w:hint="default" w:ascii="Times New Roman" w:hAnsi="Times New Roman" w:cs="Times New Roman"/>
                <w:bCs/>
                <w:color w:val="000000"/>
                <w:sz w:val="24"/>
                <w:highlight w:val="none"/>
              </w:rPr>
              <w:t>”的“</w:t>
            </w:r>
            <w:r>
              <w:rPr>
                <w:rFonts w:hint="eastAsia" w:cs="Times New Roman"/>
                <w:bCs/>
                <w:color w:val="000000"/>
                <w:sz w:val="24"/>
                <w:highlight w:val="none"/>
                <w:lang w:eastAsia="zh-CN"/>
              </w:rPr>
              <w:t>塑料制品业</w:t>
            </w:r>
            <w:r>
              <w:rPr>
                <w:rFonts w:hint="eastAsia" w:cs="Times New Roman"/>
                <w:bCs/>
                <w:color w:val="000000"/>
                <w:sz w:val="24"/>
                <w:highlight w:val="none"/>
                <w:lang w:val="en-US" w:eastAsia="zh-CN"/>
              </w:rPr>
              <w:t>292</w:t>
            </w:r>
            <w:r>
              <w:rPr>
                <w:rFonts w:hint="default" w:ascii="Times New Roman" w:hAnsi="Times New Roman" w:cs="Times New Roman"/>
                <w:bCs/>
                <w:color w:val="000000"/>
                <w:sz w:val="24"/>
                <w:highlight w:val="none"/>
              </w:rPr>
              <w:t>”中“</w:t>
            </w:r>
            <w:r>
              <w:rPr>
                <w:rFonts w:hint="default" w:ascii="Times New Roman" w:hAnsi="Times New Roman" w:cs="Times New Roman"/>
                <w:bCs/>
                <w:color w:val="000000"/>
                <w:sz w:val="24"/>
                <w:highlight w:val="none"/>
                <w:lang w:eastAsia="zh-CN"/>
              </w:rPr>
              <w:t>其</w:t>
            </w:r>
            <w:r>
              <w:rPr>
                <w:rFonts w:hint="eastAsia" w:ascii="Times New Roman" w:hAnsi="Times New Roman" w:cs="Times New Roman"/>
                <w:bCs/>
                <w:color w:val="000000"/>
                <w:sz w:val="24"/>
                <w:highlight w:val="none"/>
                <w:lang w:eastAsia="zh-CN"/>
              </w:rPr>
              <w:t>他</w:t>
            </w:r>
            <w:r>
              <w:rPr>
                <w:rFonts w:hint="default" w:ascii="Times New Roman" w:hAnsi="Times New Roman" w:cs="Times New Roman"/>
                <w:bCs/>
                <w:color w:val="000000"/>
                <w:sz w:val="24"/>
                <w:highlight w:val="none"/>
              </w:rPr>
              <w:t>”类，排污许可填报“管理类别”应为“</w:t>
            </w:r>
            <w:r>
              <w:rPr>
                <w:rFonts w:hint="default" w:ascii="Times New Roman" w:hAnsi="Times New Roman" w:cs="Times New Roman"/>
                <w:bCs/>
                <w:color w:val="000000"/>
                <w:sz w:val="24"/>
                <w:highlight w:val="none"/>
                <w:lang w:eastAsia="zh-CN"/>
              </w:rPr>
              <w:t>登记管理</w:t>
            </w:r>
            <w:r>
              <w:rPr>
                <w:rFonts w:hint="default" w:ascii="Times New Roman" w:hAnsi="Times New Roman" w:cs="Times New Roman"/>
                <w:bCs/>
                <w:color w:val="000000"/>
                <w:sz w:val="24"/>
                <w:highlight w:val="none"/>
              </w:rPr>
              <w:t>”。</w:t>
            </w:r>
            <w:r>
              <w:rPr>
                <w:rFonts w:hint="default" w:ascii="Times New Roman" w:hAnsi="Times New Roman" w:cs="Times New Roman"/>
                <w:bCs/>
                <w:color w:val="000000"/>
                <w:sz w:val="24"/>
                <w:highlight w:val="none"/>
                <w:lang w:eastAsia="zh-CN"/>
              </w:rPr>
              <w:t>综上分析，项目排污许可</w:t>
            </w:r>
            <w:r>
              <w:rPr>
                <w:rFonts w:hint="default" w:ascii="Times New Roman" w:hAnsi="Times New Roman" w:cs="Times New Roman"/>
                <w:bCs/>
                <w:color w:val="000000"/>
                <w:sz w:val="24"/>
                <w:highlight w:val="none"/>
              </w:rPr>
              <w:t>填报“管理类别”应为“登记管理”。</w:t>
            </w:r>
          </w:p>
          <w:p w14:paraId="38FF1FF9">
            <w:pPr>
              <w:spacing w:line="520" w:lineRule="exact"/>
              <w:ind w:left="0" w:leftChars="0" w:firstLine="0" w:firstLineChars="0"/>
              <w:jc w:val="left"/>
              <w:rPr>
                <w:rFonts w:hint="default" w:ascii="Times New Roman" w:hAnsi="Times New Roman" w:cs="Times New Roman"/>
                <w:b/>
                <w:color w:val="000000"/>
                <w:sz w:val="24"/>
                <w:highlight w:val="none"/>
              </w:rPr>
            </w:pPr>
            <w:r>
              <w:rPr>
                <w:rFonts w:hint="eastAsia" w:cs="Times New Roman"/>
                <w:b/>
                <w:color w:val="000000"/>
                <w:sz w:val="24"/>
                <w:highlight w:val="none"/>
                <w:lang w:val="en-US" w:eastAsia="zh-CN"/>
              </w:rPr>
              <w:t>八</w:t>
            </w:r>
            <w:r>
              <w:rPr>
                <w:rFonts w:hint="default" w:ascii="Times New Roman" w:hAnsi="Times New Roman" w:cs="Times New Roman"/>
                <w:b/>
                <w:color w:val="000000"/>
                <w:sz w:val="24"/>
                <w:highlight w:val="none"/>
                <w:lang w:eastAsia="zh-CN"/>
              </w:rPr>
              <w:t>、</w:t>
            </w:r>
            <w:r>
              <w:rPr>
                <w:rFonts w:hint="default" w:ascii="Times New Roman" w:hAnsi="Times New Roman" w:cs="Times New Roman"/>
                <w:b/>
                <w:color w:val="000000"/>
                <w:sz w:val="24"/>
                <w:highlight w:val="none"/>
              </w:rPr>
              <w:t>污染源监测要求</w:t>
            </w:r>
          </w:p>
          <w:p w14:paraId="1DD20115">
            <w:pPr>
              <w:spacing w:line="520" w:lineRule="exact"/>
              <w:ind w:firstLine="480" w:firstLineChars="200"/>
              <w:jc w:val="left"/>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按照《排污单位自行监测指南</w:t>
            </w:r>
            <w:r>
              <w:rPr>
                <w:rFonts w:hint="default" w:ascii="Times New Roman" w:hAnsi="Times New Roman" w:cs="Times New Roman"/>
                <w:bCs/>
                <w:color w:val="000000"/>
                <w:sz w:val="24"/>
                <w:highlight w:val="none"/>
                <w:lang w:val="en-US" w:eastAsia="zh-CN"/>
              </w:rPr>
              <w:t xml:space="preserve"> </w:t>
            </w:r>
            <w:r>
              <w:rPr>
                <w:rFonts w:hint="default" w:ascii="Times New Roman" w:hAnsi="Times New Roman" w:cs="Times New Roman"/>
                <w:bCs/>
                <w:color w:val="000000"/>
                <w:sz w:val="24"/>
                <w:highlight w:val="none"/>
              </w:rPr>
              <w:t>总则》（HJ819-2017）</w:t>
            </w:r>
            <w:r>
              <w:rPr>
                <w:rFonts w:hint="eastAsia" w:cs="Times New Roman"/>
                <w:bCs/>
                <w:color w:val="000000"/>
                <w:sz w:val="24"/>
                <w:highlight w:val="none"/>
                <w:lang w:val="en-US" w:eastAsia="zh-CN" w:bidi="ar-SA"/>
              </w:rPr>
              <w:t>、</w:t>
            </w:r>
            <w:r>
              <w:rPr>
                <w:rFonts w:hint="default" w:ascii="Times New Roman" w:hAnsi="Times New Roman" w:cs="Times New Roman"/>
                <w:bCs/>
                <w:color w:val="000000"/>
                <w:sz w:val="24"/>
                <w:highlight w:val="none"/>
                <w:lang w:val="en-US" w:eastAsia="zh-CN" w:bidi="ar-SA"/>
              </w:rPr>
              <w:t>《排污单位自行监测</w:t>
            </w:r>
            <w:r>
              <w:rPr>
                <w:rFonts w:hint="eastAsia" w:cs="Times New Roman"/>
                <w:bCs/>
                <w:color w:val="000000"/>
                <w:sz w:val="24"/>
                <w:highlight w:val="none"/>
                <w:lang w:val="en-US" w:eastAsia="zh-CN" w:bidi="ar-SA"/>
              </w:rPr>
              <w:t>技术</w:t>
            </w:r>
            <w:r>
              <w:rPr>
                <w:rFonts w:hint="default" w:ascii="Times New Roman" w:hAnsi="Times New Roman" w:cs="Times New Roman"/>
                <w:bCs/>
                <w:color w:val="000000"/>
                <w:sz w:val="24"/>
                <w:highlight w:val="none"/>
                <w:lang w:val="en-US" w:eastAsia="zh-CN" w:bidi="ar-SA"/>
              </w:rPr>
              <w:t xml:space="preserve">指南 </w:t>
            </w:r>
            <w:r>
              <w:rPr>
                <w:rFonts w:hint="eastAsia" w:cs="Times New Roman"/>
                <w:bCs/>
                <w:color w:val="000000"/>
                <w:sz w:val="24"/>
                <w:highlight w:val="none"/>
                <w:lang w:val="en-US" w:eastAsia="zh-CN" w:bidi="ar-SA"/>
              </w:rPr>
              <w:t>橡胶和塑料制品</w:t>
            </w:r>
            <w:r>
              <w:rPr>
                <w:rFonts w:hint="default" w:ascii="Times New Roman" w:hAnsi="Times New Roman" w:cs="Times New Roman"/>
                <w:bCs/>
                <w:color w:val="000000"/>
                <w:sz w:val="24"/>
                <w:highlight w:val="none"/>
                <w:lang w:val="en-US" w:eastAsia="zh-CN" w:bidi="ar-SA"/>
              </w:rPr>
              <w:t>》（HJ</w:t>
            </w:r>
            <w:r>
              <w:rPr>
                <w:rFonts w:hint="eastAsia" w:cs="Times New Roman"/>
                <w:bCs/>
                <w:color w:val="000000"/>
                <w:sz w:val="24"/>
                <w:highlight w:val="none"/>
                <w:lang w:val="en-US" w:eastAsia="zh-CN" w:bidi="ar-SA"/>
              </w:rPr>
              <w:t>1207</w:t>
            </w:r>
            <w:r>
              <w:rPr>
                <w:rFonts w:hint="default" w:ascii="Times New Roman" w:hAnsi="Times New Roman" w:cs="Times New Roman"/>
                <w:bCs/>
                <w:color w:val="000000"/>
                <w:sz w:val="24"/>
                <w:highlight w:val="none"/>
                <w:lang w:val="en-US" w:eastAsia="zh-CN" w:bidi="ar-SA"/>
              </w:rPr>
              <w:t>-20</w:t>
            </w:r>
            <w:r>
              <w:rPr>
                <w:rFonts w:hint="eastAsia" w:cs="Times New Roman"/>
                <w:bCs/>
                <w:color w:val="000000"/>
                <w:sz w:val="24"/>
                <w:highlight w:val="none"/>
                <w:lang w:val="en-US" w:eastAsia="zh-CN" w:bidi="ar-SA"/>
              </w:rPr>
              <w:t>21</w:t>
            </w:r>
            <w:r>
              <w:rPr>
                <w:rFonts w:hint="default" w:ascii="Times New Roman" w:hAnsi="Times New Roman" w:cs="Times New Roman"/>
                <w:bCs/>
                <w:color w:val="000000"/>
                <w:sz w:val="24"/>
                <w:highlight w:val="none"/>
                <w:lang w:val="en-US" w:eastAsia="zh-CN" w:bidi="ar-SA"/>
              </w:rPr>
              <w:t>）</w:t>
            </w:r>
            <w:r>
              <w:rPr>
                <w:rFonts w:hint="default" w:ascii="Times New Roman" w:hAnsi="Times New Roman" w:cs="Times New Roman"/>
                <w:bCs/>
                <w:color w:val="000000"/>
                <w:sz w:val="24"/>
                <w:highlight w:val="none"/>
              </w:rPr>
              <w:t>中要求，建设单位应设立环境监测计划，结合具体情况，建设单位可委托有资质的监测机构代其开展自行监测，排污单位对监测数据负总责。</w:t>
            </w:r>
          </w:p>
          <w:p w14:paraId="67631288">
            <w:pPr>
              <w:spacing w:line="520" w:lineRule="exact"/>
              <w:ind w:firstLine="480" w:firstLineChars="200"/>
              <w:rPr>
                <w:rFonts w:hint="default" w:ascii="Times New Roman" w:hAnsi="Times New Roman" w:cs="Times New Roman"/>
                <w:b/>
                <w:color w:val="000000"/>
                <w:sz w:val="24"/>
                <w:highlight w:val="none"/>
              </w:rPr>
            </w:pPr>
            <w:r>
              <w:rPr>
                <w:rFonts w:hint="default" w:ascii="Times New Roman" w:hAnsi="Times New Roman" w:cs="Times New Roman"/>
                <w:bCs/>
                <w:color w:val="000000"/>
                <w:sz w:val="24"/>
                <w:highlight w:val="none"/>
              </w:rPr>
              <w:t>项目污染源监控计划详见表4-</w:t>
            </w:r>
            <w:r>
              <w:rPr>
                <w:rFonts w:hint="default" w:ascii="Times New Roman" w:hAnsi="Times New Roman" w:cs="Times New Roman"/>
                <w:bCs/>
                <w:color w:val="000000"/>
                <w:sz w:val="24"/>
                <w:highlight w:val="none"/>
                <w:lang w:val="en-US" w:eastAsia="zh-CN"/>
              </w:rPr>
              <w:t>2</w:t>
            </w:r>
            <w:r>
              <w:rPr>
                <w:rFonts w:hint="eastAsia" w:cs="Times New Roman"/>
                <w:bCs/>
                <w:color w:val="000000"/>
                <w:sz w:val="24"/>
                <w:highlight w:val="none"/>
                <w:lang w:val="en-US" w:eastAsia="zh-CN"/>
              </w:rPr>
              <w:t>7</w:t>
            </w:r>
            <w:r>
              <w:rPr>
                <w:rFonts w:hint="default" w:ascii="Times New Roman" w:hAnsi="Times New Roman" w:cs="Times New Roman"/>
                <w:bCs/>
                <w:color w:val="000000"/>
                <w:sz w:val="24"/>
                <w:highlight w:val="none"/>
              </w:rPr>
              <w:t>。</w:t>
            </w:r>
          </w:p>
          <w:p w14:paraId="64861704">
            <w:pPr>
              <w:keepNext w:val="0"/>
              <w:keepLines w:val="0"/>
              <w:pageBreakBefore w:val="0"/>
              <w:widowControl w:val="0"/>
              <w:kinsoku/>
              <w:wordWrap/>
              <w:overflowPunct/>
              <w:topLinePunct w:val="0"/>
              <w:autoSpaceDE/>
              <w:autoSpaceDN/>
              <w:bidi w:val="0"/>
              <w:adjustRightInd/>
              <w:snapToGrid/>
              <w:spacing w:line="460" w:lineRule="exact"/>
              <w:ind w:firstLine="0" w:firstLineChars="0"/>
              <w:jc w:val="center"/>
              <w:textAlignment w:val="auto"/>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表4-</w:t>
            </w:r>
            <w:r>
              <w:rPr>
                <w:rFonts w:hint="default" w:ascii="Times New Roman" w:hAnsi="Times New Roman" w:cs="Times New Roman"/>
                <w:b/>
                <w:color w:val="000000"/>
                <w:sz w:val="24"/>
                <w:highlight w:val="none"/>
                <w:lang w:val="en-US" w:eastAsia="zh-CN"/>
              </w:rPr>
              <w:t>2</w:t>
            </w:r>
            <w:r>
              <w:rPr>
                <w:rFonts w:hint="eastAsia" w:cs="Times New Roman"/>
                <w:b/>
                <w:color w:val="000000"/>
                <w:sz w:val="24"/>
                <w:highlight w:val="none"/>
                <w:lang w:val="en-US" w:eastAsia="zh-CN"/>
              </w:rPr>
              <w:t>7</w:t>
            </w:r>
            <w:r>
              <w:rPr>
                <w:rFonts w:hint="default" w:ascii="Times New Roman" w:hAnsi="Times New Roman" w:cs="Times New Roman"/>
                <w:b/>
                <w:color w:val="000000"/>
                <w:sz w:val="24"/>
                <w:highlight w:val="none"/>
                <w:lang w:val="en-US" w:eastAsia="zh-CN"/>
              </w:rPr>
              <w:t xml:space="preserve"> </w:t>
            </w:r>
            <w:r>
              <w:rPr>
                <w:rFonts w:hint="default" w:ascii="Times New Roman" w:hAnsi="Times New Roman" w:cs="Times New Roman"/>
                <w:b/>
                <w:color w:val="000000"/>
                <w:sz w:val="24"/>
                <w:highlight w:val="none"/>
              </w:rPr>
              <w:t xml:space="preserve">  污染源监控计划汇总表</w:t>
            </w:r>
          </w:p>
          <w:tbl>
            <w:tblPr>
              <w:tblStyle w:val="15"/>
              <w:tblW w:w="82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85" w:type="dxa"/>
                <w:bottom w:w="57" w:type="dxa"/>
                <w:right w:w="85" w:type="dxa"/>
              </w:tblCellMar>
            </w:tblPr>
            <w:tblGrid>
              <w:gridCol w:w="515"/>
              <w:gridCol w:w="843"/>
              <w:gridCol w:w="975"/>
              <w:gridCol w:w="1425"/>
              <w:gridCol w:w="735"/>
              <w:gridCol w:w="3802"/>
            </w:tblGrid>
            <w:tr w14:paraId="41254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454" w:hRule="atLeast"/>
                <w:jc w:val="center"/>
              </w:trPr>
              <w:tc>
                <w:tcPr>
                  <w:tcW w:w="310" w:type="pct"/>
                  <w:noWrap w:val="0"/>
                  <w:vAlign w:val="center"/>
                </w:tcPr>
                <w:p w14:paraId="6F8A718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类别</w:t>
                  </w:r>
                </w:p>
              </w:tc>
              <w:tc>
                <w:tcPr>
                  <w:tcW w:w="508" w:type="pct"/>
                  <w:noWrap w:val="0"/>
                  <w:vAlign w:val="center"/>
                </w:tcPr>
                <w:p w14:paraId="2541A96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污染源名称</w:t>
                  </w:r>
                </w:p>
              </w:tc>
              <w:tc>
                <w:tcPr>
                  <w:tcW w:w="587" w:type="pct"/>
                  <w:noWrap w:val="0"/>
                  <w:vAlign w:val="center"/>
                </w:tcPr>
                <w:p w14:paraId="3723FC2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监测</w:t>
                  </w:r>
                </w:p>
                <w:p w14:paraId="49B1449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位置</w:t>
                  </w:r>
                </w:p>
              </w:tc>
              <w:tc>
                <w:tcPr>
                  <w:tcW w:w="858" w:type="pct"/>
                  <w:noWrap w:val="0"/>
                  <w:vAlign w:val="center"/>
                </w:tcPr>
                <w:p w14:paraId="3EF43FC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监测项目</w:t>
                  </w:r>
                </w:p>
              </w:tc>
              <w:tc>
                <w:tcPr>
                  <w:tcW w:w="443" w:type="pct"/>
                  <w:noWrap w:val="0"/>
                  <w:vAlign w:val="center"/>
                </w:tcPr>
                <w:p w14:paraId="2F3E56B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监测</w:t>
                  </w:r>
                </w:p>
                <w:p w14:paraId="5EA0D64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频率</w:t>
                  </w:r>
                </w:p>
              </w:tc>
              <w:tc>
                <w:tcPr>
                  <w:tcW w:w="2291" w:type="pct"/>
                  <w:noWrap w:val="0"/>
                  <w:vAlign w:val="center"/>
                </w:tcPr>
                <w:p w14:paraId="6AAA97C5">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color w:val="000000"/>
                      <w:sz w:val="21"/>
                      <w:szCs w:val="21"/>
                      <w:highlight w:val="none"/>
                    </w:rPr>
                  </w:pPr>
                  <w:r>
                    <w:rPr>
                      <w:rFonts w:hint="default" w:ascii="Times New Roman" w:hAnsi="Times New Roman" w:cs="Times New Roman"/>
                      <w:b w:val="0"/>
                      <w:bCs/>
                      <w:color w:val="000000"/>
                      <w:sz w:val="21"/>
                      <w:szCs w:val="21"/>
                      <w:highlight w:val="none"/>
                    </w:rPr>
                    <w:t>管理要求</w:t>
                  </w:r>
                </w:p>
              </w:tc>
            </w:tr>
            <w:tr w14:paraId="1453C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1404" w:hRule="atLeast"/>
                <w:jc w:val="center"/>
              </w:trPr>
              <w:tc>
                <w:tcPr>
                  <w:tcW w:w="310" w:type="pct"/>
                  <w:vMerge w:val="restart"/>
                  <w:noWrap w:val="0"/>
                  <w:vAlign w:val="center"/>
                </w:tcPr>
                <w:p w14:paraId="549918F4">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废气</w:t>
                  </w:r>
                </w:p>
              </w:tc>
              <w:tc>
                <w:tcPr>
                  <w:tcW w:w="508" w:type="pct"/>
                  <w:vMerge w:val="restart"/>
                  <w:noWrap w:val="0"/>
                  <w:vAlign w:val="center"/>
                </w:tcPr>
                <w:p w14:paraId="7F8D8B6C">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DA001</w:t>
                  </w:r>
                </w:p>
                <w:p w14:paraId="2E9D46EC">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排气筒</w:t>
                  </w:r>
                </w:p>
              </w:tc>
              <w:tc>
                <w:tcPr>
                  <w:tcW w:w="587" w:type="pct"/>
                  <w:vMerge w:val="restart"/>
                  <w:noWrap w:val="0"/>
                  <w:vAlign w:val="center"/>
                </w:tcPr>
                <w:p w14:paraId="5FB1E0B6">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排气筒</w:t>
                  </w:r>
                  <w:r>
                    <w:rPr>
                      <w:rFonts w:hint="default" w:ascii="Times New Roman" w:hAnsi="Times New Roman" w:cs="Times New Roman"/>
                      <w:bCs/>
                      <w:color w:val="000000"/>
                      <w:sz w:val="21"/>
                      <w:szCs w:val="21"/>
                      <w:highlight w:val="none"/>
                      <w:lang w:eastAsia="zh-CN"/>
                    </w:rPr>
                    <w:t>进</w:t>
                  </w:r>
                  <w:r>
                    <w:rPr>
                      <w:rFonts w:hint="default" w:ascii="Times New Roman" w:hAnsi="Times New Roman" w:cs="Times New Roman"/>
                      <w:bCs/>
                      <w:color w:val="000000"/>
                      <w:sz w:val="21"/>
                      <w:szCs w:val="21"/>
                      <w:highlight w:val="none"/>
                    </w:rPr>
                    <w:t>出口处</w:t>
                  </w:r>
                </w:p>
              </w:tc>
              <w:tc>
                <w:tcPr>
                  <w:tcW w:w="858" w:type="pct"/>
                  <w:noWrap w:val="0"/>
                  <w:vAlign w:val="center"/>
                </w:tcPr>
                <w:p w14:paraId="3FF04C5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eastAsia" w:cs="Times New Roman"/>
                      <w:bCs/>
                      <w:color w:val="000000"/>
                      <w:sz w:val="21"/>
                      <w:szCs w:val="21"/>
                      <w:highlight w:val="none"/>
                      <w:lang w:eastAsia="zh-CN"/>
                    </w:rPr>
                    <w:t>非甲烷总烃</w:t>
                  </w:r>
                  <w:r>
                    <w:rPr>
                      <w:rFonts w:hint="default" w:ascii="Times New Roman" w:hAnsi="Times New Roman" w:cs="Times New Roman"/>
                      <w:bCs/>
                      <w:color w:val="000000"/>
                      <w:sz w:val="21"/>
                      <w:szCs w:val="21"/>
                      <w:highlight w:val="none"/>
                    </w:rPr>
                    <w:t>排放浓度、排放速率和废气量</w:t>
                  </w:r>
                </w:p>
              </w:tc>
              <w:tc>
                <w:tcPr>
                  <w:tcW w:w="443" w:type="pct"/>
                  <w:noWrap w:val="0"/>
                  <w:vAlign w:val="center"/>
                </w:tcPr>
                <w:p w14:paraId="1F5DBCE4">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1次/</w:t>
                  </w:r>
                  <w:r>
                    <w:rPr>
                      <w:rFonts w:hint="eastAsia" w:cs="Times New Roman"/>
                      <w:bCs/>
                      <w:color w:val="000000"/>
                      <w:sz w:val="21"/>
                      <w:szCs w:val="21"/>
                      <w:highlight w:val="none"/>
                      <w:lang w:eastAsia="zh-CN"/>
                    </w:rPr>
                    <w:t>半</w:t>
                  </w:r>
                  <w:r>
                    <w:rPr>
                      <w:rFonts w:hint="default" w:ascii="Times New Roman" w:hAnsi="Times New Roman" w:cs="Times New Roman"/>
                      <w:bCs/>
                      <w:color w:val="000000"/>
                      <w:sz w:val="21"/>
                      <w:szCs w:val="21"/>
                      <w:highlight w:val="none"/>
                    </w:rPr>
                    <w:t>年</w:t>
                  </w:r>
                </w:p>
              </w:tc>
              <w:tc>
                <w:tcPr>
                  <w:tcW w:w="2291" w:type="pct"/>
                  <w:noWrap w:val="0"/>
                  <w:vAlign w:val="center"/>
                </w:tcPr>
                <w:p w14:paraId="5E05AA36">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宋体" w:cs="Times New Roman"/>
                      <w:bCs/>
                      <w:color w:val="000000"/>
                      <w:sz w:val="21"/>
                      <w:szCs w:val="21"/>
                      <w:highlight w:val="none"/>
                      <w:lang w:val="en-US" w:eastAsia="zh-CN"/>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eastAsia" w:cs="Times New Roman"/>
                      <w:bCs/>
                      <w:kern w:val="0"/>
                      <w:sz w:val="21"/>
                      <w:szCs w:val="20"/>
                      <w:lang w:eastAsia="zh-CN"/>
                    </w:rPr>
                    <w:t>《河南省重污染天气重点行业应急减排措施制定技术指南》</w:t>
                  </w:r>
                  <w:r>
                    <w:rPr>
                      <w:rFonts w:hint="default" w:ascii="Times New Roman" w:hAnsi="Times New Roman" w:cs="Times New Roman"/>
                      <w:bCs/>
                      <w:kern w:val="0"/>
                      <w:sz w:val="21"/>
                      <w:szCs w:val="20"/>
                    </w:rPr>
                    <w:t>（202</w:t>
                  </w:r>
                  <w:r>
                    <w:rPr>
                      <w:rFonts w:hint="default" w:ascii="Times New Roman" w:hAnsi="Times New Roman" w:cs="Times New Roman"/>
                      <w:bCs/>
                      <w:kern w:val="0"/>
                      <w:sz w:val="21"/>
                      <w:szCs w:val="20"/>
                      <w:lang w:val="en-US" w:eastAsia="zh-CN"/>
                    </w:rPr>
                    <w:t>4</w:t>
                  </w:r>
                  <w:r>
                    <w:rPr>
                      <w:rFonts w:hint="default" w:ascii="Times New Roman" w:hAnsi="Times New Roman" w:cs="Times New Roman"/>
                      <w:bCs/>
                      <w:kern w:val="0"/>
                      <w:sz w:val="21"/>
                      <w:szCs w:val="20"/>
                    </w:rPr>
                    <w:t>年修订版）</w:t>
                  </w:r>
                  <w:r>
                    <w:rPr>
                      <w:rFonts w:hint="eastAsia" w:ascii="Times New Roman" w:hAnsi="Times New Roman" w:cs="Times New Roman"/>
                      <w:bCs/>
                      <w:kern w:val="0"/>
                      <w:sz w:val="21"/>
                      <w:szCs w:val="20"/>
                      <w:lang w:eastAsia="zh-CN"/>
                    </w:rPr>
                    <w:t>“塑料制品企业绩效分级指标”限值要求</w:t>
                  </w:r>
                </w:p>
              </w:tc>
            </w:tr>
            <w:tr w14:paraId="40034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314" w:hRule="atLeast"/>
                <w:jc w:val="center"/>
              </w:trPr>
              <w:tc>
                <w:tcPr>
                  <w:tcW w:w="310" w:type="pct"/>
                  <w:vMerge w:val="continue"/>
                  <w:noWrap w:val="0"/>
                  <w:vAlign w:val="center"/>
                </w:tcPr>
                <w:p w14:paraId="414DA308">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pPr>
                </w:p>
              </w:tc>
              <w:tc>
                <w:tcPr>
                  <w:tcW w:w="508" w:type="pct"/>
                  <w:vMerge w:val="continue"/>
                  <w:noWrap w:val="0"/>
                  <w:vAlign w:val="center"/>
                </w:tcPr>
                <w:p w14:paraId="5F712CA1">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pPr>
                </w:p>
              </w:tc>
              <w:tc>
                <w:tcPr>
                  <w:tcW w:w="587" w:type="pct"/>
                  <w:vMerge w:val="continue"/>
                  <w:noWrap w:val="0"/>
                  <w:vAlign w:val="center"/>
                </w:tcPr>
                <w:p w14:paraId="45749276">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pPr>
                </w:p>
              </w:tc>
              <w:tc>
                <w:tcPr>
                  <w:tcW w:w="858" w:type="pct"/>
                  <w:shd w:val="clear" w:color="auto" w:fill="auto"/>
                  <w:noWrap w:val="0"/>
                  <w:vAlign w:val="center"/>
                </w:tcPr>
                <w:p w14:paraId="7DA1132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bCs/>
                      <w:sz w:val="21"/>
                      <w:szCs w:val="21"/>
                      <w:highlight w:val="none"/>
                      <w:lang w:eastAsia="zh-CN"/>
                    </w:rPr>
                    <w:t>苯乙烯</w:t>
                  </w:r>
                  <w:r>
                    <w:rPr>
                      <w:rFonts w:hint="default" w:ascii="Times New Roman" w:hAnsi="Times New Roman" w:eastAsia="宋体" w:cs="Times New Roman"/>
                      <w:bCs/>
                      <w:sz w:val="21"/>
                      <w:szCs w:val="21"/>
                      <w:highlight w:val="none"/>
                    </w:rPr>
                    <w:t>排放浓度、排放速率和废气量</w:t>
                  </w:r>
                </w:p>
              </w:tc>
              <w:tc>
                <w:tcPr>
                  <w:tcW w:w="443" w:type="pct"/>
                  <w:shd w:val="clear" w:color="auto" w:fill="auto"/>
                  <w:noWrap w:val="0"/>
                  <w:vAlign w:val="center"/>
                </w:tcPr>
                <w:p w14:paraId="2DD55935">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center"/>
                    <w:textAlignment w:val="auto"/>
                    <w:rPr>
                      <w:rFonts w:hint="eastAsia" w:ascii="Times New Roman" w:hAnsi="Times New Roman" w:eastAsia="宋体" w:cs="Times New Roman"/>
                      <w:kern w:val="2"/>
                      <w:sz w:val="21"/>
                      <w:szCs w:val="21"/>
                      <w:highlight w:val="none"/>
                      <w:u w:val="none" w:color="auto"/>
                      <w:lang w:val="en-US" w:eastAsia="zh-CN" w:bidi="ar-SA"/>
                    </w:rPr>
                  </w:pPr>
                  <w:r>
                    <w:rPr>
                      <w:rFonts w:hint="default" w:ascii="Times New Roman" w:hAnsi="Times New Roman" w:eastAsia="宋体" w:cs="Times New Roman"/>
                      <w:bCs/>
                      <w:sz w:val="21"/>
                      <w:szCs w:val="21"/>
                      <w:highlight w:val="none"/>
                    </w:rPr>
                    <w:t>1次/年</w:t>
                  </w:r>
                </w:p>
              </w:tc>
              <w:tc>
                <w:tcPr>
                  <w:tcW w:w="2291" w:type="pct"/>
                  <w:shd w:val="clear" w:color="auto" w:fill="auto"/>
                  <w:noWrap w:val="0"/>
                  <w:vAlign w:val="center"/>
                </w:tcPr>
                <w:p w14:paraId="05DAAA7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kern w:val="2"/>
                      <w:sz w:val="21"/>
                      <w:szCs w:val="21"/>
                      <w:highlight w:val="none"/>
                      <w:u w:val="none" w:color="auto"/>
                      <w:lang w:val="en-US" w:eastAsia="zh-CN" w:bidi="ar-SA"/>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cs="Times New Roman"/>
                      <w:sz w:val="21"/>
                      <w:szCs w:val="21"/>
                      <w:highlight w:val="none"/>
                      <w:u w:val="none" w:color="auto"/>
                      <w:lang w:eastAsia="zh-CN"/>
                    </w:rPr>
                    <w:t>、</w:t>
                  </w:r>
                  <w:r>
                    <w:rPr>
                      <w:rFonts w:hint="default" w:ascii="Times New Roman" w:hAnsi="Times New Roman" w:cs="Times New Roman"/>
                      <w:sz w:val="21"/>
                      <w:szCs w:val="21"/>
                      <w:highlight w:val="none"/>
                      <w:u w:val="none" w:color="auto"/>
                    </w:rPr>
                    <w:t>《恶臭污染物排放标准》（GB 14554-93）的限值要求</w:t>
                  </w:r>
                </w:p>
              </w:tc>
            </w:tr>
            <w:tr w14:paraId="68990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584" w:hRule="atLeast"/>
                <w:jc w:val="center"/>
              </w:trPr>
              <w:tc>
                <w:tcPr>
                  <w:tcW w:w="310" w:type="pct"/>
                  <w:vMerge w:val="continue"/>
                  <w:noWrap w:val="0"/>
                  <w:vAlign w:val="center"/>
                </w:tcPr>
                <w:p w14:paraId="5378933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p>
              </w:tc>
              <w:tc>
                <w:tcPr>
                  <w:tcW w:w="508" w:type="pct"/>
                  <w:vMerge w:val="restart"/>
                  <w:noWrap w:val="0"/>
                  <w:vAlign w:val="center"/>
                </w:tcPr>
                <w:p w14:paraId="537EBF9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无组织排放废气</w:t>
                  </w:r>
                </w:p>
              </w:tc>
              <w:tc>
                <w:tcPr>
                  <w:tcW w:w="587" w:type="pct"/>
                  <w:noWrap w:val="0"/>
                  <w:vAlign w:val="center"/>
                </w:tcPr>
                <w:p w14:paraId="00BF7FFA">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eastAsia" w:ascii="Times New Roman" w:hAnsi="Times New Roman" w:eastAsia="宋体" w:cs="Times New Roman"/>
                      <w:bCs/>
                      <w:color w:val="000000"/>
                      <w:sz w:val="21"/>
                      <w:szCs w:val="21"/>
                      <w:highlight w:val="none"/>
                      <w:lang w:eastAsia="zh-CN"/>
                    </w:rPr>
                  </w:pPr>
                  <w:r>
                    <w:rPr>
                      <w:rFonts w:hint="eastAsia" w:cs="Times New Roman"/>
                      <w:bCs/>
                      <w:color w:val="000000"/>
                      <w:sz w:val="21"/>
                      <w:szCs w:val="21"/>
                      <w:highlight w:val="none"/>
                      <w:lang w:eastAsia="zh-CN"/>
                    </w:rPr>
                    <w:t>车间外</w:t>
                  </w:r>
                </w:p>
              </w:tc>
              <w:tc>
                <w:tcPr>
                  <w:tcW w:w="858" w:type="pct"/>
                  <w:noWrap w:val="0"/>
                  <w:vAlign w:val="center"/>
                </w:tcPr>
                <w:p w14:paraId="3912231E">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eastAsia" w:cs="Times New Roman"/>
                      <w:bCs/>
                      <w:color w:val="000000"/>
                      <w:sz w:val="21"/>
                      <w:szCs w:val="21"/>
                      <w:highlight w:val="none"/>
                      <w:lang w:eastAsia="zh-CN"/>
                    </w:rPr>
                    <w:t>非甲烷总烃</w:t>
                  </w:r>
                  <w:r>
                    <w:rPr>
                      <w:rFonts w:hint="default" w:ascii="Times New Roman" w:hAnsi="Times New Roman" w:cs="Times New Roman"/>
                      <w:bCs/>
                      <w:color w:val="000000"/>
                      <w:sz w:val="21"/>
                      <w:szCs w:val="21"/>
                      <w:highlight w:val="none"/>
                    </w:rPr>
                    <w:t>浓度</w:t>
                  </w:r>
                </w:p>
              </w:tc>
              <w:tc>
                <w:tcPr>
                  <w:tcW w:w="443" w:type="pct"/>
                  <w:vMerge w:val="restart"/>
                  <w:noWrap w:val="0"/>
                  <w:vAlign w:val="center"/>
                </w:tcPr>
                <w:p w14:paraId="1219CFDD">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1次/年</w:t>
                  </w:r>
                </w:p>
              </w:tc>
              <w:tc>
                <w:tcPr>
                  <w:tcW w:w="2291" w:type="pct"/>
                  <w:noWrap w:val="0"/>
                  <w:vAlign w:val="center"/>
                </w:tcPr>
                <w:p w14:paraId="78AF43AE">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宋体" w:cs="Times New Roman"/>
                      <w:bCs/>
                      <w:color w:val="000000"/>
                      <w:sz w:val="21"/>
                      <w:szCs w:val="21"/>
                      <w:highlight w:val="none"/>
                      <w:lang w:eastAsia="zh-CN"/>
                    </w:rPr>
                  </w:pPr>
                  <w:r>
                    <w:rPr>
                      <w:rFonts w:hint="eastAsia" w:cs="Times New Roman"/>
                      <w:b w:val="0"/>
                      <w:bCs/>
                      <w:color w:val="000000"/>
                      <w:kern w:val="2"/>
                      <w:sz w:val="21"/>
                      <w:szCs w:val="21"/>
                      <w:highlight w:val="none"/>
                      <w:u w:val="none" w:color="auto"/>
                      <w:lang w:val="en-US" w:eastAsia="zh-CN" w:bidi="ar-SA"/>
                    </w:rPr>
                    <w:t>《关于河南省开展工业企业挥发性有机物专项治理工作中排放建议值的通知》豫环攻坚办[2017]162号</w:t>
                  </w:r>
                </w:p>
              </w:tc>
            </w:tr>
            <w:tr w14:paraId="19D8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2617" w:hRule="atLeast"/>
                <w:jc w:val="center"/>
              </w:trPr>
              <w:tc>
                <w:tcPr>
                  <w:tcW w:w="310" w:type="pct"/>
                  <w:vMerge w:val="continue"/>
                  <w:noWrap w:val="0"/>
                  <w:vAlign w:val="center"/>
                </w:tcPr>
                <w:p w14:paraId="4114B357">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08" w:type="pct"/>
                  <w:vMerge w:val="continue"/>
                  <w:noWrap w:val="0"/>
                  <w:vAlign w:val="center"/>
                </w:tcPr>
                <w:p w14:paraId="265E98A2">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87" w:type="pct"/>
                  <w:vMerge w:val="restart"/>
                  <w:shd w:val="clear" w:color="auto" w:fill="auto"/>
                  <w:noWrap w:val="0"/>
                  <w:vAlign w:val="center"/>
                </w:tcPr>
                <w:p w14:paraId="5C363F22">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cs="Times New Roman"/>
                      <w:bCs/>
                      <w:color w:val="000000"/>
                      <w:sz w:val="21"/>
                      <w:szCs w:val="21"/>
                      <w:highlight w:val="none"/>
                    </w:rPr>
                    <w:t>四</w:t>
                  </w:r>
                  <w:r>
                    <w:rPr>
                      <w:rFonts w:hint="default" w:ascii="Times New Roman" w:hAnsi="Times New Roman" w:cs="Times New Roman"/>
                      <w:bCs/>
                      <w:color w:val="000000"/>
                      <w:sz w:val="21"/>
                      <w:szCs w:val="21"/>
                      <w:highlight w:val="none"/>
                      <w:lang w:eastAsia="zh-CN"/>
                    </w:rPr>
                    <w:t>周</w:t>
                  </w:r>
                  <w:r>
                    <w:rPr>
                      <w:rFonts w:hint="default" w:ascii="Times New Roman" w:hAnsi="Times New Roman" w:cs="Times New Roman"/>
                      <w:bCs/>
                      <w:color w:val="000000"/>
                      <w:sz w:val="21"/>
                      <w:szCs w:val="21"/>
                      <w:highlight w:val="none"/>
                    </w:rPr>
                    <w:t>厂界外1m处</w:t>
                  </w:r>
                </w:p>
              </w:tc>
              <w:tc>
                <w:tcPr>
                  <w:tcW w:w="858" w:type="pct"/>
                  <w:shd w:val="clear" w:color="auto" w:fill="auto"/>
                  <w:noWrap w:val="0"/>
                  <w:vAlign w:val="center"/>
                </w:tcPr>
                <w:p w14:paraId="7CA3F60E">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sz w:val="21"/>
                      <w:szCs w:val="21"/>
                      <w:highlight w:val="none"/>
                      <w:lang w:eastAsia="zh-CN"/>
                    </w:rPr>
                    <w:t>非甲烷总烃</w:t>
                  </w:r>
                  <w:r>
                    <w:rPr>
                      <w:rFonts w:hint="default" w:ascii="Times New Roman" w:hAnsi="Times New Roman" w:cs="Times New Roman"/>
                      <w:bCs/>
                      <w:color w:val="000000"/>
                      <w:sz w:val="21"/>
                      <w:szCs w:val="21"/>
                      <w:highlight w:val="none"/>
                    </w:rPr>
                    <w:t>浓度</w:t>
                  </w:r>
                </w:p>
              </w:tc>
              <w:tc>
                <w:tcPr>
                  <w:tcW w:w="443" w:type="pct"/>
                  <w:vMerge w:val="continue"/>
                  <w:noWrap w:val="0"/>
                  <w:vAlign w:val="center"/>
                </w:tcPr>
                <w:p w14:paraId="500C6535">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color w:val="000000"/>
                      <w:sz w:val="21"/>
                      <w:szCs w:val="21"/>
                      <w:highlight w:val="none"/>
                      <w:lang w:eastAsia="zh-CN"/>
                    </w:rPr>
                  </w:pPr>
                </w:p>
              </w:tc>
              <w:tc>
                <w:tcPr>
                  <w:tcW w:w="2291" w:type="pct"/>
                  <w:noWrap w:val="0"/>
                  <w:vAlign w:val="center"/>
                </w:tcPr>
                <w:p w14:paraId="2CA85D8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color w:val="000000"/>
                      <w:sz w:val="21"/>
                      <w:szCs w:val="21"/>
                      <w:highlight w:val="none"/>
                      <w:lang w:eastAsia="zh-CN"/>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eastAsia" w:cs="Times New Roman"/>
                      <w:b w:val="0"/>
                      <w:bCs/>
                      <w:color w:val="000000"/>
                      <w:kern w:val="2"/>
                      <w:sz w:val="21"/>
                      <w:szCs w:val="21"/>
                      <w:highlight w:val="none"/>
                      <w:u w:val="none" w:color="auto"/>
                      <w:lang w:val="en-US" w:eastAsia="zh-CN" w:bidi="ar-SA"/>
                    </w:rPr>
                    <w:t>《关于河南省开展工业企业挥发性有机物专项治理工作中排放建议值的通知》豫环攻坚办[2017]162号</w:t>
                  </w:r>
                  <w:r>
                    <w:rPr>
                      <w:rFonts w:hint="eastAsia" w:cs="Times New Roman"/>
                      <w:bCs/>
                      <w:kern w:val="0"/>
                      <w:sz w:val="21"/>
                      <w:szCs w:val="20"/>
                      <w:lang w:eastAsia="zh-CN"/>
                    </w:rPr>
                    <w:t>、</w:t>
                  </w:r>
                  <w:r>
                    <w:rPr>
                      <w:rFonts w:hint="eastAsia" w:ascii="Times New Roman" w:hAnsi="Times New Roman" w:eastAsia="宋体" w:cs="Times New Roman"/>
                      <w:sz w:val="21"/>
                      <w:lang w:eastAsia="zh-CN"/>
                    </w:rPr>
                    <w:t>《挥发性有机物无组织排放控制标准》（GB37822-2019）</w:t>
                  </w:r>
                  <w:r>
                    <w:rPr>
                      <w:rFonts w:hint="eastAsia" w:cs="Times New Roman"/>
                      <w:bCs/>
                      <w:kern w:val="0"/>
                      <w:sz w:val="21"/>
                      <w:szCs w:val="20"/>
                      <w:lang w:eastAsia="zh-CN"/>
                    </w:rPr>
                    <w:t>、</w:t>
                  </w:r>
                  <w:r>
                    <w:rPr>
                      <w:rFonts w:hint="eastAsia" w:cs="Times New Roman"/>
                      <w:bCs/>
                      <w:kern w:val="0"/>
                      <w:sz w:val="21"/>
                      <w:szCs w:val="21"/>
                      <w:lang w:eastAsia="zh-CN"/>
                    </w:rPr>
                    <w:t>《</w:t>
                  </w:r>
                  <w:r>
                    <w:rPr>
                      <w:rFonts w:hint="eastAsia" w:cs="Times New Roman"/>
                      <w:bCs/>
                      <w:kern w:val="0"/>
                      <w:sz w:val="21"/>
                      <w:szCs w:val="21"/>
                      <w:highlight w:val="none"/>
                      <w:lang w:eastAsia="zh-CN"/>
                    </w:rPr>
                    <w:t>河南省重污染天气重点行业应急减排措施制定技术指南》（202</w:t>
                  </w:r>
                  <w:r>
                    <w:rPr>
                      <w:rFonts w:hint="eastAsia" w:cs="Times New Roman"/>
                      <w:bCs/>
                      <w:kern w:val="0"/>
                      <w:sz w:val="21"/>
                      <w:szCs w:val="21"/>
                      <w:lang w:eastAsia="zh-CN"/>
                    </w:rPr>
                    <w:t>4年修订版）“塑料制品企业绩效分级指标”限值要求</w:t>
                  </w:r>
                </w:p>
              </w:tc>
            </w:tr>
            <w:tr w14:paraId="549B3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431" w:hRule="atLeast"/>
                <w:jc w:val="center"/>
              </w:trPr>
              <w:tc>
                <w:tcPr>
                  <w:tcW w:w="310" w:type="pct"/>
                  <w:vMerge w:val="continue"/>
                  <w:noWrap w:val="0"/>
                  <w:vAlign w:val="center"/>
                </w:tcPr>
                <w:p w14:paraId="49EEF17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08" w:type="pct"/>
                  <w:vMerge w:val="continue"/>
                  <w:noWrap w:val="0"/>
                  <w:vAlign w:val="center"/>
                </w:tcPr>
                <w:p w14:paraId="3A670548">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87" w:type="pct"/>
                  <w:vMerge w:val="continue"/>
                  <w:noWrap w:val="0"/>
                  <w:vAlign w:val="center"/>
                </w:tcPr>
                <w:p w14:paraId="1B7F6D8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858" w:type="pct"/>
                  <w:shd w:val="clear" w:color="auto" w:fill="auto"/>
                  <w:noWrap w:val="0"/>
                  <w:vAlign w:val="center"/>
                </w:tcPr>
                <w:p w14:paraId="7E3DB0B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val="en-US" w:eastAsia="zh-CN" w:bidi="ar-SA"/>
                    </w:rPr>
                  </w:pPr>
                  <w:r>
                    <w:rPr>
                      <w:rFonts w:hint="eastAsia" w:cs="Times New Roman"/>
                      <w:bCs/>
                      <w:kern w:val="0"/>
                      <w:sz w:val="21"/>
                      <w:szCs w:val="20"/>
                      <w:lang w:eastAsia="zh-CN"/>
                    </w:rPr>
                    <w:t>苯乙烯</w:t>
                  </w:r>
                  <w:r>
                    <w:rPr>
                      <w:rFonts w:hint="default" w:ascii="Times New Roman" w:hAnsi="Times New Roman" w:cs="Times New Roman"/>
                      <w:bCs/>
                      <w:color w:val="000000"/>
                      <w:sz w:val="21"/>
                      <w:szCs w:val="21"/>
                      <w:highlight w:val="none"/>
                    </w:rPr>
                    <w:t>浓度</w:t>
                  </w:r>
                </w:p>
              </w:tc>
              <w:tc>
                <w:tcPr>
                  <w:tcW w:w="443" w:type="pct"/>
                  <w:vMerge w:val="continue"/>
                  <w:shd w:val="clear" w:color="auto" w:fill="auto"/>
                  <w:noWrap w:val="0"/>
                  <w:vAlign w:val="center"/>
                </w:tcPr>
                <w:p w14:paraId="3906F7F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val="en-US" w:eastAsia="zh-CN" w:bidi="ar-SA"/>
                    </w:rPr>
                  </w:pPr>
                </w:p>
              </w:tc>
              <w:tc>
                <w:tcPr>
                  <w:tcW w:w="2291" w:type="pct"/>
                  <w:shd w:val="clear" w:color="auto" w:fill="auto"/>
                  <w:noWrap w:val="0"/>
                  <w:vAlign w:val="center"/>
                </w:tcPr>
                <w:p w14:paraId="786F0275">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val="en-US" w:eastAsia="zh-CN" w:bidi="ar-SA"/>
                    </w:rPr>
                  </w:pPr>
                  <w:r>
                    <w:rPr>
                      <w:rFonts w:hint="default" w:ascii="Times New Roman" w:hAnsi="Times New Roman" w:cs="Times New Roman"/>
                      <w:sz w:val="21"/>
                      <w:szCs w:val="21"/>
                      <w:highlight w:val="none"/>
                      <w:u w:val="none" w:color="auto"/>
                    </w:rPr>
                    <w:t>《恶臭污染物排放标准》（GB 14554-93）</w:t>
                  </w:r>
                  <w:r>
                    <w:rPr>
                      <w:rFonts w:hint="eastAsia" w:cs="Times New Roman"/>
                      <w:bCs/>
                      <w:kern w:val="0"/>
                      <w:sz w:val="21"/>
                      <w:szCs w:val="21"/>
                      <w:lang w:eastAsia="zh-CN"/>
                    </w:rPr>
                    <w:t>限值要求</w:t>
                  </w:r>
                </w:p>
              </w:tc>
            </w:tr>
            <w:tr w14:paraId="33BDE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431" w:hRule="atLeast"/>
                <w:jc w:val="center"/>
              </w:trPr>
              <w:tc>
                <w:tcPr>
                  <w:tcW w:w="310" w:type="pct"/>
                  <w:noWrap w:val="0"/>
                  <w:vAlign w:val="center"/>
                </w:tcPr>
                <w:p w14:paraId="0CD4B77E">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eastAsia="宋体"/>
                      <w:lang w:eastAsia="zh-CN"/>
                    </w:rPr>
                  </w:pPr>
                  <w:r>
                    <w:rPr>
                      <w:rFonts w:hint="eastAsia"/>
                      <w:lang w:eastAsia="zh-CN"/>
                    </w:rPr>
                    <w:t>废水</w:t>
                  </w:r>
                </w:p>
              </w:tc>
              <w:tc>
                <w:tcPr>
                  <w:tcW w:w="508" w:type="pct"/>
                  <w:noWrap w:val="0"/>
                  <w:vAlign w:val="center"/>
                </w:tcPr>
                <w:p w14:paraId="3D8466D8">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eastAsia="宋体"/>
                      <w:lang w:val="en-US" w:eastAsia="zh-CN"/>
                    </w:rPr>
                  </w:pPr>
                  <w:r>
                    <w:rPr>
                      <w:rFonts w:hint="eastAsia"/>
                      <w:sz w:val="21"/>
                      <w:szCs w:val="21"/>
                      <w:lang w:val="en-US" w:eastAsia="zh-CN"/>
                    </w:rPr>
                    <w:t>DW001</w:t>
                  </w:r>
                </w:p>
              </w:tc>
              <w:tc>
                <w:tcPr>
                  <w:tcW w:w="587" w:type="pct"/>
                  <w:shd w:val="clear" w:color="auto" w:fill="auto"/>
                  <w:noWrap w:val="0"/>
                  <w:vAlign w:val="center"/>
                </w:tcPr>
                <w:p w14:paraId="19A7BAF4">
                  <w:pPr>
                    <w:keepNext w:val="0"/>
                    <w:keepLines w:val="0"/>
                    <w:pageBreakBefore w:val="0"/>
                    <w:widowControl w:val="0"/>
                    <w:tabs>
                      <w:tab w:val="left" w:pos="600"/>
                    </w:tabs>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eastAsia="zh-CN"/>
                    </w:rPr>
                    <w:t>厂区总</w:t>
                  </w:r>
                </w:p>
                <w:p w14:paraId="5E06062D">
                  <w:pPr>
                    <w:keepNext w:val="0"/>
                    <w:keepLines w:val="0"/>
                    <w:pageBreakBefore w:val="0"/>
                    <w:widowControl w:val="0"/>
                    <w:tabs>
                      <w:tab w:val="left" w:pos="600"/>
                    </w:tabs>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cs="Times New Roman"/>
                      <w:bCs/>
                      <w:color w:val="000000"/>
                      <w:sz w:val="21"/>
                      <w:szCs w:val="21"/>
                      <w:highlight w:val="none"/>
                      <w:lang w:eastAsia="zh-CN"/>
                    </w:rPr>
                    <w:t>排放口</w:t>
                  </w:r>
                </w:p>
              </w:tc>
              <w:tc>
                <w:tcPr>
                  <w:tcW w:w="858" w:type="pct"/>
                  <w:shd w:val="clear" w:color="auto" w:fill="auto"/>
                  <w:noWrap w:val="0"/>
                  <w:vAlign w:val="center"/>
                </w:tcPr>
                <w:p w14:paraId="3C326FC7">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lang w:val="en-US" w:eastAsia="zh-CN"/>
                    </w:rPr>
                  </w:pPr>
                  <w:r>
                    <w:rPr>
                      <w:rFonts w:hint="default" w:ascii="Times New Roman" w:hAnsi="Times New Roman" w:cs="Times New Roman"/>
                      <w:bCs/>
                      <w:color w:val="000000"/>
                      <w:sz w:val="21"/>
                      <w:szCs w:val="21"/>
                      <w:highlight w:val="none"/>
                      <w:lang w:val="en-US" w:eastAsia="zh-CN"/>
                    </w:rPr>
                    <w:t>COD、SS、</w:t>
                  </w:r>
                </w:p>
                <w:p w14:paraId="700A0355">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cs="Times New Roman"/>
                      <w:bCs/>
                      <w:color w:val="000000"/>
                      <w:sz w:val="21"/>
                      <w:szCs w:val="21"/>
                      <w:highlight w:val="none"/>
                      <w:lang w:val="en-US" w:eastAsia="zh-CN"/>
                    </w:rPr>
                    <w:t>氨氮、TP</w:t>
                  </w:r>
                </w:p>
              </w:tc>
              <w:tc>
                <w:tcPr>
                  <w:tcW w:w="443" w:type="pct"/>
                  <w:shd w:val="clear" w:color="auto" w:fill="auto"/>
                  <w:noWrap w:val="0"/>
                  <w:vAlign w:val="center"/>
                </w:tcPr>
                <w:p w14:paraId="4C363715">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eastAsia"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cs="Times New Roman"/>
                      <w:bCs/>
                      <w:color w:val="000000"/>
                      <w:sz w:val="21"/>
                      <w:szCs w:val="21"/>
                      <w:highlight w:val="none"/>
                    </w:rPr>
                    <w:t>1次/年</w:t>
                  </w:r>
                </w:p>
              </w:tc>
              <w:tc>
                <w:tcPr>
                  <w:tcW w:w="2291" w:type="pct"/>
                  <w:shd w:val="clear" w:color="auto" w:fill="auto"/>
                  <w:noWrap w:val="0"/>
                  <w:vAlign w:val="center"/>
                </w:tcPr>
                <w:p w14:paraId="1D464011">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eastAsia="宋体" w:cs="Times New Roman"/>
                      <w:bCs/>
                      <w:color w:val="000000"/>
                      <w:kern w:val="2"/>
                      <w:sz w:val="21"/>
                      <w:szCs w:val="21"/>
                      <w:highlight w:val="none"/>
                      <w:lang w:val="en-US" w:eastAsia="zh-CN" w:bidi="ar-SA"/>
                    </w:rPr>
                  </w:pPr>
                  <w:r>
                    <w:rPr>
                      <w:rFonts w:hint="default" w:ascii="Times New Roman" w:hAnsi="Times New Roman" w:cs="Times New Roman"/>
                      <w:bCs/>
                      <w:color w:val="000000"/>
                      <w:sz w:val="21"/>
                      <w:szCs w:val="21"/>
                      <w:highlight w:val="none"/>
                      <w:lang w:eastAsia="zh-CN"/>
                    </w:rPr>
                    <w:t>《污水综合排放标准》（</w:t>
                  </w:r>
                  <w:r>
                    <w:rPr>
                      <w:rFonts w:hint="default" w:ascii="Times New Roman" w:hAnsi="Times New Roman" w:cs="Times New Roman"/>
                      <w:bCs/>
                      <w:color w:val="000000"/>
                      <w:sz w:val="21"/>
                      <w:szCs w:val="21"/>
                      <w:highlight w:val="none"/>
                      <w:lang w:val="en-US" w:eastAsia="zh-CN"/>
                    </w:rPr>
                    <w:t>GB8978-1996</w:t>
                  </w:r>
                  <w:r>
                    <w:rPr>
                      <w:rFonts w:hint="default" w:ascii="Times New Roman" w:hAnsi="Times New Roman" w:cs="Times New Roman"/>
                      <w:bCs/>
                      <w:color w:val="000000"/>
                      <w:sz w:val="21"/>
                      <w:szCs w:val="21"/>
                      <w:highlight w:val="none"/>
                      <w:lang w:eastAsia="zh-CN"/>
                    </w:rPr>
                    <w:t>）表</w:t>
                  </w:r>
                  <w:r>
                    <w:rPr>
                      <w:rFonts w:hint="default" w:ascii="Times New Roman" w:hAnsi="Times New Roman" w:cs="Times New Roman"/>
                      <w:bCs/>
                      <w:color w:val="000000"/>
                      <w:sz w:val="21"/>
                      <w:szCs w:val="21"/>
                      <w:highlight w:val="none"/>
                      <w:lang w:val="en-US" w:eastAsia="zh-CN"/>
                    </w:rPr>
                    <w:t>4二级</w:t>
                  </w:r>
                  <w:r>
                    <w:rPr>
                      <w:rFonts w:hint="eastAsia" w:ascii="Times New Roman" w:hAnsi="Times New Roman" w:cs="Times New Roman"/>
                      <w:bCs/>
                      <w:color w:val="000000"/>
                      <w:sz w:val="21"/>
                      <w:szCs w:val="21"/>
                      <w:highlight w:val="none"/>
                      <w:lang w:val="en-US" w:eastAsia="zh-CN"/>
                    </w:rPr>
                    <w:t>标准限值</w:t>
                  </w:r>
                </w:p>
              </w:tc>
            </w:tr>
            <w:tr w14:paraId="7FFD9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90" w:hRule="atLeast"/>
                <w:jc w:val="center"/>
              </w:trPr>
              <w:tc>
                <w:tcPr>
                  <w:tcW w:w="310" w:type="pct"/>
                  <w:noWrap w:val="0"/>
                  <w:vAlign w:val="center"/>
                </w:tcPr>
                <w:p w14:paraId="26129227">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噪声</w:t>
                  </w:r>
                </w:p>
              </w:tc>
              <w:tc>
                <w:tcPr>
                  <w:tcW w:w="508" w:type="pct"/>
                  <w:noWrap w:val="0"/>
                  <w:vAlign w:val="center"/>
                </w:tcPr>
                <w:p w14:paraId="0A36424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高噪声</w:t>
                  </w:r>
                </w:p>
                <w:p w14:paraId="3405C1CC">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设备</w:t>
                  </w:r>
                </w:p>
              </w:tc>
              <w:tc>
                <w:tcPr>
                  <w:tcW w:w="587" w:type="pct"/>
                  <w:noWrap w:val="0"/>
                  <w:vAlign w:val="center"/>
                </w:tcPr>
                <w:p w14:paraId="190B8741">
                  <w:pPr>
                    <w:keepNext w:val="0"/>
                    <w:keepLines w:val="0"/>
                    <w:pageBreakBefore w:val="0"/>
                    <w:widowControl w:val="0"/>
                    <w:tabs>
                      <w:tab w:val="left" w:pos="600"/>
                    </w:tabs>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在四</w:t>
                  </w:r>
                  <w:r>
                    <w:rPr>
                      <w:rFonts w:hint="default" w:ascii="Times New Roman" w:hAnsi="Times New Roman" w:cs="Times New Roman"/>
                      <w:bCs/>
                      <w:color w:val="000000"/>
                      <w:sz w:val="21"/>
                      <w:szCs w:val="21"/>
                      <w:highlight w:val="none"/>
                      <w:lang w:eastAsia="zh-CN"/>
                    </w:rPr>
                    <w:t>周</w:t>
                  </w:r>
                  <w:r>
                    <w:rPr>
                      <w:rFonts w:hint="default" w:ascii="Times New Roman" w:hAnsi="Times New Roman" w:cs="Times New Roman"/>
                      <w:bCs/>
                      <w:color w:val="000000"/>
                      <w:sz w:val="21"/>
                      <w:szCs w:val="21"/>
                      <w:highlight w:val="none"/>
                    </w:rPr>
                    <w:t>厂界外1米处布4个点</w:t>
                  </w:r>
                </w:p>
              </w:tc>
              <w:tc>
                <w:tcPr>
                  <w:tcW w:w="858" w:type="pct"/>
                  <w:noWrap w:val="0"/>
                  <w:vAlign w:val="center"/>
                </w:tcPr>
                <w:p w14:paraId="53F7CD2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等效A</w:t>
                  </w:r>
                </w:p>
                <w:p w14:paraId="12F734E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声级</w:t>
                  </w:r>
                </w:p>
              </w:tc>
              <w:tc>
                <w:tcPr>
                  <w:tcW w:w="443" w:type="pct"/>
                  <w:noWrap w:val="0"/>
                  <w:vAlign w:val="center"/>
                </w:tcPr>
                <w:p w14:paraId="1DC8DBF7">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1次/</w:t>
                  </w:r>
                </w:p>
                <w:p w14:paraId="2F72A55E">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季度</w:t>
                  </w:r>
                </w:p>
              </w:tc>
              <w:tc>
                <w:tcPr>
                  <w:tcW w:w="2291" w:type="pct"/>
                  <w:noWrap w:val="0"/>
                  <w:vAlign w:val="center"/>
                </w:tcPr>
                <w:p w14:paraId="235B930C">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《工业企业厂界环境噪声排放标准》（GB12348-2008）</w:t>
                  </w:r>
                  <w:r>
                    <w:rPr>
                      <w:rFonts w:hint="default" w:ascii="Times New Roman" w:hAnsi="Times New Roman" w:cs="Times New Roman"/>
                      <w:bCs/>
                      <w:color w:val="000000"/>
                      <w:sz w:val="21"/>
                      <w:szCs w:val="21"/>
                      <w:highlight w:val="none"/>
                      <w:lang w:val="en-US" w:eastAsia="zh-CN"/>
                    </w:rPr>
                    <w:t>3</w:t>
                  </w:r>
                  <w:r>
                    <w:rPr>
                      <w:rFonts w:hint="default" w:ascii="Times New Roman" w:hAnsi="Times New Roman" w:cs="Times New Roman"/>
                      <w:bCs/>
                      <w:color w:val="000000"/>
                      <w:sz w:val="21"/>
                      <w:szCs w:val="21"/>
                      <w:highlight w:val="none"/>
                    </w:rPr>
                    <w:t>类（昼间：6</w:t>
                  </w:r>
                  <w:r>
                    <w:rPr>
                      <w:rFonts w:hint="default" w:ascii="Times New Roman" w:hAnsi="Times New Roman" w:cs="Times New Roman"/>
                      <w:bCs/>
                      <w:color w:val="000000"/>
                      <w:sz w:val="21"/>
                      <w:szCs w:val="21"/>
                      <w:highlight w:val="none"/>
                      <w:lang w:val="en-US" w:eastAsia="zh-CN"/>
                    </w:rPr>
                    <w:t>5</w:t>
                  </w:r>
                  <w:r>
                    <w:rPr>
                      <w:rFonts w:hint="default" w:ascii="Times New Roman" w:hAnsi="Times New Roman" w:cs="Times New Roman"/>
                      <w:bCs/>
                      <w:color w:val="000000"/>
                      <w:sz w:val="21"/>
                      <w:szCs w:val="21"/>
                      <w:highlight w:val="none"/>
                    </w:rPr>
                    <w:t>dB(A)）</w:t>
                  </w:r>
                </w:p>
              </w:tc>
            </w:tr>
            <w:tr w14:paraId="33A74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336" w:hRule="atLeast"/>
                <w:jc w:val="center"/>
              </w:trPr>
              <w:tc>
                <w:tcPr>
                  <w:tcW w:w="310" w:type="pct"/>
                  <w:noWrap w:val="0"/>
                  <w:vAlign w:val="center"/>
                </w:tcPr>
                <w:p w14:paraId="5CDF8D1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固废</w:t>
                  </w:r>
                </w:p>
              </w:tc>
              <w:tc>
                <w:tcPr>
                  <w:tcW w:w="508" w:type="pct"/>
                  <w:noWrap w:val="0"/>
                  <w:vAlign w:val="center"/>
                </w:tcPr>
                <w:p w14:paraId="6CB9CD9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生产</w:t>
                  </w:r>
                </w:p>
                <w:p w14:paraId="7CE7BA1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过程</w:t>
                  </w:r>
                </w:p>
              </w:tc>
              <w:tc>
                <w:tcPr>
                  <w:tcW w:w="4181" w:type="pct"/>
                  <w:gridSpan w:val="4"/>
                  <w:noWrap w:val="0"/>
                  <w:vAlign w:val="center"/>
                </w:tcPr>
                <w:p w14:paraId="2DA9C2E3">
                  <w:pPr>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定期核查，及时处理</w:t>
                  </w:r>
                </w:p>
              </w:tc>
            </w:tr>
          </w:tbl>
          <w:p w14:paraId="740FAE4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建设单位应配合相关管理部门做好监督工作，认真落实环境监测计划，并建立台帐制度，如实记录监测数据。</w:t>
            </w:r>
          </w:p>
          <w:p w14:paraId="55E0CD02">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宋体" w:cs="Times New Roman"/>
                <w:b/>
                <w:sz w:val="24"/>
                <w:highlight w:val="none"/>
              </w:rPr>
            </w:pPr>
            <w:r>
              <w:rPr>
                <w:rFonts w:hint="eastAsia" w:cs="Times New Roman"/>
                <w:b/>
                <w:highlight w:val="none"/>
                <w:lang w:eastAsia="zh-CN"/>
              </w:rPr>
              <w:t>九</w:t>
            </w:r>
            <w:r>
              <w:rPr>
                <w:rFonts w:hint="default" w:ascii="Times New Roman" w:hAnsi="Times New Roman" w:cs="Times New Roman"/>
                <w:b/>
                <w:highlight w:val="none"/>
              </w:rPr>
              <w:t>、</w:t>
            </w:r>
            <w:r>
              <w:rPr>
                <w:rFonts w:hint="default" w:ascii="Times New Roman" w:hAnsi="Times New Roman" w:eastAsia="宋体" w:cs="Times New Roman"/>
                <w:b/>
                <w:sz w:val="24"/>
                <w:highlight w:val="none"/>
              </w:rPr>
              <w:t>工程环保“三同时”及环保投资一览表</w:t>
            </w:r>
          </w:p>
          <w:p w14:paraId="11D5605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工程总投资</w:t>
            </w:r>
            <w:r>
              <w:rPr>
                <w:rFonts w:hint="eastAsia" w:cs="Times New Roman"/>
                <w:sz w:val="24"/>
                <w:highlight w:val="none"/>
                <w:lang w:val="en-US" w:eastAsia="zh-CN"/>
              </w:rPr>
              <w:t>5</w:t>
            </w:r>
            <w:r>
              <w:rPr>
                <w:rFonts w:hint="default" w:ascii="Times New Roman" w:hAnsi="Times New Roman" w:cs="Times New Roman"/>
                <w:sz w:val="24"/>
                <w:highlight w:val="none"/>
              </w:rPr>
              <w:t>00万元，环保投资</w:t>
            </w:r>
            <w:r>
              <w:rPr>
                <w:rFonts w:hint="eastAsia" w:cs="Times New Roman"/>
                <w:sz w:val="24"/>
                <w:highlight w:val="none"/>
                <w:lang w:val="en-US" w:eastAsia="zh-CN"/>
              </w:rPr>
              <w:t>26</w:t>
            </w:r>
            <w:r>
              <w:rPr>
                <w:rFonts w:hint="default" w:ascii="Times New Roman" w:hAnsi="Times New Roman" w:cs="Times New Roman"/>
                <w:sz w:val="24"/>
                <w:highlight w:val="none"/>
              </w:rPr>
              <w:t>万元，占总投资的</w:t>
            </w:r>
            <w:r>
              <w:rPr>
                <w:rFonts w:hint="eastAsia" w:cs="Times New Roman"/>
                <w:sz w:val="24"/>
                <w:highlight w:val="none"/>
                <w:lang w:val="en-US" w:eastAsia="zh-CN"/>
              </w:rPr>
              <w:t>5.2</w:t>
            </w:r>
            <w:r>
              <w:rPr>
                <w:rFonts w:hint="default" w:ascii="Times New Roman" w:hAnsi="Times New Roman" w:cs="Times New Roman"/>
                <w:sz w:val="24"/>
                <w:highlight w:val="none"/>
              </w:rPr>
              <w:t>%，项目污染防治措施及环保投资情况汇总见表4-</w:t>
            </w:r>
            <w:r>
              <w:rPr>
                <w:rFonts w:hint="default" w:ascii="Times New Roman" w:hAnsi="Times New Roman" w:cs="Times New Roman"/>
                <w:sz w:val="24"/>
                <w:highlight w:val="none"/>
                <w:lang w:val="en-US" w:eastAsia="zh-CN"/>
              </w:rPr>
              <w:t>2</w:t>
            </w:r>
            <w:r>
              <w:rPr>
                <w:rFonts w:hint="eastAsia" w:cs="Times New Roman"/>
                <w:sz w:val="24"/>
                <w:highlight w:val="none"/>
                <w:lang w:val="en-US" w:eastAsia="zh-CN"/>
              </w:rPr>
              <w:t>8</w:t>
            </w:r>
            <w:r>
              <w:rPr>
                <w:rFonts w:hint="default" w:ascii="Times New Roman" w:hAnsi="Times New Roman" w:cs="Times New Roman"/>
                <w:sz w:val="24"/>
                <w:highlight w:val="none"/>
              </w:rPr>
              <w:t>。</w:t>
            </w:r>
          </w:p>
          <w:p w14:paraId="0BB382FF">
            <w:pPr>
              <w:pStyle w:val="30"/>
              <w:keepLines w:val="0"/>
              <w:pageBreakBefore w:val="0"/>
              <w:widowControl w:val="0"/>
              <w:kinsoku/>
              <w:wordWrap/>
              <w:topLinePunct w:val="0"/>
              <w:autoSpaceDE/>
              <w:autoSpaceDN/>
              <w:bidi w:val="0"/>
              <w:adjustRightInd/>
              <w:spacing w:before="0" w:beforeLines="0" w:line="520" w:lineRule="exact"/>
              <w:textAlignment w:val="auto"/>
              <w:rPr>
                <w:rFonts w:hint="default" w:ascii="Times New Roman" w:hAnsi="Times New Roman" w:eastAsia="宋体" w:cs="Times New Roman"/>
                <w:b/>
                <w:bCs/>
                <w:highlight w:val="none"/>
                <w:lang w:val="en-US" w:eastAsia="zh-CN" w:bidi="ar-SA"/>
              </w:rPr>
            </w:pPr>
            <w:r>
              <w:rPr>
                <w:rFonts w:hint="default" w:ascii="Times New Roman" w:hAnsi="Times New Roman" w:eastAsia="宋体" w:cs="Times New Roman"/>
                <w:b/>
                <w:bCs/>
                <w:highlight w:val="none"/>
                <w:lang w:val="en-US" w:eastAsia="zh-CN" w:bidi="ar-SA"/>
              </w:rPr>
              <w:t>表4-</w:t>
            </w:r>
            <w:r>
              <w:rPr>
                <w:rFonts w:hint="eastAsia" w:eastAsia="宋体" w:cs="Times New Roman"/>
                <w:b/>
                <w:bCs/>
                <w:highlight w:val="none"/>
                <w:lang w:val="en-US" w:eastAsia="zh-CN" w:bidi="ar-SA"/>
              </w:rPr>
              <w:t>28</w:t>
            </w:r>
            <w:r>
              <w:rPr>
                <w:rFonts w:hint="default" w:ascii="Times New Roman" w:hAnsi="Times New Roman" w:eastAsia="宋体" w:cs="Times New Roman"/>
                <w:b/>
                <w:bCs/>
                <w:highlight w:val="none"/>
                <w:lang w:val="en-US" w:eastAsia="zh-CN" w:bidi="ar-SA"/>
              </w:rPr>
              <w:t xml:space="preserve">   工程环保“三同时”及环保投资一览表</w:t>
            </w:r>
          </w:p>
          <w:tbl>
            <w:tblPr>
              <w:tblStyle w:val="15"/>
              <w:tblW w:w="83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770"/>
              <w:gridCol w:w="27"/>
              <w:gridCol w:w="743"/>
              <w:gridCol w:w="735"/>
              <w:gridCol w:w="915"/>
              <w:gridCol w:w="1275"/>
              <w:gridCol w:w="870"/>
              <w:gridCol w:w="2488"/>
            </w:tblGrid>
            <w:tr w14:paraId="50F878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119" w:hRule="atLeast"/>
                <w:jc w:val="center"/>
              </w:trPr>
              <w:tc>
                <w:tcPr>
                  <w:tcW w:w="503" w:type="dxa"/>
                  <w:tcBorders>
                    <w:tl2br w:val="nil"/>
                    <w:tr2bl w:val="nil"/>
                  </w:tcBorders>
                  <w:noWrap w:val="0"/>
                  <w:vAlign w:val="center"/>
                </w:tcPr>
                <w:p w14:paraId="562B931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类别</w:t>
                  </w:r>
                </w:p>
              </w:tc>
              <w:tc>
                <w:tcPr>
                  <w:tcW w:w="1540" w:type="dxa"/>
                  <w:gridSpan w:val="3"/>
                  <w:tcBorders>
                    <w:tl2br w:val="nil"/>
                    <w:tr2bl w:val="nil"/>
                  </w:tcBorders>
                  <w:noWrap w:val="0"/>
                  <w:vAlign w:val="center"/>
                </w:tcPr>
                <w:p w14:paraId="68A1BF6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污染源名称</w:t>
                  </w:r>
                </w:p>
              </w:tc>
              <w:tc>
                <w:tcPr>
                  <w:tcW w:w="735" w:type="dxa"/>
                  <w:tcBorders>
                    <w:tl2br w:val="nil"/>
                    <w:tr2bl w:val="nil"/>
                  </w:tcBorders>
                  <w:noWrap w:val="0"/>
                  <w:vAlign w:val="center"/>
                </w:tcPr>
                <w:p w14:paraId="5BD1698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w:t>
                  </w:r>
                </w:p>
                <w:p w14:paraId="2847F0C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因子</w:t>
                  </w:r>
                </w:p>
              </w:tc>
              <w:tc>
                <w:tcPr>
                  <w:tcW w:w="2190" w:type="dxa"/>
                  <w:gridSpan w:val="2"/>
                  <w:tcBorders>
                    <w:tl2br w:val="nil"/>
                    <w:tr2bl w:val="nil"/>
                  </w:tcBorders>
                  <w:noWrap w:val="0"/>
                  <w:vAlign w:val="center"/>
                </w:tcPr>
                <w:p w14:paraId="792DA005">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治理措施</w:t>
                  </w:r>
                </w:p>
              </w:tc>
              <w:tc>
                <w:tcPr>
                  <w:tcW w:w="870" w:type="dxa"/>
                  <w:tcBorders>
                    <w:tl2br w:val="nil"/>
                    <w:tr2bl w:val="nil"/>
                  </w:tcBorders>
                  <w:noWrap w:val="0"/>
                  <w:vAlign w:val="center"/>
                </w:tcPr>
                <w:p w14:paraId="77D4625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投资金</w:t>
                  </w:r>
                </w:p>
                <w:p w14:paraId="194E56D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额</w:t>
                  </w:r>
                  <w:r>
                    <w:rPr>
                      <w:rFonts w:hint="eastAsia" w:ascii="Times New Roman" w:hAnsi="Times New Roman" w:cs="Times New Roman"/>
                      <w:sz w:val="21"/>
                      <w:szCs w:val="21"/>
                      <w:highlight w:val="none"/>
                      <w:lang w:val="en-US" w:eastAsia="zh-CN"/>
                    </w:rPr>
                    <w:t>/</w:t>
                  </w:r>
                  <w:r>
                    <w:rPr>
                      <w:rFonts w:hint="default" w:ascii="Times New Roman" w:hAnsi="Times New Roman" w:cs="Times New Roman"/>
                      <w:highlight w:val="none"/>
                      <w:lang w:val="en-US" w:eastAsia="zh-CN" w:bidi="ar-SA"/>
                    </w:rPr>
                    <w:t>万元</w:t>
                  </w:r>
                </w:p>
              </w:tc>
              <w:tc>
                <w:tcPr>
                  <w:tcW w:w="2488" w:type="dxa"/>
                  <w:tcBorders>
                    <w:tl2br w:val="nil"/>
                    <w:tr2bl w:val="nil"/>
                  </w:tcBorders>
                  <w:noWrap w:val="0"/>
                  <w:vAlign w:val="center"/>
                </w:tcPr>
                <w:p w14:paraId="72159CE5">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验收执行标准</w:t>
                  </w:r>
                </w:p>
              </w:tc>
            </w:tr>
            <w:tr w14:paraId="73520B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1432" w:hRule="atLeast"/>
                <w:jc w:val="center"/>
              </w:trPr>
              <w:tc>
                <w:tcPr>
                  <w:tcW w:w="503" w:type="dxa"/>
                  <w:vMerge w:val="restart"/>
                  <w:tcBorders>
                    <w:tl2br w:val="nil"/>
                    <w:tr2bl w:val="nil"/>
                  </w:tcBorders>
                  <w:noWrap w:val="0"/>
                  <w:vAlign w:val="center"/>
                </w:tcPr>
                <w:p w14:paraId="4A74253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eastAsia="zh-CN"/>
                    </w:rPr>
                    <w:t>有</w:t>
                  </w:r>
                  <w:r>
                    <w:rPr>
                      <w:rFonts w:hint="default" w:ascii="Times New Roman" w:hAnsi="Times New Roman" w:eastAsia="宋体" w:cs="Times New Roman"/>
                      <w:sz w:val="21"/>
                      <w:szCs w:val="21"/>
                      <w:highlight w:val="none"/>
                    </w:rPr>
                    <w:t>组织排放</w:t>
                  </w:r>
                  <w:r>
                    <w:rPr>
                      <w:rFonts w:hint="default" w:ascii="Times New Roman" w:hAnsi="Times New Roman" w:cs="Times New Roman"/>
                      <w:sz w:val="21"/>
                      <w:szCs w:val="21"/>
                      <w:highlight w:val="none"/>
                      <w:lang w:eastAsia="zh-CN"/>
                    </w:rPr>
                    <w:t>废气</w:t>
                  </w:r>
                </w:p>
              </w:tc>
              <w:tc>
                <w:tcPr>
                  <w:tcW w:w="797" w:type="dxa"/>
                  <w:gridSpan w:val="2"/>
                  <w:vMerge w:val="restart"/>
                  <w:tcBorders>
                    <w:tl2br w:val="nil"/>
                    <w:tr2bl w:val="nil"/>
                  </w:tcBorders>
                  <w:noWrap w:val="0"/>
                  <w:vAlign w:val="center"/>
                </w:tcPr>
                <w:p w14:paraId="5D967745">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eastAsia" w:cs="Times New Roman"/>
                      <w:sz w:val="21"/>
                      <w:szCs w:val="21"/>
                      <w:highlight w:val="none"/>
                      <w:lang w:val="en-US" w:eastAsia="zh-CN"/>
                    </w:rPr>
                    <w:t>加热成型工序</w:t>
                  </w:r>
                </w:p>
              </w:tc>
              <w:tc>
                <w:tcPr>
                  <w:tcW w:w="743" w:type="dxa"/>
                  <w:vMerge w:val="restart"/>
                  <w:tcBorders>
                    <w:tl2br w:val="nil"/>
                    <w:tr2bl w:val="nil"/>
                  </w:tcBorders>
                  <w:noWrap w:val="0"/>
                  <w:vAlign w:val="center"/>
                </w:tcPr>
                <w:p w14:paraId="60418A0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eastAsia" w:cs="Times New Roman"/>
                      <w:sz w:val="21"/>
                      <w:szCs w:val="21"/>
                      <w:highlight w:val="none"/>
                      <w:lang w:eastAsia="zh-CN"/>
                    </w:rPr>
                    <w:t>加热成型废气</w:t>
                  </w:r>
                </w:p>
              </w:tc>
              <w:tc>
                <w:tcPr>
                  <w:tcW w:w="735" w:type="dxa"/>
                  <w:tcBorders>
                    <w:tl2br w:val="nil"/>
                    <w:tr2bl w:val="nil"/>
                  </w:tcBorders>
                  <w:noWrap w:val="0"/>
                  <w:vAlign w:val="center"/>
                </w:tcPr>
                <w:p w14:paraId="3DAD88C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r>
                    <w:rPr>
                      <w:rFonts w:hint="eastAsia" w:cs="Times New Roman"/>
                      <w:kern w:val="0"/>
                      <w:sz w:val="21"/>
                      <w:szCs w:val="21"/>
                      <w:highlight w:val="none"/>
                      <w:lang w:val="en-US" w:eastAsia="zh-CN" w:bidi="ar-SA"/>
                    </w:rPr>
                    <w:t>非甲烷</w:t>
                  </w:r>
                </w:p>
                <w:p w14:paraId="27F9E04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bidi="ar-SA"/>
                    </w:rPr>
                    <w:t>总烃</w:t>
                  </w:r>
                </w:p>
              </w:tc>
              <w:tc>
                <w:tcPr>
                  <w:tcW w:w="915" w:type="dxa"/>
                  <w:vMerge w:val="restart"/>
                  <w:tcBorders>
                    <w:tl2br w:val="nil"/>
                    <w:tr2bl w:val="nil"/>
                  </w:tcBorders>
                  <w:noWrap w:val="0"/>
                  <w:vAlign w:val="center"/>
                </w:tcPr>
                <w:p w14:paraId="4B77166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bidi="ar-SA"/>
                    </w:rPr>
                    <w:t>成型机二次封闭+集气罩</w:t>
                  </w:r>
                </w:p>
              </w:tc>
              <w:tc>
                <w:tcPr>
                  <w:tcW w:w="1275" w:type="dxa"/>
                  <w:vMerge w:val="restart"/>
                  <w:tcBorders>
                    <w:tl2br w:val="nil"/>
                    <w:tr2bl w:val="nil"/>
                  </w:tcBorders>
                  <w:noWrap w:val="0"/>
                  <w:vAlign w:val="center"/>
                </w:tcPr>
                <w:p w14:paraId="0F26C8E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eastAsia" w:cs="Times New Roman"/>
                      <w:sz w:val="21"/>
                      <w:szCs w:val="21"/>
                      <w:highlight w:val="none"/>
                      <w:lang w:val="en-US" w:eastAsia="zh-CN"/>
                    </w:rPr>
                    <w:t>两级活性炭吸附+15</w:t>
                  </w:r>
                  <w:r>
                    <w:rPr>
                      <w:rFonts w:hint="default" w:ascii="Times New Roman" w:hAnsi="Times New Roman" w:eastAsia="宋体" w:cs="Times New Roman"/>
                      <w:sz w:val="21"/>
                      <w:szCs w:val="21"/>
                      <w:highlight w:val="none"/>
                      <w:lang w:val="en-US" w:eastAsia="zh-CN"/>
                    </w:rPr>
                    <w:t>m高排气筒</w:t>
                  </w:r>
                  <w:r>
                    <w:rPr>
                      <w:rFonts w:hint="eastAsia" w:cs="Times New Roman"/>
                      <w:sz w:val="21"/>
                      <w:szCs w:val="21"/>
                      <w:highlight w:val="none"/>
                      <w:lang w:val="en-US" w:eastAsia="zh-CN"/>
                    </w:rPr>
                    <w:t>DA001</w:t>
                  </w:r>
                </w:p>
              </w:tc>
              <w:tc>
                <w:tcPr>
                  <w:tcW w:w="870" w:type="dxa"/>
                  <w:vMerge w:val="restart"/>
                  <w:tcBorders>
                    <w:tl2br w:val="nil"/>
                    <w:tr2bl w:val="nil"/>
                  </w:tcBorders>
                  <w:noWrap w:val="0"/>
                  <w:vAlign w:val="center"/>
                </w:tcPr>
                <w:p w14:paraId="44AFF32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kern w:val="0"/>
                      <w:sz w:val="21"/>
                      <w:szCs w:val="21"/>
                      <w:highlight w:val="none"/>
                      <w:lang w:val="en-US" w:eastAsia="zh-CN" w:bidi="ar-SA"/>
                    </w:rPr>
                  </w:pPr>
                  <w:r>
                    <w:rPr>
                      <w:rFonts w:hint="eastAsia" w:cs="Times New Roman"/>
                      <w:kern w:val="0"/>
                      <w:sz w:val="21"/>
                      <w:szCs w:val="21"/>
                      <w:highlight w:val="none"/>
                      <w:lang w:val="en-US" w:eastAsia="zh-CN" w:bidi="ar-SA"/>
                    </w:rPr>
                    <w:t>8</w:t>
                  </w:r>
                </w:p>
              </w:tc>
              <w:tc>
                <w:tcPr>
                  <w:tcW w:w="2488" w:type="dxa"/>
                  <w:tcBorders>
                    <w:tl2br w:val="nil"/>
                    <w:tr2bl w:val="nil"/>
                  </w:tcBorders>
                  <w:noWrap w:val="0"/>
                  <w:vAlign w:val="center"/>
                </w:tcPr>
                <w:p w14:paraId="0B4B849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u w:val="none" w:color="auto"/>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default" w:ascii="Times New Roman" w:hAnsi="Times New Roman" w:eastAsia="宋体" w:cs="Times New Roman"/>
                      <w:highlight w:val="none"/>
                    </w:rPr>
                    <w:t>《河南省重污染天气</w:t>
                  </w:r>
                  <w:r>
                    <w:rPr>
                      <w:rFonts w:hint="eastAsia" w:eastAsia="宋体" w:cs="Times New Roman"/>
                      <w:highlight w:val="none"/>
                      <w:lang w:eastAsia="zh-CN"/>
                    </w:rPr>
                    <w:t>重点</w:t>
                  </w:r>
                  <w:r>
                    <w:rPr>
                      <w:rFonts w:hint="default" w:ascii="Times New Roman" w:hAnsi="Times New Roman" w:eastAsia="宋体" w:cs="Times New Roman"/>
                      <w:highlight w:val="none"/>
                    </w:rPr>
                    <w:t>行业应急减排措施制定技术指南》（2024年修订版）</w:t>
                  </w:r>
                  <w:r>
                    <w:rPr>
                      <w:rFonts w:hint="eastAsia" w:ascii="Times New Roman" w:hAnsi="Times New Roman" w:cs="Times New Roman"/>
                      <w:bCs/>
                      <w:kern w:val="0"/>
                      <w:sz w:val="21"/>
                      <w:szCs w:val="20"/>
                      <w:lang w:eastAsia="zh-CN"/>
                    </w:rPr>
                    <w:t>“塑料制品企业绩效分级指标”限值要求</w:t>
                  </w:r>
                </w:p>
              </w:tc>
            </w:tr>
            <w:tr w14:paraId="05EADC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892" w:hRule="atLeast"/>
                <w:jc w:val="center"/>
              </w:trPr>
              <w:tc>
                <w:tcPr>
                  <w:tcW w:w="503" w:type="dxa"/>
                  <w:vMerge w:val="continue"/>
                  <w:tcBorders>
                    <w:tl2br w:val="nil"/>
                    <w:tr2bl w:val="nil"/>
                  </w:tcBorders>
                  <w:noWrap w:val="0"/>
                  <w:vAlign w:val="center"/>
                </w:tcPr>
                <w:p w14:paraId="2A5179D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797" w:type="dxa"/>
                  <w:gridSpan w:val="2"/>
                  <w:vMerge w:val="continue"/>
                  <w:tcBorders>
                    <w:tl2br w:val="nil"/>
                    <w:tr2bl w:val="nil"/>
                  </w:tcBorders>
                  <w:noWrap w:val="0"/>
                  <w:vAlign w:val="center"/>
                </w:tcPr>
                <w:p w14:paraId="74A2342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eastAsia="宋体"/>
                      <w:lang w:eastAsia="zh-CN"/>
                    </w:rPr>
                  </w:pPr>
                </w:p>
              </w:tc>
              <w:tc>
                <w:tcPr>
                  <w:tcW w:w="743" w:type="dxa"/>
                  <w:vMerge w:val="continue"/>
                  <w:tcBorders>
                    <w:tl2br w:val="nil"/>
                    <w:tr2bl w:val="nil"/>
                  </w:tcBorders>
                  <w:noWrap w:val="0"/>
                  <w:vAlign w:val="center"/>
                </w:tcPr>
                <w:p w14:paraId="32CD2E9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eastAsia="宋体"/>
                      <w:lang w:val="en-US" w:eastAsia="zh-CN"/>
                    </w:rPr>
                  </w:pPr>
                </w:p>
              </w:tc>
              <w:tc>
                <w:tcPr>
                  <w:tcW w:w="735" w:type="dxa"/>
                  <w:tcBorders>
                    <w:tl2br w:val="nil"/>
                    <w:tr2bl w:val="nil"/>
                  </w:tcBorders>
                  <w:noWrap w:val="0"/>
                  <w:vAlign w:val="center"/>
                </w:tcPr>
                <w:p w14:paraId="7C30EBD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r>
                    <w:rPr>
                      <w:rFonts w:hint="eastAsia" w:cs="Times New Roman"/>
                      <w:kern w:val="0"/>
                      <w:sz w:val="21"/>
                      <w:szCs w:val="21"/>
                      <w:highlight w:val="none"/>
                      <w:lang w:val="en-US" w:eastAsia="zh-CN" w:bidi="ar-SA"/>
                    </w:rPr>
                    <w:t>苯乙烯</w:t>
                  </w:r>
                </w:p>
              </w:tc>
              <w:tc>
                <w:tcPr>
                  <w:tcW w:w="915" w:type="dxa"/>
                  <w:vMerge w:val="continue"/>
                  <w:tcBorders>
                    <w:tl2br w:val="nil"/>
                    <w:tr2bl w:val="nil"/>
                  </w:tcBorders>
                  <w:noWrap w:val="0"/>
                  <w:vAlign w:val="center"/>
                </w:tcPr>
                <w:p w14:paraId="3959DAF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1275" w:type="dxa"/>
                  <w:vMerge w:val="continue"/>
                  <w:tcBorders>
                    <w:tl2br w:val="nil"/>
                    <w:tr2bl w:val="nil"/>
                  </w:tcBorders>
                  <w:noWrap w:val="0"/>
                  <w:vAlign w:val="center"/>
                </w:tcPr>
                <w:p w14:paraId="70769BD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870" w:type="dxa"/>
                  <w:vMerge w:val="continue"/>
                  <w:tcBorders>
                    <w:tl2br w:val="nil"/>
                    <w:tr2bl w:val="nil"/>
                  </w:tcBorders>
                  <w:noWrap w:val="0"/>
                  <w:vAlign w:val="center"/>
                </w:tcPr>
                <w:p w14:paraId="7E5E10F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2488" w:type="dxa"/>
                  <w:tcBorders>
                    <w:tl2br w:val="nil"/>
                    <w:tr2bl w:val="nil"/>
                  </w:tcBorders>
                  <w:noWrap w:val="0"/>
                  <w:vAlign w:val="center"/>
                </w:tcPr>
                <w:p w14:paraId="1E5B81B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cs="Times New Roman"/>
                      <w:sz w:val="21"/>
                      <w:szCs w:val="21"/>
                      <w:highlight w:val="none"/>
                      <w:u w:val="none" w:color="auto"/>
                      <w:lang w:eastAsia="zh-CN"/>
                    </w:rPr>
                    <w:t>、</w:t>
                  </w:r>
                  <w:r>
                    <w:rPr>
                      <w:rFonts w:hint="default" w:ascii="Times New Roman" w:hAnsi="Times New Roman" w:cs="Times New Roman"/>
                      <w:sz w:val="21"/>
                      <w:szCs w:val="21"/>
                      <w:highlight w:val="none"/>
                      <w:u w:val="none" w:color="auto"/>
                    </w:rPr>
                    <w:t>《恶臭污染物排放标准》（GB 14554-93）的限值要求</w:t>
                  </w:r>
                </w:p>
              </w:tc>
            </w:tr>
            <w:tr w14:paraId="44B40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1575" w:hRule="atLeast"/>
                <w:jc w:val="center"/>
              </w:trPr>
              <w:tc>
                <w:tcPr>
                  <w:tcW w:w="503" w:type="dxa"/>
                  <w:vMerge w:val="continue"/>
                  <w:tcBorders>
                    <w:tl2br w:val="nil"/>
                    <w:tr2bl w:val="nil"/>
                  </w:tcBorders>
                  <w:noWrap w:val="0"/>
                  <w:vAlign w:val="center"/>
                </w:tcPr>
                <w:p w14:paraId="7DE35B4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770" w:type="dxa"/>
                  <w:tcBorders>
                    <w:tl2br w:val="nil"/>
                    <w:tr2bl w:val="nil"/>
                  </w:tcBorders>
                  <w:noWrap w:val="0"/>
                  <w:vAlign w:val="center"/>
                </w:tcPr>
                <w:p w14:paraId="12B1D45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ascii="Times New Roman" w:hAnsi="Times New Roman" w:eastAsia="宋体" w:cs="Times New Roman"/>
                      <w:snapToGrid/>
                      <w:color w:val="000000"/>
                      <w:kern w:val="0"/>
                      <w:sz w:val="21"/>
                      <w:szCs w:val="20"/>
                      <w:lang w:val="en-US" w:eastAsia="zh-CN" w:bidi="ar-SA"/>
                    </w:rPr>
                  </w:pPr>
                  <w:r>
                    <w:rPr>
                      <w:rFonts w:hint="eastAsia"/>
                      <w:lang w:eastAsia="zh-CN"/>
                    </w:rPr>
                    <w:t>危废间</w:t>
                  </w:r>
                </w:p>
              </w:tc>
              <w:tc>
                <w:tcPr>
                  <w:tcW w:w="770" w:type="dxa"/>
                  <w:gridSpan w:val="2"/>
                  <w:tcBorders>
                    <w:tl2br w:val="nil"/>
                    <w:tr2bl w:val="nil"/>
                  </w:tcBorders>
                  <w:noWrap w:val="0"/>
                  <w:vAlign w:val="center"/>
                </w:tcPr>
                <w:p w14:paraId="418C6825">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lang w:eastAsia="zh-CN"/>
                    </w:rPr>
                  </w:pPr>
                  <w:r>
                    <w:rPr>
                      <w:rFonts w:hint="eastAsia"/>
                      <w:lang w:eastAsia="zh-CN"/>
                    </w:rPr>
                    <w:t>危废间废气</w:t>
                  </w:r>
                </w:p>
              </w:tc>
              <w:tc>
                <w:tcPr>
                  <w:tcW w:w="735" w:type="dxa"/>
                  <w:tcBorders>
                    <w:tl2br w:val="nil"/>
                    <w:tr2bl w:val="nil"/>
                  </w:tcBorders>
                  <w:shd w:val="clear" w:color="auto" w:fill="auto"/>
                  <w:noWrap w:val="0"/>
                  <w:vAlign w:val="center"/>
                </w:tcPr>
                <w:p w14:paraId="7422AD8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ascii="Times New Roman" w:hAnsi="Times New Roman" w:eastAsia="宋体" w:cs="Times New Roman"/>
                      <w:snapToGrid/>
                      <w:color w:val="000000"/>
                      <w:kern w:val="0"/>
                      <w:sz w:val="21"/>
                      <w:szCs w:val="20"/>
                      <w:lang w:val="en-US" w:eastAsia="zh-CN" w:bidi="ar-SA"/>
                    </w:rPr>
                  </w:pPr>
                  <w:r>
                    <w:rPr>
                      <w:rFonts w:hint="eastAsia"/>
                      <w:lang w:val="en-US" w:eastAsia="zh-CN"/>
                    </w:rPr>
                    <w:t>VOCs</w:t>
                  </w:r>
                </w:p>
              </w:tc>
              <w:tc>
                <w:tcPr>
                  <w:tcW w:w="915" w:type="dxa"/>
                  <w:tcBorders>
                    <w:tl2br w:val="nil"/>
                    <w:tr2bl w:val="nil"/>
                  </w:tcBorders>
                  <w:noWrap w:val="0"/>
                  <w:vAlign w:val="center"/>
                </w:tcPr>
                <w:p w14:paraId="14C7415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cs="Times New Roman"/>
                      <w:kern w:val="0"/>
                      <w:sz w:val="21"/>
                      <w:szCs w:val="21"/>
                      <w:highlight w:val="none"/>
                      <w:lang w:val="en-US" w:eastAsia="zh-CN" w:bidi="ar-SA"/>
                    </w:rPr>
                  </w:pPr>
                  <w:r>
                    <w:rPr>
                      <w:rFonts w:hint="eastAsia" w:cs="Times New Roman"/>
                      <w:kern w:val="0"/>
                      <w:sz w:val="21"/>
                      <w:szCs w:val="21"/>
                      <w:highlight w:val="none"/>
                      <w:lang w:val="en-US" w:eastAsia="zh-CN" w:bidi="ar-SA"/>
                    </w:rPr>
                    <w:t>集气风管</w:t>
                  </w:r>
                </w:p>
              </w:tc>
              <w:tc>
                <w:tcPr>
                  <w:tcW w:w="1275" w:type="dxa"/>
                  <w:vMerge w:val="continue"/>
                  <w:tcBorders>
                    <w:tl2br w:val="nil"/>
                    <w:tr2bl w:val="nil"/>
                  </w:tcBorders>
                  <w:noWrap w:val="0"/>
                  <w:vAlign w:val="center"/>
                </w:tcPr>
                <w:p w14:paraId="4A7C458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870" w:type="dxa"/>
                  <w:vMerge w:val="continue"/>
                  <w:tcBorders>
                    <w:tl2br w:val="nil"/>
                    <w:tr2bl w:val="nil"/>
                  </w:tcBorders>
                  <w:noWrap w:val="0"/>
                  <w:vAlign w:val="center"/>
                </w:tcPr>
                <w:p w14:paraId="2384FD1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2488" w:type="dxa"/>
                  <w:tcBorders>
                    <w:tl2br w:val="nil"/>
                    <w:tr2bl w:val="nil"/>
                  </w:tcBorders>
                  <w:noWrap w:val="0"/>
                  <w:vAlign w:val="center"/>
                </w:tcPr>
                <w:p w14:paraId="2E51BAD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u w:val="none" w:color="auto"/>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default" w:ascii="Times New Roman" w:hAnsi="Times New Roman" w:eastAsia="宋体" w:cs="Times New Roman"/>
                      <w:highlight w:val="none"/>
                    </w:rPr>
                    <w:t>《河南省重污染天气</w:t>
                  </w:r>
                  <w:r>
                    <w:rPr>
                      <w:rFonts w:hint="eastAsia" w:eastAsia="宋体" w:cs="Times New Roman"/>
                      <w:highlight w:val="none"/>
                      <w:lang w:eastAsia="zh-CN"/>
                    </w:rPr>
                    <w:t>重点</w:t>
                  </w:r>
                  <w:r>
                    <w:rPr>
                      <w:rFonts w:hint="default" w:ascii="Times New Roman" w:hAnsi="Times New Roman" w:eastAsia="宋体" w:cs="Times New Roman"/>
                      <w:highlight w:val="none"/>
                    </w:rPr>
                    <w:t>行业应急减排措施制定技术指南》（2024年修订版）</w:t>
                  </w:r>
                  <w:r>
                    <w:rPr>
                      <w:rFonts w:hint="eastAsia" w:ascii="Times New Roman" w:hAnsi="Times New Roman" w:cs="Times New Roman"/>
                      <w:bCs/>
                      <w:kern w:val="0"/>
                      <w:sz w:val="21"/>
                      <w:szCs w:val="20"/>
                      <w:lang w:eastAsia="zh-CN"/>
                    </w:rPr>
                    <w:t>“塑料制品企业绩效分级指标”限值要求</w:t>
                  </w:r>
                </w:p>
              </w:tc>
            </w:tr>
            <w:tr w14:paraId="69125E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892" w:hRule="atLeast"/>
                <w:jc w:val="center"/>
              </w:trPr>
              <w:tc>
                <w:tcPr>
                  <w:tcW w:w="503" w:type="dxa"/>
                  <w:vMerge w:val="restart"/>
                  <w:tcBorders>
                    <w:tl2br w:val="nil"/>
                    <w:tr2bl w:val="nil"/>
                  </w:tcBorders>
                  <w:noWrap w:val="0"/>
                  <w:vAlign w:val="center"/>
                </w:tcPr>
                <w:p w14:paraId="615C79B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无组织排放</w:t>
                  </w:r>
                  <w:r>
                    <w:rPr>
                      <w:rFonts w:hint="default" w:ascii="Times New Roman" w:hAnsi="Times New Roman" w:cs="Times New Roman"/>
                      <w:sz w:val="21"/>
                      <w:szCs w:val="21"/>
                      <w:highlight w:val="none"/>
                      <w:lang w:eastAsia="zh-CN"/>
                    </w:rPr>
                    <w:t>废气</w:t>
                  </w:r>
                </w:p>
              </w:tc>
              <w:tc>
                <w:tcPr>
                  <w:tcW w:w="1540" w:type="dxa"/>
                  <w:gridSpan w:val="3"/>
                  <w:vMerge w:val="restart"/>
                  <w:tcBorders>
                    <w:tl2br w:val="nil"/>
                    <w:tr2bl w:val="nil"/>
                  </w:tcBorders>
                  <w:noWrap w:val="0"/>
                  <w:vAlign w:val="center"/>
                </w:tcPr>
                <w:p w14:paraId="6DF4306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未被收集废气</w:t>
                  </w:r>
                </w:p>
              </w:tc>
              <w:tc>
                <w:tcPr>
                  <w:tcW w:w="735" w:type="dxa"/>
                  <w:tcBorders>
                    <w:tl2br w:val="nil"/>
                    <w:tr2bl w:val="nil"/>
                  </w:tcBorders>
                  <w:noWrap w:val="0"/>
                  <w:vAlign w:val="center"/>
                </w:tcPr>
                <w:p w14:paraId="69C0C34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r>
                    <w:rPr>
                      <w:rFonts w:hint="eastAsia" w:cs="Times New Roman"/>
                      <w:sz w:val="21"/>
                      <w:szCs w:val="21"/>
                      <w:highlight w:val="none"/>
                      <w:lang w:eastAsia="zh-CN"/>
                    </w:rPr>
                    <w:t>非甲烷</w:t>
                  </w:r>
                </w:p>
                <w:p w14:paraId="38D3A29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sz w:val="21"/>
                      <w:szCs w:val="21"/>
                      <w:highlight w:val="none"/>
                      <w:lang w:eastAsia="zh-CN"/>
                    </w:rPr>
                    <w:t>总烃</w:t>
                  </w:r>
                </w:p>
              </w:tc>
              <w:tc>
                <w:tcPr>
                  <w:tcW w:w="2190" w:type="dxa"/>
                  <w:gridSpan w:val="2"/>
                  <w:vMerge w:val="restart"/>
                  <w:tcBorders>
                    <w:tl2br w:val="nil"/>
                    <w:tr2bl w:val="nil"/>
                  </w:tcBorders>
                  <w:noWrap w:val="0"/>
                  <w:vAlign w:val="center"/>
                </w:tcPr>
                <w:p w14:paraId="5A8DEC9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b w:val="0"/>
                      <w:bCs/>
                      <w:i w:val="0"/>
                      <w:color w:val="auto"/>
                      <w:sz w:val="21"/>
                      <w:szCs w:val="21"/>
                      <w:u w:val="none" w:color="auto"/>
                      <w:lang w:val="en-US" w:eastAsia="zh-CN"/>
                    </w:rPr>
                    <w:t>加强废气处理设施</w:t>
                  </w:r>
                  <w:r>
                    <w:rPr>
                      <w:rFonts w:hint="eastAsia" w:ascii="Times New Roman" w:hAnsi="Times New Roman" w:eastAsia="宋体" w:cs="Times New Roman"/>
                      <w:b w:val="0"/>
                      <w:bCs/>
                      <w:i w:val="0"/>
                      <w:color w:val="auto"/>
                      <w:sz w:val="21"/>
                      <w:szCs w:val="21"/>
                      <w:u w:val="none" w:color="auto"/>
                      <w:lang w:val="en-US" w:eastAsia="zh-CN"/>
                    </w:rPr>
                    <w:t>和生产设备</w:t>
                  </w:r>
                  <w:r>
                    <w:rPr>
                      <w:rFonts w:hint="default" w:ascii="Times New Roman" w:hAnsi="Times New Roman" w:eastAsia="宋体" w:cs="Times New Roman"/>
                      <w:b w:val="0"/>
                      <w:bCs/>
                      <w:i w:val="0"/>
                      <w:color w:val="auto"/>
                      <w:sz w:val="21"/>
                      <w:szCs w:val="21"/>
                      <w:u w:val="none" w:color="auto"/>
                      <w:lang w:val="en-US" w:eastAsia="zh-CN"/>
                    </w:rPr>
                    <w:t>的</w:t>
                  </w:r>
                  <w:r>
                    <w:rPr>
                      <w:rFonts w:hint="eastAsia" w:ascii="Times New Roman" w:hAnsi="Times New Roman" w:eastAsia="宋体" w:cs="Times New Roman"/>
                      <w:b w:val="0"/>
                      <w:bCs/>
                      <w:i w:val="0"/>
                      <w:color w:val="auto"/>
                      <w:sz w:val="21"/>
                      <w:szCs w:val="21"/>
                      <w:u w:val="none" w:color="auto"/>
                      <w:lang w:val="en-US" w:eastAsia="zh-CN"/>
                    </w:rPr>
                    <w:t>检查和</w:t>
                  </w:r>
                  <w:r>
                    <w:rPr>
                      <w:rFonts w:hint="default" w:ascii="Times New Roman" w:hAnsi="Times New Roman" w:eastAsia="宋体" w:cs="Times New Roman"/>
                      <w:b w:val="0"/>
                      <w:bCs/>
                      <w:i w:val="0"/>
                      <w:color w:val="auto"/>
                      <w:sz w:val="21"/>
                      <w:szCs w:val="21"/>
                      <w:u w:val="none" w:color="auto"/>
                      <w:lang w:val="en-US" w:eastAsia="zh-CN"/>
                    </w:rPr>
                    <w:t>维护，提高集气效率；</w:t>
                  </w:r>
                  <w:r>
                    <w:rPr>
                      <w:rFonts w:hint="eastAsia" w:ascii="Times New Roman" w:hAnsi="Times New Roman" w:eastAsia="宋体" w:cs="Times New Roman"/>
                      <w:b w:val="0"/>
                      <w:bCs/>
                      <w:i w:val="0"/>
                      <w:color w:val="auto"/>
                      <w:sz w:val="21"/>
                      <w:szCs w:val="21"/>
                      <w:u w:val="none" w:color="auto"/>
                      <w:lang w:val="en-US" w:eastAsia="zh-CN"/>
                    </w:rPr>
                    <w:t>加强车间密闭，</w:t>
                  </w:r>
                  <w:r>
                    <w:rPr>
                      <w:rFonts w:hint="default" w:ascii="Times New Roman" w:hAnsi="Times New Roman" w:eastAsia="宋体" w:cs="Times New Roman"/>
                      <w:b w:val="0"/>
                      <w:bCs/>
                      <w:i w:val="0"/>
                      <w:color w:val="auto"/>
                      <w:sz w:val="21"/>
                      <w:szCs w:val="21"/>
                      <w:u w:val="none" w:color="auto"/>
                      <w:lang w:val="en-US" w:eastAsia="zh-CN"/>
                    </w:rPr>
                    <w:t>安装视频监控，设置台账记录</w:t>
                  </w:r>
                </w:p>
              </w:tc>
              <w:tc>
                <w:tcPr>
                  <w:tcW w:w="870" w:type="dxa"/>
                  <w:vMerge w:val="restart"/>
                  <w:tcBorders>
                    <w:tl2br w:val="nil"/>
                    <w:tr2bl w:val="nil"/>
                  </w:tcBorders>
                  <w:noWrap w:val="0"/>
                  <w:vAlign w:val="center"/>
                </w:tcPr>
                <w:p w14:paraId="6CF7FCC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2488" w:type="dxa"/>
                  <w:tcBorders>
                    <w:tl2br w:val="nil"/>
                    <w:tr2bl w:val="nil"/>
                  </w:tcBorders>
                  <w:noWrap w:val="0"/>
                  <w:vAlign w:val="center"/>
                </w:tcPr>
                <w:p w14:paraId="19D6762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eastAsia" w:cs="Times New Roman"/>
                      <w:b w:val="0"/>
                      <w:bCs/>
                      <w:color w:val="000000"/>
                      <w:kern w:val="2"/>
                      <w:sz w:val="21"/>
                      <w:szCs w:val="21"/>
                      <w:highlight w:val="none"/>
                      <w:u w:val="none" w:color="auto"/>
                      <w:lang w:val="en-US" w:eastAsia="zh-CN" w:bidi="ar-SA"/>
                    </w:rPr>
                    <w:t>《关于河南省开展工业企业挥发性有机物专项治理工作中排放建议值的通知》豫环攻坚办[2017]162号、</w:t>
                  </w:r>
                  <w:r>
                    <w:rPr>
                      <w:rFonts w:hint="eastAsia" w:ascii="Times New Roman" w:hAnsi="Times New Roman" w:eastAsia="宋体" w:cs="Times New Roman"/>
                      <w:sz w:val="21"/>
                      <w:lang w:eastAsia="zh-CN"/>
                    </w:rPr>
                    <w:t>《挥发性有机物无组织排放控制标准》（GB37822-2019）</w:t>
                  </w:r>
                  <w:r>
                    <w:rPr>
                      <w:rFonts w:hint="eastAsia" w:cs="Times New Roman"/>
                      <w:b w:val="0"/>
                      <w:bCs/>
                      <w:color w:val="000000"/>
                      <w:kern w:val="2"/>
                      <w:sz w:val="21"/>
                      <w:szCs w:val="21"/>
                      <w:highlight w:val="none"/>
                      <w:u w:val="none" w:color="auto"/>
                      <w:lang w:val="en-US" w:eastAsia="zh-CN" w:bidi="ar-SA"/>
                    </w:rPr>
                    <w:t>、</w:t>
                  </w:r>
                  <w:r>
                    <w:rPr>
                      <w:rFonts w:hint="eastAsia" w:cs="Times New Roman"/>
                      <w:bCs/>
                      <w:kern w:val="0"/>
                      <w:sz w:val="21"/>
                      <w:szCs w:val="21"/>
                      <w:highlight w:val="none"/>
                      <w:lang w:eastAsia="zh-CN"/>
                    </w:rPr>
                    <w:t>《河南省重污染天气重点行业应急减排措施制定技术指南》（2024年修订版）“塑料制品企业绩效分级指标”限值要求</w:t>
                  </w:r>
                </w:p>
              </w:tc>
            </w:tr>
            <w:tr w14:paraId="39EBD9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892" w:hRule="atLeast"/>
                <w:jc w:val="center"/>
              </w:trPr>
              <w:tc>
                <w:tcPr>
                  <w:tcW w:w="503" w:type="dxa"/>
                  <w:vMerge w:val="continue"/>
                  <w:tcBorders>
                    <w:tl2br w:val="nil"/>
                    <w:tr2bl w:val="nil"/>
                  </w:tcBorders>
                  <w:noWrap w:val="0"/>
                  <w:vAlign w:val="center"/>
                </w:tcPr>
                <w:p w14:paraId="79A5F7E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1540" w:type="dxa"/>
                  <w:gridSpan w:val="3"/>
                  <w:vMerge w:val="continue"/>
                  <w:tcBorders>
                    <w:tl2br w:val="nil"/>
                    <w:tr2bl w:val="nil"/>
                  </w:tcBorders>
                  <w:noWrap w:val="0"/>
                  <w:vAlign w:val="center"/>
                </w:tcPr>
                <w:p w14:paraId="37C081C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735" w:type="dxa"/>
                  <w:tcBorders>
                    <w:tl2br w:val="nil"/>
                    <w:tr2bl w:val="nil"/>
                  </w:tcBorders>
                  <w:noWrap w:val="0"/>
                  <w:vAlign w:val="center"/>
                </w:tcPr>
                <w:p w14:paraId="03E4EAA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r>
                    <w:rPr>
                      <w:rFonts w:hint="eastAsia" w:cs="Times New Roman"/>
                      <w:sz w:val="21"/>
                      <w:szCs w:val="21"/>
                      <w:highlight w:val="none"/>
                      <w:lang w:eastAsia="zh-CN"/>
                    </w:rPr>
                    <w:t>苯乙烯</w:t>
                  </w:r>
                </w:p>
              </w:tc>
              <w:tc>
                <w:tcPr>
                  <w:tcW w:w="2190" w:type="dxa"/>
                  <w:gridSpan w:val="2"/>
                  <w:vMerge w:val="continue"/>
                  <w:tcBorders>
                    <w:tl2br w:val="nil"/>
                    <w:tr2bl w:val="nil"/>
                  </w:tcBorders>
                  <w:noWrap w:val="0"/>
                  <w:vAlign w:val="center"/>
                </w:tcPr>
                <w:p w14:paraId="58DBBA4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p>
              </w:tc>
              <w:tc>
                <w:tcPr>
                  <w:tcW w:w="870" w:type="dxa"/>
                  <w:vMerge w:val="continue"/>
                  <w:tcBorders>
                    <w:tl2br w:val="nil"/>
                    <w:tr2bl w:val="nil"/>
                  </w:tcBorders>
                  <w:noWrap w:val="0"/>
                  <w:vAlign w:val="center"/>
                </w:tcPr>
                <w:p w14:paraId="076229E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p>
              </w:tc>
              <w:tc>
                <w:tcPr>
                  <w:tcW w:w="2488" w:type="dxa"/>
                  <w:tcBorders>
                    <w:tl2br w:val="nil"/>
                    <w:tr2bl w:val="nil"/>
                  </w:tcBorders>
                  <w:noWrap w:val="0"/>
                  <w:vAlign w:val="center"/>
                </w:tcPr>
                <w:p w14:paraId="4324916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r>
                    <w:rPr>
                      <w:rFonts w:hint="default" w:ascii="Times New Roman" w:hAnsi="Times New Roman" w:cs="Times New Roman"/>
                      <w:sz w:val="21"/>
                      <w:szCs w:val="21"/>
                      <w:highlight w:val="none"/>
                      <w:u w:val="none" w:color="auto"/>
                    </w:rPr>
                    <w:t>《恶臭污染物排放标准》（GB 14554-93）</w:t>
                  </w:r>
                  <w:r>
                    <w:rPr>
                      <w:rFonts w:hint="eastAsia" w:cs="Times New Roman"/>
                      <w:bCs/>
                      <w:kern w:val="0"/>
                      <w:sz w:val="21"/>
                      <w:szCs w:val="21"/>
                      <w:lang w:eastAsia="zh-CN"/>
                    </w:rPr>
                    <w:t>限值要求</w:t>
                  </w:r>
                </w:p>
              </w:tc>
            </w:tr>
            <w:tr w14:paraId="6F66F3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1434" w:hRule="atLeast"/>
                <w:jc w:val="center"/>
              </w:trPr>
              <w:tc>
                <w:tcPr>
                  <w:tcW w:w="503" w:type="dxa"/>
                  <w:tcBorders>
                    <w:tl2br w:val="nil"/>
                    <w:tr2bl w:val="nil"/>
                  </w:tcBorders>
                  <w:noWrap w:val="0"/>
                  <w:vAlign w:val="center"/>
                </w:tcPr>
                <w:p w14:paraId="6AB7B58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废水</w:t>
                  </w:r>
                </w:p>
              </w:tc>
              <w:tc>
                <w:tcPr>
                  <w:tcW w:w="1540" w:type="dxa"/>
                  <w:gridSpan w:val="3"/>
                  <w:tcBorders>
                    <w:tl2br w:val="nil"/>
                    <w:tr2bl w:val="nil"/>
                  </w:tcBorders>
                  <w:noWrap w:val="0"/>
                  <w:vAlign w:val="center"/>
                </w:tcPr>
                <w:p w14:paraId="02869A8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b w:val="0"/>
                      <w:bCs w:val="0"/>
                      <w:color w:val="auto"/>
                      <w:sz w:val="21"/>
                      <w:szCs w:val="21"/>
                      <w:highlight w:val="none"/>
                    </w:rPr>
                    <w:t>生活污水</w:t>
                  </w:r>
                </w:p>
              </w:tc>
              <w:tc>
                <w:tcPr>
                  <w:tcW w:w="735" w:type="dxa"/>
                  <w:tcBorders>
                    <w:tl2br w:val="nil"/>
                    <w:tr2bl w:val="nil"/>
                  </w:tcBorders>
                  <w:noWrap w:val="0"/>
                  <w:vAlign w:val="center"/>
                </w:tcPr>
                <w:p w14:paraId="61BA48D8">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COD</w:t>
                  </w:r>
                </w:p>
                <w:p w14:paraId="492933A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SS</w:t>
                  </w:r>
                </w:p>
                <w:p w14:paraId="46074AA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NH</w:t>
                  </w:r>
                  <w:r>
                    <w:rPr>
                      <w:rFonts w:hint="default" w:ascii="Times New Roman" w:hAnsi="Times New Roman" w:cs="Times New Roman"/>
                      <w:b w:val="0"/>
                      <w:bCs w:val="0"/>
                      <w:color w:val="auto"/>
                      <w:sz w:val="21"/>
                      <w:szCs w:val="21"/>
                      <w:highlight w:val="none"/>
                      <w:vertAlign w:val="subscript"/>
                    </w:rPr>
                    <w:t>3</w:t>
                  </w:r>
                  <w:r>
                    <w:rPr>
                      <w:rFonts w:hint="default" w:ascii="Times New Roman" w:hAnsi="Times New Roman" w:cs="Times New Roman"/>
                      <w:b w:val="0"/>
                      <w:bCs w:val="0"/>
                      <w:color w:val="auto"/>
                      <w:sz w:val="21"/>
                      <w:szCs w:val="21"/>
                      <w:highlight w:val="none"/>
                    </w:rPr>
                    <w:t>-N</w:t>
                  </w:r>
                </w:p>
                <w:p w14:paraId="1835AE7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default" w:ascii="Times New Roman" w:hAnsi="Times New Roman" w:cs="Times New Roman"/>
                      <w:b w:val="0"/>
                      <w:bCs w:val="0"/>
                      <w:color w:val="auto"/>
                      <w:sz w:val="21"/>
                      <w:szCs w:val="21"/>
                      <w:highlight w:val="none"/>
                    </w:rPr>
                    <w:t>TP</w:t>
                  </w:r>
                </w:p>
              </w:tc>
              <w:tc>
                <w:tcPr>
                  <w:tcW w:w="2190" w:type="dxa"/>
                  <w:gridSpan w:val="2"/>
                  <w:tcBorders>
                    <w:tl2br w:val="nil"/>
                    <w:tr2bl w:val="nil"/>
                  </w:tcBorders>
                  <w:noWrap w:val="0"/>
                  <w:vAlign w:val="center"/>
                </w:tcPr>
                <w:p w14:paraId="00E05FB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sz w:val="21"/>
                      <w:szCs w:val="21"/>
                    </w:rPr>
                    <w:t>生活污水</w:t>
                  </w:r>
                  <w:r>
                    <w:rPr>
                      <w:rFonts w:hint="eastAsia" w:cs="Times New Roman"/>
                      <w:sz w:val="21"/>
                      <w:szCs w:val="21"/>
                      <w:lang w:eastAsia="zh-CN"/>
                    </w:rPr>
                    <w:t>经</w:t>
                  </w:r>
                  <w:r>
                    <w:rPr>
                      <w:rFonts w:hint="default" w:ascii="Times New Roman" w:hAnsi="Times New Roman" w:cs="Times New Roman"/>
                      <w:sz w:val="21"/>
                      <w:szCs w:val="21"/>
                    </w:rPr>
                    <w:t>化粪池处理后</w:t>
                  </w:r>
                  <w:r>
                    <w:rPr>
                      <w:rFonts w:hint="default" w:ascii="Times New Roman" w:hAnsi="Times New Roman" w:cs="Times New Roman"/>
                      <w:bCs/>
                      <w:color w:val="000000"/>
                      <w:sz w:val="21"/>
                      <w:szCs w:val="21"/>
                    </w:rPr>
                    <w:t>通过</w:t>
                  </w:r>
                  <w:r>
                    <w:rPr>
                      <w:rFonts w:hint="default" w:ascii="Times New Roman" w:hAnsi="Times New Roman" w:cs="Times New Roman"/>
                      <w:bCs/>
                      <w:color w:val="000000"/>
                      <w:sz w:val="21"/>
                      <w:szCs w:val="21"/>
                      <w:highlight w:val="none"/>
                      <w:lang w:eastAsia="zh-CN"/>
                    </w:rPr>
                    <w:t>产业园区</w:t>
                  </w:r>
                  <w:r>
                    <w:rPr>
                      <w:rFonts w:hint="default" w:ascii="Times New Roman" w:hAnsi="Times New Roman" w:cs="Times New Roman"/>
                      <w:bCs/>
                      <w:color w:val="000000"/>
                      <w:sz w:val="21"/>
                      <w:szCs w:val="21"/>
                    </w:rPr>
                    <w:t>污水管网排入</w:t>
                  </w:r>
                  <w:r>
                    <w:rPr>
                      <w:rFonts w:hint="eastAsia" w:ascii="Times New Roman" w:hAnsi="Times New Roman" w:cs="Times New Roman"/>
                      <w:bCs/>
                      <w:color w:val="000000"/>
                      <w:sz w:val="21"/>
                      <w:szCs w:val="21"/>
                      <w:lang w:eastAsia="zh-CN"/>
                    </w:rPr>
                    <w:t>詹店镇</w:t>
                  </w:r>
                  <w:r>
                    <w:rPr>
                      <w:rFonts w:hint="default" w:ascii="Times New Roman" w:hAnsi="Times New Roman" w:cs="Times New Roman"/>
                      <w:sz w:val="21"/>
                      <w:szCs w:val="21"/>
                    </w:rPr>
                    <w:t>污水处理厂进一步处理</w:t>
                  </w:r>
                </w:p>
              </w:tc>
              <w:tc>
                <w:tcPr>
                  <w:tcW w:w="870" w:type="dxa"/>
                  <w:tcBorders>
                    <w:tl2br w:val="nil"/>
                    <w:tr2bl w:val="nil"/>
                  </w:tcBorders>
                  <w:noWrap w:val="0"/>
                  <w:vAlign w:val="center"/>
                </w:tcPr>
                <w:p w14:paraId="595095E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w:t>
                  </w:r>
                </w:p>
              </w:tc>
              <w:tc>
                <w:tcPr>
                  <w:tcW w:w="2488" w:type="dxa"/>
                  <w:tcBorders>
                    <w:tl2br w:val="nil"/>
                    <w:tr2bl w:val="nil"/>
                  </w:tcBorders>
                  <w:noWrap w:val="0"/>
                  <w:vAlign w:val="center"/>
                </w:tcPr>
                <w:p w14:paraId="37A683E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eastAsia="zh-CN"/>
                    </w:rPr>
                    <w:t>《污水综合排放标准》（GB8978-1996）表 4 二级</w:t>
                  </w:r>
                </w:p>
              </w:tc>
            </w:tr>
            <w:tr w14:paraId="4B21A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725" w:hRule="atLeast"/>
                <w:jc w:val="center"/>
              </w:trPr>
              <w:tc>
                <w:tcPr>
                  <w:tcW w:w="503" w:type="dxa"/>
                  <w:vMerge w:val="restart"/>
                  <w:tcBorders>
                    <w:tl2br w:val="nil"/>
                    <w:tr2bl w:val="nil"/>
                  </w:tcBorders>
                  <w:noWrap w:val="0"/>
                  <w:vAlign w:val="center"/>
                </w:tcPr>
                <w:p w14:paraId="397036F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一般固废</w:t>
                  </w:r>
                </w:p>
              </w:tc>
              <w:tc>
                <w:tcPr>
                  <w:tcW w:w="1540" w:type="dxa"/>
                  <w:gridSpan w:val="3"/>
                  <w:vMerge w:val="restart"/>
                  <w:tcBorders>
                    <w:tl2br w:val="nil"/>
                    <w:tr2bl w:val="nil"/>
                  </w:tcBorders>
                  <w:noWrap w:val="0"/>
                  <w:vAlign w:val="center"/>
                </w:tcPr>
                <w:p w14:paraId="25B45EB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default" w:ascii="Times New Roman" w:hAnsi="Times New Roman" w:cs="Times New Roman"/>
                      <w:snapToGrid/>
                      <w:color w:val="000000"/>
                      <w:kern w:val="0"/>
                      <w:sz w:val="21"/>
                      <w:szCs w:val="21"/>
                      <w:highlight w:val="none"/>
                      <w:lang w:val="en-US" w:eastAsia="zh-CN" w:bidi="ar-SA"/>
                    </w:rPr>
                    <w:t>生产工序</w:t>
                  </w:r>
                </w:p>
              </w:tc>
              <w:tc>
                <w:tcPr>
                  <w:tcW w:w="735" w:type="dxa"/>
                  <w:tcBorders>
                    <w:tl2br w:val="nil"/>
                    <w:tr2bl w:val="nil"/>
                  </w:tcBorders>
                  <w:noWrap w:val="0"/>
                  <w:vAlign w:val="center"/>
                </w:tcPr>
                <w:p w14:paraId="64FB338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eastAsia"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废</w:t>
                  </w:r>
                  <w:r>
                    <w:rPr>
                      <w:rFonts w:hint="eastAsia" w:ascii="Times New Roman" w:hAnsi="Times New Roman" w:cs="Times New Roman"/>
                      <w:sz w:val="21"/>
                      <w:szCs w:val="21"/>
                      <w:highlight w:val="none"/>
                      <w:lang w:val="en-US" w:eastAsia="zh-CN"/>
                    </w:rPr>
                    <w:t>边</w:t>
                  </w:r>
                </w:p>
                <w:p w14:paraId="39AA5D5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eastAsia" w:ascii="Times New Roman" w:hAnsi="Times New Roman" w:cs="Times New Roman"/>
                      <w:sz w:val="21"/>
                      <w:szCs w:val="21"/>
                      <w:highlight w:val="none"/>
                      <w:lang w:val="en-US" w:eastAsia="zh-CN"/>
                    </w:rPr>
                    <w:t>角料</w:t>
                  </w:r>
                </w:p>
              </w:tc>
              <w:tc>
                <w:tcPr>
                  <w:tcW w:w="2190" w:type="dxa"/>
                  <w:gridSpan w:val="2"/>
                  <w:vMerge w:val="restart"/>
                  <w:tcBorders>
                    <w:tl2br w:val="nil"/>
                    <w:tr2bl w:val="nil"/>
                  </w:tcBorders>
                  <w:noWrap w:val="0"/>
                  <w:vAlign w:val="center"/>
                </w:tcPr>
                <w:p w14:paraId="405498D3">
                  <w:pPr>
                    <w:pStyle w:val="21"/>
                    <w:keepNext w:val="0"/>
                    <w:keepLines w:val="0"/>
                    <w:pageBreakBefore w:val="0"/>
                    <w:widowControl w:val="0"/>
                    <w:kinsoku/>
                    <w:wordWrap w:val="0"/>
                    <w:overflowPunct/>
                    <w:topLinePunct w:val="0"/>
                    <w:autoSpaceDE/>
                    <w:autoSpaceDN/>
                    <w:bidi w:val="0"/>
                    <w:adjustRightInd/>
                    <w:snapToGrid/>
                    <w:spacing w:line="360" w:lineRule="exact"/>
                    <w:textAlignment w:val="auto"/>
                    <w:rPr>
                      <w:rFonts w:hint="eastAsia" w:ascii="Times New Roman" w:hAnsi="Times New Roman" w:eastAsia="宋体" w:cs="Times New Roman"/>
                      <w:snapToGrid/>
                      <w:color w:val="000000"/>
                      <w:kern w:val="0"/>
                      <w:sz w:val="21"/>
                      <w:szCs w:val="21"/>
                      <w:highlight w:val="none"/>
                      <w:vertAlign w:val="baseline"/>
                      <w:lang w:val="en-US" w:eastAsia="zh-CN" w:bidi="ar-SA"/>
                    </w:rPr>
                  </w:pPr>
                  <w:r>
                    <w:rPr>
                      <w:rFonts w:hint="default" w:ascii="Times New Roman" w:hAnsi="Times New Roman" w:cs="Times New Roman"/>
                      <w:sz w:val="21"/>
                      <w:szCs w:val="21"/>
                      <w:highlight w:val="none"/>
                      <w:lang w:eastAsia="zh-CN"/>
                    </w:rPr>
                    <w:t>收集后</w:t>
                  </w:r>
                  <w:r>
                    <w:rPr>
                      <w:rFonts w:hint="eastAsia" w:ascii="Times New Roman" w:hAnsi="Times New Roman" w:cs="Times New Roman"/>
                      <w:sz w:val="21"/>
                      <w:szCs w:val="21"/>
                      <w:highlight w:val="none"/>
                      <w:lang w:eastAsia="zh-CN"/>
                    </w:rPr>
                    <w:t>暂存在</w:t>
                  </w:r>
                  <w:r>
                    <w:rPr>
                      <w:rFonts w:hint="default" w:ascii="Times New Roman" w:hAnsi="Times New Roman" w:cs="Times New Roman"/>
                      <w:bCs w:val="0"/>
                      <w:sz w:val="21"/>
                      <w:szCs w:val="21"/>
                      <w:highlight w:val="none"/>
                    </w:rPr>
                    <w:t>一般固废间（</w:t>
                  </w:r>
                  <w:r>
                    <w:rPr>
                      <w:rFonts w:hint="eastAsia" w:ascii="Times New Roman" w:hAnsi="Times New Roman" w:cs="Times New Roman"/>
                      <w:bCs w:val="0"/>
                      <w:sz w:val="21"/>
                      <w:szCs w:val="21"/>
                      <w:highlight w:val="none"/>
                      <w:lang w:val="en-US" w:eastAsia="zh-CN"/>
                    </w:rPr>
                    <w:t>1</w:t>
                  </w:r>
                  <w:r>
                    <w:rPr>
                      <w:rFonts w:hint="default" w:ascii="Times New Roman" w:hAnsi="Times New Roman" w:cs="Times New Roman"/>
                      <w:bCs w:val="0"/>
                      <w:sz w:val="21"/>
                      <w:szCs w:val="21"/>
                      <w:highlight w:val="none"/>
                    </w:rPr>
                    <w:t>0m</w:t>
                  </w:r>
                  <w:r>
                    <w:rPr>
                      <w:rFonts w:hint="default" w:ascii="Times New Roman" w:hAnsi="Times New Roman" w:cs="Times New Roman"/>
                      <w:bCs w:val="0"/>
                      <w:sz w:val="21"/>
                      <w:szCs w:val="21"/>
                      <w:highlight w:val="none"/>
                      <w:vertAlign w:val="superscript"/>
                    </w:rPr>
                    <w:t>2</w:t>
                  </w:r>
                  <w:r>
                    <w:rPr>
                      <w:rFonts w:hint="eastAsia" w:ascii="Times New Roman" w:hAnsi="Times New Roman" w:cs="Times New Roman"/>
                      <w:bCs w:val="0"/>
                      <w:sz w:val="21"/>
                      <w:szCs w:val="21"/>
                      <w:highlight w:val="none"/>
                      <w:vertAlign w:val="baseline"/>
                      <w:lang w:eastAsia="zh-CN"/>
                    </w:rPr>
                    <w:t>），最终</w:t>
                  </w:r>
                  <w:r>
                    <w:rPr>
                      <w:rFonts w:hint="default" w:ascii="Times New Roman" w:hAnsi="Times New Roman" w:cs="Times New Roman"/>
                      <w:sz w:val="21"/>
                      <w:szCs w:val="21"/>
                      <w:highlight w:val="none"/>
                    </w:rPr>
                    <w:t>外售</w:t>
                  </w:r>
                  <w:r>
                    <w:rPr>
                      <w:rFonts w:hint="default" w:ascii="Times New Roman" w:hAnsi="Times New Roman" w:cs="Times New Roman"/>
                      <w:sz w:val="21"/>
                      <w:szCs w:val="21"/>
                      <w:highlight w:val="none"/>
                      <w:lang w:eastAsia="zh-CN"/>
                    </w:rPr>
                    <w:t>综合利用</w:t>
                  </w:r>
                </w:p>
              </w:tc>
              <w:tc>
                <w:tcPr>
                  <w:tcW w:w="870" w:type="dxa"/>
                  <w:vMerge w:val="restart"/>
                  <w:tcBorders>
                    <w:tl2br w:val="nil"/>
                    <w:tr2bl w:val="nil"/>
                  </w:tcBorders>
                  <w:noWrap w:val="0"/>
                  <w:vAlign w:val="center"/>
                </w:tcPr>
                <w:p w14:paraId="3B78A01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p>
              </w:tc>
              <w:tc>
                <w:tcPr>
                  <w:tcW w:w="2488" w:type="dxa"/>
                  <w:vMerge w:val="restart"/>
                  <w:tcBorders>
                    <w:tl2br w:val="nil"/>
                    <w:tr2bl w:val="nil"/>
                  </w:tcBorders>
                  <w:noWrap w:val="0"/>
                  <w:vAlign w:val="center"/>
                </w:tcPr>
                <w:p w14:paraId="1530F5A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《一般工业固体废物贮存和填埋污染控制标准》</w:t>
                  </w:r>
                </w:p>
                <w:p w14:paraId="25E7421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kern w:val="0"/>
                      <w:sz w:val="21"/>
                      <w:szCs w:val="21"/>
                      <w:highlight w:val="none"/>
                    </w:rPr>
                    <w:t>（GB18599-2020）</w:t>
                  </w:r>
                </w:p>
              </w:tc>
            </w:tr>
            <w:tr w14:paraId="743078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725" w:hRule="atLeast"/>
                <w:jc w:val="center"/>
              </w:trPr>
              <w:tc>
                <w:tcPr>
                  <w:tcW w:w="503" w:type="dxa"/>
                  <w:vMerge w:val="continue"/>
                  <w:tcBorders>
                    <w:tl2br w:val="nil"/>
                    <w:tr2bl w:val="nil"/>
                  </w:tcBorders>
                  <w:noWrap w:val="0"/>
                  <w:vAlign w:val="center"/>
                </w:tcPr>
                <w:p w14:paraId="29FBE22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val="en-US" w:eastAsia="zh-CN"/>
                    </w:rPr>
                  </w:pPr>
                </w:p>
              </w:tc>
              <w:tc>
                <w:tcPr>
                  <w:tcW w:w="1540" w:type="dxa"/>
                  <w:gridSpan w:val="3"/>
                  <w:vMerge w:val="continue"/>
                  <w:tcBorders>
                    <w:tl2br w:val="nil"/>
                    <w:tr2bl w:val="nil"/>
                  </w:tcBorders>
                  <w:noWrap w:val="0"/>
                  <w:vAlign w:val="center"/>
                </w:tcPr>
                <w:p w14:paraId="5F05F6F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cs="Times New Roman"/>
                      <w:snapToGrid/>
                      <w:color w:val="000000"/>
                      <w:kern w:val="0"/>
                      <w:sz w:val="21"/>
                      <w:szCs w:val="21"/>
                      <w:highlight w:val="none"/>
                      <w:lang w:val="en-US" w:eastAsia="zh-CN" w:bidi="ar-SA"/>
                    </w:rPr>
                  </w:pPr>
                </w:p>
              </w:tc>
              <w:tc>
                <w:tcPr>
                  <w:tcW w:w="735" w:type="dxa"/>
                  <w:tcBorders>
                    <w:tl2br w:val="nil"/>
                    <w:tr2bl w:val="nil"/>
                  </w:tcBorders>
                  <w:noWrap w:val="0"/>
                  <w:vAlign w:val="center"/>
                </w:tcPr>
                <w:p w14:paraId="211C96A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不合格产品</w:t>
                  </w:r>
                </w:p>
              </w:tc>
              <w:tc>
                <w:tcPr>
                  <w:tcW w:w="2190" w:type="dxa"/>
                  <w:gridSpan w:val="2"/>
                  <w:vMerge w:val="continue"/>
                  <w:tcBorders>
                    <w:tl2br w:val="nil"/>
                    <w:tr2bl w:val="nil"/>
                  </w:tcBorders>
                  <w:noWrap w:val="0"/>
                  <w:vAlign w:val="center"/>
                </w:tcPr>
                <w:p w14:paraId="1EC9259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cs="Times New Roman"/>
                      <w:sz w:val="21"/>
                      <w:szCs w:val="21"/>
                      <w:highlight w:val="none"/>
                      <w:lang w:eastAsia="zh-CN"/>
                    </w:rPr>
                  </w:pPr>
                </w:p>
              </w:tc>
              <w:tc>
                <w:tcPr>
                  <w:tcW w:w="870" w:type="dxa"/>
                  <w:vMerge w:val="continue"/>
                  <w:tcBorders>
                    <w:tl2br w:val="nil"/>
                    <w:tr2bl w:val="nil"/>
                  </w:tcBorders>
                  <w:noWrap w:val="0"/>
                  <w:vAlign w:val="center"/>
                </w:tcPr>
                <w:p w14:paraId="60BFD08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p>
              </w:tc>
              <w:tc>
                <w:tcPr>
                  <w:tcW w:w="2488" w:type="dxa"/>
                  <w:vMerge w:val="continue"/>
                  <w:tcBorders>
                    <w:tl2br w:val="nil"/>
                    <w:tr2bl w:val="nil"/>
                  </w:tcBorders>
                  <w:noWrap w:val="0"/>
                  <w:vAlign w:val="center"/>
                </w:tcPr>
                <w:p w14:paraId="4BB05098">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kern w:val="0"/>
                      <w:sz w:val="21"/>
                      <w:szCs w:val="21"/>
                      <w:highlight w:val="none"/>
                    </w:rPr>
                  </w:pPr>
                </w:p>
              </w:tc>
            </w:tr>
            <w:tr w14:paraId="0F855E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725" w:hRule="atLeast"/>
                <w:jc w:val="center"/>
              </w:trPr>
              <w:tc>
                <w:tcPr>
                  <w:tcW w:w="503" w:type="dxa"/>
                  <w:vMerge w:val="restart"/>
                  <w:tcBorders>
                    <w:tl2br w:val="nil"/>
                    <w:tr2bl w:val="nil"/>
                  </w:tcBorders>
                  <w:noWrap w:val="0"/>
                  <w:vAlign w:val="center"/>
                </w:tcPr>
                <w:p w14:paraId="2B59CE4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危险废物</w:t>
                  </w:r>
                </w:p>
              </w:tc>
              <w:tc>
                <w:tcPr>
                  <w:tcW w:w="1540" w:type="dxa"/>
                  <w:gridSpan w:val="3"/>
                  <w:tcBorders>
                    <w:tl2br w:val="nil"/>
                    <w:tr2bl w:val="nil"/>
                  </w:tcBorders>
                  <w:noWrap w:val="0"/>
                  <w:vAlign w:val="center"/>
                </w:tcPr>
                <w:p w14:paraId="75EF2D11">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eastAsia" w:ascii="Times New Roman" w:hAnsi="Times New Roman" w:eastAsia="宋体" w:cs="Times New Roman"/>
                      <w:sz w:val="21"/>
                      <w:szCs w:val="21"/>
                      <w:highlight w:val="none"/>
                      <w:lang w:eastAsia="zh-CN"/>
                    </w:rPr>
                  </w:pPr>
                  <w:r>
                    <w:rPr>
                      <w:rFonts w:hint="eastAsia" w:cs="Times New Roman"/>
                      <w:sz w:val="21"/>
                      <w:szCs w:val="21"/>
                      <w:highlight w:val="none"/>
                      <w:lang w:eastAsia="zh-CN"/>
                    </w:rPr>
                    <w:t>废气治理</w:t>
                  </w:r>
                </w:p>
              </w:tc>
              <w:tc>
                <w:tcPr>
                  <w:tcW w:w="735" w:type="dxa"/>
                  <w:tcBorders>
                    <w:tl2br w:val="nil"/>
                    <w:tr2bl w:val="nil"/>
                  </w:tcBorders>
                  <w:noWrap w:val="0"/>
                  <w:vAlign w:val="center"/>
                </w:tcPr>
                <w:p w14:paraId="5BED09C3">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eastAsia" w:cs="Times New Roman"/>
                      <w:sz w:val="21"/>
                      <w:szCs w:val="21"/>
                      <w:highlight w:val="none"/>
                      <w:lang w:eastAsia="zh-CN"/>
                    </w:rPr>
                  </w:pPr>
                  <w:r>
                    <w:rPr>
                      <w:rFonts w:hint="eastAsia" w:cs="Times New Roman"/>
                      <w:sz w:val="21"/>
                      <w:szCs w:val="21"/>
                      <w:highlight w:val="none"/>
                      <w:lang w:eastAsia="zh-CN"/>
                    </w:rPr>
                    <w:t>废活</w:t>
                  </w:r>
                </w:p>
                <w:p w14:paraId="5530AE3F">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eastAsia" w:ascii="Times New Roman" w:hAnsi="Times New Roman" w:eastAsia="宋体" w:cs="Times New Roman"/>
                      <w:sz w:val="21"/>
                      <w:szCs w:val="21"/>
                      <w:highlight w:val="none"/>
                      <w:lang w:eastAsia="zh-CN"/>
                    </w:rPr>
                  </w:pPr>
                  <w:r>
                    <w:rPr>
                      <w:rFonts w:hint="eastAsia" w:cs="Times New Roman"/>
                      <w:sz w:val="21"/>
                      <w:szCs w:val="21"/>
                      <w:highlight w:val="none"/>
                      <w:lang w:eastAsia="zh-CN"/>
                    </w:rPr>
                    <w:t>性炭</w:t>
                  </w:r>
                </w:p>
              </w:tc>
              <w:tc>
                <w:tcPr>
                  <w:tcW w:w="2190" w:type="dxa"/>
                  <w:gridSpan w:val="2"/>
                  <w:vMerge w:val="restart"/>
                  <w:tcBorders>
                    <w:tl2br w:val="nil"/>
                    <w:tr2bl w:val="nil"/>
                  </w:tcBorders>
                  <w:noWrap w:val="0"/>
                  <w:vAlign w:val="center"/>
                </w:tcPr>
                <w:p w14:paraId="3E8A59D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r>
                    <w:rPr>
                      <w:rFonts w:hint="default" w:ascii="Times New Roman" w:hAnsi="Times New Roman" w:eastAsia="宋体" w:cs="Times New Roman"/>
                      <w:color w:val="auto"/>
                      <w:kern w:val="0"/>
                      <w:sz w:val="21"/>
                      <w:szCs w:val="21"/>
                      <w:highlight w:val="none"/>
                      <w:lang w:val="en-US" w:eastAsia="zh-CN" w:bidi="ar-SA"/>
                    </w:rPr>
                    <w:t>密闭</w:t>
                  </w:r>
                  <w:r>
                    <w:rPr>
                      <w:rFonts w:hint="eastAsia" w:ascii="Times New Roman" w:hAnsi="Times New Roman" w:eastAsia="宋体" w:cs="Times New Roman"/>
                      <w:color w:val="auto"/>
                      <w:kern w:val="0"/>
                      <w:sz w:val="21"/>
                      <w:szCs w:val="21"/>
                      <w:highlight w:val="none"/>
                      <w:lang w:val="en-US" w:eastAsia="zh-CN" w:bidi="ar-SA"/>
                    </w:rPr>
                    <w:t>暂存</w:t>
                  </w:r>
                  <w:r>
                    <w:rPr>
                      <w:rFonts w:hint="eastAsia" w:cs="Times New Roman"/>
                      <w:color w:val="auto"/>
                      <w:kern w:val="0"/>
                      <w:sz w:val="21"/>
                      <w:szCs w:val="21"/>
                      <w:highlight w:val="none"/>
                      <w:lang w:val="en-US" w:eastAsia="zh-CN" w:bidi="ar-SA"/>
                    </w:rPr>
                    <w:t>在危废间</w:t>
                  </w:r>
                  <w:r>
                    <w:rPr>
                      <w:rFonts w:hint="eastAsia" w:ascii="Times New Roman" w:hAnsi="Times New Roman" w:eastAsia="宋体" w:cs="Times New Roman"/>
                      <w:color w:val="auto"/>
                      <w:kern w:val="0"/>
                      <w:sz w:val="21"/>
                      <w:szCs w:val="21"/>
                      <w:highlight w:val="none"/>
                      <w:lang w:val="en-US" w:eastAsia="zh-CN" w:bidi="ar-SA"/>
                    </w:rPr>
                    <w:t>，</w:t>
                  </w:r>
                  <w:r>
                    <w:rPr>
                      <w:rFonts w:hint="default" w:ascii="Times New Roman" w:hAnsi="Times New Roman" w:cs="Times New Roman"/>
                      <w:bCs w:val="0"/>
                      <w:sz w:val="21"/>
                      <w:szCs w:val="21"/>
                      <w:highlight w:val="none"/>
                    </w:rPr>
                    <w:t>交有资质单位</w:t>
                  </w:r>
                  <w:r>
                    <w:rPr>
                      <w:rFonts w:hint="default" w:ascii="Times New Roman" w:hAnsi="Times New Roman" w:cs="Times New Roman"/>
                      <w:bCs w:val="0"/>
                      <w:sz w:val="21"/>
                      <w:szCs w:val="21"/>
                      <w:highlight w:val="none"/>
                      <w:lang w:eastAsia="zh-CN"/>
                    </w:rPr>
                    <w:t>进行安全</w:t>
                  </w:r>
                  <w:r>
                    <w:rPr>
                      <w:rFonts w:hint="default" w:ascii="Times New Roman" w:hAnsi="Times New Roman" w:cs="Times New Roman"/>
                      <w:bCs w:val="0"/>
                      <w:sz w:val="21"/>
                      <w:szCs w:val="21"/>
                      <w:highlight w:val="none"/>
                    </w:rPr>
                    <w:t>处置</w:t>
                  </w:r>
                  <w:r>
                    <w:rPr>
                      <w:rFonts w:hint="default" w:ascii="Times New Roman" w:hAnsi="Times New Roman" w:cs="Times New Roman"/>
                      <w:bCs w:val="0"/>
                      <w:sz w:val="21"/>
                      <w:szCs w:val="21"/>
                      <w:highlight w:val="none"/>
                      <w:lang w:eastAsia="zh-CN"/>
                    </w:rPr>
                    <w:t>危废</w:t>
                  </w:r>
                  <w:r>
                    <w:rPr>
                      <w:rFonts w:hint="default" w:ascii="Times New Roman" w:hAnsi="Times New Roman" w:cs="Times New Roman"/>
                      <w:bCs w:val="0"/>
                      <w:sz w:val="21"/>
                      <w:szCs w:val="21"/>
                      <w:highlight w:val="none"/>
                    </w:rPr>
                    <w:t>间（</w:t>
                  </w:r>
                  <w:r>
                    <w:rPr>
                      <w:rFonts w:hint="eastAsia" w:cs="Times New Roman"/>
                      <w:bCs w:val="0"/>
                      <w:sz w:val="21"/>
                      <w:szCs w:val="21"/>
                      <w:highlight w:val="none"/>
                      <w:lang w:val="en-US" w:eastAsia="zh-CN"/>
                    </w:rPr>
                    <w:t>5</w:t>
                  </w:r>
                  <w:r>
                    <w:rPr>
                      <w:rFonts w:hint="default" w:ascii="Times New Roman" w:hAnsi="Times New Roman" w:cs="Times New Roman"/>
                      <w:bCs w:val="0"/>
                      <w:sz w:val="21"/>
                      <w:szCs w:val="21"/>
                      <w:highlight w:val="none"/>
                    </w:rPr>
                    <w:t>m</w:t>
                  </w:r>
                  <w:r>
                    <w:rPr>
                      <w:rFonts w:hint="default" w:ascii="Times New Roman" w:hAnsi="Times New Roman" w:cs="Times New Roman"/>
                      <w:bCs w:val="0"/>
                      <w:sz w:val="21"/>
                      <w:szCs w:val="21"/>
                      <w:highlight w:val="none"/>
                      <w:vertAlign w:val="superscript"/>
                    </w:rPr>
                    <w:t>2</w:t>
                  </w:r>
                  <w:r>
                    <w:rPr>
                      <w:rFonts w:hint="default" w:ascii="Times New Roman" w:hAnsi="Times New Roman" w:cs="Times New Roman"/>
                      <w:bCs w:val="0"/>
                      <w:sz w:val="21"/>
                      <w:szCs w:val="21"/>
                      <w:highlight w:val="none"/>
                    </w:rPr>
                    <w:t>）</w:t>
                  </w:r>
                </w:p>
              </w:tc>
              <w:tc>
                <w:tcPr>
                  <w:tcW w:w="870" w:type="dxa"/>
                  <w:vMerge w:val="restart"/>
                  <w:tcBorders>
                    <w:tl2br w:val="nil"/>
                    <w:tr2bl w:val="nil"/>
                  </w:tcBorders>
                  <w:noWrap w:val="0"/>
                  <w:vAlign w:val="center"/>
                </w:tcPr>
                <w:p w14:paraId="75C81A5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w:t>
                  </w:r>
                </w:p>
              </w:tc>
              <w:tc>
                <w:tcPr>
                  <w:tcW w:w="2488" w:type="dxa"/>
                  <w:vMerge w:val="restart"/>
                  <w:tcBorders>
                    <w:tl2br w:val="nil"/>
                    <w:tr2bl w:val="nil"/>
                  </w:tcBorders>
                  <w:noWrap w:val="0"/>
                  <w:vAlign w:val="center"/>
                </w:tcPr>
                <w:p w14:paraId="7D484308">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sz w:val="21"/>
                      <w:szCs w:val="21"/>
                      <w:highlight w:val="none"/>
                    </w:rPr>
                    <w:t>《危险废物贮存污染控制标准》（GB18597-2023）</w:t>
                  </w:r>
                </w:p>
              </w:tc>
            </w:tr>
            <w:tr w14:paraId="5B8A91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725" w:hRule="atLeast"/>
                <w:jc w:val="center"/>
              </w:trPr>
              <w:tc>
                <w:tcPr>
                  <w:tcW w:w="503" w:type="dxa"/>
                  <w:vMerge w:val="continue"/>
                  <w:tcBorders>
                    <w:tl2br w:val="nil"/>
                    <w:tr2bl w:val="nil"/>
                  </w:tcBorders>
                  <w:noWrap w:val="0"/>
                  <w:vAlign w:val="center"/>
                </w:tcPr>
                <w:p w14:paraId="159B01A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p>
              </w:tc>
              <w:tc>
                <w:tcPr>
                  <w:tcW w:w="1540" w:type="dxa"/>
                  <w:gridSpan w:val="3"/>
                  <w:vMerge w:val="restart"/>
                  <w:tcBorders>
                    <w:tl2br w:val="nil"/>
                    <w:tr2bl w:val="nil"/>
                  </w:tcBorders>
                  <w:noWrap w:val="0"/>
                  <w:vAlign w:val="center"/>
                </w:tcPr>
                <w:p w14:paraId="75CC48C2">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cs="Times New Roman"/>
                      <w:sz w:val="21"/>
                      <w:szCs w:val="21"/>
                      <w:highlight w:val="none"/>
                    </w:rPr>
                    <w:t>设备检修</w:t>
                  </w:r>
                </w:p>
              </w:tc>
              <w:tc>
                <w:tcPr>
                  <w:tcW w:w="735" w:type="dxa"/>
                  <w:tcBorders>
                    <w:tl2br w:val="nil"/>
                    <w:tr2bl w:val="nil"/>
                  </w:tcBorders>
                  <w:noWrap w:val="0"/>
                  <w:vAlign w:val="center"/>
                </w:tcPr>
                <w:p w14:paraId="0B6964A8">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废润</w:t>
                  </w:r>
                </w:p>
                <w:p w14:paraId="246FF95A">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rPr>
                    <w:t>滑油</w:t>
                  </w:r>
                </w:p>
              </w:tc>
              <w:tc>
                <w:tcPr>
                  <w:tcW w:w="2190" w:type="dxa"/>
                  <w:gridSpan w:val="2"/>
                  <w:vMerge w:val="continue"/>
                  <w:tcBorders>
                    <w:tl2br w:val="nil"/>
                    <w:tr2bl w:val="nil"/>
                  </w:tcBorders>
                  <w:noWrap w:val="0"/>
                  <w:vAlign w:val="center"/>
                </w:tcPr>
                <w:p w14:paraId="123BB7F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p>
              </w:tc>
              <w:tc>
                <w:tcPr>
                  <w:tcW w:w="870" w:type="dxa"/>
                  <w:vMerge w:val="continue"/>
                  <w:tcBorders>
                    <w:tl2br w:val="nil"/>
                    <w:tr2bl w:val="nil"/>
                  </w:tcBorders>
                  <w:noWrap w:val="0"/>
                  <w:vAlign w:val="center"/>
                </w:tcPr>
                <w:p w14:paraId="218E822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p>
              </w:tc>
              <w:tc>
                <w:tcPr>
                  <w:tcW w:w="2488" w:type="dxa"/>
                  <w:vMerge w:val="continue"/>
                  <w:tcBorders>
                    <w:tl2br w:val="nil"/>
                    <w:tr2bl w:val="nil"/>
                  </w:tcBorders>
                  <w:noWrap w:val="0"/>
                  <w:vAlign w:val="center"/>
                </w:tcPr>
                <w:p w14:paraId="4C52BB63">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p>
              </w:tc>
            </w:tr>
            <w:tr w14:paraId="79FB89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88" w:hRule="atLeast"/>
                <w:jc w:val="center"/>
              </w:trPr>
              <w:tc>
                <w:tcPr>
                  <w:tcW w:w="503" w:type="dxa"/>
                  <w:vMerge w:val="continue"/>
                  <w:tcBorders>
                    <w:tl2br w:val="nil"/>
                    <w:tr2bl w:val="nil"/>
                  </w:tcBorders>
                  <w:noWrap w:val="0"/>
                  <w:vAlign w:val="center"/>
                </w:tcPr>
                <w:p w14:paraId="5B64EC3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rPr>
                  </w:pPr>
                </w:p>
              </w:tc>
              <w:tc>
                <w:tcPr>
                  <w:tcW w:w="1540" w:type="dxa"/>
                  <w:gridSpan w:val="3"/>
                  <w:vMerge w:val="continue"/>
                  <w:tcBorders>
                    <w:tl2br w:val="nil"/>
                    <w:tr2bl w:val="nil"/>
                  </w:tcBorders>
                  <w:noWrap w:val="0"/>
                  <w:vAlign w:val="center"/>
                </w:tcPr>
                <w:p w14:paraId="76593D76">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p>
              </w:tc>
              <w:tc>
                <w:tcPr>
                  <w:tcW w:w="735" w:type="dxa"/>
                  <w:tcBorders>
                    <w:tl2br w:val="nil"/>
                    <w:tr2bl w:val="nil"/>
                  </w:tcBorders>
                  <w:noWrap w:val="0"/>
                  <w:vAlign w:val="center"/>
                </w:tcPr>
                <w:p w14:paraId="4C5C941C">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cs="Times New Roman"/>
                      <w:sz w:val="21"/>
                      <w:szCs w:val="21"/>
                      <w:highlight w:val="none"/>
                    </w:rPr>
                    <w:t>废油桶</w:t>
                  </w:r>
                </w:p>
              </w:tc>
              <w:tc>
                <w:tcPr>
                  <w:tcW w:w="2190" w:type="dxa"/>
                  <w:gridSpan w:val="2"/>
                  <w:vMerge w:val="continue"/>
                  <w:tcBorders>
                    <w:tl2br w:val="nil"/>
                    <w:tr2bl w:val="nil"/>
                  </w:tcBorders>
                  <w:noWrap w:val="0"/>
                  <w:vAlign w:val="center"/>
                </w:tcPr>
                <w:p w14:paraId="1A823D5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p>
              </w:tc>
              <w:tc>
                <w:tcPr>
                  <w:tcW w:w="870" w:type="dxa"/>
                  <w:vMerge w:val="continue"/>
                  <w:tcBorders>
                    <w:tl2br w:val="nil"/>
                    <w:tr2bl w:val="nil"/>
                  </w:tcBorders>
                  <w:noWrap w:val="0"/>
                  <w:vAlign w:val="center"/>
                </w:tcPr>
                <w:p w14:paraId="0437219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p>
              </w:tc>
              <w:tc>
                <w:tcPr>
                  <w:tcW w:w="2488" w:type="dxa"/>
                  <w:vMerge w:val="continue"/>
                  <w:tcBorders>
                    <w:tl2br w:val="nil"/>
                    <w:tr2bl w:val="nil"/>
                  </w:tcBorders>
                  <w:noWrap w:val="0"/>
                  <w:vAlign w:val="center"/>
                </w:tcPr>
                <w:p w14:paraId="2CA6ED49">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p>
              </w:tc>
            </w:tr>
            <w:tr w14:paraId="080627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725" w:hRule="atLeast"/>
                <w:jc w:val="center"/>
              </w:trPr>
              <w:tc>
                <w:tcPr>
                  <w:tcW w:w="2043" w:type="dxa"/>
                  <w:gridSpan w:val="4"/>
                  <w:tcBorders>
                    <w:tl2br w:val="nil"/>
                    <w:tr2bl w:val="nil"/>
                  </w:tcBorders>
                  <w:noWrap w:val="0"/>
                  <w:vAlign w:val="center"/>
                </w:tcPr>
                <w:p w14:paraId="14D19ABA">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rPr>
                    <w:t>办公生活</w:t>
                  </w:r>
                </w:p>
              </w:tc>
              <w:tc>
                <w:tcPr>
                  <w:tcW w:w="735" w:type="dxa"/>
                  <w:tcBorders>
                    <w:tl2br w:val="nil"/>
                    <w:tr2bl w:val="nil"/>
                  </w:tcBorders>
                  <w:noWrap w:val="0"/>
                  <w:vAlign w:val="center"/>
                </w:tcPr>
                <w:p w14:paraId="3BD75A1E">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生活</w:t>
                  </w:r>
                </w:p>
                <w:p w14:paraId="75CB5A81">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垃圾</w:t>
                  </w:r>
                </w:p>
              </w:tc>
              <w:tc>
                <w:tcPr>
                  <w:tcW w:w="2190" w:type="dxa"/>
                  <w:gridSpan w:val="2"/>
                  <w:tcBorders>
                    <w:tl2br w:val="nil"/>
                    <w:tr2bl w:val="nil"/>
                  </w:tcBorders>
                  <w:noWrap w:val="0"/>
                  <w:vAlign w:val="center"/>
                </w:tcPr>
                <w:p w14:paraId="607393B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r>
                    <w:rPr>
                      <w:rFonts w:hint="default" w:ascii="Times New Roman" w:hAnsi="Times New Roman" w:cs="Times New Roman"/>
                      <w:highlight w:val="none"/>
                      <w:lang w:val="en-US" w:eastAsia="zh-CN"/>
                    </w:rPr>
                    <w:t>由环卫部门统一清运</w:t>
                  </w:r>
                </w:p>
              </w:tc>
              <w:tc>
                <w:tcPr>
                  <w:tcW w:w="870" w:type="dxa"/>
                  <w:tcBorders>
                    <w:tl2br w:val="nil"/>
                    <w:tr2bl w:val="nil"/>
                  </w:tcBorders>
                  <w:noWrap w:val="0"/>
                  <w:vAlign w:val="center"/>
                </w:tcPr>
                <w:p w14:paraId="1A678AC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2488" w:type="dxa"/>
                  <w:tcBorders>
                    <w:tl2br w:val="nil"/>
                    <w:tr2bl w:val="nil"/>
                  </w:tcBorders>
                  <w:noWrap w:val="0"/>
                  <w:vAlign w:val="center"/>
                </w:tcPr>
                <w:p w14:paraId="00E51A4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B6B6E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90" w:hRule="atLeast"/>
                <w:jc w:val="center"/>
              </w:trPr>
              <w:tc>
                <w:tcPr>
                  <w:tcW w:w="503" w:type="dxa"/>
                  <w:tcBorders>
                    <w:tl2br w:val="nil"/>
                    <w:tr2bl w:val="nil"/>
                  </w:tcBorders>
                  <w:noWrap w:val="0"/>
                  <w:vAlign w:val="center"/>
                </w:tcPr>
                <w:p w14:paraId="6354F0B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噪声</w:t>
                  </w:r>
                </w:p>
              </w:tc>
              <w:tc>
                <w:tcPr>
                  <w:tcW w:w="1540" w:type="dxa"/>
                  <w:gridSpan w:val="3"/>
                  <w:tcBorders>
                    <w:tl2br w:val="nil"/>
                    <w:tr2bl w:val="nil"/>
                  </w:tcBorders>
                  <w:noWrap w:val="0"/>
                  <w:vAlign w:val="center"/>
                </w:tcPr>
                <w:p w14:paraId="2595539F">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设备运转</w:t>
                  </w:r>
                </w:p>
              </w:tc>
              <w:tc>
                <w:tcPr>
                  <w:tcW w:w="735" w:type="dxa"/>
                  <w:tcBorders>
                    <w:tl2br w:val="nil"/>
                    <w:tr2bl w:val="nil"/>
                  </w:tcBorders>
                  <w:noWrap w:val="0"/>
                  <w:vAlign w:val="center"/>
                </w:tcPr>
                <w:p w14:paraId="3F679DD1">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设备</w:t>
                  </w:r>
                </w:p>
                <w:p w14:paraId="32231D4F">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噪声</w:t>
                  </w:r>
                </w:p>
              </w:tc>
              <w:tc>
                <w:tcPr>
                  <w:tcW w:w="2190" w:type="dxa"/>
                  <w:gridSpan w:val="2"/>
                  <w:tcBorders>
                    <w:tl2br w:val="nil"/>
                    <w:tr2bl w:val="nil"/>
                  </w:tcBorders>
                  <w:noWrap w:val="0"/>
                  <w:vAlign w:val="center"/>
                </w:tcPr>
                <w:p w14:paraId="54A5F1D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室内布置、减振基础，</w:t>
                  </w:r>
                </w:p>
                <w:p w14:paraId="5601319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r>
                    <w:rPr>
                      <w:rFonts w:hint="default" w:ascii="Times New Roman" w:hAnsi="Times New Roman" w:cs="Times New Roman"/>
                      <w:sz w:val="21"/>
                      <w:szCs w:val="21"/>
                      <w:highlight w:val="none"/>
                      <w:lang w:val="en-US" w:eastAsia="zh-CN"/>
                    </w:rPr>
                    <w:t>距离衰减等</w:t>
                  </w:r>
                </w:p>
              </w:tc>
              <w:tc>
                <w:tcPr>
                  <w:tcW w:w="870" w:type="dxa"/>
                  <w:tcBorders>
                    <w:tl2br w:val="nil"/>
                    <w:tr2bl w:val="nil"/>
                  </w:tcBorders>
                  <w:noWrap w:val="0"/>
                  <w:vAlign w:val="center"/>
                </w:tcPr>
                <w:p w14:paraId="4629B01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2488" w:type="dxa"/>
                  <w:tcBorders>
                    <w:tl2br w:val="nil"/>
                    <w:tr2bl w:val="nil"/>
                  </w:tcBorders>
                  <w:noWrap w:val="0"/>
                  <w:vAlign w:val="center"/>
                </w:tcPr>
                <w:p w14:paraId="54712D5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b w:val="0"/>
                      <w:bCs w:val="0"/>
                      <w:sz w:val="21"/>
                      <w:szCs w:val="21"/>
                      <w:highlight w:val="none"/>
                    </w:rPr>
                    <w:t>《工业企业厂界环境噪声排放标准》（GB12348-2008）3类标准要求</w:t>
                  </w:r>
                </w:p>
              </w:tc>
            </w:tr>
            <w:tr w14:paraId="0BBE0E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1110" w:hRule="atLeast"/>
                <w:jc w:val="center"/>
              </w:trPr>
              <w:tc>
                <w:tcPr>
                  <w:tcW w:w="503" w:type="dxa"/>
                  <w:vMerge w:val="restart"/>
                  <w:tcBorders>
                    <w:tl2br w:val="nil"/>
                    <w:tr2bl w:val="nil"/>
                  </w:tcBorders>
                  <w:noWrap w:val="0"/>
                  <w:vAlign w:val="center"/>
                </w:tcPr>
                <w:p w14:paraId="0EAFD8E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地下水和土壤</w:t>
                  </w:r>
                </w:p>
              </w:tc>
              <w:tc>
                <w:tcPr>
                  <w:tcW w:w="1540" w:type="dxa"/>
                  <w:gridSpan w:val="3"/>
                  <w:tcBorders>
                    <w:tl2br w:val="nil"/>
                    <w:tr2bl w:val="nil"/>
                  </w:tcBorders>
                  <w:noWrap w:val="0"/>
                  <w:vAlign w:val="center"/>
                </w:tcPr>
                <w:p w14:paraId="55318321">
                  <w:pPr>
                    <w:pStyle w:val="24"/>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kern w:val="28"/>
                      <w:sz w:val="21"/>
                      <w:szCs w:val="21"/>
                      <w:highlight w:val="none"/>
                      <w:lang w:val="en-US" w:eastAsia="zh-CN" w:bidi="ar-SA"/>
                    </w:rPr>
                  </w:pPr>
                  <w:r>
                    <w:rPr>
                      <w:rFonts w:hint="default" w:ascii="Times New Roman" w:hAnsi="Times New Roman" w:cs="Times New Roman"/>
                      <w:sz w:val="21"/>
                      <w:szCs w:val="21"/>
                      <w:highlight w:val="none"/>
                      <w:lang w:val="en-US" w:eastAsia="zh-CN"/>
                    </w:rPr>
                    <w:t>重点防渗区</w:t>
                  </w:r>
                  <w:r>
                    <w:rPr>
                      <w:rFonts w:hint="default" w:ascii="Times New Roman" w:hAnsi="Times New Roman" w:cs="Times New Roman"/>
                      <w:sz w:val="21"/>
                      <w:szCs w:val="21"/>
                      <w:highlight w:val="none"/>
                      <w:lang w:val="zh-CN" w:eastAsia="zh-CN"/>
                    </w:rPr>
                    <w:t>（危废间、</w:t>
                  </w:r>
                  <w:r>
                    <w:rPr>
                      <w:rFonts w:hint="default" w:ascii="Times New Roman" w:hAnsi="Times New Roman" w:cs="Times New Roman"/>
                      <w:sz w:val="21"/>
                      <w:szCs w:val="21"/>
                      <w:highlight w:val="none"/>
                      <w:lang w:eastAsia="zh-CN"/>
                    </w:rPr>
                    <w:t>生产</w:t>
                  </w:r>
                  <w:r>
                    <w:rPr>
                      <w:rFonts w:hint="eastAsia" w:ascii="Times New Roman" w:hAnsi="Times New Roman" w:cs="Times New Roman"/>
                      <w:sz w:val="21"/>
                      <w:szCs w:val="21"/>
                      <w:highlight w:val="none"/>
                      <w:lang w:eastAsia="zh-CN"/>
                    </w:rPr>
                    <w:t>区</w:t>
                  </w:r>
                  <w:r>
                    <w:rPr>
                      <w:rFonts w:hint="default" w:ascii="Times New Roman" w:hAnsi="Times New Roman" w:cs="Times New Roman"/>
                      <w:sz w:val="21"/>
                      <w:szCs w:val="21"/>
                      <w:highlight w:val="none"/>
                      <w:lang w:val="zh-CN" w:eastAsia="zh-CN"/>
                    </w:rPr>
                    <w:t>）</w:t>
                  </w:r>
                </w:p>
              </w:tc>
              <w:tc>
                <w:tcPr>
                  <w:tcW w:w="2925" w:type="dxa"/>
                  <w:gridSpan w:val="3"/>
                  <w:tcBorders>
                    <w:tl2br w:val="nil"/>
                    <w:tr2bl w:val="nil"/>
                  </w:tcBorders>
                  <w:noWrap w:val="0"/>
                  <w:vAlign w:val="center"/>
                </w:tcPr>
                <w:p w14:paraId="6851B232">
                  <w:pPr>
                    <w:pStyle w:val="24"/>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kern w:val="28"/>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防渗层采用2mm厚高密度聚乙烯，或至少2mm厚的其它人工材料，渗透系数≤10</w:t>
                  </w:r>
                  <w:r>
                    <w:rPr>
                      <w:rFonts w:hint="default" w:ascii="Times New Roman" w:hAnsi="Times New Roman" w:eastAsia="宋体" w:cs="Times New Roman"/>
                      <w:sz w:val="21"/>
                      <w:szCs w:val="21"/>
                      <w:highlight w:val="none"/>
                      <w:vertAlign w:val="superscript"/>
                      <w:lang w:val="en-US" w:eastAsia="zh-CN"/>
                    </w:rPr>
                    <w:t>-10</w:t>
                  </w:r>
                  <w:r>
                    <w:rPr>
                      <w:rFonts w:hint="default" w:ascii="Times New Roman" w:hAnsi="Times New Roman" w:eastAsia="宋体" w:cs="Times New Roman"/>
                      <w:sz w:val="21"/>
                      <w:szCs w:val="21"/>
                      <w:highlight w:val="none"/>
                      <w:lang w:val="en-US" w:eastAsia="zh-CN"/>
                    </w:rPr>
                    <w:t>cm/s</w:t>
                  </w:r>
                </w:p>
              </w:tc>
              <w:tc>
                <w:tcPr>
                  <w:tcW w:w="870" w:type="dxa"/>
                  <w:vMerge w:val="restart"/>
                  <w:tcBorders>
                    <w:tl2br w:val="nil"/>
                    <w:tr2bl w:val="nil"/>
                  </w:tcBorders>
                  <w:noWrap w:val="0"/>
                  <w:vAlign w:val="center"/>
                </w:tcPr>
                <w:p w14:paraId="7778C53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w:t>
                  </w:r>
                </w:p>
              </w:tc>
              <w:tc>
                <w:tcPr>
                  <w:tcW w:w="2488" w:type="dxa"/>
                  <w:vMerge w:val="restart"/>
                  <w:tcBorders>
                    <w:tl2br w:val="nil"/>
                    <w:tr2bl w:val="nil"/>
                  </w:tcBorders>
                  <w:noWrap w:val="0"/>
                  <w:vAlign w:val="center"/>
                </w:tcPr>
                <w:p w14:paraId="5950A07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4D7A9A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1434" w:hRule="atLeast"/>
                <w:jc w:val="center"/>
              </w:trPr>
              <w:tc>
                <w:tcPr>
                  <w:tcW w:w="503" w:type="dxa"/>
                  <w:vMerge w:val="continue"/>
                  <w:tcBorders>
                    <w:tl2br w:val="nil"/>
                    <w:tr2bl w:val="nil"/>
                  </w:tcBorders>
                  <w:noWrap w:val="0"/>
                  <w:vAlign w:val="center"/>
                </w:tcPr>
                <w:p w14:paraId="2E6A143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eastAsia="zh-CN"/>
                    </w:rPr>
                  </w:pPr>
                </w:p>
              </w:tc>
              <w:tc>
                <w:tcPr>
                  <w:tcW w:w="1540" w:type="dxa"/>
                  <w:gridSpan w:val="3"/>
                  <w:tcBorders>
                    <w:tl2br w:val="nil"/>
                    <w:tr2bl w:val="nil"/>
                  </w:tcBorders>
                  <w:noWrap w:val="0"/>
                  <w:vAlign w:val="center"/>
                </w:tcPr>
                <w:p w14:paraId="7D9DE75A">
                  <w:pPr>
                    <w:pStyle w:val="24"/>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一般防渗区</w:t>
                  </w:r>
                </w:p>
                <w:p w14:paraId="7B22D18C">
                  <w:pPr>
                    <w:pStyle w:val="24"/>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kern w:val="28"/>
                      <w:sz w:val="21"/>
                      <w:szCs w:val="21"/>
                      <w:highlight w:val="none"/>
                      <w:lang w:val="en-US" w:eastAsia="zh-CN" w:bidi="ar-SA"/>
                    </w:rPr>
                  </w:pPr>
                  <w:r>
                    <w:rPr>
                      <w:rFonts w:hint="default" w:ascii="Times New Roman" w:hAnsi="Times New Roman" w:cs="Times New Roman"/>
                      <w:sz w:val="21"/>
                      <w:szCs w:val="21"/>
                      <w:highlight w:val="none"/>
                      <w:lang w:val="zh-CN" w:eastAsia="zh-CN"/>
                    </w:rPr>
                    <w:t>（</w:t>
                  </w:r>
                  <w:r>
                    <w:rPr>
                      <w:rFonts w:hint="default" w:ascii="Times New Roman" w:hAnsi="Times New Roman" w:cs="Times New Roman"/>
                      <w:sz w:val="21"/>
                      <w:szCs w:val="21"/>
                      <w:highlight w:val="none"/>
                    </w:rPr>
                    <w:t>一般固废间</w:t>
                  </w:r>
                  <w:r>
                    <w:rPr>
                      <w:rFonts w:hint="default" w:ascii="Times New Roman" w:hAnsi="Times New Roman" w:cs="Times New Roman"/>
                      <w:sz w:val="21"/>
                      <w:szCs w:val="21"/>
                      <w:highlight w:val="none"/>
                      <w:lang w:val="zh-CN" w:eastAsia="zh-CN"/>
                    </w:rPr>
                    <w:t>）</w:t>
                  </w:r>
                </w:p>
              </w:tc>
              <w:tc>
                <w:tcPr>
                  <w:tcW w:w="2925" w:type="dxa"/>
                  <w:gridSpan w:val="3"/>
                  <w:tcBorders>
                    <w:tl2br w:val="nil"/>
                    <w:tr2bl w:val="nil"/>
                  </w:tcBorders>
                  <w:noWrap w:val="0"/>
                  <w:vAlign w:val="center"/>
                </w:tcPr>
                <w:p w14:paraId="6E9D67E3">
                  <w:pPr>
                    <w:pStyle w:val="24"/>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kern w:val="28"/>
                      <w:sz w:val="21"/>
                      <w:szCs w:val="21"/>
                      <w:highlight w:val="none"/>
                      <w:lang w:val="en-US" w:eastAsia="zh-CN" w:bidi="ar-SA"/>
                    </w:rPr>
                  </w:pPr>
                  <w:r>
                    <w:rPr>
                      <w:rFonts w:hint="default" w:ascii="Times New Roman" w:hAnsi="Times New Roman" w:cs="Times New Roman"/>
                      <w:sz w:val="21"/>
                      <w:szCs w:val="21"/>
                      <w:highlight w:val="none"/>
                    </w:rPr>
                    <w:t>防渗层采用1.5m厚粘土铺底，再在上层铺设不小于10cm厚的抗渗混凝土进行防渗处理，要求防渗系数不大于1.0×10</w:t>
                  </w:r>
                  <w:r>
                    <w:rPr>
                      <w:rFonts w:hint="default" w:ascii="Times New Roman" w:hAnsi="Times New Roman" w:cs="Times New Roman"/>
                      <w:sz w:val="21"/>
                      <w:szCs w:val="21"/>
                      <w:highlight w:val="none"/>
                      <w:vertAlign w:val="superscript"/>
                    </w:rPr>
                    <w:t>-7</w:t>
                  </w:r>
                  <w:r>
                    <w:rPr>
                      <w:rFonts w:hint="default" w:ascii="Times New Roman" w:hAnsi="Times New Roman" w:cs="Times New Roman"/>
                      <w:sz w:val="21"/>
                      <w:szCs w:val="21"/>
                      <w:highlight w:val="none"/>
                    </w:rPr>
                    <w:t>cm/s。</w:t>
                  </w:r>
                </w:p>
              </w:tc>
              <w:tc>
                <w:tcPr>
                  <w:tcW w:w="870" w:type="dxa"/>
                  <w:vMerge w:val="continue"/>
                  <w:tcBorders>
                    <w:tl2br w:val="nil"/>
                    <w:tr2bl w:val="nil"/>
                  </w:tcBorders>
                  <w:noWrap w:val="0"/>
                  <w:vAlign w:val="center"/>
                </w:tcPr>
                <w:p w14:paraId="4F1ABDD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p>
              </w:tc>
              <w:tc>
                <w:tcPr>
                  <w:tcW w:w="2488" w:type="dxa"/>
                  <w:vMerge w:val="continue"/>
                  <w:tcBorders>
                    <w:tl2br w:val="nil"/>
                    <w:tr2bl w:val="nil"/>
                  </w:tcBorders>
                  <w:noWrap w:val="0"/>
                  <w:vAlign w:val="center"/>
                </w:tcPr>
                <w:p w14:paraId="2071BD4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p>
              </w:tc>
            </w:tr>
            <w:tr w14:paraId="31C3F0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795" w:hRule="atLeast"/>
                <w:jc w:val="center"/>
              </w:trPr>
              <w:tc>
                <w:tcPr>
                  <w:tcW w:w="503" w:type="dxa"/>
                  <w:vMerge w:val="continue"/>
                  <w:tcBorders>
                    <w:tl2br w:val="nil"/>
                    <w:tr2bl w:val="nil"/>
                  </w:tcBorders>
                  <w:noWrap w:val="0"/>
                  <w:vAlign w:val="center"/>
                </w:tcPr>
                <w:p w14:paraId="2D57FB4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eastAsia="zh-CN"/>
                    </w:rPr>
                  </w:pPr>
                </w:p>
              </w:tc>
              <w:tc>
                <w:tcPr>
                  <w:tcW w:w="1540" w:type="dxa"/>
                  <w:gridSpan w:val="3"/>
                  <w:tcBorders>
                    <w:tl2br w:val="nil"/>
                    <w:tr2bl w:val="nil"/>
                  </w:tcBorders>
                  <w:noWrap w:val="0"/>
                  <w:vAlign w:val="center"/>
                </w:tcPr>
                <w:p w14:paraId="19524E52">
                  <w:pPr>
                    <w:pStyle w:val="24"/>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kern w:val="28"/>
                      <w:sz w:val="21"/>
                      <w:szCs w:val="21"/>
                      <w:highlight w:val="none"/>
                      <w:lang w:val="en-US" w:eastAsia="zh-CN" w:bidi="ar-SA"/>
                    </w:rPr>
                  </w:pPr>
                  <w:r>
                    <w:rPr>
                      <w:rFonts w:hint="default" w:ascii="Times New Roman" w:hAnsi="Times New Roman" w:cs="Times New Roman"/>
                      <w:sz w:val="21"/>
                      <w:szCs w:val="21"/>
                      <w:highlight w:val="none"/>
                      <w:lang w:val="en-US" w:eastAsia="zh-CN"/>
                    </w:rPr>
                    <w:t>简单防渗区</w:t>
                  </w:r>
                </w:p>
              </w:tc>
              <w:tc>
                <w:tcPr>
                  <w:tcW w:w="2925" w:type="dxa"/>
                  <w:gridSpan w:val="3"/>
                  <w:tcBorders>
                    <w:tl2br w:val="nil"/>
                    <w:tr2bl w:val="nil"/>
                  </w:tcBorders>
                  <w:noWrap w:val="0"/>
                  <w:vAlign w:val="center"/>
                </w:tcPr>
                <w:p w14:paraId="6451C802">
                  <w:pPr>
                    <w:keepNext w:val="0"/>
                    <w:keepLines w:val="0"/>
                    <w:pageBreakBefore w:val="0"/>
                    <w:widowControl/>
                    <w:kinsoku/>
                    <w:wordWrap w:val="0"/>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宋体" w:cs="Times New Roman"/>
                      <w:bCs/>
                      <w:kern w:val="28"/>
                      <w:sz w:val="21"/>
                      <w:szCs w:val="21"/>
                      <w:highlight w:val="none"/>
                      <w:lang w:val="en-US" w:eastAsia="zh-CN" w:bidi="ar-SA"/>
                    </w:rPr>
                  </w:pPr>
                  <w:r>
                    <w:rPr>
                      <w:rFonts w:hint="default" w:ascii="Times New Roman" w:hAnsi="Times New Roman" w:cs="Times New Roman"/>
                      <w:sz w:val="21"/>
                      <w:szCs w:val="21"/>
                      <w:highlight w:val="none"/>
                    </w:rPr>
                    <w:t>除上述区域外，项目厂房内</w:t>
                  </w:r>
                  <w:r>
                    <w:rPr>
                      <w:rFonts w:hint="eastAsia" w:ascii="Times New Roman" w:hAnsi="Times New Roman" w:cs="Times New Roman"/>
                      <w:sz w:val="21"/>
                      <w:szCs w:val="21"/>
                      <w:highlight w:val="none"/>
                      <w:lang w:eastAsia="zh-CN"/>
                    </w:rPr>
                    <w:t>其他</w:t>
                  </w:r>
                  <w:r>
                    <w:rPr>
                      <w:rFonts w:hint="default" w:ascii="Times New Roman" w:hAnsi="Times New Roman" w:cs="Times New Roman"/>
                      <w:sz w:val="21"/>
                      <w:szCs w:val="21"/>
                      <w:highlight w:val="none"/>
                    </w:rPr>
                    <w:t>区域进行地面硬化即可。</w:t>
                  </w:r>
                </w:p>
              </w:tc>
              <w:tc>
                <w:tcPr>
                  <w:tcW w:w="870" w:type="dxa"/>
                  <w:vMerge w:val="continue"/>
                  <w:tcBorders>
                    <w:tl2br w:val="nil"/>
                    <w:tr2bl w:val="nil"/>
                  </w:tcBorders>
                  <w:noWrap w:val="0"/>
                  <w:vAlign w:val="center"/>
                </w:tcPr>
                <w:p w14:paraId="0847010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p>
              </w:tc>
              <w:tc>
                <w:tcPr>
                  <w:tcW w:w="2488" w:type="dxa"/>
                  <w:vMerge w:val="continue"/>
                  <w:tcBorders>
                    <w:tl2br w:val="nil"/>
                    <w:tr2bl w:val="nil"/>
                  </w:tcBorders>
                  <w:noWrap w:val="0"/>
                  <w:vAlign w:val="center"/>
                </w:tcPr>
                <w:p w14:paraId="72CB007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p>
              </w:tc>
            </w:tr>
            <w:tr w14:paraId="60EAEF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5721" w:hRule="atLeast"/>
                <w:jc w:val="center"/>
              </w:trPr>
              <w:tc>
                <w:tcPr>
                  <w:tcW w:w="503" w:type="dxa"/>
                  <w:tcBorders>
                    <w:tl2br w:val="nil"/>
                    <w:tr2bl w:val="nil"/>
                  </w:tcBorders>
                  <w:noWrap w:val="0"/>
                  <w:vAlign w:val="center"/>
                </w:tcPr>
                <w:p w14:paraId="0724739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风险防范措施</w:t>
                  </w:r>
                </w:p>
              </w:tc>
              <w:tc>
                <w:tcPr>
                  <w:tcW w:w="4465" w:type="dxa"/>
                  <w:gridSpan w:val="6"/>
                  <w:tcBorders>
                    <w:tl2br w:val="nil"/>
                    <w:tr2bl w:val="nil"/>
                  </w:tcBorders>
                  <w:noWrap w:val="0"/>
                  <w:vAlign w:val="center"/>
                </w:tcPr>
                <w:p w14:paraId="1A92C8B5">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（1）项目危废间的建设和储存应严格按照《危险废物贮存污染控制标准》（GB18597-2023）进行，危险废物转运过程严格执行《危险废物转移管理办法》（生态环境部 公安部 交通运输部 部令第23号）的相关规定。</w:t>
                  </w:r>
                </w:p>
                <w:p w14:paraId="10F4CFFF">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（2）项目使用润滑油等现用现购，不在厂区内储存，更换下来的废润滑油及时收集后放入危废间暂存。</w:t>
                  </w:r>
                </w:p>
                <w:p w14:paraId="0BEA0DAD">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（3）生产车间、危废间内各个区域悬挂警示标志和禁火标志，配置手动报警按钮以及手提式灭火器等，厂房内规划安全疏散逃离线路，并且定期进行演练。</w:t>
                  </w:r>
                </w:p>
                <w:p w14:paraId="69DBE0C1">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（4）加强废气处理设施的维护，及时发现处理设备的隐患，确保废气处理系统正常运行；开、停、检修要有预案，有严密周全的计划，确保不发生事故排放或使影响最小。</w:t>
                  </w:r>
                </w:p>
                <w:p w14:paraId="3FCBE389">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（5）加强管理，对职工进行必要安全培训，事故应急培训、演练；在灾害发生的时候采取及时有效的应急救援行动，及系统恢复和善后处理。</w:t>
                  </w:r>
                </w:p>
                <w:p w14:paraId="379400CD">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（6）制定应急预案工作计划，设立事故应急处理小组，与当地政府有关的应急预案衔接并建立正常的定期联络制度。</w:t>
                  </w:r>
                </w:p>
              </w:tc>
              <w:tc>
                <w:tcPr>
                  <w:tcW w:w="870" w:type="dxa"/>
                  <w:tcBorders>
                    <w:tl2br w:val="nil"/>
                    <w:tr2bl w:val="nil"/>
                  </w:tcBorders>
                  <w:noWrap w:val="0"/>
                  <w:vAlign w:val="center"/>
                </w:tcPr>
                <w:p w14:paraId="3818F8F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w:t>
                  </w:r>
                </w:p>
              </w:tc>
              <w:tc>
                <w:tcPr>
                  <w:tcW w:w="2488" w:type="dxa"/>
                  <w:tcBorders>
                    <w:tl2br w:val="nil"/>
                    <w:tr2bl w:val="nil"/>
                  </w:tcBorders>
                  <w:noWrap w:val="0"/>
                  <w:vAlign w:val="center"/>
                </w:tcPr>
                <w:p w14:paraId="48895555">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97B03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385" w:hRule="atLeast"/>
                <w:jc w:val="center"/>
              </w:trPr>
              <w:tc>
                <w:tcPr>
                  <w:tcW w:w="4968" w:type="dxa"/>
                  <w:gridSpan w:val="7"/>
                  <w:tcBorders>
                    <w:tl2br w:val="nil"/>
                    <w:tr2bl w:val="nil"/>
                  </w:tcBorders>
                  <w:noWrap w:val="0"/>
                  <w:vAlign w:val="center"/>
                </w:tcPr>
                <w:p w14:paraId="42F901AF">
                  <w:pPr>
                    <w:pStyle w:val="21"/>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val="0"/>
                      <w:color w:val="000000"/>
                      <w:kern w:val="0"/>
                      <w:sz w:val="21"/>
                      <w:szCs w:val="21"/>
                      <w:highlight w:val="none"/>
                      <w:lang w:val="en-US" w:eastAsia="zh-CN" w:bidi="ar-SA"/>
                    </w:rPr>
                  </w:pPr>
                  <w:r>
                    <w:rPr>
                      <w:rFonts w:hint="default" w:ascii="Times New Roman" w:hAnsi="Times New Roman" w:cs="Times New Roman"/>
                      <w:bCs w:val="0"/>
                      <w:sz w:val="21"/>
                      <w:szCs w:val="21"/>
                      <w:highlight w:val="none"/>
                    </w:rPr>
                    <w:t>合计</w:t>
                  </w:r>
                </w:p>
              </w:tc>
              <w:tc>
                <w:tcPr>
                  <w:tcW w:w="3358" w:type="dxa"/>
                  <w:gridSpan w:val="2"/>
                  <w:tcBorders>
                    <w:tl2br w:val="nil"/>
                    <w:tr2bl w:val="nil"/>
                  </w:tcBorders>
                  <w:noWrap w:val="0"/>
                  <w:vAlign w:val="center"/>
                </w:tcPr>
                <w:p w14:paraId="1F77BCA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26</w:t>
                  </w:r>
                </w:p>
              </w:tc>
            </w:tr>
            <w:tr w14:paraId="617701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370" w:hRule="atLeast"/>
                <w:jc w:val="center"/>
              </w:trPr>
              <w:tc>
                <w:tcPr>
                  <w:tcW w:w="4968" w:type="dxa"/>
                  <w:gridSpan w:val="7"/>
                  <w:tcBorders>
                    <w:tl2br w:val="nil"/>
                    <w:tr2bl w:val="nil"/>
                  </w:tcBorders>
                  <w:noWrap w:val="0"/>
                  <w:vAlign w:val="center"/>
                </w:tcPr>
                <w:p w14:paraId="7C98E3B4">
                  <w:pPr>
                    <w:pStyle w:val="21"/>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val="0"/>
                      <w:color w:val="000000"/>
                      <w:kern w:val="0"/>
                      <w:sz w:val="21"/>
                      <w:szCs w:val="21"/>
                      <w:highlight w:val="none"/>
                      <w:lang w:val="en-US" w:eastAsia="zh-CN" w:bidi="ar-SA"/>
                    </w:rPr>
                  </w:pPr>
                  <w:r>
                    <w:rPr>
                      <w:rFonts w:hint="default" w:ascii="Times New Roman" w:hAnsi="Times New Roman" w:cs="Times New Roman"/>
                      <w:bCs w:val="0"/>
                      <w:sz w:val="21"/>
                      <w:szCs w:val="21"/>
                      <w:highlight w:val="none"/>
                    </w:rPr>
                    <w:t>总投资</w:t>
                  </w:r>
                </w:p>
              </w:tc>
              <w:tc>
                <w:tcPr>
                  <w:tcW w:w="3358" w:type="dxa"/>
                  <w:gridSpan w:val="2"/>
                  <w:tcBorders>
                    <w:tl2br w:val="nil"/>
                    <w:tr2bl w:val="nil"/>
                  </w:tcBorders>
                  <w:noWrap w:val="0"/>
                  <w:vAlign w:val="center"/>
                </w:tcPr>
                <w:p w14:paraId="4F3086A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eastAsia" w:ascii="Times New Roman" w:hAnsi="Times New Roman" w:cs="Times New Roman"/>
                      <w:bCs w:val="0"/>
                      <w:sz w:val="21"/>
                      <w:szCs w:val="21"/>
                      <w:highlight w:val="none"/>
                      <w:lang w:val="en-US" w:eastAsia="zh-CN"/>
                    </w:rPr>
                    <w:t>5</w:t>
                  </w:r>
                  <w:r>
                    <w:rPr>
                      <w:rFonts w:hint="default" w:ascii="Times New Roman" w:hAnsi="Times New Roman" w:cs="Times New Roman"/>
                      <w:bCs w:val="0"/>
                      <w:sz w:val="21"/>
                      <w:szCs w:val="21"/>
                      <w:highlight w:val="none"/>
                      <w:lang w:val="en-US" w:eastAsia="zh-CN"/>
                    </w:rPr>
                    <w:t>00</w:t>
                  </w:r>
                </w:p>
              </w:tc>
            </w:tr>
            <w:tr w14:paraId="357FED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30" w:hRule="atLeast"/>
                <w:jc w:val="center"/>
              </w:trPr>
              <w:tc>
                <w:tcPr>
                  <w:tcW w:w="4968" w:type="dxa"/>
                  <w:gridSpan w:val="7"/>
                  <w:tcBorders>
                    <w:tl2br w:val="nil"/>
                    <w:tr2bl w:val="nil"/>
                  </w:tcBorders>
                  <w:noWrap w:val="0"/>
                  <w:vAlign w:val="center"/>
                </w:tcPr>
                <w:p w14:paraId="04D548BB">
                  <w:pPr>
                    <w:pStyle w:val="21"/>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eastAsia="宋体" w:cs="Times New Roman"/>
                      <w:bCs w:val="0"/>
                      <w:color w:val="000000"/>
                      <w:kern w:val="0"/>
                      <w:sz w:val="21"/>
                      <w:szCs w:val="21"/>
                      <w:highlight w:val="none"/>
                      <w:lang w:val="en-US" w:eastAsia="zh-CN" w:bidi="ar-SA"/>
                    </w:rPr>
                  </w:pPr>
                  <w:r>
                    <w:rPr>
                      <w:rFonts w:hint="default" w:ascii="Times New Roman" w:hAnsi="Times New Roman" w:cs="Times New Roman"/>
                      <w:bCs w:val="0"/>
                      <w:sz w:val="21"/>
                      <w:szCs w:val="21"/>
                      <w:highlight w:val="none"/>
                    </w:rPr>
                    <w:t>环保投资占总投资的比例</w:t>
                  </w:r>
                </w:p>
              </w:tc>
              <w:tc>
                <w:tcPr>
                  <w:tcW w:w="3358" w:type="dxa"/>
                  <w:gridSpan w:val="2"/>
                  <w:tcBorders>
                    <w:tl2br w:val="nil"/>
                    <w:tr2bl w:val="nil"/>
                  </w:tcBorders>
                  <w:noWrap w:val="0"/>
                  <w:vAlign w:val="center"/>
                </w:tcPr>
                <w:p w14:paraId="117DDEA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eastAsia" w:cs="Times New Roman"/>
                      <w:bCs w:val="0"/>
                      <w:sz w:val="21"/>
                      <w:szCs w:val="21"/>
                      <w:highlight w:val="none"/>
                      <w:lang w:val="en-US" w:eastAsia="zh-CN"/>
                    </w:rPr>
                    <w:t>5.2</w:t>
                  </w:r>
                  <w:r>
                    <w:rPr>
                      <w:rFonts w:hint="default" w:ascii="Times New Roman" w:hAnsi="Times New Roman" w:cs="Times New Roman"/>
                      <w:bCs w:val="0"/>
                      <w:sz w:val="21"/>
                      <w:szCs w:val="21"/>
                      <w:highlight w:val="none"/>
                      <w:lang w:val="en-US" w:eastAsia="zh-CN"/>
                    </w:rPr>
                    <w:t>%</w:t>
                  </w:r>
                </w:p>
              </w:tc>
            </w:tr>
          </w:tbl>
          <w:p w14:paraId="4FEC48D7">
            <w:pPr>
              <w:pStyle w:val="26"/>
              <w:ind w:firstLine="480"/>
              <w:rPr>
                <w:rFonts w:hint="default" w:ascii="Times New Roman" w:hAnsi="Times New Roman" w:cs="Times New Roman"/>
              </w:rPr>
            </w:pPr>
          </w:p>
        </w:tc>
      </w:tr>
    </w:tbl>
    <w:p w14:paraId="72ECB57C">
      <w:pPr>
        <w:ind w:firstLine="480"/>
        <w:rPr>
          <w:rFonts w:hint="default" w:ascii="Times New Roman" w:hAnsi="Times New Roman" w:cs="Times New Roman"/>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6B5FA289">
      <w:pPr>
        <w:keepNext w:val="0"/>
        <w:keepLines w:val="0"/>
        <w:pageBreakBefore w:val="0"/>
        <w:widowControl/>
        <w:numPr>
          <w:ilvl w:val="0"/>
          <w:numId w:val="8"/>
        </w:numPr>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eastAsia" w:ascii="黑体" w:hAnsi="黑体" w:eastAsia="黑体" w:cs="黑体"/>
          <w:b w:val="0"/>
          <w:bCs w:val="0"/>
          <w:snapToGrid w:val="0"/>
          <w:sz w:val="30"/>
          <w:szCs w:val="30"/>
          <w:highlight w:val="none"/>
        </w:rPr>
      </w:pPr>
      <w:r>
        <w:rPr>
          <w:rFonts w:hint="eastAsia" w:ascii="黑体" w:hAnsi="黑体" w:eastAsia="黑体" w:cs="黑体"/>
          <w:b w:val="0"/>
          <w:bCs w:val="0"/>
          <w:snapToGrid w:val="0"/>
          <w:sz w:val="30"/>
          <w:szCs w:val="30"/>
          <w:highlight w:val="none"/>
        </w:rPr>
        <w:t>环境保护措施监督检查清单</w:t>
      </w:r>
    </w:p>
    <w:tbl>
      <w:tblPr>
        <w:tblStyle w:val="15"/>
        <w:tblW w:w="981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827"/>
        <w:gridCol w:w="840"/>
        <w:gridCol w:w="930"/>
        <w:gridCol w:w="1110"/>
        <w:gridCol w:w="1065"/>
        <w:gridCol w:w="1693"/>
        <w:gridCol w:w="3349"/>
      </w:tblGrid>
      <w:tr w14:paraId="3B1535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1139" w:hRule="atLeast"/>
          <w:jc w:val="center"/>
        </w:trPr>
        <w:tc>
          <w:tcPr>
            <w:tcW w:w="827" w:type="dxa"/>
            <w:tcBorders>
              <w:tl2br w:val="single" w:color="auto" w:sz="8" w:space="0"/>
            </w:tcBorders>
            <w:noWrap w:val="0"/>
            <w:vAlign w:val="center"/>
          </w:tcPr>
          <w:p w14:paraId="43FEBC0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 xml:space="preserve">   内容</w:t>
            </w:r>
          </w:p>
          <w:p w14:paraId="3C51B49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类别</w:t>
            </w:r>
          </w:p>
        </w:tc>
        <w:tc>
          <w:tcPr>
            <w:tcW w:w="1770" w:type="dxa"/>
            <w:gridSpan w:val="2"/>
            <w:tcBorders>
              <w:tl2br w:val="nil"/>
              <w:tr2bl w:val="nil"/>
            </w:tcBorders>
            <w:noWrap w:val="0"/>
            <w:vAlign w:val="center"/>
          </w:tcPr>
          <w:p w14:paraId="580F7C2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eastAsia="zh-CN"/>
              </w:rPr>
              <w:t>排放口（编号、</w:t>
            </w:r>
          </w:p>
          <w:p w14:paraId="74D5BC2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eastAsia="zh-CN"/>
              </w:rPr>
              <w:t>名称）</w:t>
            </w:r>
            <w:r>
              <w:rPr>
                <w:rFonts w:hint="eastAsia" w:ascii="Times New Roman" w:hAnsi="Times New Roman" w:eastAsia="宋体" w:cs="Times New Roman"/>
                <w:sz w:val="21"/>
                <w:szCs w:val="21"/>
                <w:highlight w:val="none"/>
                <w:lang w:val="en-US" w:eastAsia="zh-CN"/>
              </w:rPr>
              <w:t>/污染源</w:t>
            </w:r>
          </w:p>
        </w:tc>
        <w:tc>
          <w:tcPr>
            <w:tcW w:w="1110" w:type="dxa"/>
            <w:tcBorders>
              <w:tl2br w:val="nil"/>
              <w:tr2bl w:val="nil"/>
            </w:tcBorders>
            <w:noWrap w:val="0"/>
            <w:vAlign w:val="center"/>
          </w:tcPr>
          <w:p w14:paraId="0057BF0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eastAsia"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污染</w:t>
            </w:r>
            <w:r>
              <w:rPr>
                <w:rFonts w:hint="eastAsia" w:ascii="Times New Roman" w:hAnsi="Times New Roman" w:eastAsia="宋体" w:cs="Times New Roman"/>
                <w:sz w:val="21"/>
                <w:szCs w:val="21"/>
                <w:highlight w:val="none"/>
                <w:lang w:eastAsia="zh-CN"/>
              </w:rPr>
              <w:t>项目</w:t>
            </w:r>
          </w:p>
        </w:tc>
        <w:tc>
          <w:tcPr>
            <w:tcW w:w="2758" w:type="dxa"/>
            <w:gridSpan w:val="2"/>
            <w:tcBorders>
              <w:tl2br w:val="nil"/>
              <w:tr2bl w:val="nil"/>
            </w:tcBorders>
            <w:noWrap w:val="0"/>
            <w:vAlign w:val="center"/>
          </w:tcPr>
          <w:p w14:paraId="6C0EC20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eastAsia="zh-CN"/>
              </w:rPr>
              <w:t>环保</w:t>
            </w:r>
            <w:r>
              <w:rPr>
                <w:rFonts w:hint="default" w:ascii="Times New Roman" w:hAnsi="Times New Roman" w:eastAsia="宋体" w:cs="Times New Roman"/>
                <w:sz w:val="21"/>
                <w:szCs w:val="21"/>
                <w:highlight w:val="none"/>
              </w:rPr>
              <w:t>治理措施</w:t>
            </w:r>
          </w:p>
        </w:tc>
        <w:tc>
          <w:tcPr>
            <w:tcW w:w="3349" w:type="dxa"/>
            <w:tcBorders>
              <w:tl2br w:val="nil"/>
              <w:tr2bl w:val="nil"/>
            </w:tcBorders>
            <w:noWrap w:val="0"/>
            <w:vAlign w:val="center"/>
          </w:tcPr>
          <w:p w14:paraId="144FABA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验收标准</w:t>
            </w:r>
          </w:p>
        </w:tc>
      </w:tr>
      <w:tr w14:paraId="71A130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10" w:hRule="atLeast"/>
          <w:jc w:val="center"/>
        </w:trPr>
        <w:tc>
          <w:tcPr>
            <w:tcW w:w="827" w:type="dxa"/>
            <w:vMerge w:val="restart"/>
            <w:tcBorders>
              <w:tl2br w:val="nil"/>
              <w:tr2bl w:val="nil"/>
            </w:tcBorders>
            <w:noWrap w:val="0"/>
            <w:vAlign w:val="center"/>
          </w:tcPr>
          <w:p w14:paraId="54E5A97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eastAsia="zh-CN"/>
              </w:rPr>
              <w:t>大气</w:t>
            </w:r>
          </w:p>
          <w:p w14:paraId="0C952B48">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eastAsia="zh-CN"/>
              </w:rPr>
              <w:t>环境</w:t>
            </w:r>
          </w:p>
        </w:tc>
        <w:tc>
          <w:tcPr>
            <w:tcW w:w="840" w:type="dxa"/>
            <w:vMerge w:val="restart"/>
            <w:tcBorders>
              <w:tl2br w:val="nil"/>
              <w:tr2bl w:val="nil"/>
            </w:tcBorders>
            <w:noWrap w:val="0"/>
            <w:vAlign w:val="center"/>
          </w:tcPr>
          <w:p w14:paraId="5767512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val="en-US" w:eastAsia="zh-CN"/>
              </w:rPr>
            </w:pPr>
            <w:r>
              <w:rPr>
                <w:rFonts w:hint="eastAsia" w:cs="Times New Roman"/>
                <w:sz w:val="21"/>
                <w:szCs w:val="21"/>
                <w:highlight w:val="none"/>
                <w:lang w:val="en-US" w:eastAsia="zh-CN"/>
              </w:rPr>
              <w:t>加热成</w:t>
            </w:r>
          </w:p>
          <w:p w14:paraId="1AF1AF8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eastAsia" w:cs="Times New Roman"/>
                <w:sz w:val="21"/>
                <w:szCs w:val="21"/>
                <w:highlight w:val="none"/>
                <w:lang w:val="en-US" w:eastAsia="zh-CN"/>
              </w:rPr>
              <w:t>型工序</w:t>
            </w:r>
          </w:p>
        </w:tc>
        <w:tc>
          <w:tcPr>
            <w:tcW w:w="930" w:type="dxa"/>
            <w:vMerge w:val="restart"/>
            <w:tcBorders>
              <w:tl2br w:val="nil"/>
              <w:tr2bl w:val="nil"/>
            </w:tcBorders>
            <w:noWrap w:val="0"/>
            <w:vAlign w:val="center"/>
          </w:tcPr>
          <w:p w14:paraId="2E43569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r>
              <w:rPr>
                <w:rFonts w:hint="eastAsia" w:cs="Times New Roman"/>
                <w:sz w:val="21"/>
                <w:szCs w:val="21"/>
                <w:highlight w:val="none"/>
                <w:lang w:eastAsia="zh-CN"/>
              </w:rPr>
              <w:t>加热成</w:t>
            </w:r>
          </w:p>
          <w:p w14:paraId="13D4AA5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eastAsia" w:cs="Times New Roman"/>
                <w:sz w:val="21"/>
                <w:szCs w:val="21"/>
                <w:highlight w:val="none"/>
                <w:lang w:eastAsia="zh-CN"/>
              </w:rPr>
              <w:t>型废气</w:t>
            </w:r>
          </w:p>
        </w:tc>
        <w:tc>
          <w:tcPr>
            <w:tcW w:w="1110" w:type="dxa"/>
            <w:tcBorders>
              <w:tl2br w:val="nil"/>
              <w:tr2bl w:val="nil"/>
            </w:tcBorders>
            <w:noWrap w:val="0"/>
            <w:vAlign w:val="center"/>
          </w:tcPr>
          <w:p w14:paraId="7E7BB81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bidi="ar-SA"/>
              </w:rPr>
              <w:t>非甲烷总烃</w:t>
            </w:r>
          </w:p>
        </w:tc>
        <w:tc>
          <w:tcPr>
            <w:tcW w:w="1065" w:type="dxa"/>
            <w:vMerge w:val="restart"/>
            <w:tcBorders>
              <w:tl2br w:val="nil"/>
              <w:tr2bl w:val="nil"/>
            </w:tcBorders>
            <w:noWrap w:val="0"/>
            <w:vAlign w:val="center"/>
          </w:tcPr>
          <w:p w14:paraId="109592E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sz w:val="21"/>
                <w:szCs w:val="21"/>
                <w:highlight w:val="none"/>
                <w:lang w:eastAsia="zh-CN"/>
              </w:rPr>
              <w:t>成型机二次封闭</w:t>
            </w:r>
            <w:r>
              <w:rPr>
                <w:rFonts w:hint="eastAsia" w:cs="Times New Roman"/>
                <w:sz w:val="21"/>
                <w:szCs w:val="21"/>
                <w:highlight w:val="none"/>
                <w:lang w:val="en-US" w:eastAsia="zh-CN"/>
              </w:rPr>
              <w:t>+集气罩</w:t>
            </w:r>
          </w:p>
        </w:tc>
        <w:tc>
          <w:tcPr>
            <w:tcW w:w="1693" w:type="dxa"/>
            <w:vMerge w:val="restart"/>
            <w:tcBorders>
              <w:tl2br w:val="nil"/>
              <w:tr2bl w:val="nil"/>
            </w:tcBorders>
            <w:noWrap w:val="0"/>
            <w:vAlign w:val="center"/>
          </w:tcPr>
          <w:p w14:paraId="0C4499F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两级活性炭吸附+15</w:t>
            </w:r>
            <w:r>
              <w:rPr>
                <w:rFonts w:hint="default" w:ascii="Times New Roman" w:hAnsi="Times New Roman" w:eastAsia="宋体" w:cs="Times New Roman"/>
                <w:sz w:val="21"/>
                <w:szCs w:val="21"/>
                <w:highlight w:val="none"/>
                <w:lang w:val="en-US" w:eastAsia="zh-CN"/>
              </w:rPr>
              <w:t>m高排气筒</w:t>
            </w:r>
          </w:p>
          <w:p w14:paraId="1471F3A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DA001</w:t>
            </w:r>
          </w:p>
        </w:tc>
        <w:tc>
          <w:tcPr>
            <w:tcW w:w="3349" w:type="dxa"/>
            <w:tcBorders>
              <w:tl2br w:val="nil"/>
              <w:tr2bl w:val="nil"/>
            </w:tcBorders>
            <w:noWrap w:val="0"/>
            <w:vAlign w:val="center"/>
          </w:tcPr>
          <w:p w14:paraId="1258060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u w:val="none" w:color="auto"/>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default" w:ascii="Times New Roman" w:hAnsi="Times New Roman" w:eastAsia="宋体" w:cs="Times New Roman"/>
                <w:highlight w:val="none"/>
              </w:rPr>
              <w:t>《河南省重污染天气</w:t>
            </w:r>
            <w:r>
              <w:rPr>
                <w:rFonts w:hint="eastAsia" w:ascii="Times New Roman" w:hAnsi="Times New Roman" w:eastAsia="宋体" w:cs="Times New Roman"/>
                <w:highlight w:val="none"/>
                <w:lang w:eastAsia="zh-CN"/>
              </w:rPr>
              <w:t>重点</w:t>
            </w:r>
            <w:r>
              <w:rPr>
                <w:rFonts w:hint="default" w:ascii="Times New Roman" w:hAnsi="Times New Roman" w:eastAsia="宋体" w:cs="Times New Roman"/>
                <w:highlight w:val="none"/>
              </w:rPr>
              <w:t>行业应急减排措施制定技术指南》（2024年修订版）</w:t>
            </w:r>
            <w:r>
              <w:rPr>
                <w:rFonts w:hint="eastAsia" w:ascii="Times New Roman" w:hAnsi="Times New Roman" w:cs="Times New Roman"/>
                <w:bCs/>
                <w:kern w:val="0"/>
                <w:sz w:val="21"/>
                <w:szCs w:val="20"/>
                <w:lang w:eastAsia="zh-CN"/>
              </w:rPr>
              <w:t>“塑料制品企业绩效分级指标”限值要求</w:t>
            </w:r>
          </w:p>
        </w:tc>
      </w:tr>
      <w:tr w14:paraId="60EDEB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10" w:hRule="atLeast"/>
          <w:jc w:val="center"/>
        </w:trPr>
        <w:tc>
          <w:tcPr>
            <w:tcW w:w="827" w:type="dxa"/>
            <w:vMerge w:val="continue"/>
            <w:tcBorders>
              <w:tl2br w:val="nil"/>
              <w:tr2bl w:val="nil"/>
            </w:tcBorders>
            <w:noWrap w:val="0"/>
            <w:vAlign w:val="center"/>
          </w:tcPr>
          <w:p w14:paraId="557694F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840" w:type="dxa"/>
            <w:vMerge w:val="continue"/>
            <w:tcBorders>
              <w:tl2br w:val="nil"/>
              <w:tr2bl w:val="nil"/>
            </w:tcBorders>
            <w:noWrap w:val="0"/>
            <w:vAlign w:val="center"/>
          </w:tcPr>
          <w:p w14:paraId="5BC50EA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930" w:type="dxa"/>
            <w:vMerge w:val="continue"/>
            <w:tcBorders>
              <w:tl2br w:val="nil"/>
              <w:tr2bl w:val="nil"/>
            </w:tcBorders>
            <w:noWrap w:val="0"/>
            <w:vAlign w:val="center"/>
          </w:tcPr>
          <w:p w14:paraId="5EC90C4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1110" w:type="dxa"/>
            <w:tcBorders>
              <w:tl2br w:val="nil"/>
              <w:tr2bl w:val="nil"/>
            </w:tcBorders>
            <w:noWrap w:val="0"/>
            <w:vAlign w:val="center"/>
          </w:tcPr>
          <w:p w14:paraId="622564F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r>
              <w:rPr>
                <w:rFonts w:hint="eastAsia" w:cs="Times New Roman"/>
                <w:kern w:val="0"/>
                <w:sz w:val="21"/>
                <w:szCs w:val="21"/>
                <w:highlight w:val="none"/>
                <w:lang w:val="en-US" w:eastAsia="zh-CN" w:bidi="ar-SA"/>
              </w:rPr>
              <w:t>苯乙烯</w:t>
            </w:r>
          </w:p>
        </w:tc>
        <w:tc>
          <w:tcPr>
            <w:tcW w:w="1065" w:type="dxa"/>
            <w:vMerge w:val="continue"/>
            <w:tcBorders>
              <w:tl2br w:val="nil"/>
              <w:tr2bl w:val="nil"/>
            </w:tcBorders>
            <w:noWrap w:val="0"/>
            <w:vAlign w:val="center"/>
          </w:tcPr>
          <w:p w14:paraId="61D4F42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1693" w:type="dxa"/>
            <w:vMerge w:val="continue"/>
            <w:tcBorders>
              <w:tl2br w:val="nil"/>
              <w:tr2bl w:val="nil"/>
            </w:tcBorders>
            <w:noWrap w:val="0"/>
            <w:vAlign w:val="center"/>
          </w:tcPr>
          <w:p w14:paraId="2FE0369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3349" w:type="dxa"/>
            <w:tcBorders>
              <w:tl2br w:val="nil"/>
              <w:tr2bl w:val="nil"/>
            </w:tcBorders>
            <w:noWrap w:val="0"/>
            <w:vAlign w:val="center"/>
          </w:tcPr>
          <w:p w14:paraId="347FCCD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cs="Times New Roman"/>
                <w:sz w:val="21"/>
                <w:szCs w:val="21"/>
                <w:highlight w:val="none"/>
                <w:u w:val="none" w:color="auto"/>
                <w:lang w:eastAsia="zh-CN"/>
              </w:rPr>
              <w:t>、</w:t>
            </w:r>
            <w:r>
              <w:rPr>
                <w:rFonts w:hint="default" w:ascii="Times New Roman" w:hAnsi="Times New Roman" w:cs="Times New Roman"/>
                <w:sz w:val="21"/>
                <w:szCs w:val="21"/>
                <w:highlight w:val="none"/>
                <w:u w:val="none" w:color="auto"/>
              </w:rPr>
              <w:t>《恶臭污染物排放标准》（GB 14554-93）的限值要求</w:t>
            </w:r>
          </w:p>
        </w:tc>
      </w:tr>
      <w:tr w14:paraId="20AA0C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10" w:hRule="atLeast"/>
          <w:jc w:val="center"/>
        </w:trPr>
        <w:tc>
          <w:tcPr>
            <w:tcW w:w="827" w:type="dxa"/>
            <w:vMerge w:val="continue"/>
            <w:tcBorders>
              <w:tl2br w:val="nil"/>
              <w:tr2bl w:val="nil"/>
            </w:tcBorders>
            <w:noWrap w:val="0"/>
            <w:vAlign w:val="center"/>
          </w:tcPr>
          <w:p w14:paraId="69AF3D9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840" w:type="dxa"/>
            <w:tcBorders>
              <w:tl2br w:val="nil"/>
              <w:tr2bl w:val="nil"/>
            </w:tcBorders>
            <w:noWrap w:val="0"/>
            <w:vAlign w:val="center"/>
          </w:tcPr>
          <w:p w14:paraId="494792C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eastAsia="宋体"/>
                <w:lang w:eastAsia="zh-CN"/>
              </w:rPr>
            </w:pPr>
            <w:r>
              <w:rPr>
                <w:rFonts w:hint="eastAsia"/>
                <w:lang w:eastAsia="zh-CN"/>
              </w:rPr>
              <w:t>危废间废气</w:t>
            </w:r>
          </w:p>
        </w:tc>
        <w:tc>
          <w:tcPr>
            <w:tcW w:w="930" w:type="dxa"/>
            <w:tcBorders>
              <w:tl2br w:val="nil"/>
              <w:tr2bl w:val="nil"/>
            </w:tcBorders>
            <w:noWrap w:val="0"/>
            <w:vAlign w:val="center"/>
          </w:tcPr>
          <w:p w14:paraId="21BBDF5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lang w:eastAsia="zh-CN"/>
              </w:rPr>
            </w:pPr>
            <w:r>
              <w:rPr>
                <w:rFonts w:hint="eastAsia"/>
                <w:lang w:eastAsia="zh-CN"/>
              </w:rPr>
              <w:t>危废间</w:t>
            </w:r>
          </w:p>
          <w:p w14:paraId="725F97F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lang w:eastAsia="zh-CN"/>
              </w:rPr>
            </w:pPr>
            <w:r>
              <w:rPr>
                <w:rFonts w:hint="eastAsia"/>
                <w:lang w:eastAsia="zh-CN"/>
              </w:rPr>
              <w:t>废气</w:t>
            </w:r>
          </w:p>
        </w:tc>
        <w:tc>
          <w:tcPr>
            <w:tcW w:w="1110" w:type="dxa"/>
            <w:tcBorders>
              <w:tl2br w:val="nil"/>
              <w:tr2bl w:val="nil"/>
            </w:tcBorders>
            <w:shd w:val="clear" w:color="auto" w:fill="auto"/>
            <w:noWrap w:val="0"/>
            <w:vAlign w:val="center"/>
          </w:tcPr>
          <w:p w14:paraId="6E4CD81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ascii="Times New Roman" w:hAnsi="Times New Roman" w:eastAsia="宋体" w:cs="Times New Roman"/>
                <w:snapToGrid/>
                <w:color w:val="000000"/>
                <w:kern w:val="0"/>
                <w:sz w:val="21"/>
                <w:szCs w:val="20"/>
                <w:lang w:val="en-US" w:eastAsia="zh-CN" w:bidi="ar-SA"/>
              </w:rPr>
            </w:pPr>
            <w:r>
              <w:rPr>
                <w:rFonts w:hint="eastAsia"/>
                <w:lang w:val="en-US" w:eastAsia="zh-CN"/>
              </w:rPr>
              <w:t>VOCs</w:t>
            </w:r>
          </w:p>
        </w:tc>
        <w:tc>
          <w:tcPr>
            <w:tcW w:w="1065" w:type="dxa"/>
            <w:tcBorders>
              <w:tl2br w:val="nil"/>
              <w:tr2bl w:val="nil"/>
            </w:tcBorders>
            <w:shd w:val="clear" w:color="auto" w:fill="auto"/>
            <w:noWrap w:val="0"/>
            <w:vAlign w:val="center"/>
          </w:tcPr>
          <w:p w14:paraId="5323C16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ascii="Times New Roman" w:hAnsi="Times New Roman" w:eastAsia="宋体" w:cs="Times New Roman"/>
                <w:snapToGrid/>
                <w:color w:val="000000"/>
                <w:kern w:val="0"/>
                <w:sz w:val="21"/>
                <w:szCs w:val="21"/>
                <w:highlight w:val="none"/>
                <w:lang w:val="en-US" w:eastAsia="zh-CN" w:bidi="ar-SA"/>
              </w:rPr>
            </w:pPr>
            <w:r>
              <w:rPr>
                <w:rFonts w:hint="eastAsia" w:cs="Times New Roman"/>
                <w:kern w:val="0"/>
                <w:sz w:val="21"/>
                <w:szCs w:val="21"/>
                <w:highlight w:val="none"/>
                <w:lang w:val="en-US" w:eastAsia="zh-CN" w:bidi="ar-SA"/>
              </w:rPr>
              <w:t>集气风管</w:t>
            </w:r>
          </w:p>
        </w:tc>
        <w:tc>
          <w:tcPr>
            <w:tcW w:w="1693" w:type="dxa"/>
            <w:vMerge w:val="continue"/>
            <w:tcBorders>
              <w:tl2br w:val="nil"/>
              <w:tr2bl w:val="nil"/>
            </w:tcBorders>
            <w:noWrap w:val="0"/>
            <w:vAlign w:val="center"/>
          </w:tcPr>
          <w:p w14:paraId="6B44FBA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kern w:val="0"/>
                <w:sz w:val="21"/>
                <w:szCs w:val="21"/>
                <w:highlight w:val="none"/>
                <w:lang w:val="en-US" w:eastAsia="zh-CN" w:bidi="ar-SA"/>
              </w:rPr>
            </w:pPr>
          </w:p>
        </w:tc>
        <w:tc>
          <w:tcPr>
            <w:tcW w:w="3349" w:type="dxa"/>
            <w:tcBorders>
              <w:tl2br w:val="nil"/>
              <w:tr2bl w:val="nil"/>
            </w:tcBorders>
            <w:noWrap w:val="0"/>
            <w:vAlign w:val="center"/>
          </w:tcPr>
          <w:p w14:paraId="2781DAE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u w:val="none" w:color="auto"/>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default" w:ascii="Times New Roman" w:hAnsi="Times New Roman" w:eastAsia="宋体" w:cs="Times New Roman"/>
                <w:highlight w:val="none"/>
              </w:rPr>
              <w:t>《河南省重污染天气</w:t>
            </w:r>
            <w:r>
              <w:rPr>
                <w:rFonts w:hint="eastAsia" w:ascii="Times New Roman" w:hAnsi="Times New Roman" w:eastAsia="宋体" w:cs="Times New Roman"/>
                <w:highlight w:val="none"/>
                <w:lang w:eastAsia="zh-CN"/>
              </w:rPr>
              <w:t>重点</w:t>
            </w:r>
            <w:r>
              <w:rPr>
                <w:rFonts w:hint="default" w:ascii="Times New Roman" w:hAnsi="Times New Roman" w:eastAsia="宋体" w:cs="Times New Roman"/>
                <w:highlight w:val="none"/>
              </w:rPr>
              <w:t>行业应急减排措施制定技术指南》（2024年修订版）</w:t>
            </w:r>
            <w:r>
              <w:rPr>
                <w:rFonts w:hint="eastAsia" w:ascii="Times New Roman" w:hAnsi="Times New Roman" w:cs="Times New Roman"/>
                <w:bCs/>
                <w:kern w:val="0"/>
                <w:sz w:val="21"/>
                <w:szCs w:val="20"/>
                <w:lang w:eastAsia="zh-CN"/>
              </w:rPr>
              <w:t>“塑料制品企业绩效分级指标”限值要求</w:t>
            </w:r>
          </w:p>
        </w:tc>
      </w:tr>
      <w:tr w14:paraId="1CDBA1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62" w:hRule="atLeast"/>
          <w:jc w:val="center"/>
        </w:trPr>
        <w:tc>
          <w:tcPr>
            <w:tcW w:w="827" w:type="dxa"/>
            <w:vMerge w:val="continue"/>
            <w:tcBorders>
              <w:tl2br w:val="nil"/>
              <w:tr2bl w:val="nil"/>
            </w:tcBorders>
            <w:noWrap w:val="0"/>
            <w:vAlign w:val="center"/>
          </w:tcPr>
          <w:p w14:paraId="5202B16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val="en-US" w:eastAsia="zh-CN"/>
              </w:rPr>
            </w:pPr>
          </w:p>
        </w:tc>
        <w:tc>
          <w:tcPr>
            <w:tcW w:w="1770" w:type="dxa"/>
            <w:gridSpan w:val="2"/>
            <w:vMerge w:val="restart"/>
            <w:tcBorders>
              <w:tl2br w:val="nil"/>
              <w:tr2bl w:val="nil"/>
            </w:tcBorders>
            <w:noWrap w:val="0"/>
            <w:vAlign w:val="center"/>
          </w:tcPr>
          <w:p w14:paraId="5A9B1DC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未被收集废气</w:t>
            </w:r>
          </w:p>
        </w:tc>
        <w:tc>
          <w:tcPr>
            <w:tcW w:w="1110" w:type="dxa"/>
            <w:tcBorders>
              <w:tl2br w:val="nil"/>
              <w:tr2bl w:val="nil"/>
            </w:tcBorders>
            <w:noWrap w:val="0"/>
            <w:vAlign w:val="center"/>
          </w:tcPr>
          <w:p w14:paraId="62C6146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eastAsia" w:cs="Times New Roman"/>
                <w:sz w:val="21"/>
                <w:szCs w:val="21"/>
                <w:highlight w:val="none"/>
                <w:lang w:eastAsia="zh-CN"/>
              </w:rPr>
              <w:t>非甲烷总烃</w:t>
            </w:r>
          </w:p>
        </w:tc>
        <w:tc>
          <w:tcPr>
            <w:tcW w:w="2758" w:type="dxa"/>
            <w:gridSpan w:val="2"/>
            <w:vMerge w:val="restart"/>
            <w:tcBorders>
              <w:tl2br w:val="nil"/>
              <w:tr2bl w:val="nil"/>
            </w:tcBorders>
            <w:noWrap w:val="0"/>
            <w:vAlign w:val="center"/>
          </w:tcPr>
          <w:p w14:paraId="7461C57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b w:val="0"/>
                <w:bCs/>
                <w:i w:val="0"/>
                <w:color w:val="auto"/>
                <w:sz w:val="21"/>
                <w:szCs w:val="21"/>
                <w:u w:val="none" w:color="auto"/>
                <w:lang w:val="en-US" w:eastAsia="zh-CN"/>
              </w:rPr>
              <w:t>加强废气处理设施</w:t>
            </w:r>
            <w:r>
              <w:rPr>
                <w:rFonts w:hint="eastAsia" w:ascii="Times New Roman" w:hAnsi="Times New Roman" w:eastAsia="宋体" w:cs="Times New Roman"/>
                <w:b w:val="0"/>
                <w:bCs/>
                <w:i w:val="0"/>
                <w:color w:val="auto"/>
                <w:sz w:val="21"/>
                <w:szCs w:val="21"/>
                <w:u w:val="none" w:color="auto"/>
                <w:lang w:val="en-US" w:eastAsia="zh-CN"/>
              </w:rPr>
              <w:t>和生产设备</w:t>
            </w:r>
            <w:r>
              <w:rPr>
                <w:rFonts w:hint="default" w:ascii="Times New Roman" w:hAnsi="Times New Roman" w:eastAsia="宋体" w:cs="Times New Roman"/>
                <w:b w:val="0"/>
                <w:bCs/>
                <w:i w:val="0"/>
                <w:color w:val="auto"/>
                <w:sz w:val="21"/>
                <w:szCs w:val="21"/>
                <w:u w:val="none" w:color="auto"/>
                <w:lang w:val="en-US" w:eastAsia="zh-CN"/>
              </w:rPr>
              <w:t>的</w:t>
            </w:r>
            <w:r>
              <w:rPr>
                <w:rFonts w:hint="eastAsia" w:ascii="Times New Roman" w:hAnsi="Times New Roman" w:eastAsia="宋体" w:cs="Times New Roman"/>
                <w:b w:val="0"/>
                <w:bCs/>
                <w:i w:val="0"/>
                <w:color w:val="auto"/>
                <w:sz w:val="21"/>
                <w:szCs w:val="21"/>
                <w:u w:val="none" w:color="auto"/>
                <w:lang w:val="en-US" w:eastAsia="zh-CN"/>
              </w:rPr>
              <w:t>检查和</w:t>
            </w:r>
            <w:r>
              <w:rPr>
                <w:rFonts w:hint="default" w:ascii="Times New Roman" w:hAnsi="Times New Roman" w:eastAsia="宋体" w:cs="Times New Roman"/>
                <w:b w:val="0"/>
                <w:bCs/>
                <w:i w:val="0"/>
                <w:color w:val="auto"/>
                <w:sz w:val="21"/>
                <w:szCs w:val="21"/>
                <w:u w:val="none" w:color="auto"/>
                <w:lang w:val="en-US" w:eastAsia="zh-CN"/>
              </w:rPr>
              <w:t>维护，提高集气效率；</w:t>
            </w:r>
            <w:r>
              <w:rPr>
                <w:rFonts w:hint="eastAsia" w:ascii="Times New Roman" w:hAnsi="Times New Roman" w:eastAsia="宋体" w:cs="Times New Roman"/>
                <w:b w:val="0"/>
                <w:bCs/>
                <w:i w:val="0"/>
                <w:color w:val="auto"/>
                <w:sz w:val="21"/>
                <w:szCs w:val="21"/>
                <w:u w:val="none" w:color="auto"/>
                <w:lang w:val="en-US" w:eastAsia="zh-CN"/>
              </w:rPr>
              <w:t>加强车间密闭，</w:t>
            </w:r>
            <w:r>
              <w:rPr>
                <w:rFonts w:hint="default" w:ascii="Times New Roman" w:hAnsi="Times New Roman" w:eastAsia="宋体" w:cs="Times New Roman"/>
                <w:b w:val="0"/>
                <w:bCs/>
                <w:i w:val="0"/>
                <w:color w:val="auto"/>
                <w:sz w:val="21"/>
                <w:szCs w:val="21"/>
                <w:u w:val="none" w:color="auto"/>
                <w:lang w:val="en-US" w:eastAsia="zh-CN"/>
              </w:rPr>
              <w:t>安装视频监控，设置台账记录</w:t>
            </w:r>
          </w:p>
        </w:tc>
        <w:tc>
          <w:tcPr>
            <w:tcW w:w="3349" w:type="dxa"/>
            <w:tcBorders>
              <w:tl2br w:val="nil"/>
              <w:tr2bl w:val="nil"/>
            </w:tcBorders>
            <w:noWrap w:val="0"/>
            <w:vAlign w:val="center"/>
          </w:tcPr>
          <w:p w14:paraId="364C6D1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cs="Times New Roman"/>
                <w:b w:val="0"/>
                <w:bCs/>
                <w:color w:val="000000"/>
                <w:kern w:val="2"/>
                <w:sz w:val="21"/>
                <w:szCs w:val="21"/>
                <w:highlight w:val="none"/>
                <w:u w:val="none" w:color="auto"/>
                <w:lang w:val="en-US" w:eastAsia="zh-CN" w:bidi="ar-SA"/>
              </w:rPr>
              <w:t>、《关于河南省开展工业企业挥发性有机物专项治理工作中排放建议值的通知》豫环攻坚办[2017]162号、</w:t>
            </w:r>
            <w:r>
              <w:rPr>
                <w:rFonts w:hint="eastAsia" w:ascii="Times New Roman" w:hAnsi="Times New Roman" w:eastAsia="宋体" w:cs="Times New Roman"/>
                <w:sz w:val="21"/>
                <w:lang w:eastAsia="zh-CN"/>
              </w:rPr>
              <w:t>《挥发性有机物无组织排放控制标准》（GB37822-2019）</w:t>
            </w:r>
            <w:r>
              <w:rPr>
                <w:rFonts w:hint="eastAsia" w:cs="Times New Roman"/>
                <w:b w:val="0"/>
                <w:bCs/>
                <w:color w:val="000000"/>
                <w:kern w:val="2"/>
                <w:sz w:val="21"/>
                <w:szCs w:val="21"/>
                <w:highlight w:val="none"/>
                <w:u w:val="none" w:color="auto"/>
                <w:lang w:val="en-US" w:eastAsia="zh-CN" w:bidi="ar-SA"/>
              </w:rPr>
              <w:t>、</w:t>
            </w:r>
            <w:r>
              <w:rPr>
                <w:rFonts w:hint="eastAsia" w:cs="Times New Roman"/>
                <w:bCs/>
                <w:kern w:val="0"/>
                <w:sz w:val="21"/>
                <w:szCs w:val="21"/>
                <w:highlight w:val="none"/>
                <w:lang w:eastAsia="zh-CN"/>
              </w:rPr>
              <w:t>《河南省重污染天气重点行业应急减排措施制定技术指南》（2024年修订版）“塑料制品企业绩效分级指标”限值要求</w:t>
            </w:r>
          </w:p>
        </w:tc>
      </w:tr>
      <w:tr w14:paraId="41CBB6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62" w:hRule="atLeast"/>
          <w:jc w:val="center"/>
        </w:trPr>
        <w:tc>
          <w:tcPr>
            <w:tcW w:w="827" w:type="dxa"/>
            <w:vMerge w:val="continue"/>
            <w:tcBorders>
              <w:tl2br w:val="nil"/>
              <w:tr2bl w:val="nil"/>
            </w:tcBorders>
            <w:noWrap w:val="0"/>
            <w:vAlign w:val="center"/>
          </w:tcPr>
          <w:p w14:paraId="7EF0BBF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1770" w:type="dxa"/>
            <w:gridSpan w:val="2"/>
            <w:vMerge w:val="continue"/>
            <w:tcBorders>
              <w:tl2br w:val="nil"/>
              <w:tr2bl w:val="nil"/>
            </w:tcBorders>
            <w:noWrap w:val="0"/>
            <w:vAlign w:val="center"/>
          </w:tcPr>
          <w:p w14:paraId="68BAF9C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pPr>
          </w:p>
        </w:tc>
        <w:tc>
          <w:tcPr>
            <w:tcW w:w="1110" w:type="dxa"/>
            <w:tcBorders>
              <w:tl2br w:val="nil"/>
              <w:tr2bl w:val="nil"/>
            </w:tcBorders>
            <w:noWrap w:val="0"/>
            <w:vAlign w:val="center"/>
          </w:tcPr>
          <w:p w14:paraId="6E59937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r>
              <w:rPr>
                <w:rFonts w:hint="eastAsia" w:cs="Times New Roman"/>
                <w:sz w:val="21"/>
                <w:szCs w:val="21"/>
                <w:highlight w:val="none"/>
                <w:lang w:eastAsia="zh-CN"/>
              </w:rPr>
              <w:t>苯乙烯</w:t>
            </w:r>
          </w:p>
        </w:tc>
        <w:tc>
          <w:tcPr>
            <w:tcW w:w="2758" w:type="dxa"/>
            <w:gridSpan w:val="2"/>
            <w:vMerge w:val="continue"/>
            <w:tcBorders>
              <w:tl2br w:val="nil"/>
              <w:tr2bl w:val="nil"/>
            </w:tcBorders>
            <w:noWrap w:val="0"/>
            <w:vAlign w:val="center"/>
          </w:tcPr>
          <w:p w14:paraId="79971F68">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p>
        </w:tc>
        <w:tc>
          <w:tcPr>
            <w:tcW w:w="3349" w:type="dxa"/>
            <w:tcBorders>
              <w:tl2br w:val="nil"/>
              <w:tr2bl w:val="nil"/>
            </w:tcBorders>
            <w:noWrap w:val="0"/>
            <w:vAlign w:val="center"/>
          </w:tcPr>
          <w:p w14:paraId="2ACF4E1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cs="Times New Roman"/>
                <w:sz w:val="21"/>
                <w:szCs w:val="21"/>
                <w:highlight w:val="none"/>
                <w:lang w:eastAsia="zh-CN"/>
              </w:rPr>
            </w:pPr>
            <w:r>
              <w:rPr>
                <w:rFonts w:hint="default" w:ascii="Times New Roman" w:hAnsi="Times New Roman" w:cs="Times New Roman"/>
                <w:sz w:val="21"/>
                <w:szCs w:val="21"/>
                <w:highlight w:val="none"/>
                <w:u w:val="none" w:color="auto"/>
              </w:rPr>
              <w:t>《恶臭污染物排放标准》（GB 14554-93）</w:t>
            </w:r>
            <w:r>
              <w:rPr>
                <w:rFonts w:hint="eastAsia" w:cs="Times New Roman"/>
                <w:bCs/>
                <w:kern w:val="0"/>
                <w:sz w:val="21"/>
                <w:szCs w:val="21"/>
                <w:lang w:eastAsia="zh-CN"/>
              </w:rPr>
              <w:t>限值要求</w:t>
            </w:r>
          </w:p>
        </w:tc>
      </w:tr>
      <w:tr w14:paraId="2C0CF1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1239" w:hRule="atLeast"/>
          <w:jc w:val="center"/>
        </w:trPr>
        <w:tc>
          <w:tcPr>
            <w:tcW w:w="827" w:type="dxa"/>
            <w:tcBorders>
              <w:tl2br w:val="nil"/>
              <w:tr2bl w:val="nil"/>
            </w:tcBorders>
            <w:noWrap w:val="0"/>
            <w:vAlign w:val="center"/>
          </w:tcPr>
          <w:p w14:paraId="21A812AF">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eastAsia" w:ascii="Times New Roman" w:hAnsi="Times New Roman" w:cs="Times New Roman"/>
                <w:sz w:val="21"/>
                <w:szCs w:val="21"/>
                <w:highlight w:val="none"/>
                <w:lang w:eastAsia="zh-CN"/>
              </w:rPr>
              <w:t>地表水环境</w:t>
            </w:r>
          </w:p>
        </w:tc>
        <w:tc>
          <w:tcPr>
            <w:tcW w:w="1770" w:type="dxa"/>
            <w:gridSpan w:val="2"/>
            <w:tcBorders>
              <w:tl2br w:val="nil"/>
              <w:tr2bl w:val="nil"/>
            </w:tcBorders>
            <w:noWrap w:val="0"/>
            <w:vAlign w:val="center"/>
          </w:tcPr>
          <w:p w14:paraId="162166CB">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b w:val="0"/>
                <w:bCs w:val="0"/>
                <w:color w:val="auto"/>
                <w:sz w:val="21"/>
                <w:szCs w:val="21"/>
                <w:highlight w:val="none"/>
              </w:rPr>
              <w:t>生活污水</w:t>
            </w:r>
          </w:p>
        </w:tc>
        <w:tc>
          <w:tcPr>
            <w:tcW w:w="1110" w:type="dxa"/>
            <w:tcBorders>
              <w:tl2br w:val="nil"/>
              <w:tr2bl w:val="nil"/>
            </w:tcBorders>
            <w:noWrap w:val="0"/>
            <w:vAlign w:val="center"/>
          </w:tcPr>
          <w:p w14:paraId="0F49D56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eastAsia="宋体" w:cs="Times New Roman"/>
                <w:sz w:val="21"/>
                <w:szCs w:val="21"/>
                <w:highlight w:val="none"/>
              </w:rPr>
            </w:pPr>
            <w:r>
              <w:rPr>
                <w:rFonts w:hint="default" w:ascii="Times New Roman" w:hAnsi="Times New Roman" w:cs="Times New Roman"/>
                <w:b w:val="0"/>
                <w:bCs w:val="0"/>
                <w:color w:val="auto"/>
                <w:sz w:val="21"/>
                <w:szCs w:val="21"/>
                <w:highlight w:val="none"/>
              </w:rPr>
              <w:t>COD、SS、NH</w:t>
            </w:r>
            <w:r>
              <w:rPr>
                <w:rFonts w:hint="default" w:ascii="Times New Roman" w:hAnsi="Times New Roman" w:cs="Times New Roman"/>
                <w:b w:val="0"/>
                <w:bCs w:val="0"/>
                <w:color w:val="auto"/>
                <w:sz w:val="21"/>
                <w:szCs w:val="21"/>
                <w:highlight w:val="none"/>
                <w:vertAlign w:val="subscript"/>
              </w:rPr>
              <w:t>3</w:t>
            </w:r>
            <w:r>
              <w:rPr>
                <w:rFonts w:hint="default" w:ascii="Times New Roman" w:hAnsi="Times New Roman" w:cs="Times New Roman"/>
                <w:b w:val="0"/>
                <w:bCs w:val="0"/>
                <w:color w:val="auto"/>
                <w:sz w:val="21"/>
                <w:szCs w:val="21"/>
                <w:highlight w:val="none"/>
              </w:rPr>
              <w:t>-N、TP</w:t>
            </w:r>
          </w:p>
        </w:tc>
        <w:tc>
          <w:tcPr>
            <w:tcW w:w="2758" w:type="dxa"/>
            <w:gridSpan w:val="2"/>
            <w:tcBorders>
              <w:tl2br w:val="nil"/>
              <w:tr2bl w:val="nil"/>
            </w:tcBorders>
            <w:noWrap w:val="0"/>
            <w:vAlign w:val="center"/>
          </w:tcPr>
          <w:p w14:paraId="32C3F9E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sz w:val="21"/>
                <w:szCs w:val="21"/>
                <w:highlight w:val="none"/>
              </w:rPr>
              <w:t>生活污水</w:t>
            </w:r>
            <w:r>
              <w:rPr>
                <w:rFonts w:hint="eastAsia" w:cs="Times New Roman"/>
                <w:sz w:val="21"/>
                <w:szCs w:val="21"/>
                <w:highlight w:val="none"/>
                <w:lang w:eastAsia="zh-CN"/>
              </w:rPr>
              <w:t>经</w:t>
            </w:r>
            <w:r>
              <w:rPr>
                <w:rFonts w:hint="default" w:ascii="Times New Roman" w:hAnsi="Times New Roman" w:cs="Times New Roman"/>
                <w:sz w:val="21"/>
                <w:szCs w:val="21"/>
                <w:highlight w:val="none"/>
              </w:rPr>
              <w:t>化粪池处理后</w:t>
            </w:r>
            <w:r>
              <w:rPr>
                <w:rFonts w:hint="default" w:ascii="Times New Roman" w:hAnsi="Times New Roman" w:cs="Times New Roman"/>
                <w:bCs/>
                <w:color w:val="000000"/>
                <w:sz w:val="21"/>
                <w:szCs w:val="21"/>
                <w:highlight w:val="none"/>
              </w:rPr>
              <w:t>通过</w:t>
            </w:r>
            <w:r>
              <w:rPr>
                <w:rFonts w:hint="default" w:ascii="Times New Roman" w:hAnsi="Times New Roman" w:cs="Times New Roman"/>
                <w:bCs/>
                <w:color w:val="000000"/>
                <w:sz w:val="21"/>
                <w:szCs w:val="21"/>
                <w:highlight w:val="none"/>
                <w:lang w:eastAsia="zh-CN"/>
              </w:rPr>
              <w:t>产业园区</w:t>
            </w:r>
            <w:r>
              <w:rPr>
                <w:rFonts w:hint="default" w:ascii="Times New Roman" w:hAnsi="Times New Roman" w:cs="Times New Roman"/>
                <w:bCs/>
                <w:color w:val="000000"/>
                <w:sz w:val="21"/>
                <w:szCs w:val="21"/>
                <w:highlight w:val="none"/>
              </w:rPr>
              <w:t>污水管网排入</w:t>
            </w:r>
            <w:r>
              <w:rPr>
                <w:rFonts w:hint="eastAsia" w:ascii="Times New Roman" w:hAnsi="Times New Roman" w:cs="Times New Roman"/>
                <w:bCs/>
                <w:color w:val="000000"/>
                <w:sz w:val="21"/>
                <w:szCs w:val="21"/>
                <w:highlight w:val="none"/>
                <w:lang w:eastAsia="zh-CN"/>
              </w:rPr>
              <w:t>詹店镇</w:t>
            </w:r>
            <w:r>
              <w:rPr>
                <w:rFonts w:hint="default" w:ascii="Times New Roman" w:hAnsi="Times New Roman" w:cs="Times New Roman"/>
                <w:sz w:val="21"/>
                <w:szCs w:val="21"/>
                <w:highlight w:val="none"/>
              </w:rPr>
              <w:t>污水处理厂进一步处理</w:t>
            </w:r>
          </w:p>
        </w:tc>
        <w:tc>
          <w:tcPr>
            <w:tcW w:w="3349" w:type="dxa"/>
            <w:tcBorders>
              <w:tl2br w:val="nil"/>
              <w:tr2bl w:val="nil"/>
            </w:tcBorders>
            <w:noWrap w:val="0"/>
            <w:vAlign w:val="center"/>
          </w:tcPr>
          <w:p w14:paraId="4B07F148">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eastAsia="zh-CN"/>
              </w:rPr>
              <w:t>《污水综合排放标准》（GB8978-1996）表 4 二级</w:t>
            </w:r>
          </w:p>
        </w:tc>
      </w:tr>
      <w:tr w14:paraId="279F7E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25" w:hRule="atLeast"/>
          <w:jc w:val="center"/>
        </w:trPr>
        <w:tc>
          <w:tcPr>
            <w:tcW w:w="827" w:type="dxa"/>
            <w:vMerge w:val="restart"/>
            <w:tcBorders>
              <w:tl2br w:val="nil"/>
              <w:tr2bl w:val="nil"/>
            </w:tcBorders>
            <w:noWrap w:val="0"/>
            <w:vAlign w:val="center"/>
          </w:tcPr>
          <w:p w14:paraId="070F39D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固体</w:t>
            </w:r>
          </w:p>
          <w:p w14:paraId="6A96D9CA">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废物</w:t>
            </w:r>
          </w:p>
        </w:tc>
        <w:tc>
          <w:tcPr>
            <w:tcW w:w="1770" w:type="dxa"/>
            <w:gridSpan w:val="2"/>
            <w:vMerge w:val="restart"/>
            <w:tcBorders>
              <w:tl2br w:val="nil"/>
              <w:tr2bl w:val="nil"/>
            </w:tcBorders>
            <w:noWrap w:val="0"/>
            <w:vAlign w:val="center"/>
          </w:tcPr>
          <w:p w14:paraId="11BAA15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default" w:ascii="Times New Roman" w:hAnsi="Times New Roman" w:cs="Times New Roman"/>
                <w:snapToGrid/>
                <w:color w:val="000000"/>
                <w:kern w:val="0"/>
                <w:sz w:val="21"/>
                <w:szCs w:val="21"/>
                <w:highlight w:val="none"/>
                <w:lang w:val="en-US" w:eastAsia="zh-CN" w:bidi="ar-SA"/>
              </w:rPr>
              <w:t>生产工序</w:t>
            </w:r>
          </w:p>
        </w:tc>
        <w:tc>
          <w:tcPr>
            <w:tcW w:w="1110" w:type="dxa"/>
            <w:tcBorders>
              <w:tl2br w:val="nil"/>
              <w:tr2bl w:val="nil"/>
            </w:tcBorders>
            <w:noWrap w:val="0"/>
            <w:vAlign w:val="center"/>
          </w:tcPr>
          <w:p w14:paraId="62BD11F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eastAsia="宋体" w:cs="Times New Roman"/>
                <w:snapToGrid/>
                <w:color w:val="000000"/>
                <w:kern w:val="0"/>
                <w:sz w:val="21"/>
                <w:szCs w:val="21"/>
                <w:highlight w:val="none"/>
                <w:lang w:val="en-US" w:eastAsia="zh-CN" w:bidi="ar-SA"/>
              </w:rPr>
            </w:pPr>
            <w:r>
              <w:rPr>
                <w:rFonts w:hint="default" w:ascii="Times New Roman" w:hAnsi="Times New Roman" w:cs="Times New Roman"/>
                <w:sz w:val="21"/>
                <w:szCs w:val="21"/>
                <w:highlight w:val="none"/>
                <w:lang w:val="en-US" w:eastAsia="zh-CN"/>
              </w:rPr>
              <w:t>废</w:t>
            </w:r>
            <w:r>
              <w:rPr>
                <w:rFonts w:hint="eastAsia" w:ascii="Times New Roman" w:hAnsi="Times New Roman" w:cs="Times New Roman"/>
                <w:sz w:val="21"/>
                <w:szCs w:val="21"/>
                <w:highlight w:val="none"/>
                <w:lang w:val="en-US" w:eastAsia="zh-CN"/>
              </w:rPr>
              <w:t>边角料</w:t>
            </w:r>
          </w:p>
        </w:tc>
        <w:tc>
          <w:tcPr>
            <w:tcW w:w="2758" w:type="dxa"/>
            <w:gridSpan w:val="2"/>
            <w:vMerge w:val="restart"/>
            <w:tcBorders>
              <w:tl2br w:val="nil"/>
              <w:tr2bl w:val="nil"/>
            </w:tcBorders>
            <w:noWrap w:val="0"/>
            <w:vAlign w:val="center"/>
          </w:tcPr>
          <w:p w14:paraId="2B014011">
            <w:pPr>
              <w:pStyle w:val="21"/>
              <w:keepNext w:val="0"/>
              <w:keepLines w:val="0"/>
              <w:pageBreakBefore w:val="0"/>
              <w:widowControl w:val="0"/>
              <w:kinsoku/>
              <w:wordWrap w:val="0"/>
              <w:overflowPunct/>
              <w:topLinePunct w:val="0"/>
              <w:autoSpaceDE/>
              <w:autoSpaceDN/>
              <w:bidi w:val="0"/>
              <w:adjustRightInd/>
              <w:snapToGrid/>
              <w:spacing w:line="360" w:lineRule="exact"/>
              <w:textAlignment w:val="auto"/>
              <w:rPr>
                <w:rFonts w:hint="default" w:ascii="Times New Roman" w:hAnsi="Times New Roman" w:cs="Times New Roman"/>
                <w:bCs w:val="0"/>
                <w:sz w:val="21"/>
                <w:szCs w:val="21"/>
                <w:highlight w:val="none"/>
              </w:rPr>
            </w:pPr>
            <w:r>
              <w:rPr>
                <w:rFonts w:hint="default" w:ascii="Times New Roman" w:hAnsi="Times New Roman" w:cs="Times New Roman"/>
                <w:sz w:val="21"/>
                <w:szCs w:val="21"/>
                <w:highlight w:val="none"/>
                <w:lang w:eastAsia="zh-CN"/>
              </w:rPr>
              <w:t>收集后</w:t>
            </w:r>
            <w:r>
              <w:rPr>
                <w:rFonts w:hint="eastAsia" w:ascii="Times New Roman" w:hAnsi="Times New Roman" w:cs="Times New Roman"/>
                <w:sz w:val="21"/>
                <w:szCs w:val="21"/>
                <w:highlight w:val="none"/>
                <w:lang w:eastAsia="zh-CN"/>
              </w:rPr>
              <w:t>暂存在</w:t>
            </w:r>
            <w:r>
              <w:rPr>
                <w:rFonts w:hint="default" w:ascii="Times New Roman" w:hAnsi="Times New Roman" w:cs="Times New Roman"/>
                <w:bCs w:val="0"/>
                <w:sz w:val="21"/>
                <w:szCs w:val="21"/>
                <w:highlight w:val="none"/>
              </w:rPr>
              <w:t>一般固废间</w:t>
            </w:r>
          </w:p>
          <w:p w14:paraId="767B9DC0">
            <w:pPr>
              <w:pStyle w:val="21"/>
              <w:keepNext w:val="0"/>
              <w:keepLines w:val="0"/>
              <w:pageBreakBefore w:val="0"/>
              <w:widowControl w:val="0"/>
              <w:kinsoku/>
              <w:wordWrap w:val="0"/>
              <w:overflowPunct/>
              <w:topLinePunct w:val="0"/>
              <w:autoSpaceDE/>
              <w:autoSpaceDN/>
              <w:bidi w:val="0"/>
              <w:adjustRightInd/>
              <w:snapToGrid/>
              <w:spacing w:line="360" w:lineRule="exact"/>
              <w:textAlignment w:val="auto"/>
              <w:rPr>
                <w:rFonts w:hint="default" w:ascii="Times New Roman" w:hAnsi="Times New Roman" w:cs="Times New Roman"/>
                <w:bCs w:val="0"/>
                <w:sz w:val="21"/>
                <w:szCs w:val="21"/>
                <w:highlight w:val="none"/>
              </w:rPr>
            </w:pPr>
            <w:r>
              <w:rPr>
                <w:rFonts w:hint="default" w:ascii="Times New Roman" w:hAnsi="Times New Roman" w:cs="Times New Roman"/>
                <w:bCs w:val="0"/>
                <w:sz w:val="21"/>
                <w:szCs w:val="21"/>
                <w:highlight w:val="none"/>
              </w:rPr>
              <w:t>（</w:t>
            </w:r>
            <w:r>
              <w:rPr>
                <w:rFonts w:hint="eastAsia" w:ascii="Times New Roman" w:hAnsi="Times New Roman" w:cs="Times New Roman"/>
                <w:bCs w:val="0"/>
                <w:sz w:val="21"/>
                <w:szCs w:val="21"/>
                <w:highlight w:val="none"/>
                <w:lang w:val="en-US" w:eastAsia="zh-CN"/>
              </w:rPr>
              <w:t>1</w:t>
            </w:r>
            <w:r>
              <w:rPr>
                <w:rFonts w:hint="default" w:ascii="Times New Roman" w:hAnsi="Times New Roman" w:cs="Times New Roman"/>
                <w:bCs w:val="0"/>
                <w:sz w:val="21"/>
                <w:szCs w:val="21"/>
                <w:highlight w:val="none"/>
              </w:rPr>
              <w:t>0m</w:t>
            </w:r>
            <w:r>
              <w:rPr>
                <w:rFonts w:hint="default" w:ascii="Times New Roman" w:hAnsi="Times New Roman" w:cs="Times New Roman"/>
                <w:bCs w:val="0"/>
                <w:sz w:val="21"/>
                <w:szCs w:val="21"/>
                <w:highlight w:val="none"/>
                <w:vertAlign w:val="superscript"/>
              </w:rPr>
              <w:t>2</w:t>
            </w:r>
            <w:r>
              <w:rPr>
                <w:rFonts w:hint="eastAsia" w:ascii="Times New Roman" w:hAnsi="Times New Roman" w:cs="Times New Roman"/>
                <w:bCs w:val="0"/>
                <w:sz w:val="21"/>
                <w:szCs w:val="21"/>
                <w:highlight w:val="none"/>
                <w:vertAlign w:val="baseline"/>
                <w:lang w:eastAsia="zh-CN"/>
              </w:rPr>
              <w:t>），最终</w:t>
            </w:r>
            <w:r>
              <w:rPr>
                <w:rFonts w:hint="default" w:ascii="Times New Roman" w:hAnsi="Times New Roman" w:cs="Times New Roman"/>
                <w:sz w:val="21"/>
                <w:szCs w:val="21"/>
                <w:highlight w:val="none"/>
              </w:rPr>
              <w:t>外售</w:t>
            </w:r>
            <w:r>
              <w:rPr>
                <w:rFonts w:hint="default" w:ascii="Times New Roman" w:hAnsi="Times New Roman" w:cs="Times New Roman"/>
                <w:sz w:val="21"/>
                <w:szCs w:val="21"/>
                <w:highlight w:val="none"/>
                <w:lang w:eastAsia="zh-CN"/>
              </w:rPr>
              <w:t>综合利用</w:t>
            </w:r>
          </w:p>
        </w:tc>
        <w:tc>
          <w:tcPr>
            <w:tcW w:w="3349" w:type="dxa"/>
            <w:vMerge w:val="restart"/>
            <w:tcBorders>
              <w:tl2br w:val="nil"/>
              <w:tr2bl w:val="nil"/>
            </w:tcBorders>
            <w:noWrap w:val="0"/>
            <w:vAlign w:val="center"/>
          </w:tcPr>
          <w:p w14:paraId="1B491926">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kern w:val="0"/>
                <w:sz w:val="21"/>
                <w:szCs w:val="21"/>
                <w:highlight w:val="none"/>
              </w:rPr>
              <w:t>《一般工业固体废物贮存和填埋污染控制标准》（GB18599-2020）</w:t>
            </w:r>
          </w:p>
        </w:tc>
      </w:tr>
      <w:tr w14:paraId="0DB9CD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28" w:hRule="atLeast"/>
          <w:jc w:val="center"/>
        </w:trPr>
        <w:tc>
          <w:tcPr>
            <w:tcW w:w="827" w:type="dxa"/>
            <w:vMerge w:val="continue"/>
            <w:tcBorders>
              <w:tl2br w:val="nil"/>
              <w:tr2bl w:val="nil"/>
            </w:tcBorders>
            <w:noWrap w:val="0"/>
            <w:vAlign w:val="center"/>
          </w:tcPr>
          <w:p w14:paraId="330CE2D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val="en-US" w:eastAsia="zh-CN"/>
              </w:rPr>
            </w:pPr>
          </w:p>
        </w:tc>
        <w:tc>
          <w:tcPr>
            <w:tcW w:w="1770" w:type="dxa"/>
            <w:gridSpan w:val="2"/>
            <w:vMerge w:val="continue"/>
            <w:tcBorders>
              <w:tl2br w:val="nil"/>
              <w:tr2bl w:val="nil"/>
            </w:tcBorders>
            <w:noWrap w:val="0"/>
            <w:vAlign w:val="center"/>
          </w:tcPr>
          <w:p w14:paraId="0AD91A0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cs="Times New Roman"/>
                <w:snapToGrid/>
                <w:color w:val="000000"/>
                <w:kern w:val="0"/>
                <w:sz w:val="21"/>
                <w:szCs w:val="21"/>
                <w:highlight w:val="none"/>
                <w:lang w:val="en-US" w:eastAsia="zh-CN" w:bidi="ar-SA"/>
              </w:rPr>
            </w:pPr>
          </w:p>
        </w:tc>
        <w:tc>
          <w:tcPr>
            <w:tcW w:w="1110" w:type="dxa"/>
            <w:tcBorders>
              <w:tl2br w:val="nil"/>
              <w:tr2bl w:val="nil"/>
            </w:tcBorders>
            <w:noWrap w:val="0"/>
            <w:vAlign w:val="center"/>
          </w:tcPr>
          <w:p w14:paraId="0BB41FC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不合格产品</w:t>
            </w:r>
          </w:p>
        </w:tc>
        <w:tc>
          <w:tcPr>
            <w:tcW w:w="2758" w:type="dxa"/>
            <w:gridSpan w:val="2"/>
            <w:vMerge w:val="continue"/>
            <w:tcBorders>
              <w:tl2br w:val="nil"/>
              <w:tr2bl w:val="nil"/>
            </w:tcBorders>
            <w:noWrap w:val="0"/>
            <w:vAlign w:val="center"/>
          </w:tcPr>
          <w:p w14:paraId="762FB03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jc w:val="center"/>
              <w:textAlignment w:val="auto"/>
              <w:rPr>
                <w:rFonts w:hint="default" w:ascii="Times New Roman" w:hAnsi="Times New Roman" w:cs="Times New Roman"/>
                <w:bCs w:val="0"/>
                <w:sz w:val="21"/>
                <w:szCs w:val="21"/>
                <w:highlight w:val="none"/>
              </w:rPr>
            </w:pPr>
          </w:p>
        </w:tc>
        <w:tc>
          <w:tcPr>
            <w:tcW w:w="3349" w:type="dxa"/>
            <w:vMerge w:val="continue"/>
            <w:tcBorders>
              <w:tl2br w:val="nil"/>
              <w:tr2bl w:val="nil"/>
            </w:tcBorders>
            <w:noWrap w:val="0"/>
            <w:vAlign w:val="center"/>
          </w:tcPr>
          <w:p w14:paraId="32370742">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kern w:val="0"/>
                <w:sz w:val="21"/>
                <w:szCs w:val="21"/>
                <w:highlight w:val="none"/>
              </w:rPr>
            </w:pPr>
          </w:p>
        </w:tc>
      </w:tr>
      <w:tr w14:paraId="4C1D17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30" w:hRule="atLeast"/>
          <w:jc w:val="center"/>
        </w:trPr>
        <w:tc>
          <w:tcPr>
            <w:tcW w:w="827" w:type="dxa"/>
            <w:vMerge w:val="restart"/>
            <w:tcBorders>
              <w:tl2br w:val="nil"/>
              <w:tr2bl w:val="nil"/>
            </w:tcBorders>
            <w:noWrap w:val="0"/>
            <w:vAlign w:val="center"/>
          </w:tcPr>
          <w:p w14:paraId="204CD5A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危险</w:t>
            </w:r>
          </w:p>
          <w:p w14:paraId="2C5E92F9">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废物</w:t>
            </w:r>
          </w:p>
        </w:tc>
        <w:tc>
          <w:tcPr>
            <w:tcW w:w="1770" w:type="dxa"/>
            <w:gridSpan w:val="2"/>
            <w:tcBorders>
              <w:tl2br w:val="nil"/>
              <w:tr2bl w:val="nil"/>
            </w:tcBorders>
            <w:noWrap w:val="0"/>
            <w:vAlign w:val="center"/>
          </w:tcPr>
          <w:p w14:paraId="41356C02">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eastAsia" w:ascii="Times New Roman" w:hAnsi="Times New Roman" w:eastAsia="宋体" w:cs="Times New Roman"/>
                <w:sz w:val="21"/>
                <w:szCs w:val="21"/>
                <w:highlight w:val="none"/>
                <w:lang w:eastAsia="zh-CN"/>
              </w:rPr>
            </w:pPr>
            <w:r>
              <w:rPr>
                <w:rFonts w:hint="eastAsia" w:cs="Times New Roman"/>
                <w:sz w:val="21"/>
                <w:szCs w:val="21"/>
                <w:highlight w:val="none"/>
                <w:lang w:eastAsia="zh-CN"/>
              </w:rPr>
              <w:t>废气治理</w:t>
            </w:r>
          </w:p>
        </w:tc>
        <w:tc>
          <w:tcPr>
            <w:tcW w:w="1110" w:type="dxa"/>
            <w:tcBorders>
              <w:tl2br w:val="nil"/>
              <w:tr2bl w:val="nil"/>
            </w:tcBorders>
            <w:noWrap w:val="0"/>
            <w:vAlign w:val="center"/>
          </w:tcPr>
          <w:p w14:paraId="21306ED9">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eastAsia" w:cs="Times New Roman"/>
                <w:sz w:val="21"/>
                <w:szCs w:val="21"/>
                <w:highlight w:val="none"/>
                <w:lang w:eastAsia="zh-CN"/>
              </w:rPr>
            </w:pPr>
            <w:r>
              <w:rPr>
                <w:rFonts w:hint="eastAsia" w:cs="Times New Roman"/>
                <w:sz w:val="21"/>
                <w:szCs w:val="21"/>
                <w:highlight w:val="none"/>
                <w:lang w:eastAsia="zh-CN"/>
              </w:rPr>
              <w:t>废活</w:t>
            </w:r>
          </w:p>
          <w:p w14:paraId="3537BE01">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eastAsia" w:ascii="Times New Roman" w:hAnsi="Times New Roman" w:eastAsia="宋体" w:cs="Times New Roman"/>
                <w:sz w:val="21"/>
                <w:szCs w:val="21"/>
                <w:highlight w:val="none"/>
                <w:lang w:eastAsia="zh-CN"/>
              </w:rPr>
            </w:pPr>
            <w:r>
              <w:rPr>
                <w:rFonts w:hint="eastAsia" w:cs="Times New Roman"/>
                <w:sz w:val="21"/>
                <w:szCs w:val="21"/>
                <w:highlight w:val="none"/>
                <w:lang w:eastAsia="zh-CN"/>
              </w:rPr>
              <w:t>性炭</w:t>
            </w:r>
          </w:p>
        </w:tc>
        <w:tc>
          <w:tcPr>
            <w:tcW w:w="1065" w:type="dxa"/>
            <w:tcBorders>
              <w:tl2br w:val="nil"/>
              <w:tr2bl w:val="nil"/>
            </w:tcBorders>
            <w:noWrap w:val="0"/>
            <w:vAlign w:val="center"/>
          </w:tcPr>
          <w:p w14:paraId="4EC8DB0A">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密闭贮存</w:t>
            </w:r>
          </w:p>
        </w:tc>
        <w:tc>
          <w:tcPr>
            <w:tcW w:w="1693" w:type="dxa"/>
            <w:vMerge w:val="restart"/>
            <w:tcBorders>
              <w:tl2br w:val="nil"/>
              <w:tr2bl w:val="nil"/>
            </w:tcBorders>
            <w:noWrap w:val="0"/>
            <w:vAlign w:val="center"/>
          </w:tcPr>
          <w:p w14:paraId="707BE27C">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r>
              <w:rPr>
                <w:rFonts w:hint="default" w:ascii="Times New Roman" w:hAnsi="Times New Roman" w:cs="Times New Roman"/>
                <w:bCs w:val="0"/>
                <w:sz w:val="21"/>
                <w:szCs w:val="21"/>
                <w:highlight w:val="none"/>
                <w:lang w:eastAsia="zh-CN"/>
              </w:rPr>
              <w:t>危废</w:t>
            </w:r>
            <w:r>
              <w:rPr>
                <w:rFonts w:hint="default" w:ascii="Times New Roman" w:hAnsi="Times New Roman" w:cs="Times New Roman"/>
                <w:bCs w:val="0"/>
                <w:sz w:val="21"/>
                <w:szCs w:val="21"/>
                <w:highlight w:val="none"/>
              </w:rPr>
              <w:t>间（</w:t>
            </w:r>
            <w:r>
              <w:rPr>
                <w:rFonts w:hint="eastAsia" w:cs="Times New Roman"/>
                <w:bCs w:val="0"/>
                <w:sz w:val="21"/>
                <w:szCs w:val="21"/>
                <w:highlight w:val="none"/>
                <w:lang w:val="en-US" w:eastAsia="zh-CN"/>
              </w:rPr>
              <w:t>5</w:t>
            </w:r>
            <w:r>
              <w:rPr>
                <w:rFonts w:hint="default" w:ascii="Times New Roman" w:hAnsi="Times New Roman" w:cs="Times New Roman"/>
                <w:bCs w:val="0"/>
                <w:sz w:val="21"/>
                <w:szCs w:val="21"/>
                <w:highlight w:val="none"/>
              </w:rPr>
              <w:t>m</w:t>
            </w:r>
            <w:r>
              <w:rPr>
                <w:rFonts w:hint="default" w:ascii="Times New Roman" w:hAnsi="Times New Roman" w:cs="Times New Roman"/>
                <w:bCs w:val="0"/>
                <w:sz w:val="21"/>
                <w:szCs w:val="21"/>
                <w:highlight w:val="none"/>
                <w:vertAlign w:val="superscript"/>
              </w:rPr>
              <w:t>2</w:t>
            </w:r>
            <w:r>
              <w:rPr>
                <w:rFonts w:hint="default" w:ascii="Times New Roman" w:hAnsi="Times New Roman" w:cs="Times New Roman"/>
                <w:bCs w:val="0"/>
                <w:sz w:val="21"/>
                <w:szCs w:val="21"/>
                <w:highlight w:val="none"/>
              </w:rPr>
              <w:t>）暂存后</w:t>
            </w:r>
            <w:r>
              <w:rPr>
                <w:rFonts w:hint="eastAsia" w:ascii="Times New Roman" w:hAnsi="Times New Roman" w:cs="Times New Roman"/>
                <w:bCs w:val="0"/>
                <w:sz w:val="21"/>
                <w:szCs w:val="21"/>
                <w:highlight w:val="none"/>
                <w:lang w:eastAsia="zh-CN"/>
              </w:rPr>
              <w:t>，</w:t>
            </w:r>
            <w:r>
              <w:rPr>
                <w:rFonts w:hint="default" w:ascii="Times New Roman" w:hAnsi="Times New Roman" w:cs="Times New Roman"/>
                <w:bCs w:val="0"/>
                <w:sz w:val="21"/>
                <w:szCs w:val="21"/>
                <w:highlight w:val="none"/>
              </w:rPr>
              <w:t>交有资质单位</w:t>
            </w:r>
            <w:r>
              <w:rPr>
                <w:rFonts w:hint="default" w:ascii="Times New Roman" w:hAnsi="Times New Roman" w:cs="Times New Roman"/>
                <w:bCs w:val="0"/>
                <w:sz w:val="21"/>
                <w:szCs w:val="21"/>
                <w:highlight w:val="none"/>
                <w:lang w:eastAsia="zh-CN"/>
              </w:rPr>
              <w:t>进行安全</w:t>
            </w:r>
            <w:r>
              <w:rPr>
                <w:rFonts w:hint="default" w:ascii="Times New Roman" w:hAnsi="Times New Roman" w:cs="Times New Roman"/>
                <w:bCs w:val="0"/>
                <w:sz w:val="21"/>
                <w:szCs w:val="21"/>
                <w:highlight w:val="none"/>
              </w:rPr>
              <w:t>处置</w:t>
            </w:r>
          </w:p>
        </w:tc>
        <w:tc>
          <w:tcPr>
            <w:tcW w:w="3349" w:type="dxa"/>
            <w:vMerge w:val="restart"/>
            <w:tcBorders>
              <w:tl2br w:val="nil"/>
              <w:tr2bl w:val="nil"/>
            </w:tcBorders>
            <w:noWrap w:val="0"/>
            <w:vAlign w:val="center"/>
          </w:tcPr>
          <w:p w14:paraId="03E27E4E">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sz w:val="21"/>
                <w:szCs w:val="21"/>
                <w:highlight w:val="none"/>
              </w:rPr>
              <w:t>《危险废物贮存污染控制标准》（GB18597-2023）</w:t>
            </w:r>
          </w:p>
        </w:tc>
      </w:tr>
      <w:tr w14:paraId="4B1662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26" w:hRule="atLeast"/>
          <w:jc w:val="center"/>
        </w:trPr>
        <w:tc>
          <w:tcPr>
            <w:tcW w:w="827" w:type="dxa"/>
            <w:vMerge w:val="continue"/>
            <w:tcBorders>
              <w:tl2br w:val="nil"/>
              <w:tr2bl w:val="nil"/>
            </w:tcBorders>
            <w:noWrap w:val="0"/>
            <w:vAlign w:val="center"/>
          </w:tcPr>
          <w:p w14:paraId="7A41C8A8">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p>
        </w:tc>
        <w:tc>
          <w:tcPr>
            <w:tcW w:w="1770" w:type="dxa"/>
            <w:gridSpan w:val="2"/>
            <w:vMerge w:val="restart"/>
            <w:tcBorders>
              <w:tl2br w:val="nil"/>
              <w:tr2bl w:val="nil"/>
            </w:tcBorders>
            <w:noWrap w:val="0"/>
            <w:vAlign w:val="center"/>
          </w:tcPr>
          <w:p w14:paraId="40EA14FD">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cs="Times New Roman"/>
                <w:sz w:val="21"/>
                <w:szCs w:val="21"/>
                <w:highlight w:val="none"/>
              </w:rPr>
              <w:t>设备检修</w:t>
            </w:r>
          </w:p>
        </w:tc>
        <w:tc>
          <w:tcPr>
            <w:tcW w:w="1110" w:type="dxa"/>
            <w:tcBorders>
              <w:tl2br w:val="nil"/>
              <w:tr2bl w:val="nil"/>
            </w:tcBorders>
            <w:noWrap w:val="0"/>
            <w:vAlign w:val="center"/>
          </w:tcPr>
          <w:p w14:paraId="3EA6B642">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废润</w:t>
            </w:r>
          </w:p>
          <w:p w14:paraId="082EB2FE">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rPr>
              <w:t>滑油</w:t>
            </w:r>
          </w:p>
        </w:tc>
        <w:tc>
          <w:tcPr>
            <w:tcW w:w="1065" w:type="dxa"/>
            <w:tcBorders>
              <w:tl2br w:val="nil"/>
              <w:tr2bl w:val="nil"/>
            </w:tcBorders>
            <w:noWrap w:val="0"/>
            <w:vAlign w:val="center"/>
          </w:tcPr>
          <w:p w14:paraId="3E07675A">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密闭贮存</w:t>
            </w:r>
          </w:p>
        </w:tc>
        <w:tc>
          <w:tcPr>
            <w:tcW w:w="1693" w:type="dxa"/>
            <w:vMerge w:val="continue"/>
            <w:tcBorders>
              <w:tl2br w:val="nil"/>
              <w:tr2bl w:val="nil"/>
            </w:tcBorders>
            <w:noWrap w:val="0"/>
            <w:vAlign w:val="center"/>
          </w:tcPr>
          <w:p w14:paraId="1D606340">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p>
        </w:tc>
        <w:tc>
          <w:tcPr>
            <w:tcW w:w="3349" w:type="dxa"/>
            <w:vMerge w:val="continue"/>
            <w:tcBorders>
              <w:tl2br w:val="nil"/>
              <w:tr2bl w:val="nil"/>
            </w:tcBorders>
            <w:noWrap w:val="0"/>
            <w:vAlign w:val="center"/>
          </w:tcPr>
          <w:p w14:paraId="230B9B03">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p>
        </w:tc>
      </w:tr>
      <w:tr w14:paraId="016C97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63" w:hRule="atLeast"/>
          <w:jc w:val="center"/>
        </w:trPr>
        <w:tc>
          <w:tcPr>
            <w:tcW w:w="827" w:type="dxa"/>
            <w:vMerge w:val="continue"/>
            <w:tcBorders>
              <w:tl2br w:val="nil"/>
              <w:tr2bl w:val="nil"/>
            </w:tcBorders>
            <w:noWrap w:val="0"/>
            <w:vAlign w:val="center"/>
          </w:tcPr>
          <w:p w14:paraId="0447759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rPr>
            </w:pPr>
          </w:p>
        </w:tc>
        <w:tc>
          <w:tcPr>
            <w:tcW w:w="1770" w:type="dxa"/>
            <w:gridSpan w:val="2"/>
            <w:vMerge w:val="continue"/>
            <w:tcBorders>
              <w:tl2br w:val="nil"/>
              <w:tr2bl w:val="nil"/>
            </w:tcBorders>
            <w:noWrap w:val="0"/>
            <w:vAlign w:val="center"/>
          </w:tcPr>
          <w:p w14:paraId="0FB8C537">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p>
        </w:tc>
        <w:tc>
          <w:tcPr>
            <w:tcW w:w="1110" w:type="dxa"/>
            <w:tcBorders>
              <w:tl2br w:val="nil"/>
              <w:tr2bl w:val="nil"/>
            </w:tcBorders>
            <w:noWrap w:val="0"/>
            <w:vAlign w:val="center"/>
          </w:tcPr>
          <w:p w14:paraId="7A344AE6">
            <w:pPr>
              <w:pStyle w:val="21"/>
              <w:keepNext w:val="0"/>
              <w:keepLines w:val="0"/>
              <w:pageBreakBefore w:val="0"/>
              <w:widowControl w:val="0"/>
              <w:kinsoku/>
              <w:wordWrap w:val="0"/>
              <w:overflowPunct/>
              <w:topLinePunct w:val="0"/>
              <w:autoSpaceDE/>
              <w:autoSpaceDN/>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highlight w:val="none"/>
                <w:lang w:val="en-US" w:eastAsia="zh-CN" w:bidi="ar-SA"/>
              </w:rPr>
            </w:pPr>
            <w:r>
              <w:rPr>
                <w:rFonts w:hint="default" w:ascii="Times New Roman" w:hAnsi="Times New Roman" w:cs="Times New Roman"/>
                <w:sz w:val="21"/>
                <w:szCs w:val="21"/>
                <w:highlight w:val="none"/>
              </w:rPr>
              <w:t>废油桶</w:t>
            </w:r>
          </w:p>
        </w:tc>
        <w:tc>
          <w:tcPr>
            <w:tcW w:w="1065" w:type="dxa"/>
            <w:tcBorders>
              <w:tl2br w:val="nil"/>
              <w:tr2bl w:val="nil"/>
            </w:tcBorders>
            <w:noWrap w:val="0"/>
            <w:vAlign w:val="center"/>
          </w:tcPr>
          <w:p w14:paraId="60DCF1AF">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带盖密闭</w:t>
            </w:r>
          </w:p>
        </w:tc>
        <w:tc>
          <w:tcPr>
            <w:tcW w:w="1693" w:type="dxa"/>
            <w:vMerge w:val="continue"/>
            <w:tcBorders>
              <w:tl2br w:val="nil"/>
              <w:tr2bl w:val="nil"/>
            </w:tcBorders>
            <w:noWrap w:val="0"/>
            <w:vAlign w:val="center"/>
          </w:tcPr>
          <w:p w14:paraId="527080E8">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p>
        </w:tc>
        <w:tc>
          <w:tcPr>
            <w:tcW w:w="3349" w:type="dxa"/>
            <w:vMerge w:val="continue"/>
            <w:tcBorders>
              <w:tl2br w:val="nil"/>
              <w:tr2bl w:val="nil"/>
            </w:tcBorders>
            <w:noWrap w:val="0"/>
            <w:vAlign w:val="center"/>
          </w:tcPr>
          <w:p w14:paraId="03CD7D63">
            <w:pPr>
              <w:keepNext w:val="0"/>
              <w:keepLines w:val="0"/>
              <w:pageBreakBefore w:val="0"/>
              <w:widowControl w:val="0"/>
              <w:kinsoku/>
              <w:wordWrap w:val="0"/>
              <w:overflowPunct/>
              <w:topLinePunct w:val="0"/>
              <w:autoSpaceDE w:val="0"/>
              <w:autoSpaceDN w:val="0"/>
              <w:bidi w:val="0"/>
              <w:adjustRightInd w:val="0"/>
              <w:snapToGrid/>
              <w:spacing w:beforeAutospacing="0" w:afterAutospacing="0" w:line="360" w:lineRule="exact"/>
              <w:ind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p>
        </w:tc>
      </w:tr>
      <w:tr w14:paraId="565B86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45" w:hRule="atLeast"/>
          <w:jc w:val="center"/>
        </w:trPr>
        <w:tc>
          <w:tcPr>
            <w:tcW w:w="2597" w:type="dxa"/>
            <w:gridSpan w:val="3"/>
            <w:tcBorders>
              <w:tl2br w:val="nil"/>
              <w:tr2bl w:val="nil"/>
            </w:tcBorders>
            <w:noWrap w:val="0"/>
            <w:vAlign w:val="center"/>
          </w:tcPr>
          <w:p w14:paraId="45AFFC0C">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rPr>
              <w:t>办公生活</w:t>
            </w:r>
          </w:p>
        </w:tc>
        <w:tc>
          <w:tcPr>
            <w:tcW w:w="1110" w:type="dxa"/>
            <w:tcBorders>
              <w:tl2br w:val="nil"/>
              <w:tr2bl w:val="nil"/>
            </w:tcBorders>
            <w:noWrap w:val="0"/>
            <w:vAlign w:val="center"/>
          </w:tcPr>
          <w:p w14:paraId="58095EA7">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生活</w:t>
            </w:r>
          </w:p>
          <w:p w14:paraId="53D730BC">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垃圾</w:t>
            </w:r>
          </w:p>
        </w:tc>
        <w:tc>
          <w:tcPr>
            <w:tcW w:w="2758" w:type="dxa"/>
            <w:gridSpan w:val="2"/>
            <w:tcBorders>
              <w:tl2br w:val="nil"/>
              <w:tr2bl w:val="nil"/>
            </w:tcBorders>
            <w:noWrap w:val="0"/>
            <w:vAlign w:val="center"/>
          </w:tcPr>
          <w:p w14:paraId="27AEF1A1">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r>
              <w:rPr>
                <w:rFonts w:hint="default" w:ascii="Times New Roman" w:hAnsi="Times New Roman" w:cs="Times New Roman"/>
                <w:highlight w:val="none"/>
                <w:lang w:val="en-US" w:eastAsia="zh-CN"/>
              </w:rPr>
              <w:t>由环卫部门统一清运</w:t>
            </w:r>
          </w:p>
        </w:tc>
        <w:tc>
          <w:tcPr>
            <w:tcW w:w="3349" w:type="dxa"/>
            <w:tcBorders>
              <w:tl2br w:val="nil"/>
              <w:tr2bl w:val="nil"/>
            </w:tcBorders>
            <w:noWrap w:val="0"/>
            <w:vAlign w:val="center"/>
          </w:tcPr>
          <w:p w14:paraId="1262D5FE">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6D191E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63" w:hRule="atLeast"/>
          <w:jc w:val="center"/>
        </w:trPr>
        <w:tc>
          <w:tcPr>
            <w:tcW w:w="827" w:type="dxa"/>
            <w:tcBorders>
              <w:tl2br w:val="nil"/>
              <w:tr2bl w:val="nil"/>
            </w:tcBorders>
            <w:noWrap w:val="0"/>
            <w:vAlign w:val="center"/>
          </w:tcPr>
          <w:p w14:paraId="6CAC6654">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eastAsia="zh-CN"/>
              </w:rPr>
              <w:t>声环境</w:t>
            </w:r>
          </w:p>
        </w:tc>
        <w:tc>
          <w:tcPr>
            <w:tcW w:w="1770" w:type="dxa"/>
            <w:gridSpan w:val="2"/>
            <w:tcBorders>
              <w:tl2br w:val="nil"/>
              <w:tr2bl w:val="nil"/>
            </w:tcBorders>
            <w:noWrap w:val="0"/>
            <w:vAlign w:val="center"/>
          </w:tcPr>
          <w:p w14:paraId="36E35DB2">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设备运转</w:t>
            </w:r>
          </w:p>
        </w:tc>
        <w:tc>
          <w:tcPr>
            <w:tcW w:w="1110" w:type="dxa"/>
            <w:tcBorders>
              <w:tl2br w:val="nil"/>
              <w:tr2bl w:val="nil"/>
            </w:tcBorders>
            <w:noWrap w:val="0"/>
            <w:vAlign w:val="center"/>
          </w:tcPr>
          <w:p w14:paraId="33C450EE">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设备</w:t>
            </w:r>
          </w:p>
          <w:p w14:paraId="061F26A6">
            <w:pPr>
              <w:pStyle w:val="24"/>
              <w:keepNext w:val="0"/>
              <w:keepLines w:val="0"/>
              <w:pageBreakBefore w:val="0"/>
              <w:widowControl w:val="0"/>
              <w:kinsoku/>
              <w:wordWrap w:val="0"/>
              <w:overflowPunct/>
              <w:topLinePunct w:val="0"/>
              <w:bidi w:val="0"/>
              <w:spacing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lang w:eastAsia="zh-CN"/>
              </w:rPr>
              <w:t>噪声</w:t>
            </w:r>
          </w:p>
        </w:tc>
        <w:tc>
          <w:tcPr>
            <w:tcW w:w="2758" w:type="dxa"/>
            <w:gridSpan w:val="2"/>
            <w:tcBorders>
              <w:tl2br w:val="nil"/>
              <w:tr2bl w:val="nil"/>
            </w:tcBorders>
            <w:noWrap w:val="0"/>
            <w:vAlign w:val="center"/>
          </w:tcPr>
          <w:p w14:paraId="0350F353">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室内布置、减振基础，</w:t>
            </w:r>
          </w:p>
          <w:p w14:paraId="27E11FBD">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bCs w:val="0"/>
                <w:sz w:val="21"/>
                <w:szCs w:val="21"/>
                <w:highlight w:val="none"/>
                <w:lang w:eastAsia="zh-CN"/>
              </w:rPr>
            </w:pPr>
            <w:r>
              <w:rPr>
                <w:rFonts w:hint="default" w:ascii="Times New Roman" w:hAnsi="Times New Roman" w:cs="Times New Roman"/>
                <w:sz w:val="21"/>
                <w:szCs w:val="21"/>
                <w:highlight w:val="none"/>
                <w:lang w:val="en-US" w:eastAsia="zh-CN"/>
              </w:rPr>
              <w:t>距离衰减等</w:t>
            </w:r>
          </w:p>
        </w:tc>
        <w:tc>
          <w:tcPr>
            <w:tcW w:w="3349" w:type="dxa"/>
            <w:tcBorders>
              <w:tl2br w:val="nil"/>
              <w:tr2bl w:val="nil"/>
            </w:tcBorders>
            <w:noWrap w:val="0"/>
            <w:vAlign w:val="center"/>
          </w:tcPr>
          <w:p w14:paraId="79B064D7">
            <w:pPr>
              <w:pStyle w:val="32"/>
              <w:keepNext w:val="0"/>
              <w:keepLines w:val="0"/>
              <w:pageBreakBefore w:val="0"/>
              <w:widowControl w:val="0"/>
              <w:kinsoku/>
              <w:wordWrap w:val="0"/>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b w:val="0"/>
                <w:bCs w:val="0"/>
                <w:sz w:val="21"/>
                <w:szCs w:val="21"/>
                <w:highlight w:val="none"/>
              </w:rPr>
              <w:t>《工业企业厂界环境噪声排放标准》（GB12348-2008）3类标准要求</w:t>
            </w:r>
          </w:p>
        </w:tc>
      </w:tr>
      <w:tr w14:paraId="796CEA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725" w:hRule="atLeast"/>
          <w:jc w:val="center"/>
        </w:trPr>
        <w:tc>
          <w:tcPr>
            <w:tcW w:w="827" w:type="dxa"/>
            <w:tcBorders>
              <w:tl2br w:val="nil"/>
              <w:tr2bl w:val="nil"/>
            </w:tcBorders>
            <w:noWrap w:val="0"/>
            <w:vAlign w:val="center"/>
          </w:tcPr>
          <w:p w14:paraId="3CA695DB">
            <w:pPr>
              <w:keepNext w:val="0"/>
              <w:keepLines w:val="0"/>
              <w:pageBreakBefore w:val="0"/>
              <w:widowControl w:val="0"/>
              <w:kinsoku/>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土壤及地下水污染防治措施</w:t>
            </w:r>
          </w:p>
        </w:tc>
        <w:tc>
          <w:tcPr>
            <w:tcW w:w="8987" w:type="dxa"/>
            <w:gridSpan w:val="6"/>
            <w:tcBorders>
              <w:tl2br w:val="nil"/>
              <w:tr2bl w:val="nil"/>
            </w:tcBorders>
            <w:noWrap w:val="0"/>
            <w:vAlign w:val="center"/>
          </w:tcPr>
          <w:p w14:paraId="04FED3F5">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exact"/>
              <w:ind w:firstLine="0" w:firstLineChars="0"/>
              <w:jc w:val="lef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源头控制措施</w:t>
            </w:r>
          </w:p>
          <w:p w14:paraId="095AE5F2">
            <w:pPr>
              <w:keepNext w:val="0"/>
              <w:keepLines w:val="0"/>
              <w:pageBreakBefore w:val="0"/>
              <w:widowControl w:val="0"/>
              <w:kinsoku/>
              <w:wordWrap/>
              <w:overflowPunct/>
              <w:topLinePunct w:val="0"/>
              <w:autoSpaceDE/>
              <w:autoSpaceDN/>
              <w:bidi w:val="0"/>
              <w:spacing w:line="360" w:lineRule="exact"/>
              <w:ind w:firstLine="420" w:firstLineChars="20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本项目产生废润滑油暂存于危废间内，其容器发生破裂时可能对地下水、土壤环境造成影响。因此评价要求采用密闭容器储存废润滑油，并加强设备的日常管理和检修，严格做好危废间的的防渗、截流措施。</w:t>
            </w:r>
          </w:p>
          <w:p w14:paraId="2E656A9A">
            <w:pPr>
              <w:keepNext w:val="0"/>
              <w:keepLines w:val="0"/>
              <w:pageBreakBefore w:val="0"/>
              <w:widowControl w:val="0"/>
              <w:kinsoku/>
              <w:wordWrap/>
              <w:overflowPunct/>
              <w:topLinePunct w:val="0"/>
              <w:autoSpaceDE/>
              <w:autoSpaceDN/>
              <w:bidi w:val="0"/>
              <w:spacing w:line="360" w:lineRule="exact"/>
              <w:ind w:firstLine="420" w:firstLineChars="20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严格按照国家相关规范要求，对工艺、设备、仓库等采取相应措施，防止和降低污染物跑冒滴漏，将污染物泄漏环境风险事故降到最低程度。防渗工程设计使用年限不应低于设备、管线及建、构筑物的设计使用年限。</w:t>
            </w:r>
          </w:p>
          <w:p w14:paraId="1EDAA2D7">
            <w:pPr>
              <w:keepNext w:val="0"/>
              <w:keepLines w:val="0"/>
              <w:pageBreakBefore w:val="0"/>
              <w:widowControl w:val="0"/>
              <w:kinsoku/>
              <w:wordWrap/>
              <w:overflowPunct/>
              <w:topLinePunct w:val="0"/>
              <w:autoSpaceDE/>
              <w:autoSpaceDN/>
              <w:bidi w:val="0"/>
              <w:spacing w:line="360" w:lineRule="exact"/>
              <w:ind w:firstLine="420" w:firstLineChars="20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尽量减少储存量，做到多批次、少量储存。润滑油应随用随买，应注意防止碰撞引起包装桶破裂泄露，并设置备用物料收集容器，及时收集泄漏物质。配置手提式灭火器等；生产区及危废间必须有专人负责，禁止在项目区域内吸烟，远离一切热源和明火。</w:t>
            </w:r>
          </w:p>
          <w:p w14:paraId="4430033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left"/>
              <w:textAlignment w:val="auto"/>
              <w:rPr>
                <w:rFonts w:hint="default" w:ascii="Times New Roman" w:hAnsi="Times New Roman" w:cs="Times New Roman"/>
                <w:sz w:val="21"/>
                <w:szCs w:val="21"/>
                <w:highlight w:val="none"/>
              </w:rPr>
            </w:pPr>
            <w:r>
              <w:rPr>
                <w:rFonts w:hint="default" w:ascii="Times New Roman" w:hAnsi="Times New Roman" w:cs="Times New Roman"/>
                <w:kern w:val="2"/>
                <w:sz w:val="21"/>
                <w:szCs w:val="21"/>
                <w:highlight w:val="none"/>
                <w:lang w:val="en-US" w:eastAsia="zh-CN" w:bidi="ar-SA"/>
              </w:rPr>
              <w:t>2、</w:t>
            </w:r>
            <w:r>
              <w:rPr>
                <w:rFonts w:hint="default" w:ascii="Times New Roman" w:hAnsi="Times New Roman" w:cs="Times New Roman"/>
                <w:sz w:val="21"/>
                <w:szCs w:val="21"/>
                <w:highlight w:val="none"/>
              </w:rPr>
              <w:t>结合项目建设情况，采取分区防渗的控制措施。项目建设区域划分为重点防渗区、一般防渗区和简单防渗区。</w:t>
            </w:r>
          </w:p>
          <w:p w14:paraId="1EF509E8">
            <w:pPr>
              <w:keepNext w:val="0"/>
              <w:keepLines w:val="0"/>
              <w:pageBreakBefore w:val="0"/>
              <w:widowControl/>
              <w:kinsoku/>
              <w:wordWrap/>
              <w:overflowPunct/>
              <w:topLinePunct w:val="0"/>
              <w:autoSpaceDE/>
              <w:autoSpaceDN/>
              <w:bidi w:val="0"/>
              <w:adjustRightInd/>
              <w:snapToGrid/>
              <w:spacing w:line="360" w:lineRule="exact"/>
              <w:ind w:firstLine="480"/>
              <w:jc w:val="lef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①重点防渗区：危废</w:t>
            </w:r>
            <w:r>
              <w:rPr>
                <w:rFonts w:hint="default" w:ascii="Times New Roman" w:hAnsi="Times New Roman" w:cs="Times New Roman"/>
                <w:sz w:val="21"/>
                <w:szCs w:val="21"/>
                <w:highlight w:val="none"/>
                <w:lang w:eastAsia="zh-CN"/>
              </w:rPr>
              <w:t>间</w:t>
            </w:r>
            <w:r>
              <w:rPr>
                <w:rFonts w:hint="default" w:ascii="Times New Roman" w:hAnsi="Times New Roman" w:cs="Times New Roman"/>
                <w:sz w:val="21"/>
                <w:szCs w:val="21"/>
                <w:highlight w:val="none"/>
              </w:rPr>
              <w:t>、</w:t>
            </w:r>
            <w:r>
              <w:rPr>
                <w:rFonts w:hint="default" w:ascii="Times New Roman" w:hAnsi="Times New Roman" w:cs="Times New Roman"/>
                <w:sz w:val="21"/>
                <w:szCs w:val="21"/>
                <w:highlight w:val="none"/>
                <w:lang w:eastAsia="zh-CN"/>
              </w:rPr>
              <w:t>生产</w:t>
            </w:r>
            <w:r>
              <w:rPr>
                <w:rFonts w:hint="eastAsia" w:ascii="Times New Roman" w:hAnsi="Times New Roman" w:cs="Times New Roman"/>
                <w:sz w:val="21"/>
                <w:szCs w:val="21"/>
                <w:highlight w:val="none"/>
                <w:lang w:eastAsia="zh-CN"/>
              </w:rPr>
              <w:t>区</w:t>
            </w:r>
            <w:r>
              <w:rPr>
                <w:rFonts w:hint="default" w:ascii="Times New Roman" w:hAnsi="Times New Roman" w:cs="Times New Roman"/>
                <w:sz w:val="21"/>
                <w:szCs w:val="21"/>
                <w:highlight w:val="none"/>
              </w:rPr>
              <w:t>。评价要求</w:t>
            </w:r>
            <w:r>
              <w:rPr>
                <w:rFonts w:hint="default" w:ascii="Times New Roman" w:hAnsi="Times New Roman" w:eastAsia="宋体" w:cs="Times New Roman"/>
                <w:sz w:val="21"/>
                <w:szCs w:val="21"/>
                <w:highlight w:val="none"/>
                <w:lang w:val="en-US" w:eastAsia="zh-CN"/>
              </w:rPr>
              <w:t>防渗层采用2mm厚高密度聚乙烯，或至少2mm厚的其它人工材料，渗透系数≤10</w:t>
            </w:r>
            <w:r>
              <w:rPr>
                <w:rFonts w:hint="default" w:ascii="Times New Roman" w:hAnsi="Times New Roman" w:eastAsia="宋体" w:cs="Times New Roman"/>
                <w:sz w:val="21"/>
                <w:szCs w:val="21"/>
                <w:highlight w:val="none"/>
                <w:vertAlign w:val="superscript"/>
                <w:lang w:val="en-US" w:eastAsia="zh-CN"/>
              </w:rPr>
              <w:t>-10</w:t>
            </w:r>
            <w:r>
              <w:rPr>
                <w:rFonts w:hint="default" w:ascii="Times New Roman" w:hAnsi="Times New Roman" w:eastAsia="宋体" w:cs="Times New Roman"/>
                <w:sz w:val="21"/>
                <w:szCs w:val="21"/>
                <w:highlight w:val="none"/>
                <w:lang w:val="en-US" w:eastAsia="zh-CN"/>
              </w:rPr>
              <w:t>cm/s。</w:t>
            </w:r>
          </w:p>
          <w:p w14:paraId="35B0C681">
            <w:pPr>
              <w:keepNext w:val="0"/>
              <w:keepLines w:val="0"/>
              <w:pageBreakBefore w:val="0"/>
              <w:widowControl/>
              <w:kinsoku/>
              <w:wordWrap/>
              <w:overflowPunct/>
              <w:topLinePunct w:val="0"/>
              <w:autoSpaceDE/>
              <w:autoSpaceDN/>
              <w:bidi w:val="0"/>
              <w:adjustRightInd/>
              <w:snapToGrid/>
              <w:spacing w:line="360" w:lineRule="exact"/>
              <w:ind w:firstLine="480"/>
              <w:jc w:val="lef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②一般防渗区：一般固废间</w:t>
            </w:r>
            <w:r>
              <w:rPr>
                <w:rFonts w:hint="eastAsia" w:cs="Times New Roman"/>
                <w:sz w:val="21"/>
                <w:szCs w:val="21"/>
                <w:highlight w:val="none"/>
                <w:lang w:eastAsia="zh-CN"/>
              </w:rPr>
              <w:t>。</w:t>
            </w:r>
            <w:r>
              <w:rPr>
                <w:rFonts w:hint="default" w:ascii="Times New Roman" w:hAnsi="Times New Roman" w:cs="Times New Roman"/>
                <w:sz w:val="21"/>
                <w:szCs w:val="21"/>
                <w:highlight w:val="none"/>
              </w:rPr>
              <w:t>评价要求防渗层采用1.5m厚粘土铺底，再在上层铺设不小于10cm厚的抗渗混凝土进行防渗处理，要求防渗系数不大于1.0×10</w:t>
            </w:r>
            <w:r>
              <w:rPr>
                <w:rFonts w:hint="default" w:ascii="Times New Roman" w:hAnsi="Times New Roman" w:cs="Times New Roman"/>
                <w:sz w:val="21"/>
                <w:szCs w:val="21"/>
                <w:highlight w:val="none"/>
                <w:vertAlign w:val="superscript"/>
              </w:rPr>
              <w:t>-7</w:t>
            </w:r>
            <w:r>
              <w:rPr>
                <w:rFonts w:hint="default" w:ascii="Times New Roman" w:hAnsi="Times New Roman" w:cs="Times New Roman"/>
                <w:sz w:val="21"/>
                <w:szCs w:val="21"/>
                <w:highlight w:val="none"/>
              </w:rPr>
              <w:t>cm/s。</w:t>
            </w:r>
          </w:p>
          <w:p w14:paraId="7480E1C9">
            <w:pPr>
              <w:keepNext w:val="0"/>
              <w:keepLines w:val="0"/>
              <w:pageBreakBefore w:val="0"/>
              <w:widowControl/>
              <w:kinsoku/>
              <w:wordWrap/>
              <w:overflowPunct/>
              <w:topLinePunct w:val="0"/>
              <w:autoSpaceDE/>
              <w:autoSpaceDN/>
              <w:bidi w:val="0"/>
              <w:adjustRightInd/>
              <w:snapToGrid/>
              <w:spacing w:line="360" w:lineRule="exact"/>
              <w:ind w:firstLine="480"/>
              <w:jc w:val="lef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③简单防渗区</w:t>
            </w:r>
          </w:p>
          <w:p w14:paraId="2BE1ED56">
            <w:pPr>
              <w:keepNext w:val="0"/>
              <w:keepLines w:val="0"/>
              <w:pageBreakBefore w:val="0"/>
              <w:widowControl/>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除上述区域外，项目厂</w:t>
            </w:r>
            <w:r>
              <w:rPr>
                <w:rFonts w:hint="eastAsia" w:ascii="Times New Roman" w:hAnsi="Times New Roman" w:cs="Times New Roman"/>
                <w:sz w:val="21"/>
                <w:szCs w:val="21"/>
                <w:highlight w:val="none"/>
                <w:lang w:eastAsia="zh-CN"/>
              </w:rPr>
              <w:t>房</w:t>
            </w:r>
            <w:r>
              <w:rPr>
                <w:rFonts w:hint="default" w:ascii="Times New Roman" w:hAnsi="Times New Roman" w:cs="Times New Roman"/>
                <w:sz w:val="21"/>
                <w:szCs w:val="21"/>
                <w:highlight w:val="none"/>
              </w:rPr>
              <w:t>等</w:t>
            </w:r>
            <w:r>
              <w:rPr>
                <w:rFonts w:hint="eastAsia" w:ascii="Times New Roman" w:hAnsi="Times New Roman" w:cs="Times New Roman"/>
                <w:sz w:val="21"/>
                <w:szCs w:val="21"/>
                <w:highlight w:val="none"/>
                <w:lang w:eastAsia="zh-CN"/>
              </w:rPr>
              <w:t>其他</w:t>
            </w:r>
            <w:r>
              <w:rPr>
                <w:rFonts w:hint="default" w:ascii="Times New Roman" w:hAnsi="Times New Roman" w:cs="Times New Roman"/>
                <w:sz w:val="21"/>
                <w:szCs w:val="21"/>
                <w:highlight w:val="none"/>
              </w:rPr>
              <w:t>区域均属于简单防渗区，建设单位进行地面硬化即可。</w:t>
            </w:r>
          </w:p>
        </w:tc>
      </w:tr>
      <w:tr w14:paraId="501FB2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06" w:hRule="atLeast"/>
          <w:jc w:val="center"/>
        </w:trPr>
        <w:tc>
          <w:tcPr>
            <w:tcW w:w="827" w:type="dxa"/>
            <w:tcBorders>
              <w:tl2br w:val="nil"/>
              <w:tr2bl w:val="nil"/>
            </w:tcBorders>
            <w:noWrap w:val="0"/>
            <w:vAlign w:val="center"/>
          </w:tcPr>
          <w:p w14:paraId="76E4DAA3">
            <w:pPr>
              <w:keepNext w:val="0"/>
              <w:keepLines w:val="0"/>
              <w:pageBreakBefore w:val="0"/>
              <w:widowControl w:val="0"/>
              <w:kinsoku/>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电磁</w:t>
            </w:r>
          </w:p>
          <w:p w14:paraId="3B9BC290">
            <w:pPr>
              <w:keepNext w:val="0"/>
              <w:keepLines w:val="0"/>
              <w:pageBreakBefore w:val="0"/>
              <w:widowControl w:val="0"/>
              <w:kinsoku/>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辐射</w:t>
            </w:r>
          </w:p>
        </w:tc>
        <w:tc>
          <w:tcPr>
            <w:tcW w:w="8987" w:type="dxa"/>
            <w:gridSpan w:val="6"/>
            <w:tcBorders>
              <w:tl2br w:val="nil"/>
              <w:tr2bl w:val="nil"/>
            </w:tcBorders>
            <w:noWrap w:val="0"/>
            <w:vAlign w:val="center"/>
          </w:tcPr>
          <w:p w14:paraId="3E471B74">
            <w:pPr>
              <w:keepNext w:val="0"/>
              <w:keepLines w:val="0"/>
              <w:pageBreakBefore w:val="0"/>
              <w:widowControl w:val="0"/>
              <w:kinsoku/>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无</w:t>
            </w:r>
          </w:p>
        </w:tc>
      </w:tr>
      <w:tr w14:paraId="7ED03A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977" w:hRule="atLeast"/>
          <w:jc w:val="center"/>
        </w:trPr>
        <w:tc>
          <w:tcPr>
            <w:tcW w:w="827" w:type="dxa"/>
            <w:tcBorders>
              <w:tl2br w:val="nil"/>
              <w:tr2bl w:val="nil"/>
            </w:tcBorders>
            <w:noWrap w:val="0"/>
            <w:vAlign w:val="center"/>
          </w:tcPr>
          <w:p w14:paraId="7E5B56A0">
            <w:pPr>
              <w:pStyle w:val="32"/>
              <w:keepNext w:val="0"/>
              <w:keepLines w:val="0"/>
              <w:pageBreakBefore w:val="0"/>
              <w:widowControl w:val="0"/>
              <w:kinsoku/>
              <w:wordWrap/>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生态保</w:t>
            </w:r>
          </w:p>
          <w:p w14:paraId="7468A887">
            <w:pPr>
              <w:pStyle w:val="32"/>
              <w:keepNext w:val="0"/>
              <w:keepLines w:val="0"/>
              <w:pageBreakBefore w:val="0"/>
              <w:widowControl w:val="0"/>
              <w:kinsoku/>
              <w:wordWrap/>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napToGrid/>
                <w:color w:val="000000"/>
                <w:kern w:val="0"/>
                <w:sz w:val="21"/>
                <w:szCs w:val="21"/>
                <w:lang w:val="en-US" w:eastAsia="zh-CN" w:bidi="ar-SA"/>
              </w:rPr>
            </w:pPr>
            <w:r>
              <w:rPr>
                <w:rFonts w:hint="default" w:ascii="Times New Roman" w:hAnsi="Times New Roman" w:cs="Times New Roman"/>
                <w:sz w:val="21"/>
                <w:szCs w:val="21"/>
              </w:rPr>
              <w:t>护措施</w:t>
            </w:r>
          </w:p>
        </w:tc>
        <w:tc>
          <w:tcPr>
            <w:tcW w:w="8987" w:type="dxa"/>
            <w:gridSpan w:val="6"/>
            <w:tcBorders>
              <w:tl2br w:val="nil"/>
              <w:tr2bl w:val="nil"/>
            </w:tcBorders>
            <w:noWrap w:val="0"/>
            <w:vAlign w:val="center"/>
          </w:tcPr>
          <w:p w14:paraId="7D6227E0">
            <w:pPr>
              <w:pStyle w:val="32"/>
              <w:keepNext w:val="0"/>
              <w:keepLines w:val="0"/>
              <w:pageBreakBefore w:val="0"/>
              <w:widowControl w:val="0"/>
              <w:kinsoku/>
              <w:wordWrap/>
              <w:overflowPunct/>
              <w:topLinePunct w:val="0"/>
              <w:autoSpaceDE/>
              <w:autoSpaceDN/>
              <w:bidi w:val="0"/>
              <w:adjustRightInd w:val="0"/>
              <w:snapToGrid w:val="0"/>
              <w:spacing w:before="0" w:after="0" w:line="360" w:lineRule="exact"/>
              <w:ind w:firstLine="0" w:firstLineChars="0"/>
              <w:textAlignment w:val="auto"/>
              <w:rPr>
                <w:rFonts w:hint="default" w:ascii="Times New Roman" w:hAnsi="Times New Roman" w:eastAsia="宋体" w:cs="Times New Roman"/>
                <w:snapToGrid/>
                <w:color w:val="000000"/>
                <w:kern w:val="0"/>
                <w:sz w:val="21"/>
                <w:szCs w:val="21"/>
                <w:lang w:val="en-US" w:eastAsia="zh-CN" w:bidi="ar-SA"/>
              </w:rPr>
            </w:pPr>
            <w:r>
              <w:rPr>
                <w:rFonts w:hint="default" w:ascii="Times New Roman" w:hAnsi="Times New Roman" w:cs="Times New Roman"/>
                <w:color w:val="auto"/>
                <w:sz w:val="21"/>
                <w:szCs w:val="21"/>
              </w:rPr>
              <w:t>本项目所在地区的生态系统已经演化为以人工生态系统为主，生态系统结构和功能比较单一，本项目厂址所在区域内及周边无各级自然生态保护区和风景名胜区。</w:t>
            </w:r>
          </w:p>
        </w:tc>
      </w:tr>
      <w:tr w14:paraId="5502B5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844" w:hRule="atLeast"/>
          <w:jc w:val="center"/>
        </w:trPr>
        <w:tc>
          <w:tcPr>
            <w:tcW w:w="827" w:type="dxa"/>
            <w:tcBorders>
              <w:tl2br w:val="nil"/>
              <w:tr2bl w:val="nil"/>
            </w:tcBorders>
            <w:noWrap w:val="0"/>
            <w:vAlign w:val="center"/>
          </w:tcPr>
          <w:p w14:paraId="77761919">
            <w:pPr>
              <w:keepNext w:val="0"/>
              <w:keepLines w:val="0"/>
              <w:pageBreakBefore w:val="0"/>
              <w:widowControl w:val="0"/>
              <w:kinsoku/>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spacing w:val="-8"/>
                <w:kern w:val="2"/>
                <w:sz w:val="21"/>
                <w:szCs w:val="21"/>
                <w:lang w:val="en-US" w:eastAsia="zh-CN" w:bidi="ar-SA"/>
              </w:rPr>
            </w:pPr>
            <w:r>
              <w:rPr>
                <w:rFonts w:hint="default" w:ascii="Times New Roman" w:hAnsi="Times New Roman" w:cs="Times New Roman"/>
                <w:spacing w:val="-8"/>
                <w:sz w:val="21"/>
                <w:szCs w:val="21"/>
              </w:rPr>
              <w:t>环境风险防范措施</w:t>
            </w:r>
          </w:p>
        </w:tc>
        <w:tc>
          <w:tcPr>
            <w:tcW w:w="8987" w:type="dxa"/>
            <w:gridSpan w:val="6"/>
            <w:tcBorders>
              <w:tl2br w:val="nil"/>
              <w:tr2bl w:val="nil"/>
            </w:tcBorders>
            <w:noWrap w:val="0"/>
            <w:vAlign w:val="center"/>
          </w:tcPr>
          <w:p w14:paraId="40C81872">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（1）项目危废间的建设和储存应严格按照《危险废物贮存污染控制标准》（GB18597-2023）进行，危险废物转运过程严格执行《危险废物转移管理办法》（生态环境部 公安部 交通运输部 部令第23号）的相关规定。</w:t>
            </w:r>
          </w:p>
          <w:p w14:paraId="69C2E11A">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（2）项目使用润滑油等现用现购，不在厂区内储存，更换下来的废润滑油及时收集后放入危废间暂存。</w:t>
            </w:r>
          </w:p>
          <w:p w14:paraId="7712F0B8">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（3）生产车间、危废间内各个区域悬挂警示标志和禁火标志，配置手动报警按钮以及手提式灭火器等，厂房内规划安全疏散逃离线路，并且定期进行演练。</w:t>
            </w:r>
          </w:p>
          <w:p w14:paraId="63EE0389">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（4）加强废气处理设施的维护，及时发现处理设备的隐患，确保废气处理系统正常运行；开、停、检修要有预案，有严密周全的计划，确保不发生事故排放或使影响最小。</w:t>
            </w:r>
          </w:p>
          <w:p w14:paraId="5BBCC87F">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（5）加强管理，对职工进行必要安全培训，事故应急培训、演练；在灾害发生的时候采取及时有效的应急救援行动，及系统恢复和善后处理。</w:t>
            </w:r>
          </w:p>
          <w:p w14:paraId="33EF12B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left"/>
              <w:textAlignment w:val="auto"/>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cs="Times New Roman"/>
                <w:sz w:val="21"/>
                <w:szCs w:val="21"/>
                <w:highlight w:val="none"/>
                <w:lang w:val="en-US" w:eastAsia="zh-CN"/>
              </w:rPr>
              <w:t>（6）制定应急预案工作计划，设立事故应急处理小组，与当地政府有关的应急预案衔接并建立正常的定期联络制度。</w:t>
            </w:r>
          </w:p>
        </w:tc>
      </w:tr>
      <w:tr w14:paraId="76E2E3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026" w:hRule="atLeast"/>
          <w:jc w:val="center"/>
        </w:trPr>
        <w:tc>
          <w:tcPr>
            <w:tcW w:w="827" w:type="dxa"/>
            <w:tcBorders>
              <w:tl2br w:val="nil"/>
              <w:tr2bl w:val="nil"/>
            </w:tcBorders>
            <w:noWrap w:val="0"/>
            <w:vAlign w:val="center"/>
          </w:tcPr>
          <w:p w14:paraId="3D92B1AC">
            <w:pPr>
              <w:keepNext w:val="0"/>
              <w:keepLines w:val="0"/>
              <w:pageBreakBefore w:val="0"/>
              <w:widowControl w:val="0"/>
              <w:kinsoku/>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其他环境管理要求</w:t>
            </w:r>
          </w:p>
        </w:tc>
        <w:tc>
          <w:tcPr>
            <w:tcW w:w="8987" w:type="dxa"/>
            <w:gridSpan w:val="6"/>
            <w:tcBorders>
              <w:tl2br w:val="nil"/>
              <w:tr2bl w:val="nil"/>
            </w:tcBorders>
            <w:noWrap w:val="0"/>
            <w:vAlign w:val="center"/>
          </w:tcPr>
          <w:p w14:paraId="2F0CC3AA">
            <w:pPr>
              <w:keepNext w:val="0"/>
              <w:keepLines w:val="0"/>
              <w:pageBreakBefore w:val="0"/>
              <w:widowControl w:val="0"/>
              <w:kinsoku/>
              <w:overflowPunct/>
              <w:topLinePunct w:val="0"/>
              <w:autoSpaceDE/>
              <w:autoSpaceDN/>
              <w:bidi w:val="0"/>
              <w:spacing w:line="360" w:lineRule="exact"/>
              <w:ind w:firstLine="0" w:firstLineChars="0"/>
              <w:textAlignment w:val="auto"/>
              <w:rPr>
                <w:rFonts w:hint="default" w:ascii="Times New Roman" w:hAnsi="Times New Roman" w:eastAsia="宋体" w:cs="Times New Roman"/>
                <w:kern w:val="2"/>
                <w:sz w:val="21"/>
                <w:szCs w:val="24"/>
                <w:lang w:val="en-US" w:eastAsia="zh-CN" w:bidi="ar-SA"/>
              </w:rPr>
            </w:pPr>
            <w:r>
              <w:rPr>
                <w:rFonts w:hint="default" w:ascii="Times New Roman" w:hAnsi="Times New Roman" w:cs="Times New Roman"/>
                <w:sz w:val="21"/>
              </w:rPr>
              <w:t>评价要求企业设置专人负责企业的环境管理、环境监测与污染治理等工作。项目布设生产线及安装设备过程，应严格执行“三同时”制度，确保污染处理设施和生产建设</w:t>
            </w:r>
            <w:r>
              <w:rPr>
                <w:rFonts w:hint="eastAsia" w:cs="Times New Roman"/>
                <w:sz w:val="21"/>
                <w:lang w:eastAsia="zh-CN"/>
              </w:rPr>
              <w:t>“</w:t>
            </w:r>
            <w:r>
              <w:rPr>
                <w:rFonts w:hint="default" w:ascii="Times New Roman" w:hAnsi="Times New Roman" w:cs="Times New Roman"/>
                <w:sz w:val="21"/>
              </w:rPr>
              <w:t>同时设计、同时施工、同时运行</w:t>
            </w:r>
            <w:r>
              <w:rPr>
                <w:rFonts w:hint="eastAsia" w:cs="Times New Roman"/>
                <w:sz w:val="21"/>
                <w:lang w:eastAsia="zh-CN"/>
              </w:rPr>
              <w:t>”</w:t>
            </w:r>
            <w:r>
              <w:rPr>
                <w:rFonts w:hint="default" w:ascii="Times New Roman" w:hAnsi="Times New Roman" w:cs="Times New Roman"/>
                <w:sz w:val="21"/>
              </w:rPr>
              <w:t>；营运期企业环保管理部门负责制定环保管理制度并监督执行，建立环境质量台账，确保废气的长期稳定达标排放。加强风险物质管理；岗位员工进行事故应急培训，编制突发环境事件应急预案。</w:t>
            </w:r>
          </w:p>
        </w:tc>
      </w:tr>
    </w:tbl>
    <w:p w14:paraId="7743F1D6">
      <w:pPr>
        <w:ind w:firstLine="480"/>
        <w:jc w:val="center"/>
        <w:outlineLvl w:val="0"/>
        <w:rPr>
          <w:rFonts w:hint="default" w:ascii="Times New Roman" w:hAnsi="Times New Roman" w:eastAsia="黑体" w:cs="Times New Roman"/>
          <w:snapToGrid w:val="0"/>
          <w:sz w:val="30"/>
          <w:szCs w:val="30"/>
        </w:rPr>
      </w:pPr>
      <w:r>
        <w:rPr>
          <w:rFonts w:hint="default" w:ascii="Times New Roman" w:hAnsi="Times New Roman" w:cs="Times New Roman"/>
          <w:snapToGrid w:val="0"/>
        </w:rPr>
        <w:br w:type="page"/>
      </w:r>
      <w:r>
        <w:rPr>
          <w:rFonts w:hint="default" w:ascii="Times New Roman" w:hAnsi="Times New Roman" w:eastAsia="黑体" w:cs="Times New Roman"/>
          <w:snapToGrid w:val="0"/>
          <w:sz w:val="30"/>
          <w:szCs w:val="30"/>
        </w:rPr>
        <w:t>六、结论</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541770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01" w:hRule="atLeast"/>
          <w:jc w:val="center"/>
        </w:trPr>
        <w:tc>
          <w:tcPr>
            <w:tcW w:w="8865" w:type="dxa"/>
            <w:noWrap w:val="0"/>
            <w:vAlign w:val="center"/>
          </w:tcPr>
          <w:p w14:paraId="33284A5B">
            <w:pPr>
              <w:spacing w:line="520" w:lineRule="exact"/>
              <w:ind w:firstLine="470" w:firstLineChars="196"/>
              <w:rPr>
                <w:rFonts w:hint="default" w:ascii="Times New Roman" w:hAnsi="Times New Roman" w:cs="Times New Roman"/>
                <w:color w:val="000000"/>
                <w:sz w:val="24"/>
                <w:highlight w:val="none"/>
              </w:rPr>
            </w:pPr>
            <w:r>
              <w:rPr>
                <w:rFonts w:hint="eastAsia" w:cs="Times New Roman"/>
                <w:highlight w:val="none"/>
                <w:lang w:eastAsia="zh-CN"/>
              </w:rPr>
              <w:t>河南建皓新材料有限公司</w:t>
            </w:r>
            <w:r>
              <w:rPr>
                <w:rFonts w:hint="default" w:ascii="Times New Roman" w:hAnsi="Times New Roman" w:cs="Times New Roman"/>
                <w:highlight w:val="none"/>
              </w:rPr>
              <w:t>年产</w:t>
            </w:r>
            <w:r>
              <w:rPr>
                <w:rFonts w:hint="eastAsia" w:cs="Times New Roman"/>
                <w:highlight w:val="none"/>
                <w:lang w:val="en-US" w:eastAsia="zh-CN"/>
              </w:rPr>
              <w:t>3</w:t>
            </w:r>
            <w:r>
              <w:rPr>
                <w:rFonts w:hint="default" w:ascii="Times New Roman" w:hAnsi="Times New Roman" w:cs="Times New Roman"/>
                <w:highlight w:val="none"/>
                <w:lang w:val="en-US" w:eastAsia="zh-CN"/>
              </w:rPr>
              <w:t>00吨</w:t>
            </w:r>
            <w:r>
              <w:rPr>
                <w:rFonts w:hint="eastAsia" w:cs="Times New Roman"/>
                <w:highlight w:val="none"/>
                <w:lang w:val="en-US" w:eastAsia="zh-CN"/>
              </w:rPr>
              <w:t>塑料食品餐盒项目</w:t>
            </w:r>
            <w:r>
              <w:rPr>
                <w:rFonts w:hint="default" w:ascii="Times New Roman" w:hAnsi="Times New Roman" w:cs="Times New Roman"/>
                <w:color w:val="000000"/>
                <w:sz w:val="24"/>
                <w:highlight w:val="none"/>
              </w:rPr>
              <w:t>符合国家、地方产业政策相关要求，各污染物排放均能够满足达标排放、综合利用的环保要求，对环境影响较小，工程选址合理。在认真落实本评价提出的各项污染防治措施并充分考虑评价建议的基础上，从环保角度而言，该项目建设可行。</w:t>
            </w:r>
          </w:p>
          <w:p w14:paraId="11C5A61D">
            <w:pPr>
              <w:spacing w:line="520" w:lineRule="exact"/>
              <w:ind w:firstLine="480" w:firstLineChars="200"/>
              <w:rPr>
                <w:rFonts w:hint="default" w:ascii="Times New Roman" w:hAnsi="Times New Roman" w:cs="Times New Roman"/>
              </w:rPr>
            </w:pPr>
            <w:r>
              <w:rPr>
                <w:rFonts w:hint="default" w:ascii="Times New Roman" w:hAnsi="Times New Roman" w:cs="Times New Roman"/>
                <w:b w:val="0"/>
                <w:bCs w:val="0"/>
                <w:color w:val="000000"/>
                <w:sz w:val="24"/>
                <w:highlight w:val="none"/>
              </w:rPr>
              <w:t>综上所述，工程在做到环评要求的各项污染防治措施的前提下，从环保角度而言，该项目可行。</w:t>
            </w:r>
          </w:p>
        </w:tc>
      </w:tr>
    </w:tbl>
    <w:p w14:paraId="26F69735">
      <w:pPr>
        <w:ind w:firstLine="480"/>
        <w:rPr>
          <w:rFonts w:hint="default" w:ascii="Times New Roman" w:hAnsi="Times New Roman" w:cs="Times New Roman"/>
        </w:rPr>
        <w:sectPr>
          <w:pgSz w:w="11906" w:h="16838"/>
          <w:pgMar w:top="1701" w:right="1531" w:bottom="170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29E2C3B1">
      <w:pPr>
        <w:widowControl/>
        <w:adjustRightInd w:val="0"/>
        <w:snapToGrid w:val="0"/>
        <w:spacing w:line="240" w:lineRule="auto"/>
        <w:ind w:firstLine="0" w:firstLineChars="0"/>
        <w:outlineLvl w:val="0"/>
        <w:rPr>
          <w:rFonts w:hint="default" w:ascii="Times New Roman" w:hAnsi="Times New Roman" w:eastAsia="黑体" w:cs="Times New Roman"/>
          <w:snapToGrid w:val="0"/>
          <w:sz w:val="32"/>
          <w:szCs w:val="32"/>
        </w:rPr>
      </w:pPr>
      <w:r>
        <w:rPr>
          <w:rFonts w:hint="default" w:ascii="Times New Roman" w:hAnsi="Times New Roman" w:cs="Times New Roman"/>
          <w:snapToGrid w:val="0"/>
          <w:sz w:val="32"/>
          <w:szCs w:val="32"/>
        </w:rPr>
        <w:t>附表</w:t>
      </w:r>
    </w:p>
    <w:p w14:paraId="4398B896">
      <w:pPr>
        <w:widowControl/>
        <w:adjustRightInd w:val="0"/>
        <w:snapToGrid w:val="0"/>
        <w:spacing w:line="240" w:lineRule="auto"/>
        <w:ind w:left="0" w:leftChars="0" w:firstLine="0" w:firstLineChars="0"/>
        <w:jc w:val="center"/>
        <w:outlineLvl w:val="0"/>
        <w:rPr>
          <w:rFonts w:hint="default" w:ascii="Times New Roman" w:hAnsi="Times New Roman" w:eastAsia="方正小标宋_GBK" w:cs="Times New Roman"/>
          <w:b/>
          <w:bCs/>
          <w:snapToGrid w:val="0"/>
          <w:sz w:val="38"/>
          <w:szCs w:val="38"/>
          <w:highlight w:val="none"/>
        </w:rPr>
      </w:pPr>
      <w:r>
        <w:rPr>
          <w:rFonts w:hint="default" w:ascii="Times New Roman" w:hAnsi="Times New Roman" w:cs="Times New Roman"/>
          <w:b/>
          <w:bCs/>
          <w:snapToGrid w:val="0"/>
          <w:sz w:val="38"/>
          <w:szCs w:val="38"/>
          <w:highlight w:val="none"/>
        </w:rPr>
        <w:t>建设项目污染物排放量汇总表</w:t>
      </w:r>
    </w:p>
    <w:tbl>
      <w:tblPr>
        <w:tblStyle w:val="15"/>
        <w:tblW w:w="13374" w:type="dxa"/>
        <w:tblInd w:w="12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80"/>
        <w:gridCol w:w="1935"/>
        <w:gridCol w:w="1650"/>
        <w:gridCol w:w="1237"/>
        <w:gridCol w:w="1650"/>
        <w:gridCol w:w="1513"/>
        <w:gridCol w:w="1709"/>
        <w:gridCol w:w="1489"/>
        <w:gridCol w:w="1211"/>
      </w:tblGrid>
      <w:tr w14:paraId="384B3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96" w:hRule="atLeast"/>
        </w:trPr>
        <w:tc>
          <w:tcPr>
            <w:tcW w:w="980" w:type="dxa"/>
            <w:tcBorders>
              <w:bottom w:val="single" w:color="000000" w:sz="4" w:space="0"/>
              <w:right w:val="single" w:color="000000" w:sz="4" w:space="0"/>
            </w:tcBorders>
            <w:noWrap w:val="0"/>
            <w:vAlign w:val="center"/>
          </w:tcPr>
          <w:p w14:paraId="287ACF4E">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项目</w:t>
            </w:r>
          </w:p>
          <w:p w14:paraId="26A30ABD">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分类</w:t>
            </w:r>
          </w:p>
        </w:tc>
        <w:tc>
          <w:tcPr>
            <w:tcW w:w="1935" w:type="dxa"/>
            <w:tcBorders>
              <w:left w:val="single" w:color="000000" w:sz="4" w:space="0"/>
              <w:bottom w:val="single" w:color="000000" w:sz="4" w:space="0"/>
              <w:right w:val="single" w:color="000000" w:sz="4" w:space="0"/>
            </w:tcBorders>
            <w:noWrap w:val="0"/>
            <w:vAlign w:val="center"/>
          </w:tcPr>
          <w:p w14:paraId="7ACDB2A7">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污染物名称</w:t>
            </w:r>
          </w:p>
        </w:tc>
        <w:tc>
          <w:tcPr>
            <w:tcW w:w="1650" w:type="dxa"/>
            <w:tcBorders>
              <w:left w:val="single" w:color="000000" w:sz="4" w:space="0"/>
              <w:bottom w:val="single" w:color="000000" w:sz="4" w:space="0"/>
              <w:right w:val="single" w:color="000000" w:sz="4" w:space="0"/>
            </w:tcBorders>
            <w:noWrap w:val="0"/>
            <w:vAlign w:val="center"/>
          </w:tcPr>
          <w:p w14:paraId="01AF3A3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现有工程排放量（固体废物产生量）①</w:t>
            </w:r>
          </w:p>
        </w:tc>
        <w:tc>
          <w:tcPr>
            <w:tcW w:w="1237" w:type="dxa"/>
            <w:tcBorders>
              <w:left w:val="single" w:color="000000" w:sz="4" w:space="0"/>
              <w:bottom w:val="single" w:color="000000" w:sz="4" w:space="0"/>
              <w:right w:val="single" w:color="000000" w:sz="4" w:space="0"/>
            </w:tcBorders>
            <w:noWrap w:val="0"/>
            <w:vAlign w:val="center"/>
          </w:tcPr>
          <w:p w14:paraId="10C384EA">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现有工程许可排放量②</w:t>
            </w:r>
          </w:p>
        </w:tc>
        <w:tc>
          <w:tcPr>
            <w:tcW w:w="1650" w:type="dxa"/>
            <w:tcBorders>
              <w:left w:val="single" w:color="000000" w:sz="4" w:space="0"/>
              <w:bottom w:val="single" w:color="000000" w:sz="4" w:space="0"/>
              <w:right w:val="single" w:color="000000" w:sz="4" w:space="0"/>
            </w:tcBorders>
            <w:noWrap w:val="0"/>
            <w:vAlign w:val="center"/>
          </w:tcPr>
          <w:p w14:paraId="0B0A5F0E">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在建工程排放量（固体废物产生量）③</w:t>
            </w:r>
          </w:p>
        </w:tc>
        <w:tc>
          <w:tcPr>
            <w:tcW w:w="1513" w:type="dxa"/>
            <w:tcBorders>
              <w:left w:val="single" w:color="000000" w:sz="4" w:space="0"/>
              <w:bottom w:val="single" w:color="000000" w:sz="4" w:space="0"/>
              <w:right w:val="single" w:color="000000" w:sz="4" w:space="0"/>
            </w:tcBorders>
            <w:noWrap w:val="0"/>
            <w:vAlign w:val="center"/>
          </w:tcPr>
          <w:p w14:paraId="195926E8">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本项目排放量（固体废物产生量）④</w:t>
            </w:r>
          </w:p>
        </w:tc>
        <w:tc>
          <w:tcPr>
            <w:tcW w:w="1709" w:type="dxa"/>
            <w:tcBorders>
              <w:left w:val="single" w:color="000000" w:sz="4" w:space="0"/>
              <w:bottom w:val="single" w:color="000000" w:sz="4" w:space="0"/>
              <w:right w:val="single" w:color="000000" w:sz="4" w:space="0"/>
            </w:tcBorders>
            <w:noWrap w:val="0"/>
            <w:vAlign w:val="center"/>
          </w:tcPr>
          <w:p w14:paraId="18AF9697">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以新带老削减量（新建项目不填）⑤</w:t>
            </w:r>
          </w:p>
        </w:tc>
        <w:tc>
          <w:tcPr>
            <w:tcW w:w="1489" w:type="dxa"/>
            <w:tcBorders>
              <w:left w:val="single" w:color="000000" w:sz="4" w:space="0"/>
              <w:bottom w:val="single" w:color="000000" w:sz="4" w:space="0"/>
              <w:right w:val="single" w:color="000000" w:sz="4" w:space="0"/>
            </w:tcBorders>
            <w:noWrap w:val="0"/>
            <w:vAlign w:val="center"/>
          </w:tcPr>
          <w:p w14:paraId="51A0027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本项目建成后全厂排放量（固体废物产生量）⑥</w:t>
            </w:r>
          </w:p>
        </w:tc>
        <w:tc>
          <w:tcPr>
            <w:tcW w:w="1211" w:type="dxa"/>
            <w:tcBorders>
              <w:left w:val="single" w:color="000000" w:sz="4" w:space="0"/>
              <w:bottom w:val="single" w:color="000000" w:sz="4" w:space="0"/>
            </w:tcBorders>
            <w:noWrap w:val="0"/>
            <w:vAlign w:val="center"/>
          </w:tcPr>
          <w:p w14:paraId="62D0914A">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val="0"/>
                <w:snapToGrid w:val="0"/>
                <w:szCs w:val="21"/>
                <w:highlight w:val="none"/>
              </w:rPr>
            </w:pPr>
            <w:r>
              <w:rPr>
                <w:rFonts w:hint="default" w:ascii="Times New Roman" w:hAnsi="Times New Roman" w:cs="Times New Roman"/>
                <w:b w:val="0"/>
                <w:bCs w:val="0"/>
                <w:snapToGrid w:val="0"/>
                <w:szCs w:val="21"/>
                <w:highlight w:val="none"/>
              </w:rPr>
              <w:t>变化量⑦</w:t>
            </w:r>
          </w:p>
        </w:tc>
      </w:tr>
      <w:tr w14:paraId="58751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tcBorders>
              <w:right w:val="single" w:color="000000" w:sz="4" w:space="0"/>
            </w:tcBorders>
            <w:noWrap w:val="0"/>
            <w:vAlign w:val="center"/>
          </w:tcPr>
          <w:p w14:paraId="4E0CDB54">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snapToGrid w:val="0"/>
                <w:szCs w:val="21"/>
                <w:lang w:eastAsia="zh-CN"/>
              </w:rPr>
            </w:pPr>
            <w:r>
              <w:rPr>
                <w:rFonts w:hint="default" w:ascii="Times New Roman" w:hAnsi="Times New Roman" w:cs="Times New Roman"/>
                <w:bCs/>
                <w:snapToGrid w:val="0"/>
                <w:szCs w:val="21"/>
                <w:lang w:eastAsia="zh-CN"/>
              </w:rPr>
              <w:t>废气</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63E032D2">
            <w:pPr>
              <w:pStyle w:val="37"/>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rPr>
                <w:rFonts w:hint="default" w:ascii="Times New Roman" w:hAnsi="Times New Roman" w:eastAsia="宋体"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VOCs</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528FEE59">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029313B4">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snapToGrid w:val="0"/>
                <w:szCs w:val="21"/>
                <w:lang w:val="en-US" w:eastAsia="zh-CN"/>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535F6AC5">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356FB23A">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snapToGrid w:val="0"/>
                <w:szCs w:val="21"/>
                <w:highlight w:val="none"/>
              </w:rPr>
            </w:pPr>
            <w:r>
              <w:rPr>
                <w:rFonts w:hint="default" w:ascii="Times New Roman" w:hAnsi="Times New Roman" w:cs="Times New Roman"/>
                <w:snapToGrid w:val="0"/>
                <w:szCs w:val="21"/>
                <w:highlight w:val="none"/>
                <w:lang w:val="en-US" w:eastAsia="zh-CN"/>
              </w:rPr>
              <w:t>0.</w:t>
            </w:r>
            <w:r>
              <w:rPr>
                <w:rFonts w:hint="eastAsia" w:cs="Times New Roman"/>
                <w:snapToGrid w:val="0"/>
                <w:szCs w:val="21"/>
                <w:highlight w:val="none"/>
                <w:lang w:val="en-US" w:eastAsia="zh-CN"/>
              </w:rPr>
              <w:t>1281</w:t>
            </w:r>
            <w:r>
              <w:rPr>
                <w:rFonts w:hint="default" w:ascii="Times New Roman" w:hAnsi="Times New Roman" w:cs="Times New Roman"/>
                <w:snapToGrid w:val="0"/>
                <w:szCs w:val="21"/>
                <w:highlight w:val="none"/>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4C738484">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highlight w:val="none"/>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E6545D">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snapToGrid w:val="0"/>
                <w:color w:val="000000"/>
                <w:kern w:val="0"/>
                <w:sz w:val="21"/>
                <w:szCs w:val="21"/>
                <w:highlight w:val="none"/>
                <w:lang w:val="en-US" w:eastAsia="zh-CN" w:bidi="ar-SA"/>
              </w:rPr>
            </w:pPr>
            <w:r>
              <w:rPr>
                <w:rFonts w:hint="default" w:ascii="Times New Roman" w:hAnsi="Times New Roman" w:cs="Times New Roman"/>
                <w:snapToGrid w:val="0"/>
                <w:szCs w:val="21"/>
                <w:highlight w:val="none"/>
                <w:lang w:val="en-US" w:eastAsia="zh-CN"/>
              </w:rPr>
              <w:t>0.</w:t>
            </w:r>
            <w:r>
              <w:rPr>
                <w:rFonts w:hint="eastAsia" w:cs="Times New Roman"/>
                <w:snapToGrid w:val="0"/>
                <w:szCs w:val="21"/>
                <w:highlight w:val="none"/>
                <w:lang w:val="en-US" w:eastAsia="zh-CN"/>
              </w:rPr>
              <w:t>1281</w:t>
            </w:r>
            <w:r>
              <w:rPr>
                <w:rFonts w:hint="default" w:ascii="Times New Roman" w:hAnsi="Times New Roman" w:cs="Times New Roman"/>
                <w:snapToGrid w:val="0"/>
                <w:szCs w:val="21"/>
                <w:highlight w:val="none"/>
              </w:rPr>
              <w:t>t/a</w:t>
            </w:r>
          </w:p>
        </w:tc>
        <w:tc>
          <w:tcPr>
            <w:tcW w:w="1211" w:type="dxa"/>
            <w:tcBorders>
              <w:top w:val="single" w:color="000000" w:sz="4" w:space="0"/>
              <w:left w:val="single" w:color="000000" w:sz="4" w:space="0"/>
              <w:bottom w:val="single" w:color="000000" w:sz="4" w:space="0"/>
            </w:tcBorders>
            <w:noWrap w:val="0"/>
            <w:vAlign w:val="center"/>
          </w:tcPr>
          <w:p w14:paraId="6355A1F2">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snapToGrid w:val="0"/>
                <w:color w:val="000000"/>
                <w:kern w:val="0"/>
                <w:sz w:val="21"/>
                <w:szCs w:val="21"/>
                <w:lang w:val="en-US" w:eastAsia="zh-CN" w:bidi="ar-SA"/>
              </w:rPr>
            </w:pPr>
            <w:r>
              <w:rPr>
                <w:rFonts w:hint="default" w:ascii="Times New Roman" w:hAnsi="Times New Roman" w:cs="Times New Roman"/>
                <w:snapToGrid w:val="0"/>
                <w:szCs w:val="21"/>
                <w:lang w:val="en-US" w:eastAsia="zh-CN"/>
              </w:rPr>
              <w:t>+0.</w:t>
            </w:r>
            <w:r>
              <w:rPr>
                <w:rFonts w:hint="eastAsia" w:cs="Times New Roman"/>
                <w:snapToGrid w:val="0"/>
                <w:szCs w:val="21"/>
                <w:lang w:val="en-US" w:eastAsia="zh-CN"/>
              </w:rPr>
              <w:t>1281</w:t>
            </w:r>
            <w:r>
              <w:rPr>
                <w:rFonts w:hint="default" w:ascii="Times New Roman" w:hAnsi="Times New Roman" w:cs="Times New Roman"/>
                <w:snapToGrid w:val="0"/>
                <w:szCs w:val="21"/>
              </w:rPr>
              <w:t>t/a</w:t>
            </w:r>
          </w:p>
        </w:tc>
      </w:tr>
      <w:tr w14:paraId="2550F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2" w:hRule="atLeast"/>
        </w:trPr>
        <w:tc>
          <w:tcPr>
            <w:tcW w:w="980" w:type="dxa"/>
            <w:vMerge w:val="restart"/>
            <w:tcBorders>
              <w:top w:val="single" w:color="000000" w:sz="4" w:space="0"/>
              <w:right w:val="single" w:color="000000" w:sz="4" w:space="0"/>
            </w:tcBorders>
            <w:noWrap w:val="0"/>
            <w:vAlign w:val="center"/>
          </w:tcPr>
          <w:p w14:paraId="7B0D139D">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r>
              <w:rPr>
                <w:rFonts w:hint="default" w:ascii="Times New Roman" w:hAnsi="Times New Roman" w:cs="Times New Roman"/>
                <w:bCs/>
                <w:snapToGrid w:val="0"/>
                <w:szCs w:val="21"/>
              </w:rPr>
              <w:t>废水</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0ADDCEFE">
            <w:pPr>
              <w:pStyle w:val="37"/>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COD</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69C4531">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506C76E5">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0F98BC94">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4AA89308">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r>
              <w:rPr>
                <w:rFonts w:hint="default" w:ascii="Times New Roman" w:hAnsi="Times New Roman" w:cs="Times New Roman"/>
                <w:bCs/>
                <w:snapToGrid w:val="0"/>
                <w:szCs w:val="21"/>
                <w:lang w:val="en-US" w:eastAsia="zh-CN"/>
              </w:rPr>
              <w:t>0.</w:t>
            </w:r>
            <w:r>
              <w:rPr>
                <w:rFonts w:hint="eastAsia" w:cs="Times New Roman"/>
                <w:bCs/>
                <w:snapToGrid w:val="0"/>
                <w:szCs w:val="21"/>
                <w:lang w:val="en-US" w:eastAsia="zh-CN"/>
              </w:rPr>
              <w:t>018</w:t>
            </w:r>
            <w:r>
              <w:rPr>
                <w:rFonts w:hint="default" w:ascii="Times New Roman" w:hAnsi="Times New Roman" w:cs="Times New Roman"/>
                <w:bCs/>
                <w:snapToGrid w:val="0"/>
                <w:szCs w:val="21"/>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1522B741">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41D23E">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
                <w:snapToGrid w:val="0"/>
                <w:color w:val="000000"/>
                <w:kern w:val="0"/>
                <w:sz w:val="21"/>
                <w:szCs w:val="21"/>
                <w:lang w:val="en-US" w:eastAsia="zh-CN" w:bidi="ar-SA"/>
              </w:rPr>
            </w:pPr>
            <w:r>
              <w:rPr>
                <w:rFonts w:hint="default" w:ascii="Times New Roman" w:hAnsi="Times New Roman" w:cs="Times New Roman"/>
                <w:bCs/>
                <w:snapToGrid w:val="0"/>
                <w:szCs w:val="21"/>
                <w:lang w:val="en-US" w:eastAsia="zh-CN"/>
              </w:rPr>
              <w:t>0.0</w:t>
            </w:r>
            <w:r>
              <w:rPr>
                <w:rFonts w:hint="eastAsia" w:cs="Times New Roman"/>
                <w:bCs/>
                <w:snapToGrid w:val="0"/>
                <w:szCs w:val="21"/>
                <w:lang w:val="en-US" w:eastAsia="zh-CN"/>
              </w:rPr>
              <w:t>18</w:t>
            </w:r>
            <w:r>
              <w:rPr>
                <w:rFonts w:hint="default" w:ascii="Times New Roman" w:hAnsi="Times New Roman" w:cs="Times New Roman"/>
                <w:bCs/>
                <w:snapToGrid w:val="0"/>
                <w:szCs w:val="21"/>
              </w:rPr>
              <w:t>t/a</w:t>
            </w:r>
          </w:p>
        </w:tc>
        <w:tc>
          <w:tcPr>
            <w:tcW w:w="1211" w:type="dxa"/>
            <w:tcBorders>
              <w:top w:val="single" w:color="000000" w:sz="4" w:space="0"/>
              <w:left w:val="single" w:color="000000" w:sz="4" w:space="0"/>
              <w:bottom w:val="single" w:color="000000" w:sz="4" w:space="0"/>
            </w:tcBorders>
            <w:noWrap w:val="0"/>
            <w:vAlign w:val="center"/>
          </w:tcPr>
          <w:p w14:paraId="45AD6926">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r>
              <w:rPr>
                <w:rFonts w:hint="default" w:ascii="Times New Roman" w:hAnsi="Times New Roman" w:cs="Times New Roman"/>
                <w:bCs/>
                <w:snapToGrid w:val="0"/>
                <w:szCs w:val="21"/>
                <w:lang w:val="en-US" w:eastAsia="zh-CN"/>
              </w:rPr>
              <w:t>+0.0</w:t>
            </w:r>
            <w:r>
              <w:rPr>
                <w:rFonts w:hint="eastAsia" w:cs="Times New Roman"/>
                <w:bCs/>
                <w:snapToGrid w:val="0"/>
                <w:szCs w:val="21"/>
                <w:lang w:val="en-US" w:eastAsia="zh-CN"/>
              </w:rPr>
              <w:t>18</w:t>
            </w:r>
            <w:r>
              <w:rPr>
                <w:rFonts w:hint="default" w:ascii="Times New Roman" w:hAnsi="Times New Roman" w:cs="Times New Roman"/>
                <w:bCs/>
                <w:snapToGrid w:val="0"/>
                <w:szCs w:val="21"/>
              </w:rPr>
              <w:t>t/a</w:t>
            </w:r>
          </w:p>
        </w:tc>
      </w:tr>
      <w:tr w14:paraId="690832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vMerge w:val="continue"/>
            <w:tcBorders>
              <w:right w:val="single" w:color="000000" w:sz="4" w:space="0"/>
            </w:tcBorders>
            <w:noWrap w:val="0"/>
            <w:vAlign w:val="center"/>
          </w:tcPr>
          <w:p w14:paraId="24F759C0">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559F7144">
            <w:pPr>
              <w:pStyle w:val="37"/>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NH</w:t>
            </w:r>
            <w:r>
              <w:rPr>
                <w:rFonts w:hint="default" w:ascii="Times New Roman" w:hAnsi="Times New Roman" w:cs="Times New Roman"/>
                <w:kern w:val="0"/>
                <w:sz w:val="21"/>
                <w:szCs w:val="21"/>
                <w:vertAlign w:val="subscript"/>
              </w:rPr>
              <w:t>3</w:t>
            </w:r>
            <w:r>
              <w:rPr>
                <w:rFonts w:hint="default" w:ascii="Times New Roman" w:hAnsi="Times New Roman" w:cs="Times New Roman"/>
                <w:kern w:val="0"/>
                <w:sz w:val="21"/>
                <w:szCs w:val="21"/>
              </w:rPr>
              <w:t>-N</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0708DCFD">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68518E8F">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1BA8ABB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3FFAC171">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r>
              <w:rPr>
                <w:rFonts w:hint="default" w:ascii="Times New Roman" w:hAnsi="Times New Roman" w:cs="Times New Roman"/>
                <w:bCs/>
                <w:snapToGrid w:val="0"/>
                <w:szCs w:val="21"/>
                <w:lang w:val="en-US" w:eastAsia="zh-CN"/>
              </w:rPr>
              <w:t>0.0</w:t>
            </w:r>
            <w:r>
              <w:rPr>
                <w:rFonts w:hint="eastAsia" w:cs="Times New Roman"/>
                <w:bCs/>
                <w:snapToGrid w:val="0"/>
                <w:szCs w:val="21"/>
                <w:lang w:val="en-US" w:eastAsia="zh-CN"/>
              </w:rPr>
              <w:t>052</w:t>
            </w:r>
            <w:r>
              <w:rPr>
                <w:rFonts w:hint="default" w:ascii="Times New Roman" w:hAnsi="Times New Roman" w:cs="Times New Roman"/>
                <w:bCs/>
                <w:snapToGrid w:val="0"/>
                <w:szCs w:val="21"/>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4ACB507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81BC6F">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
                <w:snapToGrid w:val="0"/>
                <w:color w:val="000000"/>
                <w:kern w:val="0"/>
                <w:sz w:val="21"/>
                <w:szCs w:val="21"/>
                <w:lang w:val="en-US" w:eastAsia="zh-CN" w:bidi="ar-SA"/>
              </w:rPr>
            </w:pPr>
            <w:r>
              <w:rPr>
                <w:rFonts w:hint="default" w:ascii="Times New Roman" w:hAnsi="Times New Roman" w:cs="Times New Roman"/>
                <w:bCs/>
                <w:snapToGrid w:val="0"/>
                <w:szCs w:val="21"/>
                <w:lang w:val="en-US" w:eastAsia="zh-CN"/>
              </w:rPr>
              <w:t>0.0</w:t>
            </w:r>
            <w:r>
              <w:rPr>
                <w:rFonts w:hint="eastAsia" w:cs="Times New Roman"/>
                <w:bCs/>
                <w:snapToGrid w:val="0"/>
                <w:szCs w:val="21"/>
                <w:lang w:val="en-US" w:eastAsia="zh-CN"/>
              </w:rPr>
              <w:t>052</w:t>
            </w:r>
            <w:r>
              <w:rPr>
                <w:rFonts w:hint="default" w:ascii="Times New Roman" w:hAnsi="Times New Roman" w:cs="Times New Roman"/>
                <w:bCs/>
                <w:snapToGrid w:val="0"/>
                <w:szCs w:val="21"/>
              </w:rPr>
              <w:t>t/a</w:t>
            </w:r>
          </w:p>
        </w:tc>
        <w:tc>
          <w:tcPr>
            <w:tcW w:w="1211" w:type="dxa"/>
            <w:tcBorders>
              <w:top w:val="single" w:color="000000" w:sz="4" w:space="0"/>
              <w:left w:val="single" w:color="000000" w:sz="4" w:space="0"/>
              <w:bottom w:val="single" w:color="000000" w:sz="4" w:space="0"/>
            </w:tcBorders>
            <w:noWrap w:val="0"/>
            <w:vAlign w:val="center"/>
          </w:tcPr>
          <w:p w14:paraId="679A21FE">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r>
              <w:rPr>
                <w:rFonts w:hint="default" w:ascii="Times New Roman" w:hAnsi="Times New Roman" w:cs="Times New Roman"/>
                <w:bCs/>
                <w:snapToGrid w:val="0"/>
                <w:szCs w:val="21"/>
                <w:lang w:val="en-US" w:eastAsia="zh-CN"/>
              </w:rPr>
              <w:t>+0.00</w:t>
            </w:r>
            <w:r>
              <w:rPr>
                <w:rFonts w:hint="eastAsia" w:cs="Times New Roman"/>
                <w:bCs/>
                <w:snapToGrid w:val="0"/>
                <w:szCs w:val="21"/>
                <w:lang w:val="en-US" w:eastAsia="zh-CN"/>
              </w:rPr>
              <w:t>52</w:t>
            </w:r>
            <w:r>
              <w:rPr>
                <w:rFonts w:hint="default" w:ascii="Times New Roman" w:hAnsi="Times New Roman" w:cs="Times New Roman"/>
                <w:bCs/>
                <w:snapToGrid w:val="0"/>
                <w:szCs w:val="21"/>
              </w:rPr>
              <w:t>t/a</w:t>
            </w:r>
          </w:p>
        </w:tc>
      </w:tr>
      <w:tr w14:paraId="1FE0E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vMerge w:val="continue"/>
            <w:tcBorders>
              <w:right w:val="single" w:color="000000" w:sz="4" w:space="0"/>
            </w:tcBorders>
            <w:noWrap w:val="0"/>
            <w:vAlign w:val="center"/>
          </w:tcPr>
          <w:p w14:paraId="1EA6075B">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59F8AC84">
            <w:pPr>
              <w:pStyle w:val="37"/>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TP</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58BEE81">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30D803E7">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40985CA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787C5612">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0.0</w:t>
            </w:r>
            <w:r>
              <w:rPr>
                <w:rFonts w:hint="eastAsia" w:cs="Times New Roman"/>
                <w:bCs/>
                <w:snapToGrid w:val="0"/>
                <w:szCs w:val="21"/>
                <w:lang w:val="en-US" w:eastAsia="zh-CN"/>
              </w:rPr>
              <w:t>001</w:t>
            </w:r>
            <w:r>
              <w:rPr>
                <w:rFonts w:hint="default" w:ascii="Times New Roman" w:hAnsi="Times New Roman" w:cs="Times New Roman"/>
                <w:bCs/>
                <w:snapToGrid w:val="0"/>
                <w:szCs w:val="21"/>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0F9850CD">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3E1285">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snapToGrid w:val="0"/>
                <w:color w:val="000000"/>
                <w:kern w:val="0"/>
                <w:sz w:val="21"/>
                <w:szCs w:val="21"/>
                <w:lang w:val="en-US" w:eastAsia="zh-CN" w:bidi="ar-SA"/>
              </w:rPr>
            </w:pPr>
            <w:r>
              <w:rPr>
                <w:rFonts w:hint="default" w:ascii="Times New Roman" w:hAnsi="Times New Roman" w:cs="Times New Roman"/>
                <w:bCs/>
                <w:snapToGrid w:val="0"/>
                <w:szCs w:val="21"/>
                <w:lang w:val="en-US" w:eastAsia="zh-CN"/>
              </w:rPr>
              <w:t>0.0</w:t>
            </w:r>
            <w:r>
              <w:rPr>
                <w:rFonts w:hint="eastAsia" w:cs="Times New Roman"/>
                <w:bCs/>
                <w:snapToGrid w:val="0"/>
                <w:szCs w:val="21"/>
                <w:lang w:val="en-US" w:eastAsia="zh-CN"/>
              </w:rPr>
              <w:t>001</w:t>
            </w:r>
            <w:r>
              <w:rPr>
                <w:rFonts w:hint="default" w:ascii="Times New Roman" w:hAnsi="Times New Roman" w:cs="Times New Roman"/>
                <w:bCs/>
                <w:snapToGrid w:val="0"/>
                <w:szCs w:val="21"/>
              </w:rPr>
              <w:t>t/a</w:t>
            </w:r>
          </w:p>
        </w:tc>
        <w:tc>
          <w:tcPr>
            <w:tcW w:w="1211" w:type="dxa"/>
            <w:tcBorders>
              <w:top w:val="single" w:color="000000" w:sz="4" w:space="0"/>
              <w:left w:val="single" w:color="000000" w:sz="4" w:space="0"/>
              <w:bottom w:val="single" w:color="000000" w:sz="4" w:space="0"/>
            </w:tcBorders>
            <w:noWrap w:val="0"/>
            <w:vAlign w:val="center"/>
          </w:tcPr>
          <w:p w14:paraId="25F4508D">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+0.00</w:t>
            </w:r>
            <w:r>
              <w:rPr>
                <w:rFonts w:hint="eastAsia" w:cs="Times New Roman"/>
                <w:bCs/>
                <w:snapToGrid w:val="0"/>
                <w:szCs w:val="21"/>
                <w:lang w:val="en-US" w:eastAsia="zh-CN"/>
              </w:rPr>
              <w:t>01</w:t>
            </w:r>
            <w:r>
              <w:rPr>
                <w:rFonts w:hint="default" w:ascii="Times New Roman" w:hAnsi="Times New Roman" w:cs="Times New Roman"/>
                <w:bCs/>
                <w:snapToGrid w:val="0"/>
                <w:szCs w:val="21"/>
              </w:rPr>
              <w:t>t/a</w:t>
            </w:r>
          </w:p>
        </w:tc>
      </w:tr>
      <w:tr w14:paraId="50F98A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vMerge w:val="restart"/>
            <w:tcBorders>
              <w:top w:val="single" w:color="000000" w:sz="4" w:space="0"/>
              <w:right w:val="single" w:color="000000" w:sz="4" w:space="0"/>
            </w:tcBorders>
            <w:noWrap w:val="0"/>
            <w:vAlign w:val="center"/>
          </w:tcPr>
          <w:p w14:paraId="5B6A5017">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r>
              <w:rPr>
                <w:rFonts w:hint="default" w:ascii="Times New Roman" w:hAnsi="Times New Roman" w:cs="Times New Roman"/>
                <w:bCs/>
                <w:snapToGrid w:val="0"/>
                <w:szCs w:val="21"/>
              </w:rPr>
              <w:t>一般工业固体废物</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219BC0ED">
            <w:pPr>
              <w:pStyle w:val="21"/>
              <w:keepNext w:val="0"/>
              <w:keepLines w:val="0"/>
              <w:pageBreakBefore w:val="0"/>
              <w:widowControl w:val="0"/>
              <w:kinsoku/>
              <w:wordWrap/>
              <w:overflowPunct/>
              <w:topLinePunct w:val="0"/>
              <w:bidi w:val="0"/>
              <w:snapToGrid/>
              <w:spacing w:line="240" w:lineRule="auto"/>
              <w:textAlignment w:val="auto"/>
              <w:rPr>
                <w:rFonts w:hint="eastAsia" w:ascii="Times New Roman" w:hAnsi="Times New Roman" w:eastAsia="宋体" w:cs="Times New Roman"/>
                <w:lang w:eastAsia="zh-CN"/>
              </w:rPr>
            </w:pPr>
            <w:r>
              <w:rPr>
                <w:rFonts w:hint="default" w:ascii="Times New Roman" w:hAnsi="Times New Roman" w:cs="Times New Roman"/>
              </w:rPr>
              <w:t>废</w:t>
            </w:r>
            <w:r>
              <w:rPr>
                <w:rFonts w:hint="eastAsia" w:cs="Times New Roman"/>
                <w:lang w:eastAsia="zh-CN"/>
              </w:rPr>
              <w:t>边角料</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5A0F4485">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70A93BA5">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1A8C0477">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0244B4B2">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r>
              <w:rPr>
                <w:rFonts w:hint="eastAsia" w:cs="Times New Roman"/>
                <w:bCs/>
                <w:snapToGrid w:val="0"/>
                <w:szCs w:val="21"/>
                <w:lang w:val="en-US" w:eastAsia="zh-CN"/>
              </w:rPr>
              <w:t>55.08</w:t>
            </w:r>
            <w:r>
              <w:rPr>
                <w:rFonts w:hint="default" w:ascii="Times New Roman" w:hAnsi="Times New Roman" w:cs="Times New Roman"/>
                <w:bCs/>
                <w:snapToGrid w:val="0"/>
                <w:szCs w:val="21"/>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5D51B0E2">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CDA1E7">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snapToGrid w:val="0"/>
                <w:color w:val="000000"/>
                <w:kern w:val="0"/>
                <w:sz w:val="21"/>
                <w:szCs w:val="21"/>
                <w:lang w:val="en-US" w:eastAsia="zh-CN" w:bidi="ar-SA"/>
              </w:rPr>
            </w:pPr>
            <w:r>
              <w:rPr>
                <w:rFonts w:hint="eastAsia" w:cs="Times New Roman"/>
                <w:bCs/>
                <w:snapToGrid w:val="0"/>
                <w:szCs w:val="21"/>
                <w:lang w:val="en-US" w:eastAsia="zh-CN"/>
              </w:rPr>
              <w:t>55.08</w:t>
            </w:r>
            <w:r>
              <w:rPr>
                <w:rFonts w:hint="default" w:ascii="Times New Roman" w:hAnsi="Times New Roman" w:cs="Times New Roman"/>
                <w:bCs/>
                <w:snapToGrid w:val="0"/>
                <w:szCs w:val="21"/>
              </w:rPr>
              <w:t>t/a</w:t>
            </w:r>
          </w:p>
        </w:tc>
        <w:tc>
          <w:tcPr>
            <w:tcW w:w="1211" w:type="dxa"/>
            <w:tcBorders>
              <w:top w:val="single" w:color="000000" w:sz="4" w:space="0"/>
              <w:left w:val="single" w:color="000000" w:sz="4" w:space="0"/>
              <w:bottom w:val="single" w:color="000000" w:sz="4" w:space="0"/>
            </w:tcBorders>
            <w:noWrap w:val="0"/>
            <w:vAlign w:val="center"/>
          </w:tcPr>
          <w:p w14:paraId="2207EC41">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Cs/>
                <w:snapToGrid w:val="0"/>
                <w:color w:val="000000"/>
                <w:kern w:val="0"/>
                <w:sz w:val="21"/>
                <w:szCs w:val="21"/>
                <w:lang w:val="en-US" w:eastAsia="zh-CN" w:bidi="ar-SA"/>
              </w:rPr>
            </w:pPr>
            <w:r>
              <w:rPr>
                <w:rFonts w:hint="default" w:ascii="Times New Roman" w:hAnsi="Times New Roman" w:cs="Times New Roman"/>
                <w:bCs/>
                <w:snapToGrid w:val="0"/>
                <w:szCs w:val="21"/>
                <w:lang w:val="en-US" w:eastAsia="zh-CN"/>
              </w:rPr>
              <w:t>+</w:t>
            </w:r>
            <w:r>
              <w:rPr>
                <w:rFonts w:hint="eastAsia" w:cs="Times New Roman"/>
                <w:bCs/>
                <w:snapToGrid w:val="0"/>
                <w:szCs w:val="21"/>
                <w:lang w:val="en-US" w:eastAsia="zh-CN"/>
              </w:rPr>
              <w:t>55.08</w:t>
            </w:r>
            <w:r>
              <w:rPr>
                <w:rFonts w:hint="default" w:ascii="Times New Roman" w:hAnsi="Times New Roman" w:cs="Times New Roman"/>
                <w:bCs/>
                <w:snapToGrid w:val="0"/>
                <w:szCs w:val="21"/>
              </w:rPr>
              <w:t>t/a</w:t>
            </w:r>
          </w:p>
        </w:tc>
      </w:tr>
      <w:tr w14:paraId="7A1EC3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vMerge w:val="continue"/>
            <w:tcBorders>
              <w:right w:val="single" w:color="000000" w:sz="4" w:space="0"/>
            </w:tcBorders>
            <w:noWrap w:val="0"/>
            <w:vAlign w:val="center"/>
          </w:tcPr>
          <w:p w14:paraId="2FEA0B26">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64F6D6B7">
            <w:pPr>
              <w:pStyle w:val="21"/>
              <w:keepNext w:val="0"/>
              <w:keepLines w:val="0"/>
              <w:pageBreakBefore w:val="0"/>
              <w:widowControl w:val="0"/>
              <w:kinsoku/>
              <w:wordWrap/>
              <w:overflowPunct/>
              <w:topLinePunct w:val="0"/>
              <w:bidi w:val="0"/>
              <w:snapToGrid/>
              <w:spacing w:line="240" w:lineRule="auto"/>
              <w:textAlignment w:val="auto"/>
              <w:rPr>
                <w:rFonts w:hint="eastAsia" w:ascii="Times New Roman" w:hAnsi="Times New Roman" w:eastAsia="宋体" w:cs="Times New Roman"/>
                <w:lang w:eastAsia="zh-CN"/>
              </w:rPr>
            </w:pPr>
            <w:r>
              <w:rPr>
                <w:rFonts w:hint="eastAsia" w:cs="Times New Roman"/>
                <w:lang w:eastAsia="zh-CN"/>
              </w:rPr>
              <w:t>不合格产品</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157F4DAD">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3105F744">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7336E10C">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645851B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r>
              <w:rPr>
                <w:rFonts w:hint="eastAsia" w:cs="Times New Roman"/>
                <w:bCs/>
                <w:snapToGrid w:val="0"/>
                <w:szCs w:val="21"/>
                <w:lang w:val="en-US" w:eastAsia="zh-CN"/>
              </w:rPr>
              <w:t>4.25</w:t>
            </w:r>
            <w:r>
              <w:rPr>
                <w:rFonts w:hint="default" w:ascii="Times New Roman" w:hAnsi="Times New Roman" w:cs="Times New Roman"/>
                <w:bCs/>
                <w:snapToGrid w:val="0"/>
                <w:szCs w:val="21"/>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45350D9F">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E609DB">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snapToGrid w:val="0"/>
                <w:color w:val="000000"/>
                <w:kern w:val="0"/>
                <w:sz w:val="21"/>
                <w:szCs w:val="21"/>
                <w:lang w:val="en-US" w:eastAsia="zh-CN" w:bidi="ar-SA"/>
              </w:rPr>
            </w:pPr>
            <w:r>
              <w:rPr>
                <w:rFonts w:hint="eastAsia" w:cs="Times New Roman"/>
                <w:bCs/>
                <w:snapToGrid w:val="0"/>
                <w:szCs w:val="21"/>
                <w:lang w:val="en-US" w:eastAsia="zh-CN"/>
              </w:rPr>
              <w:t>4.25</w:t>
            </w:r>
            <w:r>
              <w:rPr>
                <w:rFonts w:hint="default" w:ascii="Times New Roman" w:hAnsi="Times New Roman" w:cs="Times New Roman"/>
                <w:bCs/>
                <w:snapToGrid w:val="0"/>
                <w:szCs w:val="21"/>
              </w:rPr>
              <w:t>t/a</w:t>
            </w:r>
          </w:p>
        </w:tc>
        <w:tc>
          <w:tcPr>
            <w:tcW w:w="1211" w:type="dxa"/>
            <w:tcBorders>
              <w:top w:val="single" w:color="000000" w:sz="4" w:space="0"/>
              <w:left w:val="single" w:color="000000" w:sz="4" w:space="0"/>
              <w:bottom w:val="single" w:color="000000" w:sz="4" w:space="0"/>
            </w:tcBorders>
            <w:noWrap w:val="0"/>
            <w:vAlign w:val="center"/>
          </w:tcPr>
          <w:p w14:paraId="3E35FD3A">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Cs/>
                <w:snapToGrid w:val="0"/>
                <w:color w:val="000000"/>
                <w:kern w:val="0"/>
                <w:sz w:val="21"/>
                <w:szCs w:val="21"/>
                <w:lang w:val="en-US" w:eastAsia="zh-CN" w:bidi="ar-SA"/>
              </w:rPr>
            </w:pPr>
            <w:r>
              <w:rPr>
                <w:rFonts w:hint="default" w:ascii="Times New Roman" w:hAnsi="Times New Roman" w:cs="Times New Roman"/>
                <w:bCs/>
                <w:snapToGrid w:val="0"/>
                <w:szCs w:val="21"/>
                <w:lang w:val="en-US" w:eastAsia="zh-CN"/>
              </w:rPr>
              <w:t>+</w:t>
            </w:r>
            <w:r>
              <w:rPr>
                <w:rFonts w:hint="eastAsia" w:cs="Times New Roman"/>
                <w:bCs/>
                <w:snapToGrid w:val="0"/>
                <w:szCs w:val="21"/>
                <w:lang w:val="en-US" w:eastAsia="zh-CN"/>
              </w:rPr>
              <w:t>4.25</w:t>
            </w:r>
            <w:r>
              <w:rPr>
                <w:rFonts w:hint="default" w:ascii="Times New Roman" w:hAnsi="Times New Roman" w:cs="Times New Roman"/>
                <w:bCs/>
                <w:snapToGrid w:val="0"/>
                <w:szCs w:val="21"/>
              </w:rPr>
              <w:t>t/a</w:t>
            </w:r>
          </w:p>
        </w:tc>
      </w:tr>
      <w:tr w14:paraId="2B193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vMerge w:val="restart"/>
            <w:tcBorders>
              <w:top w:val="single" w:color="000000" w:sz="4" w:space="0"/>
              <w:right w:val="single" w:color="000000" w:sz="4" w:space="0"/>
            </w:tcBorders>
            <w:noWrap w:val="0"/>
            <w:vAlign w:val="center"/>
          </w:tcPr>
          <w:p w14:paraId="7A68FB5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r>
              <w:rPr>
                <w:rFonts w:hint="default" w:ascii="Times New Roman" w:hAnsi="Times New Roman" w:cs="Times New Roman"/>
                <w:bCs/>
                <w:snapToGrid w:val="0"/>
                <w:szCs w:val="21"/>
              </w:rPr>
              <w:t>危险废物</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6CC43FD4">
            <w:pPr>
              <w:pStyle w:val="21"/>
              <w:keepNext w:val="0"/>
              <w:keepLines w:val="0"/>
              <w:pageBreakBefore w:val="0"/>
              <w:widowControl w:val="0"/>
              <w:kinsoku/>
              <w:wordWrap/>
              <w:overflowPunct/>
              <w:topLinePunct w:val="0"/>
              <w:bidi w:val="0"/>
              <w:snapToGrid/>
              <w:spacing w:line="240" w:lineRule="auto"/>
              <w:textAlignment w:val="auto"/>
              <w:rPr>
                <w:rFonts w:hint="eastAsia" w:ascii="Times New Roman" w:hAnsi="Times New Roman" w:eastAsia="宋体" w:cs="Times New Roman"/>
                <w:lang w:eastAsia="zh-CN"/>
              </w:rPr>
            </w:pPr>
            <w:r>
              <w:rPr>
                <w:rFonts w:hint="eastAsia" w:cs="Times New Roman"/>
                <w:lang w:eastAsia="zh-CN"/>
              </w:rPr>
              <w:t>废活性炭</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034DFA6D">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10D03E3F">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4C5C0CB6">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2EFD22F9">
            <w:pPr>
              <w:pStyle w:val="21"/>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rPr>
            </w:pPr>
            <w:r>
              <w:rPr>
                <w:rFonts w:hint="eastAsia" w:cs="Times New Roman"/>
                <w:lang w:val="en-US" w:eastAsia="zh-CN"/>
              </w:rPr>
              <w:t>8.3742</w:t>
            </w:r>
            <w:r>
              <w:rPr>
                <w:rFonts w:hint="default" w:ascii="Times New Roman" w:hAnsi="Times New Roman" w:cs="Times New Roman"/>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0F67D049">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91C130">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eastAsia" w:cs="Times New Roman"/>
                <w:lang w:val="en-US" w:eastAsia="zh-CN"/>
              </w:rPr>
              <w:t>8.3742</w:t>
            </w:r>
            <w:r>
              <w:rPr>
                <w:rFonts w:hint="default" w:ascii="Times New Roman" w:hAnsi="Times New Roman" w:cs="Times New Roman"/>
              </w:rPr>
              <w:t>t/a</w:t>
            </w:r>
          </w:p>
        </w:tc>
        <w:tc>
          <w:tcPr>
            <w:tcW w:w="1211" w:type="dxa"/>
            <w:tcBorders>
              <w:top w:val="single" w:color="000000" w:sz="4" w:space="0"/>
              <w:left w:val="single" w:color="000000" w:sz="4" w:space="0"/>
              <w:bottom w:val="single" w:color="000000" w:sz="4" w:space="0"/>
            </w:tcBorders>
            <w:noWrap w:val="0"/>
            <w:vAlign w:val="center"/>
          </w:tcPr>
          <w:p w14:paraId="53721723">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Cs/>
                <w:color w:val="000000"/>
                <w:kern w:val="0"/>
                <w:sz w:val="21"/>
                <w:szCs w:val="20"/>
                <w:lang w:val="en-US" w:eastAsia="zh-CN" w:bidi="ar-SA"/>
              </w:rPr>
            </w:pPr>
            <w:r>
              <w:rPr>
                <w:rFonts w:hint="default" w:ascii="Times New Roman" w:hAnsi="Times New Roman" w:cs="Times New Roman"/>
                <w:lang w:val="en-US" w:eastAsia="zh-CN"/>
              </w:rPr>
              <w:t>+</w:t>
            </w:r>
            <w:r>
              <w:rPr>
                <w:rFonts w:hint="eastAsia" w:cs="Times New Roman"/>
                <w:lang w:val="en-US" w:eastAsia="zh-CN"/>
              </w:rPr>
              <w:t>8.3742</w:t>
            </w:r>
            <w:r>
              <w:rPr>
                <w:rFonts w:hint="default" w:ascii="Times New Roman" w:hAnsi="Times New Roman" w:cs="Times New Roman"/>
              </w:rPr>
              <w:t>t/a</w:t>
            </w:r>
          </w:p>
        </w:tc>
      </w:tr>
      <w:tr w14:paraId="387C2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vMerge w:val="continue"/>
            <w:tcBorders>
              <w:right w:val="single" w:color="000000" w:sz="4" w:space="0"/>
            </w:tcBorders>
            <w:noWrap w:val="0"/>
            <w:vAlign w:val="center"/>
          </w:tcPr>
          <w:p w14:paraId="7B81EFCA">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E9CF69">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cs="Times New Roman"/>
              </w:rPr>
              <w:t>废润滑油</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0728CC1D">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15A788EB">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121AF45">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45E28342">
            <w:pPr>
              <w:pStyle w:val="21"/>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rPr>
            </w:pPr>
            <w:r>
              <w:rPr>
                <w:rFonts w:hint="default" w:ascii="Times New Roman" w:hAnsi="Times New Roman" w:cs="Times New Roman"/>
                <w:bCs w:val="0"/>
                <w:lang w:val="en-US" w:eastAsia="zh-CN"/>
              </w:rPr>
              <w:t>0.</w:t>
            </w:r>
            <w:r>
              <w:rPr>
                <w:rFonts w:hint="eastAsia" w:cs="Times New Roman"/>
                <w:bCs w:val="0"/>
                <w:lang w:val="en-US" w:eastAsia="zh-CN"/>
              </w:rPr>
              <w:t>35</w:t>
            </w:r>
            <w:r>
              <w:rPr>
                <w:rFonts w:hint="default" w:ascii="Times New Roman" w:hAnsi="Times New Roman" w:cs="Times New Roman"/>
                <w:bCs w:val="0"/>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633BC503">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05C03B">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cs="Times New Roman"/>
                <w:bCs w:val="0"/>
                <w:lang w:val="en-US" w:eastAsia="zh-CN"/>
              </w:rPr>
              <w:t>0.</w:t>
            </w:r>
            <w:r>
              <w:rPr>
                <w:rFonts w:hint="eastAsia" w:cs="Times New Roman"/>
                <w:bCs w:val="0"/>
                <w:lang w:val="en-US" w:eastAsia="zh-CN"/>
              </w:rPr>
              <w:t>35</w:t>
            </w:r>
            <w:r>
              <w:rPr>
                <w:rFonts w:hint="default" w:ascii="Times New Roman" w:hAnsi="Times New Roman" w:cs="Times New Roman"/>
                <w:bCs w:val="0"/>
              </w:rPr>
              <w:t>t/a</w:t>
            </w:r>
          </w:p>
        </w:tc>
        <w:tc>
          <w:tcPr>
            <w:tcW w:w="1211" w:type="dxa"/>
            <w:tcBorders>
              <w:top w:val="single" w:color="000000" w:sz="4" w:space="0"/>
              <w:left w:val="single" w:color="000000" w:sz="4" w:space="0"/>
              <w:bottom w:val="single" w:color="000000" w:sz="4" w:space="0"/>
            </w:tcBorders>
            <w:noWrap w:val="0"/>
            <w:vAlign w:val="center"/>
          </w:tcPr>
          <w:p w14:paraId="73813C89">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Cs/>
                <w:color w:val="000000"/>
                <w:kern w:val="0"/>
                <w:sz w:val="21"/>
                <w:szCs w:val="20"/>
                <w:lang w:val="en-US" w:eastAsia="zh-CN" w:bidi="ar-SA"/>
              </w:rPr>
            </w:pPr>
            <w:r>
              <w:rPr>
                <w:rFonts w:hint="default" w:ascii="Times New Roman" w:hAnsi="Times New Roman" w:cs="Times New Roman"/>
                <w:bCs w:val="0"/>
                <w:lang w:val="en-US" w:eastAsia="zh-CN"/>
              </w:rPr>
              <w:t>+0.</w:t>
            </w:r>
            <w:r>
              <w:rPr>
                <w:rFonts w:hint="eastAsia" w:cs="Times New Roman"/>
                <w:bCs w:val="0"/>
                <w:lang w:val="en-US" w:eastAsia="zh-CN"/>
              </w:rPr>
              <w:t>35</w:t>
            </w:r>
            <w:r>
              <w:rPr>
                <w:rFonts w:hint="default" w:ascii="Times New Roman" w:hAnsi="Times New Roman" w:cs="Times New Roman"/>
                <w:bCs w:val="0"/>
              </w:rPr>
              <w:t>t/a</w:t>
            </w:r>
          </w:p>
        </w:tc>
      </w:tr>
      <w:tr w14:paraId="28081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0" w:hRule="atLeast"/>
        </w:trPr>
        <w:tc>
          <w:tcPr>
            <w:tcW w:w="980" w:type="dxa"/>
            <w:vMerge w:val="continue"/>
            <w:tcBorders>
              <w:right w:val="single" w:color="000000" w:sz="4" w:space="0"/>
            </w:tcBorders>
            <w:noWrap w:val="0"/>
            <w:vAlign w:val="center"/>
          </w:tcPr>
          <w:p w14:paraId="4FD82C04">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DA729E">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cs="Times New Roman"/>
              </w:rPr>
              <w:t>废油桶</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37403DFD">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
                <w:snapToGrid w:val="0"/>
                <w:color w:val="000000"/>
                <w:kern w:val="0"/>
                <w:sz w:val="21"/>
                <w:szCs w:val="21"/>
                <w:lang w:val="en-US" w:eastAsia="zh-CN" w:bidi="ar-SA"/>
              </w:rPr>
            </w:pP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57AB5386">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val="0"/>
                <w:bCs/>
                <w:snapToGrid w:val="0"/>
                <w:szCs w:val="21"/>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14:paraId="6F6F533B">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10545300">
            <w:pPr>
              <w:pStyle w:val="21"/>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lang w:val="en-US" w:eastAsia="zh-CN"/>
              </w:rPr>
            </w:pPr>
            <w:r>
              <w:rPr>
                <w:rFonts w:hint="default" w:ascii="Times New Roman" w:hAnsi="Times New Roman" w:cs="Times New Roman"/>
                <w:bCs w:val="0"/>
                <w:lang w:val="en-US" w:eastAsia="zh-CN"/>
              </w:rPr>
              <w:t>0.</w:t>
            </w:r>
            <w:r>
              <w:rPr>
                <w:rFonts w:hint="eastAsia" w:ascii="Times New Roman" w:hAnsi="Times New Roman" w:cs="Times New Roman"/>
                <w:bCs w:val="0"/>
                <w:lang w:val="en-US" w:eastAsia="zh-CN"/>
              </w:rPr>
              <w:t>0075</w:t>
            </w:r>
            <w:r>
              <w:rPr>
                <w:rFonts w:hint="default" w:ascii="Times New Roman" w:hAnsi="Times New Roman" w:cs="Times New Roman"/>
                <w:bCs w:val="0"/>
              </w:rPr>
              <w:t>t/a</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14:paraId="7DEB8ED7">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
                <w:snapToGrid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2BE205">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cs="Times New Roman"/>
                <w:bCs w:val="0"/>
                <w:lang w:val="en-US" w:eastAsia="zh-CN"/>
              </w:rPr>
              <w:t>0.</w:t>
            </w:r>
            <w:r>
              <w:rPr>
                <w:rFonts w:hint="eastAsia" w:ascii="Times New Roman" w:hAnsi="Times New Roman" w:cs="Times New Roman"/>
                <w:bCs w:val="0"/>
                <w:lang w:val="en-US" w:eastAsia="zh-CN"/>
              </w:rPr>
              <w:t>0075</w:t>
            </w:r>
            <w:r>
              <w:rPr>
                <w:rFonts w:hint="default" w:ascii="Times New Roman" w:hAnsi="Times New Roman" w:cs="Times New Roman"/>
                <w:bCs w:val="0"/>
              </w:rPr>
              <w:t>t/a</w:t>
            </w:r>
          </w:p>
        </w:tc>
        <w:tc>
          <w:tcPr>
            <w:tcW w:w="1211" w:type="dxa"/>
            <w:tcBorders>
              <w:top w:val="single" w:color="000000" w:sz="4" w:space="0"/>
              <w:left w:val="single" w:color="000000" w:sz="4" w:space="0"/>
              <w:bottom w:val="single" w:color="000000" w:sz="4" w:space="0"/>
            </w:tcBorders>
            <w:noWrap w:val="0"/>
            <w:vAlign w:val="center"/>
          </w:tcPr>
          <w:p w14:paraId="3BE27505">
            <w:pPr>
              <w:pStyle w:val="21"/>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cs="Times New Roman"/>
                <w:bCs/>
                <w:snapToGrid w:val="0"/>
                <w:szCs w:val="21"/>
                <w:lang w:val="en-US" w:eastAsia="zh-CN"/>
              </w:rPr>
              <w:t>+0.00</w:t>
            </w:r>
            <w:r>
              <w:rPr>
                <w:rFonts w:hint="eastAsia" w:cs="Times New Roman"/>
                <w:bCs/>
                <w:snapToGrid w:val="0"/>
                <w:szCs w:val="21"/>
                <w:lang w:val="en-US" w:eastAsia="zh-CN"/>
              </w:rPr>
              <w:t>75</w:t>
            </w:r>
            <w:r>
              <w:rPr>
                <w:rFonts w:hint="default" w:ascii="Times New Roman" w:hAnsi="Times New Roman" w:cs="Times New Roman"/>
                <w:bCs/>
                <w:snapToGrid w:val="0"/>
                <w:szCs w:val="21"/>
              </w:rPr>
              <w:t>t/a</w:t>
            </w:r>
          </w:p>
        </w:tc>
      </w:tr>
      <w:tr w14:paraId="54B87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0" w:hRule="atLeast"/>
        </w:trPr>
        <w:tc>
          <w:tcPr>
            <w:tcW w:w="2915" w:type="dxa"/>
            <w:gridSpan w:val="2"/>
            <w:tcBorders>
              <w:top w:val="single" w:color="000000" w:sz="4" w:space="0"/>
              <w:right w:val="single" w:color="000000" w:sz="4" w:space="0"/>
            </w:tcBorders>
            <w:noWrap w:val="0"/>
            <w:vAlign w:val="center"/>
          </w:tcPr>
          <w:p w14:paraId="034DE24F">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r>
              <w:rPr>
                <w:rFonts w:hint="default" w:ascii="Times New Roman" w:hAnsi="Times New Roman" w:cs="Times New Roman"/>
                <w:bCs/>
                <w:snapToGrid w:val="0"/>
                <w:szCs w:val="21"/>
              </w:rPr>
              <w:t>生活垃圾</w:t>
            </w:r>
          </w:p>
        </w:tc>
        <w:tc>
          <w:tcPr>
            <w:tcW w:w="1650" w:type="dxa"/>
            <w:tcBorders>
              <w:top w:val="single" w:color="000000" w:sz="4" w:space="0"/>
              <w:left w:val="single" w:color="000000" w:sz="4" w:space="0"/>
              <w:right w:val="single" w:color="000000" w:sz="4" w:space="0"/>
            </w:tcBorders>
            <w:noWrap w:val="0"/>
            <w:vAlign w:val="center"/>
          </w:tcPr>
          <w:p w14:paraId="3F853349">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snapToGrid w:val="0"/>
                <w:szCs w:val="21"/>
                <w:lang w:val="en-US" w:eastAsia="zh-CN"/>
              </w:rPr>
            </w:pPr>
          </w:p>
        </w:tc>
        <w:tc>
          <w:tcPr>
            <w:tcW w:w="1237" w:type="dxa"/>
            <w:tcBorders>
              <w:top w:val="single" w:color="000000" w:sz="4" w:space="0"/>
              <w:left w:val="single" w:color="000000" w:sz="4" w:space="0"/>
              <w:right w:val="single" w:color="000000" w:sz="4" w:space="0"/>
            </w:tcBorders>
            <w:noWrap w:val="0"/>
            <w:vAlign w:val="center"/>
          </w:tcPr>
          <w:p w14:paraId="72527B51">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Cs/>
                <w:snapToGrid w:val="0"/>
                <w:color w:val="000000"/>
                <w:kern w:val="0"/>
                <w:sz w:val="21"/>
                <w:szCs w:val="21"/>
                <w:lang w:val="en-US" w:eastAsia="zh-CN" w:bidi="ar-SA"/>
              </w:rPr>
            </w:pPr>
          </w:p>
        </w:tc>
        <w:tc>
          <w:tcPr>
            <w:tcW w:w="1650" w:type="dxa"/>
            <w:tcBorders>
              <w:top w:val="single" w:color="000000" w:sz="4" w:space="0"/>
              <w:left w:val="single" w:color="000000" w:sz="4" w:space="0"/>
              <w:right w:val="single" w:color="000000" w:sz="4" w:space="0"/>
            </w:tcBorders>
            <w:noWrap w:val="0"/>
            <w:vAlign w:val="center"/>
          </w:tcPr>
          <w:p w14:paraId="7CA6094A">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p>
        </w:tc>
        <w:tc>
          <w:tcPr>
            <w:tcW w:w="1513" w:type="dxa"/>
            <w:tcBorders>
              <w:top w:val="single" w:color="000000" w:sz="4" w:space="0"/>
              <w:left w:val="single" w:color="000000" w:sz="4" w:space="0"/>
              <w:right w:val="single" w:color="000000" w:sz="4" w:space="0"/>
            </w:tcBorders>
            <w:noWrap w:val="0"/>
            <w:vAlign w:val="center"/>
          </w:tcPr>
          <w:p w14:paraId="0D4EF9A6">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r>
              <w:rPr>
                <w:rFonts w:hint="eastAsia" w:cs="Times New Roman"/>
                <w:bCs/>
                <w:snapToGrid w:val="0"/>
                <w:szCs w:val="21"/>
                <w:lang w:val="en-US" w:eastAsia="zh-CN"/>
              </w:rPr>
              <w:t>1.5</w:t>
            </w:r>
            <w:r>
              <w:rPr>
                <w:rFonts w:hint="default" w:ascii="Times New Roman" w:hAnsi="Times New Roman" w:cs="Times New Roman"/>
                <w:bCs/>
                <w:snapToGrid w:val="0"/>
                <w:szCs w:val="21"/>
              </w:rPr>
              <w:t>t/a</w:t>
            </w:r>
          </w:p>
        </w:tc>
        <w:tc>
          <w:tcPr>
            <w:tcW w:w="1709" w:type="dxa"/>
            <w:tcBorders>
              <w:top w:val="single" w:color="000000" w:sz="4" w:space="0"/>
              <w:left w:val="single" w:color="000000" w:sz="4" w:space="0"/>
              <w:right w:val="single" w:color="000000" w:sz="4" w:space="0"/>
            </w:tcBorders>
            <w:noWrap w:val="0"/>
            <w:vAlign w:val="center"/>
          </w:tcPr>
          <w:p w14:paraId="61126BEB">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cs="Times New Roman"/>
                <w:bCs/>
                <w:snapToGrid w:val="0"/>
                <w:szCs w:val="21"/>
              </w:rPr>
            </w:pPr>
          </w:p>
        </w:tc>
        <w:tc>
          <w:tcPr>
            <w:tcW w:w="1489" w:type="dxa"/>
            <w:tcBorders>
              <w:top w:val="single" w:color="000000" w:sz="4" w:space="0"/>
              <w:left w:val="single" w:color="000000" w:sz="4" w:space="0"/>
              <w:right w:val="single" w:color="000000" w:sz="4" w:space="0"/>
            </w:tcBorders>
            <w:noWrap w:val="0"/>
            <w:vAlign w:val="center"/>
          </w:tcPr>
          <w:p w14:paraId="4F422318">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snapToGrid w:val="0"/>
                <w:szCs w:val="21"/>
                <w:lang w:val="en-US" w:eastAsia="zh-CN"/>
              </w:rPr>
            </w:pPr>
            <w:r>
              <w:rPr>
                <w:rFonts w:hint="eastAsia" w:cs="Times New Roman"/>
                <w:bCs/>
                <w:snapToGrid w:val="0"/>
                <w:szCs w:val="21"/>
                <w:lang w:val="en-US" w:eastAsia="zh-CN"/>
              </w:rPr>
              <w:t>1.5</w:t>
            </w:r>
            <w:r>
              <w:rPr>
                <w:rFonts w:hint="default" w:ascii="Times New Roman" w:hAnsi="Times New Roman" w:cs="Times New Roman"/>
                <w:bCs/>
                <w:snapToGrid w:val="0"/>
                <w:szCs w:val="21"/>
              </w:rPr>
              <w:t>t/a</w:t>
            </w:r>
          </w:p>
        </w:tc>
        <w:tc>
          <w:tcPr>
            <w:tcW w:w="1211" w:type="dxa"/>
            <w:tcBorders>
              <w:top w:val="single" w:color="000000" w:sz="4" w:space="0"/>
              <w:left w:val="single" w:color="000000" w:sz="4" w:space="0"/>
            </w:tcBorders>
            <w:noWrap w:val="0"/>
            <w:vAlign w:val="center"/>
          </w:tcPr>
          <w:p w14:paraId="4E8F603B">
            <w:pPr>
              <w:pStyle w:val="32"/>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cs="Times New Roman"/>
                <w:bCs/>
                <w:snapToGrid w:val="0"/>
                <w:color w:val="000000"/>
                <w:kern w:val="0"/>
                <w:sz w:val="21"/>
                <w:szCs w:val="21"/>
                <w:lang w:val="en-US" w:eastAsia="zh-CN" w:bidi="ar-SA"/>
              </w:rPr>
            </w:pPr>
            <w:r>
              <w:rPr>
                <w:rFonts w:hint="default" w:ascii="Times New Roman" w:hAnsi="Times New Roman" w:cs="Times New Roman"/>
                <w:bCs/>
                <w:snapToGrid w:val="0"/>
                <w:color w:val="000000"/>
                <w:kern w:val="0"/>
                <w:sz w:val="21"/>
                <w:szCs w:val="21"/>
                <w:lang w:val="en-US" w:eastAsia="zh-CN" w:bidi="ar-SA"/>
              </w:rPr>
              <w:t>+</w:t>
            </w:r>
            <w:r>
              <w:rPr>
                <w:rFonts w:hint="eastAsia" w:cs="Times New Roman"/>
                <w:bCs/>
                <w:snapToGrid w:val="0"/>
                <w:color w:val="000000"/>
                <w:kern w:val="0"/>
                <w:sz w:val="21"/>
                <w:szCs w:val="21"/>
                <w:lang w:val="en-US" w:eastAsia="zh-CN" w:bidi="ar-SA"/>
              </w:rPr>
              <w:t>1.5</w:t>
            </w:r>
            <w:r>
              <w:rPr>
                <w:rFonts w:hint="default" w:ascii="Times New Roman" w:hAnsi="Times New Roman" w:cs="Times New Roman"/>
                <w:bCs/>
                <w:snapToGrid w:val="0"/>
                <w:color w:val="000000"/>
                <w:kern w:val="0"/>
                <w:sz w:val="21"/>
                <w:szCs w:val="21"/>
                <w:lang w:val="en-US" w:eastAsia="zh-CN" w:bidi="ar-SA"/>
              </w:rPr>
              <w:t>t/a</w:t>
            </w:r>
          </w:p>
        </w:tc>
      </w:tr>
    </w:tbl>
    <w:p w14:paraId="7067C52E">
      <w:pPr>
        <w:pStyle w:val="32"/>
        <w:jc w:val="both"/>
        <w:rPr>
          <w:rFonts w:hint="default" w:ascii="Times New Roman" w:hAnsi="Times New Roman" w:cs="Times New Roman"/>
          <w:b/>
          <w:snapToGrid w:val="0"/>
        </w:rPr>
      </w:pPr>
      <w:r>
        <w:rPr>
          <w:rFonts w:hint="default" w:ascii="Times New Roman" w:hAnsi="Times New Roman" w:cs="Times New Roman"/>
          <w:b w:val="0"/>
          <w:bCs/>
          <w:snapToGrid w:val="0"/>
        </w:rPr>
        <w:t>注：</w:t>
      </w:r>
      <w:r>
        <w:rPr>
          <w:rFonts w:hint="default" w:ascii="Times New Roman" w:hAnsi="Times New Roman" w:cs="Times New Roman"/>
          <w:b w:val="0"/>
          <w:bCs/>
          <w:snapToGrid w:val="0"/>
          <w:spacing w:val="-16"/>
        </w:rPr>
        <w:fldChar w:fldCharType="begin"/>
      </w:r>
      <w:r>
        <w:rPr>
          <w:rFonts w:hint="default" w:ascii="Times New Roman" w:hAnsi="Times New Roman" w:cs="Times New Roman"/>
          <w:b w:val="0"/>
          <w:bCs/>
          <w:snapToGrid w:val="0"/>
          <w:spacing w:val="-16"/>
        </w:rPr>
        <w:instrText xml:space="preserve"> = 6 \* GB3 \* MERGEFORMAT </w:instrText>
      </w:r>
      <w:r>
        <w:rPr>
          <w:rFonts w:hint="default" w:ascii="Times New Roman" w:hAnsi="Times New Roman" w:cs="Times New Roman"/>
          <w:b w:val="0"/>
          <w:bCs/>
          <w:snapToGrid w:val="0"/>
          <w:spacing w:val="-16"/>
        </w:rPr>
        <w:fldChar w:fldCharType="separate"/>
      </w:r>
      <w:r>
        <w:rPr>
          <w:rFonts w:hint="default" w:ascii="Times New Roman" w:hAnsi="Times New Roman" w:cs="Times New Roman"/>
          <w:b w:val="0"/>
          <w:bCs/>
        </w:rPr>
        <w:t>⑥</w:t>
      </w:r>
      <w:r>
        <w:rPr>
          <w:rFonts w:hint="default" w:ascii="Times New Roman" w:hAnsi="Times New Roman" w:cs="Times New Roman"/>
          <w:b w:val="0"/>
          <w:bCs/>
          <w:snapToGrid w:val="0"/>
          <w:spacing w:val="-16"/>
        </w:rPr>
        <w:fldChar w:fldCharType="end"/>
      </w:r>
      <w:r>
        <w:rPr>
          <w:rFonts w:hint="default" w:ascii="Times New Roman" w:hAnsi="Times New Roman" w:cs="Times New Roman"/>
          <w:b w:val="0"/>
          <w:bCs/>
          <w:snapToGrid w:val="0"/>
          <w:spacing w:val="-16"/>
        </w:rPr>
        <w:t>=</w:t>
      </w:r>
      <w:r>
        <w:rPr>
          <w:rFonts w:hint="default" w:ascii="Times New Roman" w:hAnsi="Times New Roman" w:cs="Times New Roman"/>
          <w:b w:val="0"/>
          <w:bCs/>
          <w:snapToGrid w:val="0"/>
        </w:rPr>
        <w:fldChar w:fldCharType="begin"/>
      </w:r>
      <w:r>
        <w:rPr>
          <w:rFonts w:hint="default" w:ascii="Times New Roman" w:hAnsi="Times New Roman" w:cs="Times New Roman"/>
          <w:b w:val="0"/>
          <w:bCs/>
          <w:snapToGrid w:val="0"/>
        </w:rPr>
        <w:instrText xml:space="preserve"> = 1 \* GB3 \* MERGEFORMAT </w:instrText>
      </w:r>
      <w:r>
        <w:rPr>
          <w:rFonts w:hint="default" w:ascii="Times New Roman" w:hAnsi="Times New Roman" w:cs="Times New Roman"/>
          <w:b w:val="0"/>
          <w:bCs/>
          <w:snapToGrid w:val="0"/>
        </w:rPr>
        <w:fldChar w:fldCharType="separate"/>
      </w:r>
      <w:r>
        <w:rPr>
          <w:rFonts w:hint="default" w:ascii="Times New Roman" w:hAnsi="Times New Roman" w:cs="Times New Roman"/>
          <w:b w:val="0"/>
          <w:bCs/>
        </w:rPr>
        <w:t>①</w:t>
      </w:r>
      <w:r>
        <w:rPr>
          <w:rFonts w:hint="default" w:ascii="Times New Roman" w:hAnsi="Times New Roman" w:cs="Times New Roman"/>
          <w:b w:val="0"/>
          <w:bCs/>
          <w:snapToGrid w:val="0"/>
        </w:rPr>
        <w:fldChar w:fldCharType="end"/>
      </w:r>
      <w:r>
        <w:rPr>
          <w:rFonts w:hint="default" w:ascii="Times New Roman" w:hAnsi="Times New Roman" w:cs="Times New Roman"/>
          <w:b w:val="0"/>
          <w:bCs/>
          <w:snapToGrid w:val="0"/>
        </w:rPr>
        <w:t>+</w:t>
      </w:r>
      <w:r>
        <w:rPr>
          <w:rFonts w:hint="default" w:ascii="Times New Roman" w:hAnsi="Times New Roman" w:cs="Times New Roman"/>
          <w:b w:val="0"/>
          <w:bCs/>
          <w:snapToGrid w:val="0"/>
        </w:rPr>
        <w:fldChar w:fldCharType="begin"/>
      </w:r>
      <w:r>
        <w:rPr>
          <w:rFonts w:hint="default" w:ascii="Times New Roman" w:hAnsi="Times New Roman" w:cs="Times New Roman"/>
          <w:b w:val="0"/>
          <w:bCs/>
          <w:snapToGrid w:val="0"/>
        </w:rPr>
        <w:instrText xml:space="preserve"> = 3 \* GB3 \* MERGEFORMAT </w:instrText>
      </w:r>
      <w:r>
        <w:rPr>
          <w:rFonts w:hint="default" w:ascii="Times New Roman" w:hAnsi="Times New Roman" w:cs="Times New Roman"/>
          <w:b w:val="0"/>
          <w:bCs/>
          <w:snapToGrid w:val="0"/>
        </w:rPr>
        <w:fldChar w:fldCharType="separate"/>
      </w:r>
      <w:r>
        <w:rPr>
          <w:rFonts w:hint="default" w:ascii="Times New Roman" w:hAnsi="Times New Roman" w:cs="Times New Roman"/>
          <w:b w:val="0"/>
          <w:bCs/>
        </w:rPr>
        <w:t>③</w:t>
      </w:r>
      <w:r>
        <w:rPr>
          <w:rFonts w:hint="default" w:ascii="Times New Roman" w:hAnsi="Times New Roman" w:cs="Times New Roman"/>
          <w:b w:val="0"/>
          <w:bCs/>
          <w:snapToGrid w:val="0"/>
        </w:rPr>
        <w:fldChar w:fldCharType="end"/>
      </w:r>
      <w:r>
        <w:rPr>
          <w:rFonts w:hint="default" w:ascii="Times New Roman" w:hAnsi="Times New Roman" w:cs="Times New Roman"/>
          <w:b w:val="0"/>
          <w:bCs/>
          <w:snapToGrid w:val="0"/>
        </w:rPr>
        <w:t>+</w:t>
      </w:r>
      <w:r>
        <w:rPr>
          <w:rFonts w:hint="default" w:ascii="Times New Roman" w:hAnsi="Times New Roman" w:cs="Times New Roman"/>
          <w:b w:val="0"/>
          <w:bCs/>
          <w:snapToGrid w:val="0"/>
        </w:rPr>
        <w:fldChar w:fldCharType="begin"/>
      </w:r>
      <w:r>
        <w:rPr>
          <w:rFonts w:hint="default" w:ascii="Times New Roman" w:hAnsi="Times New Roman" w:cs="Times New Roman"/>
          <w:b w:val="0"/>
          <w:bCs/>
          <w:snapToGrid w:val="0"/>
        </w:rPr>
        <w:instrText xml:space="preserve"> = 4 \* GB3 \* MERGEFORMAT </w:instrText>
      </w:r>
      <w:r>
        <w:rPr>
          <w:rFonts w:hint="default" w:ascii="Times New Roman" w:hAnsi="Times New Roman" w:cs="Times New Roman"/>
          <w:b w:val="0"/>
          <w:bCs/>
          <w:snapToGrid w:val="0"/>
        </w:rPr>
        <w:fldChar w:fldCharType="separate"/>
      </w:r>
      <w:r>
        <w:rPr>
          <w:rFonts w:hint="default" w:ascii="Times New Roman" w:hAnsi="Times New Roman" w:cs="Times New Roman"/>
          <w:b w:val="0"/>
          <w:bCs/>
        </w:rPr>
        <w:t>④</w:t>
      </w:r>
      <w:r>
        <w:rPr>
          <w:rFonts w:hint="default" w:ascii="Times New Roman" w:hAnsi="Times New Roman" w:cs="Times New Roman"/>
          <w:b w:val="0"/>
          <w:bCs/>
          <w:snapToGrid w:val="0"/>
        </w:rPr>
        <w:fldChar w:fldCharType="end"/>
      </w:r>
      <w:r>
        <w:rPr>
          <w:rFonts w:hint="default" w:ascii="Times New Roman" w:hAnsi="Times New Roman" w:cs="Times New Roman"/>
          <w:b w:val="0"/>
          <w:bCs/>
          <w:snapToGrid w:val="0"/>
        </w:rPr>
        <w:t>-</w:t>
      </w:r>
      <w:r>
        <w:rPr>
          <w:rFonts w:hint="default" w:ascii="Times New Roman" w:hAnsi="Times New Roman" w:cs="Times New Roman"/>
          <w:b w:val="0"/>
          <w:bCs/>
          <w:snapToGrid w:val="0"/>
          <w:spacing w:val="-16"/>
        </w:rPr>
        <w:fldChar w:fldCharType="begin"/>
      </w:r>
      <w:r>
        <w:rPr>
          <w:rFonts w:hint="default" w:ascii="Times New Roman" w:hAnsi="Times New Roman" w:cs="Times New Roman"/>
          <w:b w:val="0"/>
          <w:bCs/>
          <w:snapToGrid w:val="0"/>
          <w:spacing w:val="-16"/>
        </w:rPr>
        <w:instrText xml:space="preserve"> = 5 \* GB3 \* MERGEFORMAT </w:instrText>
      </w:r>
      <w:r>
        <w:rPr>
          <w:rFonts w:hint="default" w:ascii="Times New Roman" w:hAnsi="Times New Roman" w:cs="Times New Roman"/>
          <w:b w:val="0"/>
          <w:bCs/>
          <w:snapToGrid w:val="0"/>
          <w:spacing w:val="-16"/>
        </w:rPr>
        <w:fldChar w:fldCharType="separate"/>
      </w:r>
      <w:r>
        <w:rPr>
          <w:rFonts w:hint="default" w:ascii="Times New Roman" w:hAnsi="Times New Roman" w:cs="Times New Roman"/>
          <w:b w:val="0"/>
          <w:bCs/>
        </w:rPr>
        <w:t>⑤</w:t>
      </w:r>
      <w:r>
        <w:rPr>
          <w:rFonts w:hint="default" w:ascii="Times New Roman" w:hAnsi="Times New Roman" w:cs="Times New Roman"/>
          <w:b w:val="0"/>
          <w:bCs/>
          <w:snapToGrid w:val="0"/>
          <w:spacing w:val="-16"/>
        </w:rPr>
        <w:fldChar w:fldCharType="end"/>
      </w:r>
      <w:r>
        <w:rPr>
          <w:rFonts w:hint="default" w:ascii="Times New Roman" w:hAnsi="Times New Roman" w:cs="Times New Roman"/>
          <w:b w:val="0"/>
          <w:bCs/>
          <w:snapToGrid w:val="0"/>
          <w:spacing w:val="-16"/>
        </w:rPr>
        <w:t>；</w:t>
      </w:r>
      <w:r>
        <w:rPr>
          <w:rFonts w:hint="default" w:ascii="Times New Roman" w:hAnsi="Times New Roman" w:cs="Times New Roman"/>
          <w:b w:val="0"/>
          <w:bCs/>
          <w:snapToGrid w:val="0"/>
        </w:rPr>
        <w:fldChar w:fldCharType="begin"/>
      </w:r>
      <w:r>
        <w:rPr>
          <w:rFonts w:hint="default" w:ascii="Times New Roman" w:hAnsi="Times New Roman" w:cs="Times New Roman"/>
          <w:b w:val="0"/>
          <w:bCs/>
          <w:snapToGrid w:val="0"/>
        </w:rPr>
        <w:instrText xml:space="preserve"> = 7 \* GB3 \* MERGEFORMAT </w:instrText>
      </w:r>
      <w:r>
        <w:rPr>
          <w:rFonts w:hint="default" w:ascii="Times New Roman" w:hAnsi="Times New Roman" w:cs="Times New Roman"/>
          <w:b w:val="0"/>
          <w:bCs/>
          <w:snapToGrid w:val="0"/>
        </w:rPr>
        <w:fldChar w:fldCharType="separate"/>
      </w:r>
      <w:r>
        <w:rPr>
          <w:rFonts w:hint="default" w:ascii="Times New Roman" w:hAnsi="Times New Roman" w:cs="Times New Roman"/>
          <w:b w:val="0"/>
          <w:bCs/>
        </w:rPr>
        <w:t>⑦</w:t>
      </w:r>
      <w:r>
        <w:rPr>
          <w:rFonts w:hint="default" w:ascii="Times New Roman" w:hAnsi="Times New Roman" w:cs="Times New Roman"/>
          <w:b w:val="0"/>
          <w:bCs/>
          <w:snapToGrid w:val="0"/>
        </w:rPr>
        <w:fldChar w:fldCharType="end"/>
      </w:r>
      <w:r>
        <w:rPr>
          <w:rFonts w:hint="default" w:ascii="Times New Roman" w:hAnsi="Times New Roman" w:cs="Times New Roman"/>
          <w:b w:val="0"/>
          <w:bCs/>
          <w:snapToGrid w:val="0"/>
        </w:rPr>
        <w:t>=</w:t>
      </w:r>
      <w:r>
        <w:rPr>
          <w:rFonts w:hint="default" w:ascii="Times New Roman" w:hAnsi="Times New Roman" w:cs="Times New Roman"/>
          <w:b w:val="0"/>
          <w:bCs/>
          <w:snapToGrid w:val="0"/>
          <w:spacing w:val="-16"/>
        </w:rPr>
        <w:fldChar w:fldCharType="begin"/>
      </w:r>
      <w:r>
        <w:rPr>
          <w:rFonts w:hint="default" w:ascii="Times New Roman" w:hAnsi="Times New Roman" w:cs="Times New Roman"/>
          <w:b w:val="0"/>
          <w:bCs/>
          <w:snapToGrid w:val="0"/>
          <w:spacing w:val="-16"/>
        </w:rPr>
        <w:instrText xml:space="preserve"> = 6 \* GB3 \* MERGEFORMAT </w:instrText>
      </w:r>
      <w:r>
        <w:rPr>
          <w:rFonts w:hint="default" w:ascii="Times New Roman" w:hAnsi="Times New Roman" w:cs="Times New Roman"/>
          <w:b w:val="0"/>
          <w:bCs/>
          <w:snapToGrid w:val="0"/>
          <w:spacing w:val="-16"/>
        </w:rPr>
        <w:fldChar w:fldCharType="separate"/>
      </w:r>
      <w:r>
        <w:rPr>
          <w:rFonts w:hint="default" w:ascii="Times New Roman" w:hAnsi="Times New Roman" w:cs="Times New Roman"/>
          <w:b w:val="0"/>
          <w:bCs/>
        </w:rPr>
        <w:t>⑥</w:t>
      </w:r>
      <w:r>
        <w:rPr>
          <w:rFonts w:hint="default" w:ascii="Times New Roman" w:hAnsi="Times New Roman" w:cs="Times New Roman"/>
          <w:b w:val="0"/>
          <w:bCs/>
          <w:snapToGrid w:val="0"/>
          <w:spacing w:val="-16"/>
        </w:rPr>
        <w:fldChar w:fldCharType="end"/>
      </w:r>
      <w:r>
        <w:rPr>
          <w:rFonts w:hint="default" w:ascii="Times New Roman" w:hAnsi="Times New Roman" w:cs="Times New Roman"/>
          <w:b w:val="0"/>
          <w:bCs/>
          <w:snapToGrid w:val="0"/>
          <w:spacing w:val="-16"/>
        </w:rPr>
        <w:t>-</w:t>
      </w:r>
      <w:r>
        <w:rPr>
          <w:rFonts w:hint="default" w:ascii="Times New Roman" w:hAnsi="Times New Roman" w:cs="Times New Roman"/>
          <w:b w:val="0"/>
          <w:bCs/>
          <w:snapToGrid w:val="0"/>
        </w:rPr>
        <w:fldChar w:fldCharType="begin"/>
      </w:r>
      <w:r>
        <w:rPr>
          <w:rFonts w:hint="default" w:ascii="Times New Roman" w:hAnsi="Times New Roman" w:cs="Times New Roman"/>
          <w:b w:val="0"/>
          <w:bCs/>
          <w:snapToGrid w:val="0"/>
        </w:rPr>
        <w:instrText xml:space="preserve"> = 1 \* GB3 \* MERGEFORMAT </w:instrText>
      </w:r>
      <w:r>
        <w:rPr>
          <w:rFonts w:hint="default" w:ascii="Times New Roman" w:hAnsi="Times New Roman" w:cs="Times New Roman"/>
          <w:b w:val="0"/>
          <w:bCs/>
          <w:snapToGrid w:val="0"/>
        </w:rPr>
        <w:fldChar w:fldCharType="separate"/>
      </w:r>
      <w:r>
        <w:rPr>
          <w:rFonts w:hint="default" w:ascii="Times New Roman" w:hAnsi="Times New Roman" w:cs="Times New Roman"/>
          <w:b w:val="0"/>
          <w:bCs/>
        </w:rPr>
        <w:t>①</w:t>
      </w:r>
      <w:r>
        <w:rPr>
          <w:rFonts w:hint="default" w:ascii="Times New Roman" w:hAnsi="Times New Roman" w:cs="Times New Roman"/>
          <w:b w:val="0"/>
          <w:bCs/>
          <w:snapToGrid w:val="0"/>
        </w:rPr>
        <w:fldChar w:fldCharType="end"/>
      </w:r>
    </w:p>
    <w:p w14:paraId="32D5BB4B">
      <w:pPr>
        <w:ind w:left="0" w:leftChars="0" w:firstLine="0" w:firstLineChars="0"/>
        <w:rPr>
          <w:rFonts w:hint="default" w:ascii="Times New Roman" w:hAnsi="Times New Roman" w:cs="Times New Roman"/>
          <w:b/>
          <w:snapToGrid w:val="0"/>
        </w:rPr>
        <w:sectPr>
          <w:footerReference r:id="rId8"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p w14:paraId="1BF587C5">
      <w:pPr>
        <w:spacing w:line="240" w:lineRule="auto"/>
        <w:ind w:firstLine="0" w:firstLineChars="0"/>
        <w:jc w:val="center"/>
        <w:rPr>
          <w:rFonts w:hint="default" w:ascii="Times New Roman" w:hAnsi="Times New Roman" w:cs="Times New Roman"/>
        </w:rPr>
      </w:pPr>
      <w:r>
        <w:rPr>
          <w:sz w:val="24"/>
        </w:rPr>
        <mc:AlternateContent>
          <mc:Choice Requires="wps">
            <w:drawing>
              <wp:anchor distT="0" distB="0" distL="114300" distR="114300" simplePos="0" relativeHeight="251710464" behindDoc="0" locked="0" layoutInCell="1" allowOverlap="1">
                <wp:simplePos x="0" y="0"/>
                <wp:positionH relativeFrom="column">
                  <wp:posOffset>8208010</wp:posOffset>
                </wp:positionH>
                <wp:positionV relativeFrom="paragraph">
                  <wp:posOffset>-14605</wp:posOffset>
                </wp:positionV>
                <wp:extent cx="1176020" cy="772795"/>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76A588B8">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624840"/>
                                  <wp:effectExtent l="0" t="0" r="15875" b="3810"/>
                                  <wp:docPr id="6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
                                          <pic:cNvPicPr>
                                            <a:picLocks noChangeAspect="1"/>
                                          </pic:cNvPicPr>
                                        </pic:nvPicPr>
                                        <pic:blipFill>
                                          <a:blip r:embed="rId19"/>
                                          <a:srcRect l="24178" t="27474" r="12511" b="24316"/>
                                          <a:stretch>
                                            <a:fillRect/>
                                          </a:stretch>
                                        </pic:blipFill>
                                        <pic:spPr>
                                          <a:xfrm>
                                            <a:off x="0" y="0"/>
                                            <a:ext cx="727075" cy="6248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6.3pt;margin-top:-1.15pt;height:60.85pt;width:92.6pt;z-index:251710464;mso-width-relative:page;mso-height-relative:page;" fillcolor="#000000" filled="t" stroked="f" coordsize="21600,21600" o:gfxdata="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mmoO1dgA&#10;AAAMAQAADwAAAAAAAAABACAAAAAiAAAAZHJzL2Rvd25yZXYueG1sUEsBAhQAFAAAAAgAh07iQAiy&#10;OphYAgAArgQAAA4AAAAAAAAAAQAgAAAAJwEAAGRycy9lMm9Eb2MueG1sUEsFBgAAAAAGAAYAWQEA&#10;APEFAAAAAA==&#10;">
                <v:fill on="t" opacity="0f" focussize="0,0"/>
                <v:stroke on="f" weight="0.5pt"/>
                <v:imagedata o:title=""/>
                <o:lock v:ext="edit" aspectratio="f"/>
                <v:textbox>
                  <w:txbxContent>
                    <w:p w14:paraId="76A588B8">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624840"/>
                            <wp:effectExtent l="0" t="0" r="15875" b="3810"/>
                            <wp:docPr id="6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
                                    <pic:cNvPicPr>
                                      <a:picLocks noChangeAspect="1"/>
                                    </pic:cNvPicPr>
                                  </pic:nvPicPr>
                                  <pic:blipFill>
                                    <a:blip r:embed="rId19"/>
                                    <a:srcRect l="24178" t="27474" r="12511" b="24316"/>
                                    <a:stretch>
                                      <a:fillRect/>
                                    </a:stretch>
                                  </pic:blipFill>
                                  <pic:spPr>
                                    <a:xfrm>
                                      <a:off x="0" y="0"/>
                                      <a:ext cx="727075" cy="624840"/>
                                    </a:xfrm>
                                    <a:prstGeom prst="rect">
                                      <a:avLst/>
                                    </a:prstGeom>
                                    <a:noFill/>
                                    <a:ln>
                                      <a:noFill/>
                                    </a:ln>
                                  </pic:spPr>
                                </pic:pic>
                              </a:graphicData>
                            </a:graphic>
                          </wp:inline>
                        </w:drawing>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2336" behindDoc="0" locked="0" layoutInCell="1" allowOverlap="1">
                <wp:simplePos x="0" y="0"/>
                <wp:positionH relativeFrom="column">
                  <wp:posOffset>7682865</wp:posOffset>
                </wp:positionH>
                <wp:positionV relativeFrom="paragraph">
                  <wp:posOffset>2881630</wp:posOffset>
                </wp:positionV>
                <wp:extent cx="127000" cy="126365"/>
                <wp:effectExtent l="13970" t="15875" r="30480" b="29210"/>
                <wp:wrapNone/>
                <wp:docPr id="69" name="五角星 69"/>
                <wp:cNvGraphicFramePr/>
                <a:graphic xmlns:a="http://schemas.openxmlformats.org/drawingml/2006/main">
                  <a:graphicData uri="http://schemas.microsoft.com/office/word/2010/wordprocessingShape">
                    <wps:wsp>
                      <wps:cNvSpPr/>
                      <wps:spPr>
                        <a:xfrm>
                          <a:off x="0" y="0"/>
                          <a:ext cx="127000" cy="126365"/>
                        </a:xfrm>
                        <a:prstGeom prst="star5">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604.95pt;margin-top:226.9pt;height:9.95pt;width:10pt;z-index:251662336;mso-width-relative:page;mso-height-relative:page;" fillcolor="#FF0000" filled="t" stroked="t" coordsize="127000,126365" o:gfxdata="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VvOvF2wAAAA0BAAAPAAAAAAAAAAEAIAAAACIAAABkcnMv&#10;ZG93bnJldi54bWxQSwECFAAUAAAACACHTuJAOO0qyQACAAAjBAAADgAAAAAAAAABACAAAAAqAQAA&#10;ZHJzL2Uyb0RvYy54bWxQSwUGAAAAAAYABgBZAQAAnAUAAAAA&#10;" path="m0,48267l48509,48267,63500,0,78490,48267,126999,48267,87754,78097,102745,126364,63500,96533,24254,126364,39245,78097xe">
                <v:path o:connectlocs="63500,0;0,48267;24254,126364;102745,126364;126999,48267" o:connectangles="247,164,82,82,0"/>
                <v:fill on="t" focussize="0,0"/>
                <v:stroke color="#FF0000" joinstyle="miter"/>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3360" behindDoc="0" locked="0" layoutInCell="1" allowOverlap="1">
                <wp:simplePos x="0" y="0"/>
                <wp:positionH relativeFrom="column">
                  <wp:posOffset>6201410</wp:posOffset>
                </wp:positionH>
                <wp:positionV relativeFrom="paragraph">
                  <wp:posOffset>3283585</wp:posOffset>
                </wp:positionV>
                <wp:extent cx="1566545" cy="339725"/>
                <wp:effectExtent l="4445" t="348615" r="10160" b="16510"/>
                <wp:wrapNone/>
                <wp:docPr id="70" name="矩形标注 70"/>
                <wp:cNvGraphicFramePr/>
                <a:graphic xmlns:a="http://schemas.openxmlformats.org/drawingml/2006/main">
                  <a:graphicData uri="http://schemas.microsoft.com/office/word/2010/wordprocessingShape">
                    <wps:wsp>
                      <wps:cNvSpPr/>
                      <wps:spPr>
                        <a:xfrm>
                          <a:off x="0" y="0"/>
                          <a:ext cx="1566545" cy="339725"/>
                        </a:xfrm>
                        <a:prstGeom prst="wedgeRectCallout">
                          <a:avLst>
                            <a:gd name="adj1" fmla="val 49027"/>
                            <a:gd name="adj2" fmla="val -148504"/>
                          </a:avLst>
                        </a:prstGeom>
                        <a:solidFill>
                          <a:srgbClr val="FFFFFF"/>
                        </a:solidFill>
                        <a:ln w="9525" cap="flat" cmpd="sng">
                          <a:solidFill>
                            <a:srgbClr val="FF0000"/>
                          </a:solidFill>
                          <a:prstDash val="solid"/>
                          <a:miter/>
                          <a:headEnd type="none" w="med" len="med"/>
                          <a:tailEnd type="none" w="med" len="med"/>
                        </a:ln>
                      </wps:spPr>
                      <wps:txbx>
                        <w:txbxContent>
                          <w:p w14:paraId="5E48B44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lang w:eastAsia="zh-CN"/>
                              </w:rPr>
                            </w:pPr>
                            <w:r>
                              <w:rPr>
                                <w:rFonts w:hint="eastAsia"/>
                                <w:lang w:eastAsia="zh-CN"/>
                              </w:rPr>
                              <w:t>本项目所在地理位置</w:t>
                            </w:r>
                          </w:p>
                        </w:txbxContent>
                      </wps:txbx>
                      <wps:bodyPr upright="1"/>
                    </wps:wsp>
                  </a:graphicData>
                </a:graphic>
              </wp:anchor>
            </w:drawing>
          </mc:Choice>
          <mc:Fallback>
            <w:pict>
              <v:shape id="_x0000_s1026" o:spid="_x0000_s1026" o:spt="61" type="#_x0000_t61" style="position:absolute;left:0pt;margin-left:488.3pt;margin-top:258.55pt;height:26.75pt;width:123.35pt;z-index:251663360;mso-width-relative:page;mso-height-relative:page;" fillcolor="#FFFFFF" filled="t" stroked="t" coordsize="21600,21600" o:gfxdata="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A8z7fYAAAADAEAAA8AAAAAAAAAAQAgAAAAIgAAAGRycy9k&#10;b3ducmV2LnhtbFBLAQIUABQAAAAIAIdO4kD6msd9OwIAAJAEAAAOAAAAAAAAAAEAIAAAACcBAABk&#10;cnMvZTJvRG9jLnhtbFBLBQYAAAAABgAGAFkBAADUBQAAAAA=&#10;" adj="21390,-21277">
                <v:fill on="t" focussize="0,0"/>
                <v:stroke color="#FF0000" joinstyle="miter"/>
                <v:imagedata o:title=""/>
                <o:lock v:ext="edit" aspectratio="f"/>
                <v:textbox>
                  <w:txbxContent>
                    <w:p w14:paraId="5E48B44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lang w:eastAsia="zh-CN"/>
                        </w:rPr>
                      </w:pPr>
                      <w:r>
                        <w:rPr>
                          <w:rFonts w:hint="eastAsia"/>
                          <w:lang w:eastAsia="zh-CN"/>
                        </w:rPr>
                        <w:t>本项目所在地理位置</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6432" behindDoc="0" locked="0" layoutInCell="1" allowOverlap="1">
                <wp:simplePos x="0" y="0"/>
                <wp:positionH relativeFrom="column">
                  <wp:posOffset>3416935</wp:posOffset>
                </wp:positionH>
                <wp:positionV relativeFrom="paragraph">
                  <wp:posOffset>5955030</wp:posOffset>
                </wp:positionV>
                <wp:extent cx="2816225" cy="30734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2816225" cy="307340"/>
                        </a:xfrm>
                        <a:prstGeom prst="rect">
                          <a:avLst/>
                        </a:prstGeom>
                        <a:noFill/>
                        <a:ln>
                          <a:noFill/>
                        </a:ln>
                      </wps:spPr>
                      <wps:txbx>
                        <w:txbxContent>
                          <w:p w14:paraId="57BB001C">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附图一：本项目地理位置示意图</w:t>
                            </w:r>
                          </w:p>
                        </w:txbxContent>
                      </wps:txbx>
                      <wps:bodyPr upright="1"/>
                    </wps:wsp>
                  </a:graphicData>
                </a:graphic>
              </wp:anchor>
            </w:drawing>
          </mc:Choice>
          <mc:Fallback>
            <w:pict>
              <v:shape id="_x0000_s1026" o:spid="_x0000_s1026" o:spt="202" type="#_x0000_t202" style="position:absolute;left:0pt;margin-left:269.05pt;margin-top:468.9pt;height:24.2pt;width:221.75pt;z-index:251666432;mso-width-relative:page;mso-height-relative:page;" filled="f" stroked="f" coordsize="21600,21600" o:gfxdata="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GVHS8&#10;2AAAAAsBAAAPAAAAAAAAAAEAIAAAACIAAABkcnMvZG93bnJldi54bWxQSwECFAAUAAAACACHTuJA&#10;luSuTa8BAABQAwAADgAAAAAAAAABACAAAAAnAQAAZHJzL2Uyb0RvYy54bWxQSwUGAAAAAAYABgBZ&#10;AQAASAUAAAAA&#10;">
                <v:fill on="f" focussize="0,0"/>
                <v:stroke on="f"/>
                <v:imagedata o:title=""/>
                <o:lock v:ext="edit" aspectratio="f"/>
                <v:textbox>
                  <w:txbxContent>
                    <w:p w14:paraId="57BB001C">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附图一：本项目地理位置示意图</w:t>
                      </w:r>
                    </w:p>
                  </w:txbxContent>
                </v:textbox>
              </v:shape>
            </w:pict>
          </mc:Fallback>
        </mc:AlternateContent>
      </w:r>
      <w:r>
        <w:rPr>
          <w:rFonts w:hint="default" w:ascii="Times New Roman" w:hAnsi="Times New Roman" w:cs="Times New Roman"/>
        </w:rPr>
        <w:drawing>
          <wp:inline distT="0" distB="0" distL="114300" distR="114300">
            <wp:extent cx="8775065" cy="5925820"/>
            <wp:effectExtent l="0" t="0" r="6985" b="17780"/>
            <wp:docPr id="6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3"/>
                    <pic:cNvPicPr>
                      <a:picLocks noChangeAspect="1"/>
                    </pic:cNvPicPr>
                  </pic:nvPicPr>
                  <pic:blipFill>
                    <a:blip r:embed="rId20"/>
                    <a:stretch>
                      <a:fillRect/>
                    </a:stretch>
                  </pic:blipFill>
                  <pic:spPr>
                    <a:xfrm>
                      <a:off x="0" y="0"/>
                      <a:ext cx="8775065" cy="5925820"/>
                    </a:xfrm>
                    <a:prstGeom prst="rect">
                      <a:avLst/>
                    </a:prstGeom>
                    <a:noFill/>
                    <a:ln>
                      <a:noFill/>
                    </a:ln>
                  </pic:spPr>
                </pic:pic>
              </a:graphicData>
            </a:graphic>
          </wp:inline>
        </w:drawing>
      </w:r>
    </w:p>
    <w:p w14:paraId="22665C4C">
      <w:pPr>
        <w:spacing w:line="240" w:lineRule="auto"/>
        <w:ind w:firstLine="0" w:firstLineChars="0"/>
        <w:jc w:val="center"/>
        <w:rPr>
          <w:rFonts w:hint="default" w:ascii="Times New Roman" w:hAnsi="Times New Roman" w:cs="Times New Roman"/>
        </w:rPr>
      </w:pPr>
      <w:r>
        <w:rPr>
          <w:rFonts w:hint="default" w:ascii="Times New Roman" w:hAnsi="Times New Roman" w:cs="Times New Roman"/>
          <w:sz w:val="24"/>
        </w:rPr>
        <mc:AlternateContent>
          <mc:Choice Requires="wps">
            <w:drawing>
              <wp:anchor distT="0" distB="0" distL="114300" distR="114300" simplePos="0" relativeHeight="251687936" behindDoc="0" locked="0" layoutInCell="1" allowOverlap="1">
                <wp:simplePos x="0" y="0"/>
                <wp:positionH relativeFrom="column">
                  <wp:posOffset>4043680</wp:posOffset>
                </wp:positionH>
                <wp:positionV relativeFrom="paragraph">
                  <wp:posOffset>1119505</wp:posOffset>
                </wp:positionV>
                <wp:extent cx="1000760" cy="239395"/>
                <wp:effectExtent l="4445" t="5080" r="23495" b="765175"/>
                <wp:wrapNone/>
                <wp:docPr id="125" name="矩形标注 125"/>
                <wp:cNvGraphicFramePr/>
                <a:graphic xmlns:a="http://schemas.openxmlformats.org/drawingml/2006/main">
                  <a:graphicData uri="http://schemas.microsoft.com/office/word/2010/wordprocessingShape">
                    <wps:wsp>
                      <wps:cNvSpPr/>
                      <wps:spPr>
                        <a:xfrm>
                          <a:off x="0" y="0"/>
                          <a:ext cx="1000760" cy="239395"/>
                        </a:xfrm>
                        <a:prstGeom prst="wedgeRectCallout">
                          <a:avLst>
                            <a:gd name="adj1" fmla="val 7804"/>
                            <a:gd name="adj2" fmla="val 350530"/>
                          </a:avLst>
                        </a:prstGeom>
                        <a:solidFill>
                          <a:srgbClr val="FFFFFF"/>
                        </a:solidFill>
                        <a:ln w="9525" cap="flat" cmpd="sng">
                          <a:solidFill>
                            <a:srgbClr val="FF0000"/>
                          </a:solidFill>
                          <a:prstDash val="solid"/>
                          <a:miter/>
                          <a:headEnd type="none" w="med" len="med"/>
                          <a:tailEnd type="none" w="med" len="med"/>
                        </a:ln>
                      </wps:spPr>
                      <wps:txbx>
                        <w:txbxContent>
                          <w:p w14:paraId="0B4E6BB0">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sz w:val="18"/>
                                <w:szCs w:val="18"/>
                                <w:lang w:eastAsia="zh-CN"/>
                              </w:rPr>
                            </w:pPr>
                            <w:r>
                              <w:rPr>
                                <w:rFonts w:hint="eastAsia"/>
                                <w:sz w:val="18"/>
                                <w:szCs w:val="18"/>
                                <w:lang w:eastAsia="zh-CN"/>
                              </w:rPr>
                              <w:t>本项目所在位置</w:t>
                            </w:r>
                          </w:p>
                        </w:txbxContent>
                      </wps:txbx>
                      <wps:bodyPr upright="1"/>
                    </wps:wsp>
                  </a:graphicData>
                </a:graphic>
              </wp:anchor>
            </w:drawing>
          </mc:Choice>
          <mc:Fallback>
            <w:pict>
              <v:shape id="_x0000_s1026" o:spid="_x0000_s1026" o:spt="61" type="#_x0000_t61" style="position:absolute;left:0pt;margin-left:318.4pt;margin-top:88.15pt;height:18.85pt;width:78.8pt;z-index:251687936;mso-width-relative:page;mso-height-relative:page;" fillcolor="#FFFFFF" filled="t" stroked="t" coordsize="21600,21600" o:gfxdata="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&#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PKiP/bAAAACwEAAA8AAAAAAAAAAQAgAAAAIgAAAGRy&#10;cy9kb3ducmV2LnhtbFBLAQIUABQAAAAIAIdO4kCuoFc8OwIAAJAEAAAOAAAAAAAAAAEAIAAAACoB&#10;AABkcnMvZTJvRG9jLnhtbFBLBQYAAAAABgAGAFkBAADXBQAAAAA=&#10;" adj="12486,86514">
                <v:fill on="t" focussize="0,0"/>
                <v:stroke color="#FF0000" joinstyle="miter"/>
                <v:imagedata o:title=""/>
                <o:lock v:ext="edit" aspectratio="f"/>
                <v:textbox>
                  <w:txbxContent>
                    <w:p w14:paraId="0B4E6BB0">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sz w:val="18"/>
                          <w:szCs w:val="18"/>
                          <w:lang w:eastAsia="zh-CN"/>
                        </w:rPr>
                      </w:pPr>
                      <w:r>
                        <w:rPr>
                          <w:rFonts w:hint="eastAsia"/>
                          <w:sz w:val="18"/>
                          <w:szCs w:val="18"/>
                          <w:lang w:eastAsia="zh-CN"/>
                        </w:rPr>
                        <w:t>本项目所在位置</w:t>
                      </w:r>
                    </w:p>
                  </w:txbxContent>
                </v:textbox>
              </v:shape>
            </w:pict>
          </mc:Fallback>
        </mc:AlternateContent>
      </w:r>
      <w:r>
        <w:rPr>
          <w:sz w:val="24"/>
        </w:rPr>
        <mc:AlternateContent>
          <mc:Choice Requires="wps">
            <w:drawing>
              <wp:anchor distT="0" distB="0" distL="114300" distR="114300" simplePos="0" relativeHeight="251689984" behindDoc="0" locked="0" layoutInCell="1" allowOverlap="1">
                <wp:simplePos x="0" y="0"/>
                <wp:positionH relativeFrom="column">
                  <wp:posOffset>4931410</wp:posOffset>
                </wp:positionH>
                <wp:positionV relativeFrom="paragraph">
                  <wp:posOffset>1840865</wp:posOffset>
                </wp:positionV>
                <wp:extent cx="885190" cy="328295"/>
                <wp:effectExtent l="4445" t="5080" r="5715" b="9525"/>
                <wp:wrapNone/>
                <wp:docPr id="127" name="文本框 127"/>
                <wp:cNvGraphicFramePr/>
                <a:graphic xmlns:a="http://schemas.openxmlformats.org/drawingml/2006/main">
                  <a:graphicData uri="http://schemas.microsoft.com/office/word/2010/wordprocessingShape">
                    <wps:wsp>
                      <wps:cNvSpPr txBox="1"/>
                      <wps:spPr>
                        <a:xfrm>
                          <a:off x="0" y="0"/>
                          <a:ext cx="885190" cy="328295"/>
                        </a:xfrm>
                        <a:prstGeom prst="rect">
                          <a:avLst/>
                        </a:prstGeom>
                        <a:solidFill>
                          <a:schemeClr val="bg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2C1893E9">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b/>
                                <w:bCs/>
                                <w:color w:val="auto"/>
                                <w:sz w:val="15"/>
                                <w:szCs w:val="15"/>
                                <w:lang w:eastAsia="zh-CN"/>
                              </w:rPr>
                            </w:pPr>
                            <w:r>
                              <w:rPr>
                                <w:rFonts w:hint="eastAsia"/>
                                <w:b/>
                                <w:bCs/>
                                <w:color w:val="auto"/>
                                <w:sz w:val="15"/>
                                <w:szCs w:val="15"/>
                                <w:lang w:eastAsia="zh-CN"/>
                              </w:rPr>
                              <w:t>建能智慧科技（</w:t>
                            </w:r>
                          </w:p>
                          <w:p w14:paraId="579AFB9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color w:val="auto"/>
                                <w:sz w:val="15"/>
                                <w:szCs w:val="15"/>
                                <w:lang w:eastAsia="zh-CN"/>
                              </w:rPr>
                            </w:pPr>
                            <w:r>
                              <w:rPr>
                                <w:rFonts w:hint="eastAsia"/>
                                <w:b/>
                                <w:bCs/>
                                <w:color w:val="auto"/>
                                <w:sz w:val="15"/>
                                <w:szCs w:val="15"/>
                                <w:lang w:eastAsia="zh-CN"/>
                              </w:rPr>
                              <w:t>河南）有限公司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8.3pt;margin-top:144.95pt;height:25.85pt;width:69.7pt;z-index:251689984;mso-width-relative:page;mso-height-relative:page;" fillcolor="#FFFFFF [3212]" filled="t" stroked="t" coordsize="21600,21600" o:gfxdata="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fXttQ2AAA&#10;AAsBAAAPAAAAAAAAAAEAIAAAACIAAABkcnMvZG93bnJldi54bWxQSwECFAAUAAAACACHTuJAujG9&#10;9lcCAAC7BAAADgAAAAAAAAABACAAAAAnAQAAZHJzL2Uyb0RvYy54bWxQSwUGAAAAAAYABgBZAQAA&#10;8AUAAAAA&#10;">
                <v:fill on="t" focussize="0,0"/>
                <v:stroke weight="0.5pt" color="#000000 [3213]" joinstyle="round"/>
                <v:imagedata o:title=""/>
                <o:lock v:ext="edit" aspectratio="f"/>
                <v:textbox>
                  <w:txbxContent>
                    <w:p w14:paraId="2C1893E9">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b/>
                          <w:bCs/>
                          <w:color w:val="auto"/>
                          <w:sz w:val="15"/>
                          <w:szCs w:val="15"/>
                          <w:lang w:eastAsia="zh-CN"/>
                        </w:rPr>
                      </w:pPr>
                      <w:r>
                        <w:rPr>
                          <w:rFonts w:hint="eastAsia"/>
                          <w:b/>
                          <w:bCs/>
                          <w:color w:val="auto"/>
                          <w:sz w:val="15"/>
                          <w:szCs w:val="15"/>
                          <w:lang w:eastAsia="zh-CN"/>
                        </w:rPr>
                        <w:t>建能智慧科技（</w:t>
                      </w:r>
                    </w:p>
                    <w:p w14:paraId="579AFB9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color w:val="auto"/>
                          <w:sz w:val="15"/>
                          <w:szCs w:val="15"/>
                          <w:lang w:eastAsia="zh-CN"/>
                        </w:rPr>
                      </w:pPr>
                      <w:r>
                        <w:rPr>
                          <w:rFonts w:hint="eastAsia"/>
                          <w:b/>
                          <w:bCs/>
                          <w:color w:val="auto"/>
                          <w:sz w:val="15"/>
                          <w:szCs w:val="15"/>
                          <w:lang w:eastAsia="zh-CN"/>
                        </w:rPr>
                        <w:t>河南）有限公司</w:t>
                      </w:r>
                    </w:p>
                  </w:txbxContent>
                </v:textbox>
              </v:shape>
            </w:pict>
          </mc:Fallback>
        </mc:AlternateContent>
      </w:r>
      <w:r>
        <w:rPr>
          <w:sz w:val="24"/>
        </w:rPr>
        <mc:AlternateContent>
          <mc:Choice Requires="wps">
            <w:drawing>
              <wp:anchor distT="0" distB="0" distL="114300" distR="114300" simplePos="0" relativeHeight="251688960" behindDoc="0" locked="0" layoutInCell="1" allowOverlap="1">
                <wp:simplePos x="0" y="0"/>
                <wp:positionH relativeFrom="column">
                  <wp:posOffset>4293235</wp:posOffset>
                </wp:positionH>
                <wp:positionV relativeFrom="paragraph">
                  <wp:posOffset>1612265</wp:posOffset>
                </wp:positionV>
                <wp:extent cx="1269365" cy="927100"/>
                <wp:effectExtent l="6350" t="6350" r="19685" b="19050"/>
                <wp:wrapNone/>
                <wp:docPr id="126" name="矩形 126"/>
                <wp:cNvGraphicFramePr/>
                <a:graphic xmlns:a="http://schemas.openxmlformats.org/drawingml/2006/main">
                  <a:graphicData uri="http://schemas.microsoft.com/office/word/2010/wordprocessingShape">
                    <wps:wsp>
                      <wps:cNvSpPr/>
                      <wps:spPr>
                        <a:xfrm>
                          <a:off x="0" y="0"/>
                          <a:ext cx="1269365" cy="927100"/>
                        </a:xfrm>
                        <a:prstGeom prst="rect">
                          <a:avLst/>
                        </a:pr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8.05pt;margin-top:126.95pt;height:73pt;width:99.95pt;z-index:251688960;v-text-anchor:middle;mso-width-relative:page;mso-height-relative:page;" filled="f" stroked="t" coordsize="21600,21600" o:gfxdata="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KdWsl2wAAAAsBAAAPAAAAAAAAAAEAIAAAACIAAABkcnMvZG93bnJldi54&#10;bWxQSwECFAAUAAAACACHTuJAr9l4ZmkCAADPBAAADgAAAAAAAAABACAAAAAqAQAAZHJzL2Uyb0Rv&#10;Yy54bWxQSwUGAAAAAAYABgBZAQAABQYAAAAA&#10;">
                <v:fill on="f" focussize="0,0"/>
                <v:stroke weight="1pt" color="#FFFF00 [2404]" miterlimit="8" joinstyle="miter"/>
                <v:imagedata o:title=""/>
                <o:lock v:ext="edit" aspectratio="f"/>
              </v:rect>
            </w:pict>
          </mc:Fallback>
        </mc:AlternateContent>
      </w:r>
      <w:r>
        <w:rPr>
          <w:sz w:val="24"/>
        </w:rPr>
        <mc:AlternateContent>
          <mc:Choice Requires="wps">
            <w:drawing>
              <wp:anchor distT="0" distB="0" distL="114300" distR="114300" simplePos="0" relativeHeight="251707392" behindDoc="0" locked="0" layoutInCell="1" allowOverlap="1">
                <wp:simplePos x="0" y="0"/>
                <wp:positionH relativeFrom="column">
                  <wp:posOffset>8681720</wp:posOffset>
                </wp:positionH>
                <wp:positionV relativeFrom="paragraph">
                  <wp:posOffset>-221615</wp:posOffset>
                </wp:positionV>
                <wp:extent cx="1176020" cy="77279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4DB295A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0" b="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3.6pt;margin-top:-17.45pt;height:60.85pt;width:92.6pt;z-index:251707392;mso-width-relative:page;mso-height-relative:page;" fillcolor="#000000" filled="t" stroked="f" coordsize="21600,21600" o:gfxdata="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TL1t&#10;GNoAAAAMAQAADwAAAAAAAAABACAAAAAiAAAAZHJzL2Rvd25yZXYueG1sUEsBAhQAFAAAAAgAh07i&#10;QDU0lc9ZAgAArgQAAA4AAAAAAAAAAQAgAAAAKQEAAGRycy9lMm9Eb2MueG1sUEsFBgAAAAAGAAYA&#10;WQEAAPQFAAAAAA==&#10;">
                <v:fill on="t" opacity="0f" focussize="0,0"/>
                <v:stroke on="f" weight="0.5pt"/>
                <v:imagedata o:title=""/>
                <o:lock v:ext="edit" aspectratio="f"/>
                <v:textbox>
                  <w:txbxContent>
                    <w:p w14:paraId="4DB295A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0" b="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v:textbox>
              </v:shape>
            </w:pict>
          </mc:Fallback>
        </mc:AlternateContent>
      </w:r>
      <w:r>
        <w:rPr>
          <w:sz w:val="24"/>
        </w:rPr>
        <mc:AlternateContent>
          <mc:Choice Requires="wps">
            <w:drawing>
              <wp:anchor distT="0" distB="0" distL="114300" distR="114300" simplePos="0" relativeHeight="251706368" behindDoc="0" locked="0" layoutInCell="1" allowOverlap="1">
                <wp:simplePos x="0" y="0"/>
                <wp:positionH relativeFrom="column">
                  <wp:posOffset>2734945</wp:posOffset>
                </wp:positionH>
                <wp:positionV relativeFrom="paragraph">
                  <wp:posOffset>1769745</wp:posOffset>
                </wp:positionV>
                <wp:extent cx="662940" cy="24574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662940" cy="245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8C014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18"/>
                                <w:szCs w:val="18"/>
                                <w:lang w:eastAsia="zh-CN"/>
                              </w:rPr>
                            </w:pPr>
                            <w:r>
                              <w:rPr>
                                <w:rFonts w:hint="eastAsia"/>
                                <w:b/>
                                <w:bCs/>
                                <w:sz w:val="18"/>
                                <w:szCs w:val="18"/>
                                <w:lang w:eastAsia="zh-CN"/>
                              </w:rPr>
                              <w:t>腾鸿建材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5.35pt;margin-top:139.35pt;height:19.35pt;width:52.2pt;z-index:251706368;mso-width-relative:page;mso-height-relative:page;" filled="f" stroked="f" coordsize="21600,21600" o:gfxdata="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UbhMXcAAAACwEAAA8AAAAAAAAAAQAgAAAAIgAAAGRy&#10;cy9kb3ducmV2LnhtbFBLAQIUABQAAAAIAIdO4kBiaJyTOgIAAGcEAAAOAAAAAAAAAAEAIAAAACsB&#10;AABkcnMvZTJvRG9jLnhtbFBLBQYAAAAABgAGAFkBAADXBQAAAAA=&#10;">
                <v:fill on="f" focussize="0,0"/>
                <v:stroke on="f" weight="0.5pt"/>
                <v:imagedata o:title=""/>
                <o:lock v:ext="edit" aspectratio="f"/>
                <v:textbox>
                  <w:txbxContent>
                    <w:p w14:paraId="0D8C014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18"/>
                          <w:szCs w:val="18"/>
                          <w:lang w:eastAsia="zh-CN"/>
                        </w:rPr>
                      </w:pPr>
                      <w:r>
                        <w:rPr>
                          <w:rFonts w:hint="eastAsia"/>
                          <w:b/>
                          <w:bCs/>
                          <w:sz w:val="18"/>
                          <w:szCs w:val="18"/>
                          <w:lang w:eastAsia="zh-CN"/>
                        </w:rPr>
                        <w:t>腾鸿建材</w:t>
                      </w:r>
                    </w:p>
                  </w:txbxContent>
                </v:textbox>
              </v:shape>
            </w:pict>
          </mc:Fallback>
        </mc:AlternateContent>
      </w:r>
      <w:r>
        <w:rPr>
          <w:sz w:val="24"/>
        </w:rPr>
        <mc:AlternateContent>
          <mc:Choice Requires="wps">
            <w:drawing>
              <wp:anchor distT="0" distB="0" distL="114300" distR="114300" simplePos="0" relativeHeight="251705344" behindDoc="0" locked="0" layoutInCell="1" allowOverlap="1">
                <wp:simplePos x="0" y="0"/>
                <wp:positionH relativeFrom="column">
                  <wp:posOffset>2318385</wp:posOffset>
                </wp:positionH>
                <wp:positionV relativeFrom="paragraph">
                  <wp:posOffset>1534795</wp:posOffset>
                </wp:positionV>
                <wp:extent cx="1428750" cy="657225"/>
                <wp:effectExtent l="6350" t="6350" r="12700" b="22225"/>
                <wp:wrapNone/>
                <wp:docPr id="14" name="任意多边形 14"/>
                <wp:cNvGraphicFramePr/>
                <a:graphic xmlns:a="http://schemas.openxmlformats.org/drawingml/2006/main">
                  <a:graphicData uri="http://schemas.microsoft.com/office/word/2010/wordprocessingShape">
                    <wps:wsp>
                      <wps:cNvSpPr/>
                      <wps:spPr>
                        <a:xfrm>
                          <a:off x="3004185" y="2449195"/>
                          <a:ext cx="1428750" cy="657225"/>
                        </a:xfrm>
                        <a:custGeom>
                          <a:avLst/>
                          <a:gdLst>
                            <a:gd name="connisteX0" fmla="*/ 104140 w 1428750"/>
                            <a:gd name="connsiteY0" fmla="*/ 52070 h 657225"/>
                            <a:gd name="connisteX1" fmla="*/ 8890 w 1428750"/>
                            <a:gd name="connsiteY1" fmla="*/ 147320 h 657225"/>
                            <a:gd name="connisteX2" fmla="*/ 0 w 1428750"/>
                            <a:gd name="connsiteY2" fmla="*/ 657225 h 657225"/>
                            <a:gd name="connisteX3" fmla="*/ 1428750 w 1428750"/>
                            <a:gd name="connsiteY3" fmla="*/ 657225 h 657225"/>
                            <a:gd name="connisteX4" fmla="*/ 1402715 w 1428750"/>
                            <a:gd name="connsiteY4" fmla="*/ 0 h 657225"/>
                            <a:gd name="connisteX5" fmla="*/ 104140 w 1428750"/>
                            <a:gd name="connsiteY5" fmla="*/ 52070 h 65722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1428750" h="657225">
                              <a:moveTo>
                                <a:pt x="104140" y="52070"/>
                              </a:moveTo>
                              <a:lnTo>
                                <a:pt x="8890" y="147320"/>
                              </a:lnTo>
                              <a:lnTo>
                                <a:pt x="0" y="657225"/>
                              </a:lnTo>
                              <a:lnTo>
                                <a:pt x="1428750" y="657225"/>
                              </a:lnTo>
                              <a:lnTo>
                                <a:pt x="1402715" y="0"/>
                              </a:lnTo>
                              <a:lnTo>
                                <a:pt x="104140" y="52070"/>
                              </a:lnTo>
                              <a:close/>
                            </a:path>
                          </a:pathLst>
                        </a:custGeom>
                        <a:no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82.55pt;margin-top:120.85pt;height:51.75pt;width:112.5pt;z-index:251705344;mso-width-relative:page;mso-height-relative:page;" filled="f" stroked="t" coordsize="1428750,657225" o:gfxdata="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" path="m104140,52070l8890,147320,0,657225,1428750,657225,1402715,0,104140,52070xe">
                <v:path o:connectlocs="104140,52070;8890,147320;0,657225;1428750,657225;1402715,0;104140,52070" o:connectangles="0,0,0,0,0,0"/>
                <v:fill on="f" focussize="0,0"/>
                <v:stroke weight="1pt" color="#FFFF00 [2404]" miterlimit="8" joinstyle="miter"/>
                <v:imagedata o:title=""/>
                <o:lock v:ext="edit" aspectratio="f"/>
              </v:shape>
            </w:pict>
          </mc:Fallback>
        </mc:AlternateContent>
      </w:r>
      <w:r>
        <w:rPr>
          <w:sz w:val="24"/>
        </w:rPr>
        <mc:AlternateContent>
          <mc:Choice Requires="wps">
            <w:drawing>
              <wp:anchor distT="0" distB="0" distL="114300" distR="114300" simplePos="0" relativeHeight="251704320" behindDoc="0" locked="0" layoutInCell="1" allowOverlap="1">
                <wp:simplePos x="0" y="0"/>
                <wp:positionH relativeFrom="column">
                  <wp:posOffset>2263775</wp:posOffset>
                </wp:positionH>
                <wp:positionV relativeFrom="paragraph">
                  <wp:posOffset>2236470</wp:posOffset>
                </wp:positionV>
                <wp:extent cx="1545590" cy="1397000"/>
                <wp:effectExtent l="6350" t="6350" r="10160" b="25400"/>
                <wp:wrapNone/>
                <wp:docPr id="13" name="任意多边形 13"/>
                <wp:cNvGraphicFramePr/>
                <a:graphic xmlns:a="http://schemas.openxmlformats.org/drawingml/2006/main">
                  <a:graphicData uri="http://schemas.microsoft.com/office/word/2010/wordprocessingShape">
                    <wps:wsp>
                      <wps:cNvSpPr/>
                      <wps:spPr>
                        <a:xfrm>
                          <a:off x="2949575" y="3150870"/>
                          <a:ext cx="1545590" cy="1397000"/>
                        </a:xfrm>
                        <a:custGeom>
                          <a:avLst/>
                          <a:gdLst>
                            <a:gd name="connisteX0" fmla="*/ 10795 w 1545590"/>
                            <a:gd name="connsiteY0" fmla="*/ 73025 h 1397000"/>
                            <a:gd name="connisteX1" fmla="*/ 0 w 1545590"/>
                            <a:gd name="connsiteY1" fmla="*/ 962025 h 1397000"/>
                            <a:gd name="connisteX2" fmla="*/ 137795 w 1545590"/>
                            <a:gd name="connsiteY2" fmla="*/ 962025 h 1397000"/>
                            <a:gd name="connisteX3" fmla="*/ 148590 w 1545590"/>
                            <a:gd name="connsiteY3" fmla="*/ 1397000 h 1397000"/>
                            <a:gd name="connisteX4" fmla="*/ 1545590 w 1545590"/>
                            <a:gd name="connsiteY4" fmla="*/ 1333500 h 1397000"/>
                            <a:gd name="connisteX5" fmla="*/ 1471295 w 1545590"/>
                            <a:gd name="connsiteY5" fmla="*/ 0 h 1397000"/>
                            <a:gd name="connisteX6" fmla="*/ 10795 w 1545590"/>
                            <a:gd name="connsiteY6" fmla="*/ 73025 h 13970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545590" h="1397000">
                              <a:moveTo>
                                <a:pt x="10795" y="73025"/>
                              </a:moveTo>
                              <a:lnTo>
                                <a:pt x="0" y="962025"/>
                              </a:lnTo>
                              <a:lnTo>
                                <a:pt x="137795" y="962025"/>
                              </a:lnTo>
                              <a:lnTo>
                                <a:pt x="148590" y="1397000"/>
                              </a:lnTo>
                              <a:lnTo>
                                <a:pt x="1545590" y="1333500"/>
                              </a:lnTo>
                              <a:lnTo>
                                <a:pt x="1471295" y="0"/>
                              </a:lnTo>
                              <a:lnTo>
                                <a:pt x="10795" y="73025"/>
                              </a:lnTo>
                              <a:close/>
                            </a:path>
                          </a:pathLst>
                        </a:custGeom>
                        <a:no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78.25pt;margin-top:176.1pt;height:110pt;width:121.7pt;z-index:251704320;mso-width-relative:page;mso-height-relative:page;" filled="f" stroked="t" coordsize="1545590,1397000" o:gfxdata="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" path="m10795,73025l0,962025,137795,962025,148590,1397000,1545590,1333500,1471295,0,10795,73025xe">
                <v:path o:connectlocs="10795,73025;0,962025;137795,962025;148590,1397000;1545590,1333500;1471295,0;10795,73025" o:connectangles="0,0,0,0,0,0,0"/>
                <v:fill on="f" focussize="0,0"/>
                <v:stroke weight="1pt" color="#FFFF00 [2404]" miterlimit="8" joinstyle="miter"/>
                <v:imagedata o:title=""/>
                <o:lock v:ext="edit" aspectratio="f"/>
              </v:shape>
            </w:pict>
          </mc:Fallback>
        </mc:AlternateContent>
      </w:r>
      <w:r>
        <w:rPr>
          <w:sz w:val="24"/>
        </w:rPr>
        <mc:AlternateContent>
          <mc:Choice Requires="wps">
            <w:drawing>
              <wp:anchor distT="0" distB="0" distL="114300" distR="114300" simplePos="0" relativeHeight="251686912" behindDoc="0" locked="0" layoutInCell="1" allowOverlap="1">
                <wp:simplePos x="0" y="0"/>
                <wp:positionH relativeFrom="column">
                  <wp:posOffset>3811905</wp:posOffset>
                </wp:positionH>
                <wp:positionV relativeFrom="paragraph">
                  <wp:posOffset>1857375</wp:posOffset>
                </wp:positionV>
                <wp:extent cx="417830" cy="184150"/>
                <wp:effectExtent l="0" t="0" r="1270" b="6350"/>
                <wp:wrapNone/>
                <wp:docPr id="124" name="文本框 124"/>
                <wp:cNvGraphicFramePr/>
                <a:graphic xmlns:a="http://schemas.openxmlformats.org/drawingml/2006/main">
                  <a:graphicData uri="http://schemas.microsoft.com/office/word/2010/wordprocessingShape">
                    <wps:wsp>
                      <wps:cNvSpPr txBox="1"/>
                      <wps:spPr>
                        <a:xfrm>
                          <a:off x="0" y="0"/>
                          <a:ext cx="417830" cy="18415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A877A77">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15"/>
                                <w:szCs w:val="15"/>
                                <w:lang w:val="en-US" w:eastAsia="zh-CN"/>
                              </w:rPr>
                            </w:pPr>
                            <w:r>
                              <w:rPr>
                                <w:rFonts w:hint="eastAsia"/>
                                <w:b/>
                                <w:bCs/>
                                <w:sz w:val="15"/>
                                <w:szCs w:val="15"/>
                                <w:lang w:val="en-US" w:eastAsia="zh-CN"/>
                              </w:rPr>
                              <w:t>295m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15pt;margin-top:146.25pt;height:14.5pt;width:32.9pt;z-index:251686912;mso-width-relative:page;mso-height-relative:page;" fillcolor="#FFFFFF [3212]" filled="t" stroked="f" coordsize="21600,21600" o:gfxdata="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h5ALtcAAAALAQAADwAA&#10;AAAAAAABACAAAAAiAAAAZHJzL2Rvd25yZXYueG1sUEsBAhQAFAAAAAgAh07iQOyZSgBQAgAAkgQA&#10;AA4AAAAAAAAAAQAgAAAAJgEAAGRycy9lMm9Eb2MueG1sUEsFBgAAAAAGAAYAWQEAAOgFAAAAAA==&#10;">
                <v:fill on="t" focussize="0,0"/>
                <v:stroke on="f" weight="0.5pt"/>
                <v:imagedata o:title=""/>
                <o:lock v:ext="edit" aspectratio="f"/>
                <v:textbox>
                  <w:txbxContent>
                    <w:p w14:paraId="5A877A77">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15"/>
                          <w:szCs w:val="15"/>
                          <w:lang w:val="en-US" w:eastAsia="zh-CN"/>
                        </w:rPr>
                      </w:pPr>
                      <w:r>
                        <w:rPr>
                          <w:rFonts w:hint="eastAsia"/>
                          <w:b/>
                          <w:bCs/>
                          <w:sz w:val="15"/>
                          <w:szCs w:val="15"/>
                          <w:lang w:val="en-US" w:eastAsia="zh-CN"/>
                        </w:rPr>
                        <w:t>295m</w:t>
                      </w:r>
                    </w:p>
                  </w:txbxContent>
                </v:textbox>
              </v:shape>
            </w:pict>
          </mc:Fallback>
        </mc:AlternateContent>
      </w:r>
      <w:r>
        <w:rPr>
          <w:sz w:val="24"/>
        </w:rPr>
        <mc:AlternateContent>
          <mc:Choice Requires="wps">
            <w:drawing>
              <wp:anchor distT="0" distB="0" distL="114300" distR="114300" simplePos="0" relativeHeight="251684864" behindDoc="0" locked="0" layoutInCell="1" allowOverlap="1">
                <wp:simplePos x="0" y="0"/>
                <wp:positionH relativeFrom="column">
                  <wp:posOffset>2119630</wp:posOffset>
                </wp:positionH>
                <wp:positionV relativeFrom="paragraph">
                  <wp:posOffset>2069465</wp:posOffset>
                </wp:positionV>
                <wp:extent cx="2225040" cy="27305"/>
                <wp:effectExtent l="0" t="27940" r="3810" b="59055"/>
                <wp:wrapNone/>
                <wp:docPr id="122" name="直接箭头连接符 122"/>
                <wp:cNvGraphicFramePr/>
                <a:graphic xmlns:a="http://schemas.openxmlformats.org/drawingml/2006/main">
                  <a:graphicData uri="http://schemas.microsoft.com/office/word/2010/wordprocessingShape">
                    <wps:wsp>
                      <wps:cNvCnPr/>
                      <wps:spPr>
                        <a:xfrm flipH="1">
                          <a:off x="2730500" y="3902710"/>
                          <a:ext cx="2225040" cy="27305"/>
                        </a:xfrm>
                        <a:prstGeom prst="straightConnector1">
                          <a:avLst/>
                        </a:prstGeom>
                        <a:ln w="19050">
                          <a:solidFill>
                            <a:srgbClr val="FFFF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66.9pt;margin-top:162.95pt;height:2.15pt;width:175.2pt;z-index:251684864;mso-width-relative:page;mso-height-relative:page;" filled="f" stroked="t" coordsize="21600,21600" o:gfxdata="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az0LDtsA&#10;AAALAQAADwAAAAAAAAABACAAAAAiAAAAZHJzL2Rvd25yZXYueG1sUEsBAhQAFAAAAAgAh07iQBV7&#10;nr0cAgAA/QMAAA4AAAAAAAAAAQAgAAAAKgEAAGRycy9lMm9Eb2MueG1sUEsFBgAAAAAGAAYAWQEA&#10;ALgFAAAAAA==&#10;">
                <v:fill on="f" focussize="0,0"/>
                <v:stroke weight="1.5pt" color="#FFFF00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4375150</wp:posOffset>
                </wp:positionH>
                <wp:positionV relativeFrom="paragraph">
                  <wp:posOffset>1760855</wp:posOffset>
                </wp:positionV>
                <wp:extent cx="487680" cy="21336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487680" cy="2133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135475">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color w:val="FFFFFF" w:themeColor="background1"/>
                                <w:sz w:val="15"/>
                                <w:szCs w:val="15"/>
                                <w:lang w:eastAsia="zh-CN"/>
                                <w14:textFill>
                                  <w14:solidFill>
                                    <w14:schemeClr w14:val="bg1"/>
                                  </w14:solidFill>
                                </w14:textFill>
                              </w:rPr>
                            </w:pPr>
                            <w:r>
                              <w:rPr>
                                <w:rFonts w:hint="eastAsia"/>
                                <w:b/>
                                <w:bCs/>
                                <w:color w:val="FFFFFF" w:themeColor="background1"/>
                                <w:sz w:val="15"/>
                                <w:szCs w:val="15"/>
                                <w:lang w:eastAsia="zh-CN"/>
                                <w14:textFill>
                                  <w14:solidFill>
                                    <w14:schemeClr w14:val="bg1"/>
                                  </w14:solidFill>
                                </w14:textFill>
                              </w:rPr>
                              <w:t>空厂房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4.5pt;margin-top:138.65pt;height:16.8pt;width:38.4pt;z-index:251679744;mso-width-relative:page;mso-height-relative:page;" filled="f" stroked="f" coordsize="21600,21600" o:gfxdata="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lkIEhd0AAAALAQAADwAAAAAAAAABACAAAAAi&#10;AAAAZHJzL2Rvd25yZXYueG1sUEsBAhQAFAAAAAgAh07iQLqxebs+AgAAaQQAAA4AAAAAAAAAAQAg&#10;AAAALAEAAGRycy9lMm9Eb2MueG1sUEsFBgAAAAAGAAYAWQEAANwFAAAAAA==&#10;">
                <v:fill on="f" focussize="0,0"/>
                <v:stroke on="f" weight="0.5pt"/>
                <v:imagedata o:title=""/>
                <o:lock v:ext="edit" aspectratio="f"/>
                <v:textbox>
                  <w:txbxContent>
                    <w:p w14:paraId="5C135475">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color w:val="FFFFFF" w:themeColor="background1"/>
                          <w:sz w:val="15"/>
                          <w:szCs w:val="15"/>
                          <w:lang w:eastAsia="zh-CN"/>
                          <w14:textFill>
                            <w14:solidFill>
                              <w14:schemeClr w14:val="bg1"/>
                            </w14:solidFill>
                          </w14:textFill>
                        </w:rPr>
                      </w:pPr>
                      <w:r>
                        <w:rPr>
                          <w:rFonts w:hint="eastAsia"/>
                          <w:b/>
                          <w:bCs/>
                          <w:color w:val="FFFFFF" w:themeColor="background1"/>
                          <w:sz w:val="15"/>
                          <w:szCs w:val="15"/>
                          <w:lang w:eastAsia="zh-CN"/>
                          <w14:textFill>
                            <w14:solidFill>
                              <w14:schemeClr w14:val="bg1"/>
                            </w14:solidFill>
                          </w14:textFill>
                        </w:rPr>
                        <w:t>空厂房</w:t>
                      </w:r>
                    </w:p>
                  </w:txbxContent>
                </v:textbox>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4355465</wp:posOffset>
                </wp:positionH>
                <wp:positionV relativeFrom="paragraph">
                  <wp:posOffset>1784985</wp:posOffset>
                </wp:positionV>
                <wp:extent cx="496570" cy="171450"/>
                <wp:effectExtent l="6350" t="6350" r="11430" b="12700"/>
                <wp:wrapNone/>
                <wp:docPr id="118" name="矩形 118"/>
                <wp:cNvGraphicFramePr/>
                <a:graphic xmlns:a="http://schemas.openxmlformats.org/drawingml/2006/main">
                  <a:graphicData uri="http://schemas.microsoft.com/office/word/2010/wordprocessingShape">
                    <wps:wsp>
                      <wps:cNvSpPr/>
                      <wps:spPr>
                        <a:xfrm>
                          <a:off x="5247005" y="2444750"/>
                          <a:ext cx="496570" cy="171450"/>
                        </a:xfrm>
                        <a:prstGeom prst="rect">
                          <a:avLst/>
                        </a:pr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2.95pt;margin-top:140.55pt;height:13.5pt;width:39.1pt;z-index:251680768;v-text-anchor:middle;mso-width-relative:page;mso-height-relative:page;" filled="f" stroked="t" coordsize="21600,21600" o:gfxdata="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P6bYiNsAAAALAQAADwAAAAAAAAABACAAAAAiAAAA&#10;ZHJzL2Rvd25yZXYueG1sUEsBAhQAFAAAAAgAh07iQIHN3nF2AgAA2gQAAA4AAAAAAAAAAQAgAAAA&#10;KgEAAGRycy9lMm9Eb2MueG1sUEsFBgAAAAAGAAYAWQEAABIGAAAAAA==&#10;">
                <v:fill on="f" focussize="0,0"/>
                <v:stroke weight="1pt" color="#FFFF00 [2404]" miterlimit="8" joinstyle="miter"/>
                <v:imagedata o:title=""/>
                <o:lock v:ext="edit" aspectratio="f"/>
              </v:rect>
            </w:pict>
          </mc:Fallback>
        </mc:AlternateContent>
      </w:r>
      <w:r>
        <w:rPr>
          <w:sz w:val="24"/>
        </w:rPr>
        <mc:AlternateContent>
          <mc:Choice Requires="wps">
            <w:drawing>
              <wp:anchor distT="0" distB="0" distL="114300" distR="114300" simplePos="0" relativeHeight="251678720" behindDoc="0" locked="0" layoutInCell="1" allowOverlap="1">
                <wp:simplePos x="0" y="0"/>
                <wp:positionH relativeFrom="column">
                  <wp:posOffset>4275455</wp:posOffset>
                </wp:positionH>
                <wp:positionV relativeFrom="paragraph">
                  <wp:posOffset>2174875</wp:posOffset>
                </wp:positionV>
                <wp:extent cx="765810" cy="319405"/>
                <wp:effectExtent l="0" t="0" r="0" b="0"/>
                <wp:wrapNone/>
                <wp:docPr id="116" name="文本框 116"/>
                <wp:cNvGraphicFramePr/>
                <a:graphic xmlns:a="http://schemas.openxmlformats.org/drawingml/2006/main">
                  <a:graphicData uri="http://schemas.microsoft.com/office/word/2010/wordprocessingShape">
                    <wps:wsp>
                      <wps:cNvSpPr txBox="1"/>
                      <wps:spPr>
                        <a:xfrm>
                          <a:off x="4966335" y="3643630"/>
                          <a:ext cx="76581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D9DE7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b/>
                                <w:bCs/>
                                <w:color w:val="FFFFFF" w:themeColor="background1"/>
                                <w:sz w:val="13"/>
                                <w:szCs w:val="13"/>
                                <w:lang w:eastAsia="zh-CN"/>
                                <w14:textFill>
                                  <w14:solidFill>
                                    <w14:schemeClr w14:val="bg1"/>
                                  </w14:solidFill>
                                </w14:textFill>
                              </w:rPr>
                            </w:pPr>
                            <w:r>
                              <w:rPr>
                                <w:rFonts w:hint="eastAsia"/>
                                <w:b/>
                                <w:bCs/>
                                <w:color w:val="FFFFFF" w:themeColor="background1"/>
                                <w:sz w:val="13"/>
                                <w:szCs w:val="13"/>
                                <w:lang w:eastAsia="zh-CN"/>
                                <w14:textFill>
                                  <w14:solidFill>
                                    <w14:schemeClr w14:val="bg1"/>
                                  </w14:solidFill>
                                </w14:textFill>
                              </w:rPr>
                              <w:t>河南星达医疗</w:t>
                            </w:r>
                          </w:p>
                          <w:p w14:paraId="1FA2FDF8">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color w:val="FFFFFF" w:themeColor="background1"/>
                                <w:sz w:val="13"/>
                                <w:szCs w:val="13"/>
                                <w:lang w:eastAsia="zh-CN"/>
                                <w14:textFill>
                                  <w14:solidFill>
                                    <w14:schemeClr w14:val="bg1"/>
                                  </w14:solidFill>
                                </w14:textFill>
                              </w:rPr>
                            </w:pPr>
                            <w:r>
                              <w:rPr>
                                <w:rFonts w:hint="eastAsia"/>
                                <w:b/>
                                <w:bCs/>
                                <w:color w:val="FFFFFF" w:themeColor="background1"/>
                                <w:sz w:val="13"/>
                                <w:szCs w:val="13"/>
                                <w:lang w:eastAsia="zh-CN"/>
                                <w14:textFill>
                                  <w14:solidFill>
                                    <w14:schemeClr w14:val="bg1"/>
                                  </w14:solidFill>
                                </w14:textFill>
                              </w:rPr>
                              <w:t>设备有限公司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6.65pt;margin-top:171.25pt;height:25.15pt;width:60.3pt;z-index:251678720;mso-width-relative:page;mso-height-relative:page;" filled="f" stroked="f" coordsize="21600,21600" o:gfxdata="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83BaX3QAAAAsBAAAPAAAA&#10;AAAAAAEAIAAAACIAAABkcnMvZG93bnJldi54bWxQSwECFAAUAAAACACHTuJAtW5ZwEkCAAB1BAAA&#10;DgAAAAAAAAABACAAAAAsAQAAZHJzL2Uyb0RvYy54bWxQSwUGAAAAAAYABgBZAQAA5wUAAAAA&#10;">
                <v:fill on="f" focussize="0,0"/>
                <v:stroke on="f" weight="0.5pt"/>
                <v:imagedata o:title=""/>
                <o:lock v:ext="edit" aspectratio="f"/>
                <v:textbox>
                  <w:txbxContent>
                    <w:p w14:paraId="46D9DE7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b/>
                          <w:bCs/>
                          <w:color w:val="FFFFFF" w:themeColor="background1"/>
                          <w:sz w:val="13"/>
                          <w:szCs w:val="13"/>
                          <w:lang w:eastAsia="zh-CN"/>
                          <w14:textFill>
                            <w14:solidFill>
                              <w14:schemeClr w14:val="bg1"/>
                            </w14:solidFill>
                          </w14:textFill>
                        </w:rPr>
                      </w:pPr>
                      <w:r>
                        <w:rPr>
                          <w:rFonts w:hint="eastAsia"/>
                          <w:b/>
                          <w:bCs/>
                          <w:color w:val="FFFFFF" w:themeColor="background1"/>
                          <w:sz w:val="13"/>
                          <w:szCs w:val="13"/>
                          <w:lang w:eastAsia="zh-CN"/>
                          <w14:textFill>
                            <w14:solidFill>
                              <w14:schemeClr w14:val="bg1"/>
                            </w14:solidFill>
                          </w14:textFill>
                        </w:rPr>
                        <w:t>河南星达医疗</w:t>
                      </w:r>
                    </w:p>
                    <w:p w14:paraId="1FA2FDF8">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color w:val="FFFFFF" w:themeColor="background1"/>
                          <w:sz w:val="13"/>
                          <w:szCs w:val="13"/>
                          <w:lang w:eastAsia="zh-CN"/>
                          <w14:textFill>
                            <w14:solidFill>
                              <w14:schemeClr w14:val="bg1"/>
                            </w14:solidFill>
                          </w14:textFill>
                        </w:rPr>
                      </w:pPr>
                      <w:r>
                        <w:rPr>
                          <w:rFonts w:hint="eastAsia"/>
                          <w:b/>
                          <w:bCs/>
                          <w:color w:val="FFFFFF" w:themeColor="background1"/>
                          <w:sz w:val="13"/>
                          <w:szCs w:val="13"/>
                          <w:lang w:eastAsia="zh-CN"/>
                          <w14:textFill>
                            <w14:solidFill>
                              <w14:schemeClr w14:val="bg1"/>
                            </w14:solidFill>
                          </w14:textFill>
                        </w:rPr>
                        <w:t>设备有限公司</w:t>
                      </w:r>
                    </w:p>
                  </w:txbxContent>
                </v:textbox>
              </v:shape>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column">
                  <wp:posOffset>4359275</wp:posOffset>
                </wp:positionH>
                <wp:positionV relativeFrom="paragraph">
                  <wp:posOffset>2160270</wp:posOffset>
                </wp:positionV>
                <wp:extent cx="496570" cy="342900"/>
                <wp:effectExtent l="6350" t="6350" r="11430" b="12700"/>
                <wp:wrapNone/>
                <wp:docPr id="119" name="矩形 119"/>
                <wp:cNvGraphicFramePr/>
                <a:graphic xmlns:a="http://schemas.openxmlformats.org/drawingml/2006/main">
                  <a:graphicData uri="http://schemas.microsoft.com/office/word/2010/wordprocessingShape">
                    <wps:wsp>
                      <wps:cNvSpPr/>
                      <wps:spPr>
                        <a:xfrm>
                          <a:off x="0" y="0"/>
                          <a:ext cx="496570" cy="342900"/>
                        </a:xfrm>
                        <a:prstGeom prst="rect">
                          <a:avLst/>
                        </a:pr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3.25pt;margin-top:170.1pt;height:27pt;width:39.1pt;z-index:251681792;v-text-anchor:middle;mso-width-relative:page;mso-height-relative:page;" filled="f" stroked="t" coordsize="21600,21600" o:gfxdata="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yBN9ENsAAAALAQAADwAAAAAAAAABACAAAAAiAAAAZHJzL2Rvd25yZXYu&#10;eG1sUEsBAhQAFAAAAAgAh07iQKoXueFqAgAAzgQAAA4AAAAAAAAAAQAgAAAAKgEAAGRycy9lMm9E&#10;b2MueG1sUEsFBgAAAAAGAAYAWQEAAAYGAAAAAA==&#10;">
                <v:fill on="f" focussize="0,0"/>
                <v:stroke weight="1pt" color="#FFFF00 [2404]" miterlimit="8" joinstyle="miter"/>
                <v:imagedata o:title=""/>
                <o:lock v:ext="edit" aspectratio="f"/>
              </v:rect>
            </w:pict>
          </mc:Fallback>
        </mc:AlternateContent>
      </w:r>
      <w:r>
        <w:rPr>
          <w:rFonts w:hint="default" w:ascii="Times New Roman" w:hAnsi="Times New Roman" w:cs="Times New Roman"/>
          <w:sz w:val="24"/>
        </w:rPr>
        <mc:AlternateContent>
          <mc:Choice Requires="wps">
            <w:drawing>
              <wp:anchor distT="0" distB="0" distL="114300" distR="114300" simplePos="0" relativeHeight="251685888" behindDoc="0" locked="0" layoutInCell="1" allowOverlap="1">
                <wp:simplePos x="0" y="0"/>
                <wp:positionH relativeFrom="column">
                  <wp:posOffset>4584700</wp:posOffset>
                </wp:positionH>
                <wp:positionV relativeFrom="paragraph">
                  <wp:posOffset>2007235</wp:posOffset>
                </wp:positionV>
                <wp:extent cx="86995" cy="86360"/>
                <wp:effectExtent l="13970" t="15875" r="32385" b="31115"/>
                <wp:wrapNone/>
                <wp:docPr id="123" name="五角星 123"/>
                <wp:cNvGraphicFramePr/>
                <a:graphic xmlns:a="http://schemas.openxmlformats.org/drawingml/2006/main">
                  <a:graphicData uri="http://schemas.microsoft.com/office/word/2010/wordprocessingShape">
                    <wps:wsp>
                      <wps:cNvSpPr/>
                      <wps:spPr>
                        <a:xfrm>
                          <a:off x="0" y="0"/>
                          <a:ext cx="86995" cy="86360"/>
                        </a:xfrm>
                        <a:prstGeom prst="star5">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361pt;margin-top:158.05pt;height:6.8pt;width:6.85pt;z-index:251685888;mso-width-relative:page;mso-height-relative:page;" fillcolor="#FF0000" filled="t" stroked="t" coordsize="86995,86360" o:gfxdata="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wF6RYtkAAAALAQAADwAAAAAAAAABACAAAAAiAAAAZHJzL2Rv&#10;d25yZXYueG1sUEsBAhQAFAAAAAgAh07iQHcQxHwAAgAAIwQAAA4AAAAAAAAAAQAgAAAAKAEAAGRy&#10;cy9lMm9Eb2MueG1sUEsFBgAAAAAGAAYAWQEAAJoFAAAAAA==&#10;" path="m0,32986l33229,32986,43497,0,53765,32986,86994,32986,60111,53373,70380,86359,43497,65972,16614,86359,26883,53373xe">
                <v:path o:connectlocs="43497,0;0,32986;16614,86359;70380,86359;86994,32986" o:connectangles="247,164,82,82,0"/>
                <v:fill on="t" focussize="0,0"/>
                <v:stroke color="#FF0000" joinstyle="miter"/>
                <v:imagedata o:title=""/>
                <o:lock v:ext="edit" aspectratio="f"/>
              </v:shape>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4354830</wp:posOffset>
                </wp:positionH>
                <wp:positionV relativeFrom="paragraph">
                  <wp:posOffset>1983740</wp:posOffset>
                </wp:positionV>
                <wp:extent cx="508000" cy="140970"/>
                <wp:effectExtent l="9525" t="9525" r="15875" b="20955"/>
                <wp:wrapNone/>
                <wp:docPr id="101" name="任意多边形 101"/>
                <wp:cNvGraphicFramePr/>
                <a:graphic xmlns:a="http://schemas.openxmlformats.org/drawingml/2006/main">
                  <a:graphicData uri="http://schemas.microsoft.com/office/word/2010/wordprocessingShape">
                    <wps:wsp>
                      <wps:cNvSpPr/>
                      <wps:spPr>
                        <a:xfrm>
                          <a:off x="5029835" y="3054985"/>
                          <a:ext cx="508000" cy="140970"/>
                        </a:xfrm>
                        <a:custGeom>
                          <a:avLst/>
                          <a:gdLst>
                            <a:gd name="connisteX0" fmla="*/ 502920 w 508000"/>
                            <a:gd name="connsiteY0" fmla="*/ 0 h 140970"/>
                            <a:gd name="connisteX1" fmla="*/ 508000 w 508000"/>
                            <a:gd name="connsiteY1" fmla="*/ 132080 h 140970"/>
                            <a:gd name="connisteX2" fmla="*/ 4445 w 508000"/>
                            <a:gd name="connsiteY2" fmla="*/ 140970 h 140970"/>
                            <a:gd name="connisteX3" fmla="*/ 0 w 508000"/>
                            <a:gd name="connsiteY3" fmla="*/ 9525 h 140970"/>
                            <a:gd name="connisteX4" fmla="*/ 4445 w 508000"/>
                            <a:gd name="connsiteY4" fmla="*/ 0 h 140970"/>
                            <a:gd name="connisteX5" fmla="*/ 502920 w 508000"/>
                            <a:gd name="connsiteY5" fmla="*/ 0 h 14097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508000" h="140970">
                              <a:moveTo>
                                <a:pt x="502920" y="0"/>
                              </a:moveTo>
                              <a:lnTo>
                                <a:pt x="508000" y="132080"/>
                              </a:lnTo>
                              <a:lnTo>
                                <a:pt x="4445" y="140970"/>
                              </a:lnTo>
                              <a:lnTo>
                                <a:pt x="0" y="9525"/>
                              </a:lnTo>
                              <a:lnTo>
                                <a:pt x="4445" y="0"/>
                              </a:lnTo>
                              <a:lnTo>
                                <a:pt x="502920" y="0"/>
                              </a:lnTo>
                              <a:close/>
                            </a:path>
                          </a:pathLst>
                        </a:cu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42.9pt;margin-top:156.2pt;height:11.1pt;width:40pt;z-index:251676672;mso-width-relative:page;mso-height-relative:page;" filled="f" stroked="t" coordsize="508000,140970" o:gfxdata="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GM3T07WAAAACwEAAA8A&#10;AAAAAAAAAQAgAAAAIgAAAGRycy9kb3ducmV2LnhtbFBLAQIUABQAAAAIAIdO4kDJxbU3NgMAAAsJ&#10;AAAOAAAAAAAAAAEAIAAAACUBAABkcnMvZTJvRG9jLnhtbFBLBQYAAAAABgAGAFkBAADNBgAAAAA=&#10;" path="m502920,0l508000,132080,4445,140970,0,9525,4445,0,502920,0xe">
                <v:path o:connectlocs="502920,0;508000,132080;4445,140970;0,9525;4445,0;502920,0" o:connectangles="0,0,0,0,0,0"/>
                <v:fill on="f" focussize="0,0"/>
                <v:stroke weight="1.5pt" color="#FF0000 [2404]" miterlimit="8" joinstyle="miter"/>
                <v:imagedata o:title=""/>
                <o:lock v:ext="edit" aspectratio="f"/>
              </v:shape>
            </w:pict>
          </mc:Fallback>
        </mc:AlternateContent>
      </w:r>
      <w:r>
        <w:rPr>
          <w:sz w:val="24"/>
        </w:rPr>
        <mc:AlternateContent>
          <mc:Choice Requires="wps">
            <w:drawing>
              <wp:anchor distT="0" distB="0" distL="114300" distR="114300" simplePos="0" relativeHeight="251682816" behindDoc="0" locked="0" layoutInCell="1" allowOverlap="1">
                <wp:simplePos x="0" y="0"/>
                <wp:positionH relativeFrom="column">
                  <wp:posOffset>2607945</wp:posOffset>
                </wp:positionH>
                <wp:positionV relativeFrom="paragraph">
                  <wp:posOffset>2768600</wp:posOffset>
                </wp:positionV>
                <wp:extent cx="887730" cy="418465"/>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887730" cy="418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BA9771">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b/>
                                <w:bCs/>
                                <w:sz w:val="18"/>
                                <w:szCs w:val="18"/>
                                <w:lang w:eastAsia="zh-CN"/>
                              </w:rPr>
                            </w:pPr>
                            <w:r>
                              <w:rPr>
                                <w:rFonts w:hint="eastAsia"/>
                                <w:b/>
                                <w:bCs/>
                                <w:sz w:val="18"/>
                                <w:szCs w:val="18"/>
                                <w:lang w:eastAsia="zh-CN"/>
                              </w:rPr>
                              <w:t>河南星达医疗</w:t>
                            </w:r>
                          </w:p>
                          <w:p w14:paraId="0C42A854">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18"/>
                                <w:szCs w:val="18"/>
                                <w:lang w:eastAsia="zh-CN"/>
                              </w:rPr>
                            </w:pPr>
                            <w:r>
                              <w:rPr>
                                <w:rFonts w:hint="eastAsia"/>
                                <w:b/>
                                <w:bCs/>
                                <w:sz w:val="18"/>
                                <w:szCs w:val="18"/>
                                <w:lang w:eastAsia="zh-CN"/>
                              </w:rPr>
                              <w:t>设备有限公司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5.35pt;margin-top:218pt;height:32.95pt;width:69.9pt;z-index:251682816;mso-width-relative:page;mso-height-relative:page;" filled="f" stroked="f" coordsize="21600,21600" o:gfxdata="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&#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ayZf32wAAAAsBAAAPAAAAAAAAAAEAIAAAACIAAABk&#10;cnMvZG93bnJldi54bWxQSwECFAAUAAAACACHTuJAoE+LCTwCAABpBAAADgAAAAAAAAABACAAAAAq&#10;AQAAZHJzL2Uyb0RvYy54bWxQSwUGAAAAAAYABgBZAQAA2AUAAAAA&#10;">
                <v:fill on="f" focussize="0,0"/>
                <v:stroke on="f" weight="0.5pt"/>
                <v:imagedata o:title=""/>
                <o:lock v:ext="edit" aspectratio="f"/>
                <v:textbox>
                  <w:txbxContent>
                    <w:p w14:paraId="42BA9771">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b/>
                          <w:bCs/>
                          <w:sz w:val="18"/>
                          <w:szCs w:val="18"/>
                          <w:lang w:eastAsia="zh-CN"/>
                        </w:rPr>
                      </w:pPr>
                      <w:r>
                        <w:rPr>
                          <w:rFonts w:hint="eastAsia"/>
                          <w:b/>
                          <w:bCs/>
                          <w:sz w:val="18"/>
                          <w:szCs w:val="18"/>
                          <w:lang w:eastAsia="zh-CN"/>
                        </w:rPr>
                        <w:t>河南星达医疗</w:t>
                      </w:r>
                    </w:p>
                    <w:p w14:paraId="0C42A854">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18"/>
                          <w:szCs w:val="18"/>
                          <w:lang w:eastAsia="zh-CN"/>
                        </w:rPr>
                      </w:pPr>
                      <w:r>
                        <w:rPr>
                          <w:rFonts w:hint="eastAsia"/>
                          <w:b/>
                          <w:bCs/>
                          <w:sz w:val="18"/>
                          <w:szCs w:val="18"/>
                          <w:lang w:eastAsia="zh-CN"/>
                        </w:rPr>
                        <w:t>设备有限公司</w:t>
                      </w:r>
                    </w:p>
                  </w:txbxContent>
                </v:textbox>
              </v:shap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713105</wp:posOffset>
                </wp:positionH>
                <wp:positionV relativeFrom="paragraph">
                  <wp:posOffset>2797810</wp:posOffset>
                </wp:positionV>
                <wp:extent cx="574675" cy="247015"/>
                <wp:effectExtent l="0" t="0" r="15875" b="635"/>
                <wp:wrapNone/>
                <wp:docPr id="121" name="文本框 121"/>
                <wp:cNvGraphicFramePr/>
                <a:graphic xmlns:a="http://schemas.openxmlformats.org/drawingml/2006/main">
                  <a:graphicData uri="http://schemas.microsoft.com/office/word/2010/wordprocessingShape">
                    <wps:wsp>
                      <wps:cNvSpPr txBox="1"/>
                      <wps:spPr>
                        <a:xfrm>
                          <a:off x="0" y="0"/>
                          <a:ext cx="574675" cy="2470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6B3F28C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18"/>
                                <w:szCs w:val="18"/>
                                <w:lang w:eastAsia="zh-CN"/>
                              </w:rPr>
                            </w:pPr>
                            <w:r>
                              <w:rPr>
                                <w:rFonts w:hint="eastAsia"/>
                                <w:b/>
                                <w:bCs/>
                                <w:sz w:val="18"/>
                                <w:szCs w:val="18"/>
                                <w:lang w:eastAsia="zh-CN"/>
                              </w:rPr>
                              <w:t>东马村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15pt;margin-top:220.3pt;height:19.45pt;width:45.25pt;z-index:251683840;mso-width-relative:page;mso-height-relative:page;" fillcolor="#FFFFFF [3212]" filled="t" stroked="f" coordsize="21600,21600" o:gfxdata="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mA54+1gAAAAsBAAAPAAAA&#10;AAAAAAEAIAAAACIAAABkcnMvZG93bnJldi54bWxQSwECFAAUAAAACACHTuJAZWkhPFACAACSBAAA&#10;DgAAAAAAAAABACAAAAAlAQAAZHJzL2Uyb0RvYy54bWxQSwUGAAAAAAYABgBZAQAA5wUAAAAA&#10;">
                <v:fill on="t" focussize="0,0"/>
                <v:stroke on="f" weight="0.5pt"/>
                <v:imagedata o:title=""/>
                <o:lock v:ext="edit" aspectratio="f"/>
                <v:textbox>
                  <w:txbxContent>
                    <w:p w14:paraId="6B3F28C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18"/>
                          <w:szCs w:val="18"/>
                          <w:lang w:eastAsia="zh-CN"/>
                        </w:rPr>
                      </w:pPr>
                      <w:r>
                        <w:rPr>
                          <w:rFonts w:hint="eastAsia"/>
                          <w:b/>
                          <w:bCs/>
                          <w:sz w:val="18"/>
                          <w:szCs w:val="18"/>
                          <w:lang w:eastAsia="zh-CN"/>
                        </w:rPr>
                        <w:t>东马村</w:t>
                      </w:r>
                    </w:p>
                  </w:txbxContent>
                </v:textbox>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-229870</wp:posOffset>
                </wp:positionH>
                <wp:positionV relativeFrom="paragraph">
                  <wp:posOffset>123190</wp:posOffset>
                </wp:positionV>
                <wp:extent cx="2555875" cy="5159375"/>
                <wp:effectExtent l="0" t="7620" r="15875" b="14605"/>
                <wp:wrapNone/>
                <wp:docPr id="103" name="任意多边形 103"/>
                <wp:cNvGraphicFramePr/>
                <a:graphic xmlns:a="http://schemas.openxmlformats.org/drawingml/2006/main">
                  <a:graphicData uri="http://schemas.microsoft.com/office/word/2010/wordprocessingShape">
                    <wps:wsp>
                      <wps:cNvSpPr/>
                      <wps:spPr>
                        <a:xfrm>
                          <a:off x="455930" y="1037590"/>
                          <a:ext cx="2555875" cy="5159375"/>
                        </a:xfrm>
                        <a:custGeom>
                          <a:avLst/>
                          <a:gdLst>
                            <a:gd name="connisteX0" fmla="*/ 15875 w 2555875"/>
                            <a:gd name="connsiteY0" fmla="*/ 174625 h 5159375"/>
                            <a:gd name="connisteX1" fmla="*/ 213995 w 2555875"/>
                            <a:gd name="connsiteY1" fmla="*/ 174625 h 5159375"/>
                            <a:gd name="connisteX2" fmla="*/ 222250 w 2555875"/>
                            <a:gd name="connsiteY2" fmla="*/ 365125 h 5159375"/>
                            <a:gd name="connisteX3" fmla="*/ 293370 w 2555875"/>
                            <a:gd name="connsiteY3" fmla="*/ 396875 h 5159375"/>
                            <a:gd name="connisteX4" fmla="*/ 317500 w 2555875"/>
                            <a:gd name="connsiteY4" fmla="*/ 492125 h 5159375"/>
                            <a:gd name="connisteX5" fmla="*/ 555625 w 2555875"/>
                            <a:gd name="connsiteY5" fmla="*/ 531495 h 5159375"/>
                            <a:gd name="connisteX6" fmla="*/ 547370 w 2555875"/>
                            <a:gd name="connsiteY6" fmla="*/ 483870 h 5159375"/>
                            <a:gd name="connisteX7" fmla="*/ 642620 w 2555875"/>
                            <a:gd name="connsiteY7" fmla="*/ 499745 h 5159375"/>
                            <a:gd name="connisteX8" fmla="*/ 650875 w 2555875"/>
                            <a:gd name="connsiteY8" fmla="*/ 539750 h 5159375"/>
                            <a:gd name="connisteX9" fmla="*/ 777875 w 2555875"/>
                            <a:gd name="connsiteY9" fmla="*/ 555625 h 5159375"/>
                            <a:gd name="connisteX10" fmla="*/ 762000 w 2555875"/>
                            <a:gd name="connsiteY10" fmla="*/ 515620 h 5159375"/>
                            <a:gd name="connisteX11" fmla="*/ 833120 w 2555875"/>
                            <a:gd name="connsiteY11" fmla="*/ 515620 h 5159375"/>
                            <a:gd name="connisteX12" fmla="*/ 873125 w 2555875"/>
                            <a:gd name="connsiteY12" fmla="*/ 523875 h 5159375"/>
                            <a:gd name="connisteX13" fmla="*/ 873125 w 2555875"/>
                            <a:gd name="connsiteY13" fmla="*/ 666750 h 5159375"/>
                            <a:gd name="connisteX14" fmla="*/ 880745 w 2555875"/>
                            <a:gd name="connsiteY14" fmla="*/ 777875 h 5159375"/>
                            <a:gd name="connisteX15" fmla="*/ 944245 w 2555875"/>
                            <a:gd name="connsiteY15" fmla="*/ 769620 h 5159375"/>
                            <a:gd name="connisteX16" fmla="*/ 1039495 w 2555875"/>
                            <a:gd name="connsiteY16" fmla="*/ 777875 h 5159375"/>
                            <a:gd name="connisteX17" fmla="*/ 1063625 w 2555875"/>
                            <a:gd name="connsiteY17" fmla="*/ 1063625 h 5159375"/>
                            <a:gd name="connisteX18" fmla="*/ 1166495 w 2555875"/>
                            <a:gd name="connsiteY18" fmla="*/ 991870 h 5159375"/>
                            <a:gd name="connisteX19" fmla="*/ 1174750 w 2555875"/>
                            <a:gd name="connsiteY19" fmla="*/ 635000 h 5159375"/>
                            <a:gd name="connisteX20" fmla="*/ 1174750 w 2555875"/>
                            <a:gd name="connsiteY20" fmla="*/ 610870 h 5159375"/>
                            <a:gd name="connisteX21" fmla="*/ 1801495 w 2555875"/>
                            <a:gd name="connsiteY21" fmla="*/ 635000 h 5159375"/>
                            <a:gd name="connisteX22" fmla="*/ 1801495 w 2555875"/>
                            <a:gd name="connsiteY22" fmla="*/ 365125 h 5159375"/>
                            <a:gd name="connisteX23" fmla="*/ 1277620 w 2555875"/>
                            <a:gd name="connsiteY23" fmla="*/ 269875 h 5159375"/>
                            <a:gd name="connisteX24" fmla="*/ 1349375 w 2555875"/>
                            <a:gd name="connsiteY24" fmla="*/ 0 h 5159375"/>
                            <a:gd name="connisteX25" fmla="*/ 2555875 w 2555875"/>
                            <a:gd name="connsiteY25" fmla="*/ 222250 h 5159375"/>
                            <a:gd name="connisteX26" fmla="*/ 2499995 w 2555875"/>
                            <a:gd name="connsiteY26" fmla="*/ 587375 h 5159375"/>
                            <a:gd name="connisteX27" fmla="*/ 2143125 w 2555875"/>
                            <a:gd name="connsiteY27" fmla="*/ 610870 h 5159375"/>
                            <a:gd name="connisteX28" fmla="*/ 2134870 w 2555875"/>
                            <a:gd name="connsiteY28" fmla="*/ 1016000 h 5159375"/>
                            <a:gd name="connisteX29" fmla="*/ 1880870 w 2555875"/>
                            <a:gd name="connsiteY29" fmla="*/ 1023620 h 5159375"/>
                            <a:gd name="connisteX30" fmla="*/ 1841500 w 2555875"/>
                            <a:gd name="connsiteY30" fmla="*/ 1182370 h 5159375"/>
                            <a:gd name="connisteX31" fmla="*/ 2039620 w 2555875"/>
                            <a:gd name="connsiteY31" fmla="*/ 1198245 h 5159375"/>
                            <a:gd name="connisteX32" fmla="*/ 2047875 w 2555875"/>
                            <a:gd name="connsiteY32" fmla="*/ 1388745 h 5159375"/>
                            <a:gd name="connisteX33" fmla="*/ 1936750 w 2555875"/>
                            <a:gd name="connsiteY33" fmla="*/ 1397000 h 5159375"/>
                            <a:gd name="connisteX34" fmla="*/ 1944370 w 2555875"/>
                            <a:gd name="connsiteY34" fmla="*/ 1547495 h 5159375"/>
                            <a:gd name="connisteX35" fmla="*/ 2365375 w 2555875"/>
                            <a:gd name="connsiteY35" fmla="*/ 1587500 h 5159375"/>
                            <a:gd name="connisteX36" fmla="*/ 2293620 w 2555875"/>
                            <a:gd name="connsiteY36" fmla="*/ 2658745 h 5159375"/>
                            <a:gd name="connisteX37" fmla="*/ 2222500 w 2555875"/>
                            <a:gd name="connsiteY37" fmla="*/ 3032125 h 5159375"/>
                            <a:gd name="connisteX38" fmla="*/ 2190750 w 2555875"/>
                            <a:gd name="connsiteY38" fmla="*/ 3238500 h 5159375"/>
                            <a:gd name="connisteX39" fmla="*/ 2143125 w 2555875"/>
                            <a:gd name="connsiteY39" fmla="*/ 3706495 h 5159375"/>
                            <a:gd name="connisteX40" fmla="*/ 2111375 w 2555875"/>
                            <a:gd name="connsiteY40" fmla="*/ 4016375 h 5159375"/>
                            <a:gd name="connisteX41" fmla="*/ 2079625 w 2555875"/>
                            <a:gd name="connsiteY41" fmla="*/ 4318000 h 5159375"/>
                            <a:gd name="connisteX42" fmla="*/ 2095500 w 2555875"/>
                            <a:gd name="connsiteY42" fmla="*/ 4492625 h 5159375"/>
                            <a:gd name="connisteX43" fmla="*/ 2071370 w 2555875"/>
                            <a:gd name="connsiteY43" fmla="*/ 4706620 h 5159375"/>
                            <a:gd name="connisteX44" fmla="*/ 1563370 w 2555875"/>
                            <a:gd name="connsiteY44" fmla="*/ 4722495 h 5159375"/>
                            <a:gd name="connisteX45" fmla="*/ 1547495 w 2555875"/>
                            <a:gd name="connsiteY45" fmla="*/ 4912995 h 5159375"/>
                            <a:gd name="connisteX46" fmla="*/ 555625 w 2555875"/>
                            <a:gd name="connsiteY46" fmla="*/ 4953000 h 5159375"/>
                            <a:gd name="connisteX47" fmla="*/ 539750 w 2555875"/>
                            <a:gd name="connsiteY47" fmla="*/ 5151120 h 5159375"/>
                            <a:gd name="connisteX48" fmla="*/ 396875 w 2555875"/>
                            <a:gd name="connsiteY48" fmla="*/ 5159375 h 5159375"/>
                            <a:gd name="connisteX49" fmla="*/ 372745 w 2555875"/>
                            <a:gd name="connsiteY49" fmla="*/ 4944745 h 5159375"/>
                            <a:gd name="connisteX50" fmla="*/ 0 w 2555875"/>
                            <a:gd name="connsiteY50" fmla="*/ 4960620 h 515937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 ang="0">
                              <a:pos x="connisteX20" y="connsiteY20"/>
                            </a:cxn>
                            <a:cxn ang="0">
                              <a:pos x="connisteX21" y="connsiteY21"/>
                            </a:cxn>
                            <a:cxn ang="0">
                              <a:pos x="connisteX22" y="connsiteY22"/>
                            </a:cxn>
                            <a:cxn ang="0">
                              <a:pos x="connisteX23" y="connsiteY23"/>
                            </a:cxn>
                            <a:cxn ang="0">
                              <a:pos x="connisteX24" y="connsiteY24"/>
                            </a:cxn>
                            <a:cxn ang="0">
                              <a:pos x="connisteX25" y="connsiteY25"/>
                            </a:cxn>
                            <a:cxn ang="0">
                              <a:pos x="connisteX26" y="connsiteY26"/>
                            </a:cxn>
                            <a:cxn ang="0">
                              <a:pos x="connisteX27" y="connsiteY27"/>
                            </a:cxn>
                            <a:cxn ang="0">
                              <a:pos x="connisteX28" y="connsiteY28"/>
                            </a:cxn>
                            <a:cxn ang="0">
                              <a:pos x="connisteX29" y="connsiteY29"/>
                            </a:cxn>
                            <a:cxn ang="0">
                              <a:pos x="connisteX30" y="connsiteY30"/>
                            </a:cxn>
                            <a:cxn ang="0">
                              <a:pos x="connisteX31" y="connsiteY31"/>
                            </a:cxn>
                            <a:cxn ang="0">
                              <a:pos x="connisteX32" y="connsiteY32"/>
                            </a:cxn>
                            <a:cxn ang="0">
                              <a:pos x="connisteX33" y="connsiteY33"/>
                            </a:cxn>
                            <a:cxn ang="0">
                              <a:pos x="connisteX34" y="connsiteY34"/>
                            </a:cxn>
                            <a:cxn ang="0">
                              <a:pos x="connisteX35" y="connsiteY35"/>
                            </a:cxn>
                            <a:cxn ang="0">
                              <a:pos x="connisteX36" y="connsiteY36"/>
                            </a:cxn>
                            <a:cxn ang="0">
                              <a:pos x="connisteX37" y="connsiteY37"/>
                            </a:cxn>
                            <a:cxn ang="0">
                              <a:pos x="connisteX38" y="connsiteY38"/>
                            </a:cxn>
                            <a:cxn ang="0">
                              <a:pos x="connisteX39" y="connsiteY39"/>
                            </a:cxn>
                            <a:cxn ang="0">
                              <a:pos x="connisteX40" y="connsiteY40"/>
                            </a:cxn>
                            <a:cxn ang="0">
                              <a:pos x="connisteX41" y="connsiteY41"/>
                            </a:cxn>
                            <a:cxn ang="0">
                              <a:pos x="connisteX42" y="connsiteY42"/>
                            </a:cxn>
                            <a:cxn ang="0">
                              <a:pos x="connisteX43" y="connsiteY43"/>
                            </a:cxn>
                            <a:cxn ang="0">
                              <a:pos x="connisteX44" y="connsiteY44"/>
                            </a:cxn>
                            <a:cxn ang="0">
                              <a:pos x="connisteX45" y="connsiteY45"/>
                            </a:cxn>
                            <a:cxn ang="0">
                              <a:pos x="connisteX46" y="connsiteY46"/>
                            </a:cxn>
                            <a:cxn ang="0">
                              <a:pos x="connisteX47" y="connsiteY47"/>
                            </a:cxn>
                            <a:cxn ang="0">
                              <a:pos x="connisteX48" y="connsiteY48"/>
                            </a:cxn>
                            <a:cxn ang="0">
                              <a:pos x="connisteX49" y="connsiteY49"/>
                            </a:cxn>
                            <a:cxn ang="0">
                              <a:pos x="connisteX50" y="connsiteY50"/>
                            </a:cxn>
                          </a:cxnLst>
                          <a:rect l="l" t="t" r="r" b="b"/>
                          <a:pathLst>
                            <a:path w="2555875" h="5159375">
                              <a:moveTo>
                                <a:pt x="15875" y="174625"/>
                              </a:moveTo>
                              <a:lnTo>
                                <a:pt x="213995" y="174625"/>
                              </a:lnTo>
                              <a:lnTo>
                                <a:pt x="222250" y="365125"/>
                              </a:lnTo>
                              <a:lnTo>
                                <a:pt x="293370" y="396875"/>
                              </a:lnTo>
                              <a:lnTo>
                                <a:pt x="317500" y="492125"/>
                              </a:lnTo>
                              <a:lnTo>
                                <a:pt x="555625" y="531495"/>
                              </a:lnTo>
                              <a:lnTo>
                                <a:pt x="547370" y="483870"/>
                              </a:lnTo>
                              <a:lnTo>
                                <a:pt x="642620" y="499745"/>
                              </a:lnTo>
                              <a:lnTo>
                                <a:pt x="650875" y="539750"/>
                              </a:lnTo>
                              <a:lnTo>
                                <a:pt x="777875" y="555625"/>
                              </a:lnTo>
                              <a:lnTo>
                                <a:pt x="762000" y="515620"/>
                              </a:lnTo>
                              <a:lnTo>
                                <a:pt x="833120" y="515620"/>
                              </a:lnTo>
                              <a:lnTo>
                                <a:pt x="873125" y="523875"/>
                              </a:lnTo>
                              <a:lnTo>
                                <a:pt x="873125" y="666750"/>
                              </a:lnTo>
                              <a:lnTo>
                                <a:pt x="880745" y="777875"/>
                              </a:lnTo>
                              <a:lnTo>
                                <a:pt x="944245" y="769620"/>
                              </a:lnTo>
                              <a:lnTo>
                                <a:pt x="1039495" y="777875"/>
                              </a:lnTo>
                              <a:lnTo>
                                <a:pt x="1063625" y="1063625"/>
                              </a:lnTo>
                              <a:lnTo>
                                <a:pt x="1166495" y="991870"/>
                              </a:lnTo>
                              <a:lnTo>
                                <a:pt x="1174750" y="635000"/>
                              </a:lnTo>
                              <a:lnTo>
                                <a:pt x="1174750" y="610870"/>
                              </a:lnTo>
                              <a:lnTo>
                                <a:pt x="1801495" y="635000"/>
                              </a:lnTo>
                              <a:lnTo>
                                <a:pt x="1801495" y="365125"/>
                              </a:lnTo>
                              <a:lnTo>
                                <a:pt x="1277620" y="269875"/>
                              </a:lnTo>
                              <a:lnTo>
                                <a:pt x="1349375" y="0"/>
                              </a:lnTo>
                              <a:lnTo>
                                <a:pt x="2555875" y="222250"/>
                              </a:lnTo>
                              <a:lnTo>
                                <a:pt x="2499995" y="587375"/>
                              </a:lnTo>
                              <a:lnTo>
                                <a:pt x="2143125" y="610870"/>
                              </a:lnTo>
                              <a:lnTo>
                                <a:pt x="2134870" y="1016000"/>
                              </a:lnTo>
                              <a:lnTo>
                                <a:pt x="1880870" y="1023620"/>
                              </a:lnTo>
                              <a:lnTo>
                                <a:pt x="1841500" y="1182370"/>
                              </a:lnTo>
                              <a:lnTo>
                                <a:pt x="2039620" y="1198245"/>
                              </a:lnTo>
                              <a:lnTo>
                                <a:pt x="2047875" y="1388745"/>
                              </a:lnTo>
                              <a:lnTo>
                                <a:pt x="1936750" y="1397000"/>
                              </a:lnTo>
                              <a:lnTo>
                                <a:pt x="1944370" y="1547495"/>
                              </a:lnTo>
                              <a:lnTo>
                                <a:pt x="2365375" y="1587500"/>
                              </a:lnTo>
                              <a:lnTo>
                                <a:pt x="2293620" y="2658745"/>
                              </a:lnTo>
                              <a:lnTo>
                                <a:pt x="2222500" y="3032125"/>
                              </a:lnTo>
                              <a:lnTo>
                                <a:pt x="2190750" y="3238500"/>
                              </a:lnTo>
                              <a:lnTo>
                                <a:pt x="2143125" y="3706495"/>
                              </a:lnTo>
                              <a:lnTo>
                                <a:pt x="2111375" y="4016375"/>
                              </a:lnTo>
                              <a:lnTo>
                                <a:pt x="2079625" y="4318000"/>
                              </a:lnTo>
                              <a:lnTo>
                                <a:pt x="2095500" y="4492625"/>
                              </a:lnTo>
                              <a:lnTo>
                                <a:pt x="2071370" y="4706620"/>
                              </a:lnTo>
                              <a:lnTo>
                                <a:pt x="1563370" y="4722495"/>
                              </a:lnTo>
                              <a:lnTo>
                                <a:pt x="1547495" y="4912995"/>
                              </a:lnTo>
                              <a:lnTo>
                                <a:pt x="555625" y="4953000"/>
                              </a:lnTo>
                              <a:lnTo>
                                <a:pt x="539750" y="5151120"/>
                              </a:lnTo>
                              <a:lnTo>
                                <a:pt x="396875" y="5159375"/>
                              </a:lnTo>
                              <a:lnTo>
                                <a:pt x="372745" y="4944745"/>
                              </a:lnTo>
                              <a:lnTo>
                                <a:pt x="0" y="4960620"/>
                              </a:lnTo>
                            </a:path>
                          </a:pathLst>
                        </a:cu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8.1pt;margin-top:9.7pt;height:406.25pt;width:201.25pt;z-index:251677696;mso-width-relative:page;mso-height-relative:page;" filled="f" stroked="t" coordsize="2555875,5159375" o:gfxdata="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" path="m15875,174625l213995,174625,222250,365125,293370,396875,317500,492125,555625,531495,547370,483870,642620,499745,650875,539750,777875,555625,762000,515620,833120,515620,873125,523875,873125,666750,880745,777875,944245,769620,1039495,777875,1063625,1063625,1166495,991870,1174750,635000,1174750,610870,1801495,635000,1801495,365125,1277620,269875,1349375,0,2555875,222250,2499995,587375,2143125,610870,2134870,1016000,1880870,1023620,1841500,1182370,2039620,1198245,2047875,1388745,1936750,1397000,1944370,1547495,2365375,1587500,2293620,2658745,2222500,3032125,2190750,3238500,2143125,3706495,2111375,4016375,2079625,4318000,2095500,4492625,2071370,4706620,1563370,4722495,1547495,4912995,555625,4953000,539750,5151120,396875,5159375,372745,4944745,0,4960620e">
                <v:path o:connectlocs="15875,174625;213995,174625;222250,365125;293370,396875;317500,492125;555625,531495;547370,483870;642620,499745;650875,539750;777875,555625;762000,515620;833120,515620;873125,523875;873125,666750;880745,777875;944245,769620;1039495,777875;1063625,1063625;1166495,991870;1174750,635000;1174750,610870;1801495,635000;1801495,365125;1277620,269875;1349375,0;2555875,222250;2499995,587375;2143125,610870;2134870,1016000;1880870,1023620;1841500,1182370;2039620,1198245;2047875,1388745;1936750,1397000;1944370,1547495;2365375,1587500;2293620,2658745;2222500,3032125;2190750,3238500;2143125,3706495;2111375,4016375;2079625,4318000;2095500,4492625;2071370,4706620;1563370,4722495;1547495,4912995;555625,4953000;539750,5151120;396875,5159375;372745,4944745;0,4960620" o:connectangles="0,0,0,0,0,0,0,0,0,0,0,0,0,0,0,0,0,0,0,0,0,0,0,0,0,0,0,0,0,0,0,0,0,0,0,0,0,0,0,0,0,0,0,0,0,0,0,0,0,0,0"/>
                <v:fill on="f" focussize="0,0"/>
                <v:stroke weight="1pt" color="#FFFF00 [2404]" miterlimit="8" joinstyle="miter"/>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75648" behindDoc="0" locked="0" layoutInCell="1" allowOverlap="1">
                <wp:simplePos x="0" y="0"/>
                <wp:positionH relativeFrom="column">
                  <wp:posOffset>3281045</wp:posOffset>
                </wp:positionH>
                <wp:positionV relativeFrom="paragraph">
                  <wp:posOffset>5454650</wp:posOffset>
                </wp:positionV>
                <wp:extent cx="2816225" cy="30734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2816225" cy="307340"/>
                        </a:xfrm>
                        <a:prstGeom prst="rect">
                          <a:avLst/>
                        </a:prstGeom>
                        <a:noFill/>
                        <a:ln>
                          <a:noFill/>
                        </a:ln>
                      </wps:spPr>
                      <wps:txbx>
                        <w:txbxContent>
                          <w:p w14:paraId="7AB6C1CC">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附图二：本项目周边环境示意图</w:t>
                            </w:r>
                          </w:p>
                        </w:txbxContent>
                      </wps:txbx>
                      <wps:bodyPr upright="1"/>
                    </wps:wsp>
                  </a:graphicData>
                </a:graphic>
              </wp:anchor>
            </w:drawing>
          </mc:Choice>
          <mc:Fallback>
            <w:pict>
              <v:shape id="_x0000_s1026" o:spid="_x0000_s1026" o:spt="202" type="#_x0000_t202" style="position:absolute;left:0pt;margin-left:258.35pt;margin-top:429.5pt;height:24.2pt;width:221.75pt;z-index:251675648;mso-width-relative:page;mso-height-relative:page;" filled="f" stroked="f" coordsize="21600,21600" o:gfxdata="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0Aidn&#10;2AAAAAsBAAAPAAAAAAAAAAEAIAAAACIAAABkcnMvZG93bnJldi54bWxQSwECFAAUAAAACACHTuJA&#10;A/T65a8BAABQAwAADgAAAAAAAAABACAAAAAnAQAAZHJzL2Uyb0RvYy54bWxQSwUGAAAAAAYABgBZ&#10;AQAASAUAAAAA&#10;">
                <v:fill on="f" focussize="0,0"/>
                <v:stroke on="f"/>
                <v:imagedata o:title=""/>
                <o:lock v:ext="edit" aspectratio="f"/>
                <v:textbox>
                  <w:txbxContent>
                    <w:p w14:paraId="7AB6C1CC">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附图二：本项目周边环境示意图</w:t>
                      </w:r>
                    </w:p>
                  </w:txbxContent>
                </v:textbox>
              </v:shape>
            </w:pict>
          </mc:Fallback>
        </mc:AlternateContent>
      </w:r>
      <w:r>
        <w:drawing>
          <wp:anchor distT="0" distB="0" distL="114300" distR="114300" simplePos="0" relativeHeight="251674624" behindDoc="0" locked="0" layoutInCell="1" allowOverlap="1">
            <wp:simplePos x="0" y="0"/>
            <wp:positionH relativeFrom="column">
              <wp:posOffset>-229235</wp:posOffset>
            </wp:positionH>
            <wp:positionV relativeFrom="paragraph">
              <wp:posOffset>-179070</wp:posOffset>
            </wp:positionV>
            <wp:extent cx="9690100" cy="5550535"/>
            <wp:effectExtent l="0" t="0" r="6350" b="12065"/>
            <wp:wrapSquare wrapText="bothSides"/>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21"/>
                    <a:stretch>
                      <a:fillRect/>
                    </a:stretch>
                  </pic:blipFill>
                  <pic:spPr>
                    <a:xfrm>
                      <a:off x="0" y="0"/>
                      <a:ext cx="9690100" cy="5550535"/>
                    </a:xfrm>
                    <a:prstGeom prst="rect">
                      <a:avLst/>
                    </a:prstGeom>
                    <a:noFill/>
                    <a:ln>
                      <a:noFill/>
                    </a:ln>
                  </pic:spPr>
                </pic:pic>
              </a:graphicData>
            </a:graphic>
          </wp:anchor>
        </w:drawing>
      </w:r>
    </w:p>
    <w:p w14:paraId="08F3755C">
      <w:pPr>
        <w:spacing w:line="240" w:lineRule="auto"/>
        <w:ind w:firstLine="0" w:firstLineChars="0"/>
        <w:jc w:val="center"/>
        <w:rPr>
          <w:rFonts w:hint="default" w:ascii="Times New Roman" w:hAnsi="Times New Roman" w:eastAsia="宋体" w:cs="Times New Roman"/>
          <w:lang w:eastAsia="zh-CN"/>
        </w:rPr>
      </w:pPr>
      <w:r>
        <w:rPr>
          <w:sz w:val="24"/>
        </w:rPr>
        <mc:AlternateContent>
          <mc:Choice Requires="wps">
            <w:drawing>
              <wp:anchor distT="0" distB="0" distL="114300" distR="114300" simplePos="0" relativeHeight="251709440" behindDoc="0" locked="0" layoutInCell="1" allowOverlap="1">
                <wp:simplePos x="0" y="0"/>
                <wp:positionH relativeFrom="column">
                  <wp:posOffset>8583930</wp:posOffset>
                </wp:positionH>
                <wp:positionV relativeFrom="paragraph">
                  <wp:posOffset>-142875</wp:posOffset>
                </wp:positionV>
                <wp:extent cx="1176020" cy="77279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278E3BC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5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75.9pt;margin-top:-11.25pt;height:60.85pt;width:92.6pt;z-index:251709440;mso-width-relative:page;mso-height-relative:page;" fillcolor="#000000" filled="t" stroked="f" coordsize="21600,21600" o:gfxdata="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T+FtL&#10;2QAAAAwBAAAPAAAAAAAAAAEAIAAAACIAAABkcnMvZG93bnJldi54bWxQSwECFAAUAAAACACHTuJA&#10;7gqkdVkCAACuBAAADgAAAAAAAAABACAAAAAoAQAAZHJzL2Uyb0RvYy54bWxQSwUGAAAAAAYABgBZ&#10;AQAA8wUAAAAA&#10;">
                <v:fill on="t" opacity="0f" focussize="0,0"/>
                <v:stroke on="f" weight="0.5pt"/>
                <v:imagedata o:title=""/>
                <o:lock v:ext="edit" aspectratio="f"/>
                <v:textbox>
                  <w:txbxContent>
                    <w:p w14:paraId="278E3BC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5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70528" behindDoc="0" locked="0" layoutInCell="1" allowOverlap="1">
                <wp:simplePos x="0" y="0"/>
                <wp:positionH relativeFrom="column">
                  <wp:posOffset>461010</wp:posOffset>
                </wp:positionH>
                <wp:positionV relativeFrom="paragraph">
                  <wp:posOffset>56515</wp:posOffset>
                </wp:positionV>
                <wp:extent cx="8054975" cy="4660900"/>
                <wp:effectExtent l="9525" t="9525" r="12700" b="15875"/>
                <wp:wrapNone/>
                <wp:docPr id="45" name="文本框 45"/>
                <wp:cNvGraphicFramePr/>
                <a:graphic xmlns:a="http://schemas.openxmlformats.org/drawingml/2006/main">
                  <a:graphicData uri="http://schemas.microsoft.com/office/word/2010/wordprocessingShape">
                    <wps:wsp>
                      <wps:cNvSpPr txBox="1"/>
                      <wps:spPr>
                        <a:xfrm>
                          <a:off x="0" y="0"/>
                          <a:ext cx="8054975" cy="4660900"/>
                        </a:xfrm>
                        <a:prstGeom prst="rect">
                          <a:avLst/>
                        </a:prstGeom>
                        <a:noFill/>
                        <a:ln w="19050" cap="flat" cmpd="sng">
                          <a:solidFill>
                            <a:srgbClr val="000000"/>
                          </a:solidFill>
                          <a:prstDash val="solid"/>
                          <a:miter/>
                          <a:headEnd type="none" w="med" len="med"/>
                          <a:tailEnd type="none" w="med" len="med"/>
                        </a:ln>
                      </wps:spPr>
                      <wps:txbx>
                        <w:txbxContent>
                          <w:p w14:paraId="2FFB8935">
                            <w:pPr>
                              <w:spacing w:line="240" w:lineRule="auto"/>
                              <w:ind w:left="0" w:leftChars="0" w:firstLine="0" w:firstLineChars="0"/>
                              <w:jc w:val="center"/>
                              <w:rPr>
                                <w:color w:val="0000FF"/>
                              </w:rPr>
                            </w:pPr>
                            <w:r>
                              <w:rPr>
                                <w:color w:val="0000FF"/>
                              </w:rPr>
                              <w:object>
                                <v:shape id="_x0000_i1027" o:spt="75" type="#_x0000_t75" style="height:299.65pt;width:655.8pt;" o:ole="t" filled="f" o:preferrelative="t" stroked="f" coordsize="21600,21600">
                                  <v:path/>
                                  <v:fill on="f" focussize="0,0"/>
                                  <v:stroke on="f"/>
                                  <v:imagedata r:id="rId23" croptop="4070f" cropbottom="6412f" o:title=""/>
                                  <o:lock v:ext="edit" aspectratio="f"/>
                                  <w10:wrap type="none"/>
                                  <w10:anchorlock/>
                                </v:shape>
                                <o:OLEObject Type="Embed" ProgID="Visio.Drawing.11" ShapeID="_x0000_i1027" DrawAspect="Content" ObjectID="_1468075727" r:id="rId22">
                                  <o:LockedField>false</o:LockedField>
                                </o:OLEObject>
                              </w:object>
                            </w:r>
                          </w:p>
                        </w:txbxContent>
                      </wps:txbx>
                      <wps:bodyPr upright="1"/>
                    </wps:wsp>
                  </a:graphicData>
                </a:graphic>
              </wp:anchor>
            </w:drawing>
          </mc:Choice>
          <mc:Fallback>
            <w:pict>
              <v:shape id="_x0000_s1026" o:spid="_x0000_s1026" o:spt="202" type="#_x0000_t202" style="position:absolute;left:0pt;margin-left:36.3pt;margin-top:4.45pt;height:367pt;width:634.25pt;z-index:251670528;mso-width-relative:page;mso-height-relative:page;" filled="f" stroked="t" coordsize="21600,21600" o:gfxdata="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GSbJzZAAAACQEAAA8AAAAAAAAAAQAgAAAA&#10;IgAAAGRycy9kb3ducmV2LnhtbFBLAQIUABQAAAAIAIdO4kCHn+GGCgIAABEEAAAOAAAAAAAAAAEA&#10;IAAAACgBAABkcnMvZTJvRG9jLnhtbFBLBQYAAAAABgAGAFkBAACkBQAAAAA=&#10;">
                <v:fill on="f" focussize="0,0"/>
                <v:stroke weight="1.5pt" color="#000000" joinstyle="miter"/>
                <v:imagedata o:title=""/>
                <o:lock v:ext="edit" aspectratio="f"/>
                <v:textbox>
                  <w:txbxContent>
                    <w:p w14:paraId="2FFB8935">
                      <w:pPr>
                        <w:spacing w:line="240" w:lineRule="auto"/>
                        <w:ind w:left="0" w:leftChars="0" w:firstLine="0" w:firstLineChars="0"/>
                        <w:jc w:val="center"/>
                        <w:rPr>
                          <w:color w:val="0000FF"/>
                        </w:rPr>
                      </w:pPr>
                      <w:r>
                        <w:rPr>
                          <w:color w:val="0000FF"/>
                        </w:rPr>
                        <w:object>
                          <v:shape id="_x0000_i1027" o:spt="75" type="#_x0000_t75" style="height:299.65pt;width:655.8pt;" o:ole="t" filled="f" o:preferrelative="t" stroked="f" coordsize="21600,21600">
                            <v:path/>
                            <v:fill on="f" focussize="0,0"/>
                            <v:stroke on="f"/>
                            <v:imagedata r:id="rId23" croptop="4070f" cropbottom="6412f" o:title=""/>
                            <o:lock v:ext="edit" aspectratio="f"/>
                            <w10:wrap type="none"/>
                            <w10:anchorlock/>
                          </v:shape>
                          <o:OLEObject Type="Embed" ProgID="Visio.Drawing.11" ShapeID="_x0000_i1027" DrawAspect="Content" ObjectID="_1468075728" r:id="rId24">
                            <o:LockedField>false</o:LockedField>
                          </o:OLEObject>
                        </w:object>
                      </w:r>
                    </w:p>
                  </w:txbxContent>
                </v:textbox>
              </v:shape>
            </w:pict>
          </mc:Fallback>
        </mc:AlternateContent>
      </w:r>
    </w:p>
    <w:p w14:paraId="3EAC7521">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default" w:ascii="Times New Roman" w:hAnsi="Times New Roman" w:cs="Times New Roman"/>
          <w:lang w:val="en-US" w:eastAsia="zh-CN"/>
        </w:rPr>
      </w:pPr>
    </w:p>
    <w:p w14:paraId="75EC5CB3">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lang w:eastAsia="zh-CN"/>
        </w:rPr>
      </w:pPr>
    </w:p>
    <w:p w14:paraId="0002B4A2">
      <w:pPr>
        <w:spacing w:line="240" w:lineRule="auto"/>
        <w:ind w:firstLine="0" w:firstLineChars="0"/>
        <w:jc w:val="center"/>
        <w:rPr>
          <w:rFonts w:hint="default" w:ascii="Times New Roman" w:hAnsi="Times New Roman" w:eastAsia="宋体" w:cs="Times New Roman"/>
          <w:lang w:eastAsia="zh-CN"/>
        </w:rPr>
      </w:pPr>
    </w:p>
    <w:p w14:paraId="1E30A2D0">
      <w:pPr>
        <w:spacing w:line="240" w:lineRule="auto"/>
        <w:ind w:firstLine="0" w:firstLineChars="0"/>
        <w:jc w:val="center"/>
        <w:rPr>
          <w:rFonts w:hint="default" w:ascii="Times New Roman" w:hAnsi="Times New Roman" w:eastAsia="宋体" w:cs="Times New Roman"/>
          <w:lang w:eastAsia="zh-CN"/>
        </w:rPr>
      </w:pPr>
    </w:p>
    <w:p w14:paraId="0C759AF2">
      <w:pPr>
        <w:spacing w:line="240" w:lineRule="auto"/>
        <w:ind w:firstLine="0" w:firstLineChars="0"/>
        <w:jc w:val="center"/>
        <w:rPr>
          <w:rFonts w:hint="default" w:ascii="Times New Roman" w:hAnsi="Times New Roman" w:eastAsia="宋体" w:cs="Times New Roman"/>
          <w:lang w:eastAsia="zh-CN"/>
        </w:rPr>
      </w:pPr>
    </w:p>
    <w:p w14:paraId="7ACBBFFE">
      <w:pPr>
        <w:spacing w:line="240" w:lineRule="auto"/>
        <w:ind w:firstLine="0" w:firstLineChars="0"/>
        <w:jc w:val="center"/>
        <w:rPr>
          <w:rFonts w:hint="default" w:ascii="Times New Roman" w:hAnsi="Times New Roman" w:eastAsia="宋体" w:cs="Times New Roman"/>
          <w:lang w:eastAsia="zh-CN"/>
        </w:rPr>
      </w:pPr>
    </w:p>
    <w:p w14:paraId="095FAA2C">
      <w:pPr>
        <w:spacing w:line="240" w:lineRule="auto"/>
        <w:ind w:firstLine="0" w:firstLineChars="0"/>
        <w:jc w:val="center"/>
        <w:rPr>
          <w:rFonts w:hint="default" w:ascii="Times New Roman" w:hAnsi="Times New Roman" w:eastAsia="宋体" w:cs="Times New Roman"/>
          <w:lang w:eastAsia="zh-CN"/>
        </w:rPr>
      </w:pPr>
    </w:p>
    <w:p w14:paraId="3E6994EE">
      <w:pPr>
        <w:spacing w:line="240" w:lineRule="auto"/>
        <w:ind w:firstLine="0" w:firstLineChars="0"/>
        <w:jc w:val="center"/>
        <w:rPr>
          <w:rFonts w:hint="default" w:ascii="Times New Roman" w:hAnsi="Times New Roman" w:eastAsia="宋体" w:cs="Times New Roman"/>
          <w:lang w:eastAsia="zh-CN"/>
        </w:rPr>
      </w:pPr>
    </w:p>
    <w:p w14:paraId="35F494DE">
      <w:pPr>
        <w:spacing w:line="240" w:lineRule="auto"/>
        <w:ind w:firstLine="0" w:firstLineChars="0"/>
        <w:jc w:val="center"/>
        <w:rPr>
          <w:rFonts w:hint="default" w:ascii="Times New Roman" w:hAnsi="Times New Roman" w:eastAsia="宋体" w:cs="Times New Roman"/>
          <w:lang w:eastAsia="zh-CN"/>
        </w:rPr>
      </w:pPr>
      <w:r>
        <w:rPr>
          <w:rFonts w:hint="default" w:ascii="Times New Roman" w:hAnsi="Times New Roman" w:cs="Times New Roman"/>
          <w:sz w:val="24"/>
        </w:rPr>
        <mc:AlternateContent>
          <mc:Choice Requires="wps">
            <w:drawing>
              <wp:anchor distT="0" distB="0" distL="114300" distR="114300" simplePos="0" relativeHeight="251668480" behindDoc="0" locked="0" layoutInCell="1" allowOverlap="1">
                <wp:simplePos x="0" y="0"/>
                <wp:positionH relativeFrom="column">
                  <wp:posOffset>3428365</wp:posOffset>
                </wp:positionH>
                <wp:positionV relativeFrom="paragraph">
                  <wp:posOffset>3474720</wp:posOffset>
                </wp:positionV>
                <wp:extent cx="2474595" cy="30734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2474595" cy="307340"/>
                        </a:xfrm>
                        <a:prstGeom prst="rect">
                          <a:avLst/>
                        </a:prstGeom>
                        <a:noFill/>
                        <a:ln>
                          <a:noFill/>
                        </a:ln>
                      </wps:spPr>
                      <wps:txbx>
                        <w:txbxContent>
                          <w:p w14:paraId="1D164B7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附图三：本项目平面布置图</w:t>
                            </w:r>
                          </w:p>
                        </w:txbxContent>
                      </wps:txbx>
                      <wps:bodyPr upright="1"/>
                    </wps:wsp>
                  </a:graphicData>
                </a:graphic>
              </wp:anchor>
            </w:drawing>
          </mc:Choice>
          <mc:Fallback>
            <w:pict>
              <v:shape id="_x0000_s1026" o:spid="_x0000_s1026" o:spt="202" type="#_x0000_t202" style="position:absolute;left:0pt;margin-left:269.95pt;margin-top:273.6pt;height:24.2pt;width:194.85pt;z-index:251668480;mso-width-relative:page;mso-height-relative:page;" filled="f" stroked="f" coordsize="21600,21600" o:gfxdata="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DlzrR&#10;1wAAAAsBAAAPAAAAAAAAAAEAIAAAACIAAABkcnMvZG93bnJldi54bWxQSwECFAAUAAAACACHTuJA&#10;YTSa4bABAABQAwAADgAAAAAAAAABACAAAAAmAQAAZHJzL2Uyb0RvYy54bWxQSwUGAAAAAAYABgBZ&#10;AQAASAUAAAAA&#10;">
                <v:fill on="f" focussize="0,0"/>
                <v:stroke on="f"/>
                <v:imagedata o:title=""/>
                <o:lock v:ext="edit" aspectratio="f"/>
                <v:textbox>
                  <w:txbxContent>
                    <w:p w14:paraId="1D164B7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附图三：本项目平面布置图</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71552" behindDoc="0" locked="0" layoutInCell="1" allowOverlap="1">
                <wp:simplePos x="0" y="0"/>
                <wp:positionH relativeFrom="column">
                  <wp:posOffset>622935</wp:posOffset>
                </wp:positionH>
                <wp:positionV relativeFrom="paragraph">
                  <wp:posOffset>2296795</wp:posOffset>
                </wp:positionV>
                <wp:extent cx="378460" cy="584835"/>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378460" cy="584835"/>
                        </a:xfrm>
                        <a:prstGeom prst="rect">
                          <a:avLst/>
                        </a:prstGeom>
                        <a:noFill/>
                        <a:ln>
                          <a:noFill/>
                        </a:ln>
                      </wps:spPr>
                      <wps:txbx>
                        <w:txbxContent>
                          <w:p w14:paraId="7F7765EC">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eastAsia" w:eastAsia="宋体"/>
                                <w:lang w:eastAsia="zh-CN"/>
                              </w:rPr>
                            </w:pPr>
                            <w:r>
                              <w:rPr>
                                <w:rFonts w:hint="eastAsia"/>
                                <w:lang w:eastAsia="zh-CN"/>
                              </w:rPr>
                              <w:t>图例</w:t>
                            </w:r>
                          </w:p>
                        </w:txbxContent>
                      </wps:txbx>
                      <wps:bodyPr upright="1"/>
                    </wps:wsp>
                  </a:graphicData>
                </a:graphic>
              </wp:anchor>
            </w:drawing>
          </mc:Choice>
          <mc:Fallback>
            <w:pict>
              <v:shape id="_x0000_s1026" o:spid="_x0000_s1026" o:spt="202" type="#_x0000_t202" style="position:absolute;left:0pt;margin-left:49.05pt;margin-top:180.85pt;height:46.05pt;width:29.8pt;z-index:251671552;mso-width-relative:page;mso-height-relative:page;" filled="f" stroked="f" coordsize="21600,21600" o:gfxdata="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nfJSzY&#10;AAAACgEAAA8AAAAAAAAAAQAgAAAAIgAAAGRycy9kb3ducmV2LnhtbFBLAQIUABQAAAAIAIdO4kAy&#10;VLaGrgEAAE8DAAAOAAAAAAAAAAEAIAAAACcBAABkcnMvZTJvRG9jLnhtbFBLBQYAAAAABgAGAFkB&#10;AABHBQAAAAA=&#10;">
                <v:fill on="f" focussize="0,0"/>
                <v:stroke on="f"/>
                <v:imagedata o:title=""/>
                <o:lock v:ext="edit" aspectratio="f"/>
                <v:textbox>
                  <w:txbxContent>
                    <w:p w14:paraId="7F7765EC">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eastAsia" w:eastAsia="宋体"/>
                          <w:lang w:eastAsia="zh-CN"/>
                        </w:rPr>
                      </w:pPr>
                      <w:r>
                        <w:rPr>
                          <w:rFonts w:hint="eastAsia"/>
                          <w:lang w:eastAsia="zh-CN"/>
                        </w:rPr>
                        <w:t>图例</w:t>
                      </w:r>
                    </w:p>
                  </w:txbxContent>
                </v:textbox>
              </v:shape>
            </w:pict>
          </mc:Fallback>
        </mc:AlternateContent>
      </w:r>
      <w:r>
        <w:rPr>
          <w:rFonts w:hint="default" w:ascii="Times New Roman" w:hAnsi="Times New Roman" w:cs="Times New Roman"/>
          <w:sz w:val="21"/>
        </w:rPr>
        <mc:AlternateContent>
          <mc:Choice Requires="wpg">
            <w:drawing>
              <wp:anchor distT="0" distB="0" distL="114300" distR="114300" simplePos="0" relativeHeight="251672576" behindDoc="0" locked="0" layoutInCell="1" allowOverlap="1">
                <wp:simplePos x="0" y="0"/>
                <wp:positionH relativeFrom="column">
                  <wp:posOffset>862330</wp:posOffset>
                </wp:positionH>
                <wp:positionV relativeFrom="paragraph">
                  <wp:posOffset>2331085</wp:posOffset>
                </wp:positionV>
                <wp:extent cx="1903730" cy="376555"/>
                <wp:effectExtent l="0" t="0" r="0" b="0"/>
                <wp:wrapNone/>
                <wp:docPr id="93" name="组合 93"/>
                <wp:cNvGraphicFramePr/>
                <a:graphic xmlns:a="http://schemas.openxmlformats.org/drawingml/2006/main">
                  <a:graphicData uri="http://schemas.microsoft.com/office/word/2010/wordprocessingGroup">
                    <wpg:wgp>
                      <wpg:cNvGrpSpPr/>
                      <wpg:grpSpPr>
                        <a:xfrm>
                          <a:off x="1268095" y="5668010"/>
                          <a:ext cx="1903730" cy="376555"/>
                          <a:chOff x="2313" y="33941"/>
                          <a:chExt cx="2998" cy="593"/>
                        </a:xfrm>
                        <a:effectLst/>
                      </wpg:grpSpPr>
                      <wps:wsp>
                        <wps:cNvPr id="94" name="文本框 20"/>
                        <wps:cNvSpPr txBox="1"/>
                        <wps:spPr>
                          <a:xfrm>
                            <a:off x="3511" y="34066"/>
                            <a:ext cx="1800" cy="468"/>
                          </a:xfrm>
                          <a:prstGeom prst="rect">
                            <a:avLst/>
                          </a:prstGeom>
                          <a:noFill/>
                          <a:ln>
                            <a:noFill/>
                          </a:ln>
                          <a:effectLst/>
                        </wps:spPr>
                        <wps:txbx>
                          <w:txbxContent>
                            <w:p w14:paraId="09C61E8B">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比例尺1：</w:t>
                              </w:r>
                              <w:r>
                                <w:rPr>
                                  <w:rFonts w:hint="default" w:ascii="Times New Roman" w:hAnsi="Times New Roman" w:cs="Times New Roman"/>
                                  <w:sz w:val="21"/>
                                  <w:szCs w:val="21"/>
                                  <w:lang w:val="en-US" w:eastAsia="zh-CN"/>
                                </w:rPr>
                                <w:t>1000</w:t>
                              </w:r>
                            </w:p>
                          </w:txbxContent>
                        </wps:txbx>
                        <wps:bodyPr lIns="91439" tIns="45719" rIns="91439" bIns="45719" upright="1"/>
                      </wps:wsp>
                      <wpg:grpSp>
                        <wpg:cNvPr id="95" name="组合 18"/>
                        <wpg:cNvGrpSpPr/>
                        <wpg:grpSpPr>
                          <a:xfrm>
                            <a:off x="2313" y="33941"/>
                            <a:ext cx="1957" cy="484"/>
                            <a:chOff x="7604" y="26771"/>
                            <a:chExt cx="1957" cy="484"/>
                          </a:xfrm>
                          <a:effectLst/>
                        </wpg:grpSpPr>
                        <wps:wsp>
                          <wps:cNvPr id="96" name="任意多边形 15"/>
                          <wps:cNvSpPr/>
                          <wps:spPr>
                            <a:xfrm>
                              <a:off x="7829" y="27053"/>
                              <a:ext cx="565" cy="202"/>
                            </a:xfrm>
                            <a:custGeom>
                              <a:avLst/>
                              <a:gdLst/>
                              <a:ahLst/>
                              <a:cxnLst/>
                              <a:pathLst>
                                <a:path w="21600" h="21600">
                                  <a:moveTo>
                                    <a:pt x="159" y="1603"/>
                                  </a:moveTo>
                                  <a:lnTo>
                                    <a:pt x="0" y="21600"/>
                                  </a:lnTo>
                                  <a:lnTo>
                                    <a:pt x="21600" y="21600"/>
                                  </a:lnTo>
                                  <a:lnTo>
                                    <a:pt x="21600" y="0"/>
                                  </a:lnTo>
                                </a:path>
                              </a:pathLst>
                            </a:custGeom>
                            <a:noFill/>
                            <a:ln w="19050" cap="flat" cmpd="sng">
                              <a:solidFill>
                                <a:srgbClr val="000000"/>
                              </a:solidFill>
                              <a:prstDash val="solid"/>
                              <a:round/>
                              <a:headEnd type="none" w="med" len="med"/>
                              <a:tailEnd type="none" w="med" len="med"/>
                            </a:ln>
                            <a:effectLst/>
                          </wps:spPr>
                          <wps:bodyPr upright="1"/>
                        </wps:wsp>
                        <wps:wsp>
                          <wps:cNvPr id="97" name="文本框 16"/>
                          <wps:cNvSpPr txBox="1"/>
                          <wps:spPr>
                            <a:xfrm>
                              <a:off x="7604" y="26782"/>
                              <a:ext cx="569" cy="412"/>
                            </a:xfrm>
                            <a:prstGeom prst="rect">
                              <a:avLst/>
                            </a:prstGeom>
                            <a:noFill/>
                            <a:ln>
                              <a:noFill/>
                            </a:ln>
                            <a:effectLst/>
                          </wps:spPr>
                          <wps:txbx>
                            <w:txbxContent>
                              <w:p w14:paraId="34C5756D">
                                <w:pPr>
                                  <w:spacing w:line="240" w:lineRule="auto"/>
                                  <w:ind w:firstLine="0" w:firstLineChars="0"/>
                                  <w:rPr>
                                    <w:rFonts w:hint="eastAsia" w:eastAsia="宋体"/>
                                    <w:sz w:val="18"/>
                                    <w:szCs w:val="18"/>
                                    <w:lang w:val="en-US" w:eastAsia="zh-CN"/>
                                  </w:rPr>
                                </w:pPr>
                                <w:r>
                                  <w:rPr>
                                    <w:rFonts w:hint="eastAsia"/>
                                    <w:sz w:val="18"/>
                                    <w:szCs w:val="18"/>
                                    <w:lang w:val="en-US" w:eastAsia="zh-CN"/>
                                  </w:rPr>
                                  <w:t>0</w:t>
                                </w:r>
                              </w:p>
                            </w:txbxContent>
                          </wps:txbx>
                          <wps:bodyPr lIns="91439" tIns="45719" rIns="91439" bIns="45719" upright="1"/>
                        </wps:wsp>
                        <wps:wsp>
                          <wps:cNvPr id="98" name="文本框 17"/>
                          <wps:cNvSpPr txBox="1"/>
                          <wps:spPr>
                            <a:xfrm>
                              <a:off x="8017" y="26771"/>
                              <a:ext cx="1544" cy="412"/>
                            </a:xfrm>
                            <a:prstGeom prst="rect">
                              <a:avLst/>
                            </a:prstGeom>
                            <a:noFill/>
                            <a:ln>
                              <a:noFill/>
                            </a:ln>
                            <a:effectLst/>
                          </wps:spPr>
                          <wps:txbx>
                            <w:txbxContent>
                              <w:p w14:paraId="5854B968">
                                <w:pPr>
                                  <w:spacing w:line="240" w:lineRule="auto"/>
                                  <w:ind w:firstLine="0" w:firstLineChars="0"/>
                                  <w:rPr>
                                    <w:rFonts w:hint="eastAsia" w:eastAsia="宋体"/>
                                    <w:sz w:val="18"/>
                                    <w:szCs w:val="18"/>
                                    <w:lang w:val="en-US" w:eastAsia="zh-CN"/>
                                  </w:rPr>
                                </w:pPr>
                                <w:r>
                                  <w:rPr>
                                    <w:rFonts w:hint="default" w:ascii="Times New Roman" w:hAnsi="Times New Roman" w:cs="Times New Roman"/>
                                    <w:sz w:val="18"/>
                                    <w:szCs w:val="18"/>
                                    <w:lang w:val="en-US" w:eastAsia="zh-CN"/>
                                  </w:rPr>
                                  <w:t>10</w:t>
                                </w:r>
                                <w:r>
                                  <w:rPr>
                                    <w:rFonts w:hint="eastAsia"/>
                                    <w:sz w:val="18"/>
                                    <w:szCs w:val="18"/>
                                    <w:lang w:val="en-US" w:eastAsia="zh-CN"/>
                                  </w:rPr>
                                  <w:t>米</w:t>
                                </w:r>
                              </w:p>
                            </w:txbxContent>
                          </wps:txbx>
                          <wps:bodyPr lIns="91439" tIns="45719" rIns="91439" bIns="45719" upright="1"/>
                        </wps:wsp>
                      </wpg:grpSp>
                    </wpg:wgp>
                  </a:graphicData>
                </a:graphic>
              </wp:anchor>
            </w:drawing>
          </mc:Choice>
          <mc:Fallback>
            <w:pict>
              <v:group id="_x0000_s1026" o:spid="_x0000_s1026" o:spt="203" style="position:absolute;left:0pt;margin-left:67.9pt;margin-top:183.55pt;height:29.65pt;width:149.9pt;z-index:251672576;mso-width-relative:page;mso-height-relative:page;" coordorigin="2313,33941" coordsize="2998,593" o:gfxdata="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">
                <o:lock v:ext="edit" aspectratio="f"/>
                <v:shape id="文本框 20" o:spid="_x0000_s1026" o:spt="202" type="#_x0000_t202" style="position:absolute;left:3511;top:34066;height:468;width:1800;" filled="f" stroked="f" coordsize="21600,21600" o:gfxdata="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a/gLvQAA&#10;ANsAAAAPAAAAAAAAAAEAIAAAACIAAABkcnMvZG93bnJldi54bWxQSwECFAAUAAAACACHTuJAMy8F&#10;njsAAAA5AAAAEAAAAAAAAAABACAAAAAMAQAAZHJzL3NoYXBleG1sLnhtbFBLBQYAAAAABgAGAFsB&#10;AAC2AwAAAAA=&#10;">
                  <v:fill on="f" focussize="0,0"/>
                  <v:stroke on="f"/>
                  <v:imagedata o:title=""/>
                  <o:lock v:ext="edit" aspectratio="f"/>
                  <v:textbox inset="7.19992125984252pt,3.59992125984252pt,7.19992125984252pt,3.59992125984252pt">
                    <w:txbxContent>
                      <w:p w14:paraId="09C61E8B">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比例尺1：</w:t>
                        </w:r>
                        <w:r>
                          <w:rPr>
                            <w:rFonts w:hint="default" w:ascii="Times New Roman" w:hAnsi="Times New Roman" w:cs="Times New Roman"/>
                            <w:sz w:val="21"/>
                            <w:szCs w:val="21"/>
                            <w:lang w:val="en-US" w:eastAsia="zh-CN"/>
                          </w:rPr>
                          <w:t>1000</w:t>
                        </w:r>
                      </w:p>
                    </w:txbxContent>
                  </v:textbox>
                </v:shape>
                <v:group id="组合 18" o:spid="_x0000_s1026" o:spt="203" style="position:absolute;left:2313;top:33941;height:484;width:1957;" coordorigin="7604,26771" coordsize="1957,484" o:gfxdata="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6ox170AAADbAAAADwAAAAAAAAABACAAAAAiAAAAZHJzL2Rvd25yZXYueG1s&#10;UEsBAhQAFAAAAAgAh07iQDMvBZ47AAAAOQAAABUAAAAAAAAAAQAgAAAADAEAAGRycy9ncm91cHNo&#10;YXBleG1sLnhtbFBLBQYAAAAABgAGAGABAADJAwAAAAA=&#10;">
                  <o:lock v:ext="edit" aspectratio="f"/>
                  <v:shape id="任意多边形 15" o:spid="_x0000_s1026" o:spt="100" style="position:absolute;left:7829;top:27053;height:202;width:565;" filled="f" stroked="t" coordsize="21600,21600" o:gfxdata="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H8x1r4A&#10;AADbAAAADwAAAAAAAAABACAAAAAiAAAAZHJzL2Rvd25yZXYueG1sUEsBAhQAFAAAAAgAh07iQDMv&#10;BZ47AAAAOQAAABAAAAAAAAAAAQAgAAAADQEAAGRycy9zaGFwZXhtbC54bWxQSwUGAAAAAAYABgBb&#10;AQAAtwMAAAAA&#10;" path="m159,1603l0,21600,21600,21600,21600,0e">
                    <v:fill on="f" focussize="0,0"/>
                    <v:stroke weight="1.5pt" color="#000000" joinstyle="round"/>
                    <v:imagedata o:title=""/>
                    <o:lock v:ext="edit" aspectratio="f"/>
                  </v:shape>
                  <v:shape id="文本框 16" o:spid="_x0000_s1026" o:spt="202" type="#_x0000_t202" style="position:absolute;left:7604;top:26782;height:412;width:569;" filled="f" stroked="f" coordsize="21600,21600" o:gfxdata="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uWZ8vQAA&#10;ANsAAAAPAAAAAAAAAAEAIAAAACIAAABkcnMvZG93bnJldi54bWxQSwECFAAUAAAACACHTuJAMy8F&#10;njsAAAA5AAAAEAAAAAAAAAABACAAAAAMAQAAZHJzL3NoYXBleG1sLnhtbFBLBQYAAAAABgAGAFsB&#10;AAC2AwAAAAA=&#10;">
                    <v:fill on="f" focussize="0,0"/>
                    <v:stroke on="f"/>
                    <v:imagedata o:title=""/>
                    <o:lock v:ext="edit" aspectratio="f"/>
                    <v:textbox inset="7.19992125984252pt,3.59992125984252pt,7.19992125984252pt,3.59992125984252pt">
                      <w:txbxContent>
                        <w:p w14:paraId="34C5756D">
                          <w:pPr>
                            <w:spacing w:line="240" w:lineRule="auto"/>
                            <w:ind w:firstLine="0" w:firstLineChars="0"/>
                            <w:rPr>
                              <w:rFonts w:hint="eastAsia" w:eastAsia="宋体"/>
                              <w:sz w:val="18"/>
                              <w:szCs w:val="18"/>
                              <w:lang w:val="en-US" w:eastAsia="zh-CN"/>
                            </w:rPr>
                          </w:pPr>
                          <w:r>
                            <w:rPr>
                              <w:rFonts w:hint="eastAsia"/>
                              <w:sz w:val="18"/>
                              <w:szCs w:val="18"/>
                              <w:lang w:val="en-US" w:eastAsia="zh-CN"/>
                            </w:rPr>
                            <w:t>0</w:t>
                          </w:r>
                        </w:p>
                      </w:txbxContent>
                    </v:textbox>
                  </v:shape>
                  <v:shape id="文本框 17" o:spid="_x0000_s1026" o:spt="202" type="#_x0000_t202" style="position:absolute;left:8017;top:26771;height:412;width:1544;" filled="f" stroked="f" coordsize="21600,21600" o:gfxdata="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JvIOugAAANsA&#10;AAAPAAAAAAAAAAEAIAAAACIAAABkcnMvZG93bnJldi54bWxQSwECFAAUAAAACACHTuJAMy8FnjsA&#10;AAA5AAAAEAAAAAAAAAABACAAAAAJAQAAZHJzL3NoYXBleG1sLnhtbFBLBQYAAAAABgAGAFsBAACz&#10;AwAAAAA=&#10;">
                    <v:fill on="f" focussize="0,0"/>
                    <v:stroke on="f"/>
                    <v:imagedata o:title=""/>
                    <o:lock v:ext="edit" aspectratio="f"/>
                    <v:textbox inset="7.19992125984252pt,3.59992125984252pt,7.19992125984252pt,3.59992125984252pt">
                      <w:txbxContent>
                        <w:p w14:paraId="5854B968">
                          <w:pPr>
                            <w:spacing w:line="240" w:lineRule="auto"/>
                            <w:ind w:firstLine="0" w:firstLineChars="0"/>
                            <w:rPr>
                              <w:rFonts w:hint="eastAsia" w:eastAsia="宋体"/>
                              <w:sz w:val="18"/>
                              <w:szCs w:val="18"/>
                              <w:lang w:val="en-US" w:eastAsia="zh-CN"/>
                            </w:rPr>
                          </w:pPr>
                          <w:r>
                            <w:rPr>
                              <w:rFonts w:hint="default" w:ascii="Times New Roman" w:hAnsi="Times New Roman" w:cs="Times New Roman"/>
                              <w:sz w:val="18"/>
                              <w:szCs w:val="18"/>
                              <w:lang w:val="en-US" w:eastAsia="zh-CN"/>
                            </w:rPr>
                            <w:t>10</w:t>
                          </w:r>
                          <w:r>
                            <w:rPr>
                              <w:rFonts w:hint="eastAsia"/>
                              <w:sz w:val="18"/>
                              <w:szCs w:val="18"/>
                              <w:lang w:val="en-US" w:eastAsia="zh-CN"/>
                            </w:rPr>
                            <w:t>米</w:t>
                          </w:r>
                        </w:p>
                      </w:txbxContent>
                    </v:textbox>
                  </v:shape>
                </v:group>
              </v:group>
            </w:pict>
          </mc:Fallback>
        </mc:AlternateContent>
      </w:r>
    </w:p>
    <w:p w14:paraId="1FD9911F">
      <w:pPr>
        <w:spacing w:line="240" w:lineRule="auto"/>
        <w:ind w:firstLine="0" w:firstLineChars="0"/>
        <w:jc w:val="center"/>
        <w:rPr>
          <w:rFonts w:hint="default" w:ascii="Times New Roman" w:hAnsi="Times New Roman" w:eastAsia="宋体" w:cs="Times New Roman"/>
          <w:lang w:eastAsia="zh-CN"/>
        </w:rPr>
      </w:pPr>
      <w:r>
        <w:rPr>
          <w:rFonts w:hint="default" w:ascii="Times New Roman" w:hAnsi="Times New Roman" w:cs="Times New Roman"/>
          <w:sz w:val="24"/>
        </w:rPr>
        <mc:AlternateContent>
          <mc:Choice Requires="wps">
            <w:drawing>
              <wp:anchor distT="0" distB="0" distL="114300" distR="114300" simplePos="0" relativeHeight="251691008" behindDoc="0" locked="0" layoutInCell="1" allowOverlap="1">
                <wp:simplePos x="0" y="0"/>
                <wp:positionH relativeFrom="column">
                  <wp:posOffset>3961130</wp:posOffset>
                </wp:positionH>
                <wp:positionV relativeFrom="paragraph">
                  <wp:posOffset>2472055</wp:posOffset>
                </wp:positionV>
                <wp:extent cx="4486910" cy="289306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4486910" cy="2893060"/>
                        </a:xfrm>
                        <a:prstGeom prst="rect">
                          <a:avLst/>
                        </a:prstGeom>
                        <a:noFill/>
                        <a:ln>
                          <a:noFill/>
                        </a:ln>
                      </wps:spPr>
                      <wps:txbx>
                        <w:txbxContent>
                          <w:p w14:paraId="3569E1DB">
                            <w:pPr>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4303395" cy="2783205"/>
                                  <wp:effectExtent l="0" t="0" r="1905" b="17145"/>
                                  <wp:docPr id="22" name="图片 22" descr="6e6f28eb2f38cc9ca41ea09d0e744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e6f28eb2f38cc9ca41ea09d0e744969"/>
                                          <pic:cNvPicPr>
                                            <a:picLocks noChangeAspect="1"/>
                                          </pic:cNvPicPr>
                                        </pic:nvPicPr>
                                        <pic:blipFill>
                                          <a:blip r:embed="rId25"/>
                                          <a:stretch>
                                            <a:fillRect/>
                                          </a:stretch>
                                        </pic:blipFill>
                                        <pic:spPr>
                                          <a:xfrm>
                                            <a:off x="0" y="0"/>
                                            <a:ext cx="4303395" cy="2783205"/>
                                          </a:xfrm>
                                          <a:prstGeom prst="rect">
                                            <a:avLst/>
                                          </a:prstGeom>
                                        </pic:spPr>
                                      </pic:pic>
                                    </a:graphicData>
                                  </a:graphic>
                                </wp:inline>
                              </w:drawing>
                            </w:r>
                          </w:p>
                        </w:txbxContent>
                      </wps:txbx>
                      <wps:bodyPr upright="1"/>
                    </wps:wsp>
                  </a:graphicData>
                </a:graphic>
              </wp:anchor>
            </w:drawing>
          </mc:Choice>
          <mc:Fallback>
            <w:pict>
              <v:shape id="_x0000_s1026" o:spid="_x0000_s1026" o:spt="202" type="#_x0000_t202" style="position:absolute;left:0pt;margin-left:311.9pt;margin-top:194.65pt;height:227.8pt;width:353.3pt;z-index:251691008;mso-width-relative:page;mso-height-relative:page;" filled="f" stroked="f" coordsize="21600,21600" o:gfxdata="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fMk&#10;DNkAAAAMAQAADwAAAAAAAAABACAAAAAiAAAAZHJzL2Rvd25yZXYueG1sUEsBAhQAFAAAAAgAh07i&#10;QMbVFuqvAQAAUwMAAA4AAAAAAAAAAQAgAAAAKAEAAGRycy9lMm9Eb2MueG1sUEsFBgAAAAAGAAYA&#10;WQEAAEkFAAAAAA==&#10;">
                <v:fill on="f" focussize="0,0"/>
                <v:stroke on="f"/>
                <v:imagedata o:title=""/>
                <o:lock v:ext="edit" aspectratio="f"/>
                <v:textbox>
                  <w:txbxContent>
                    <w:p w14:paraId="3569E1DB">
                      <w:pPr>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4303395" cy="2783205"/>
                            <wp:effectExtent l="0" t="0" r="1905" b="17145"/>
                            <wp:docPr id="22" name="图片 22" descr="6e6f28eb2f38cc9ca41ea09d0e744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e6f28eb2f38cc9ca41ea09d0e744969"/>
                                    <pic:cNvPicPr>
                                      <a:picLocks noChangeAspect="1"/>
                                    </pic:cNvPicPr>
                                  </pic:nvPicPr>
                                  <pic:blipFill>
                                    <a:blip r:embed="rId25"/>
                                    <a:stretch>
                                      <a:fillRect/>
                                    </a:stretch>
                                  </pic:blipFill>
                                  <pic:spPr>
                                    <a:xfrm>
                                      <a:off x="0" y="0"/>
                                      <a:ext cx="4303395" cy="2783205"/>
                                    </a:xfrm>
                                    <a:prstGeom prst="rect">
                                      <a:avLst/>
                                    </a:prstGeom>
                                  </pic:spPr>
                                </pic:pic>
                              </a:graphicData>
                            </a:graphic>
                          </wp:inline>
                        </w:drawing>
                      </w:r>
                    </w:p>
                  </w:txbxContent>
                </v:textbox>
              </v:shape>
            </w:pict>
          </mc:Fallback>
        </mc:AlternateContent>
      </w:r>
      <w:r>
        <w:rPr>
          <w:sz w:val="24"/>
        </w:rPr>
        <mc:AlternateContent>
          <mc:Choice Requires="wps">
            <w:drawing>
              <wp:anchor distT="0" distB="0" distL="114300" distR="114300" simplePos="0" relativeHeight="251712512" behindDoc="0" locked="0" layoutInCell="1" allowOverlap="1">
                <wp:simplePos x="0" y="0"/>
                <wp:positionH relativeFrom="column">
                  <wp:posOffset>8876665</wp:posOffset>
                </wp:positionH>
                <wp:positionV relativeFrom="paragraph">
                  <wp:posOffset>-45085</wp:posOffset>
                </wp:positionV>
                <wp:extent cx="1176020" cy="772795"/>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476B73E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6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8.95pt;margin-top:-3.55pt;height:60.85pt;width:92.6pt;z-index:251712512;mso-width-relative:page;mso-height-relative:page;" fillcolor="#000000" filled="t" stroked="f" coordsize="21600,21600" o:gfxdata="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Ch4fU&#10;2AAAAAwBAAAPAAAAAAAAAAEAIAAAACIAAABkcnMvZG93bnJldi54bWxQSwECFAAUAAAACACHTuJA&#10;MlHPs1oCAACuBAAADgAAAAAAAAABACAAAAAnAQAAZHJzL2Uyb0RvYy54bWxQSwUGAAAAAAYABgBZ&#10;AQAA8wUAAAAA&#10;">
                <v:fill on="t" opacity="0f" focussize="0,0"/>
                <v:stroke on="f" weight="0.5pt"/>
                <v:imagedata o:title=""/>
                <o:lock v:ext="edit" aspectratio="f"/>
                <v:textbox>
                  <w:txbxContent>
                    <w:p w14:paraId="476B73E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6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v:textbox>
              </v:shape>
            </w:pict>
          </mc:Fallback>
        </mc:AlternateContent>
      </w:r>
      <w:r>
        <w:rPr>
          <w:sz w:val="24"/>
        </w:rPr>
        <mc:AlternateContent>
          <mc:Choice Requires="wps">
            <w:drawing>
              <wp:anchor distT="0" distB="0" distL="114300" distR="114300" simplePos="0" relativeHeight="251713536" behindDoc="0" locked="0" layoutInCell="1" allowOverlap="1">
                <wp:simplePos x="0" y="0"/>
                <wp:positionH relativeFrom="column">
                  <wp:posOffset>8876665</wp:posOffset>
                </wp:positionH>
                <wp:positionV relativeFrom="paragraph">
                  <wp:posOffset>-45085</wp:posOffset>
                </wp:positionV>
                <wp:extent cx="1176020" cy="77279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0B0322D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7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8.95pt;margin-top:-3.55pt;height:60.85pt;width:92.6pt;z-index:251713536;mso-width-relative:page;mso-height-relative:page;" fillcolor="#000000" filled="t" stroked="f" coordsize="21600,21600" o:gfxdata="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MKHh9TY&#10;AAAADAEAAA8AAAAAAAAAAQAgAAAAIgAAAGRycy9kb3ducmV2LnhtbFBLAQIUABQAAAAIAIdO4kD8&#10;bDJ5WQIAAK4EAAAOAAAAAAAAAAEAIAAAACcBAABkcnMvZTJvRG9jLnhtbFBLBQYAAAAABgAGAFkB&#10;AADyBQAAAAA=&#10;">
                <v:fill on="t" opacity="0f" focussize="0,0"/>
                <v:stroke on="f" weight="0.5pt"/>
                <v:imagedata o:title=""/>
                <o:lock v:ext="edit" aspectratio="f"/>
                <v:textbox>
                  <w:txbxContent>
                    <w:p w14:paraId="0B0322D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7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v:textbox>
              </v:shape>
            </w:pict>
          </mc:Fallback>
        </mc:AlternateContent>
      </w:r>
      <w:r>
        <w:rPr>
          <w:sz w:val="24"/>
        </w:rPr>
        <mc:AlternateContent>
          <mc:Choice Requires="wps">
            <w:drawing>
              <wp:anchor distT="0" distB="0" distL="114300" distR="114300" simplePos="0" relativeHeight="251714560" behindDoc="0" locked="0" layoutInCell="1" allowOverlap="1">
                <wp:simplePos x="0" y="0"/>
                <wp:positionH relativeFrom="column">
                  <wp:posOffset>8876665</wp:posOffset>
                </wp:positionH>
                <wp:positionV relativeFrom="paragraph">
                  <wp:posOffset>-45085</wp:posOffset>
                </wp:positionV>
                <wp:extent cx="1176020" cy="772795"/>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54D0053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7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8.95pt;margin-top:-3.55pt;height:60.85pt;width:92.6pt;z-index:251714560;mso-width-relative:page;mso-height-relative:page;" fillcolor="#000000" filled="t" stroked="f" coordsize="21600,21600" o:gfxdata="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MKHh9TY&#10;AAAADAEAAA8AAAAAAAAAAQAgAAAAIgAAAGRycy9kb3ducmV2LnhtbFBLAQIUABQAAAAIAIdO4kCD&#10;hsxsWQIAAK4EAAAOAAAAAAAAAAEAIAAAACcBAABkcnMvZTJvRG9jLnhtbFBLBQYAAAAABgAGAFkB&#10;AADyBQAAAAA=&#10;">
                <v:fill on="t" opacity="0f" focussize="0,0"/>
                <v:stroke on="f" weight="0.5pt"/>
                <v:imagedata o:title=""/>
                <o:lock v:ext="edit" aspectratio="f"/>
                <v:textbox>
                  <w:txbxContent>
                    <w:p w14:paraId="54D0053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7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v:textbox>
              </v:shape>
            </w:pict>
          </mc:Fallback>
        </mc:AlternateContent>
      </w:r>
      <w:r>
        <w:rPr>
          <w:sz w:val="24"/>
        </w:rPr>
        <mc:AlternateContent>
          <mc:Choice Requires="wps">
            <w:drawing>
              <wp:anchor distT="0" distB="0" distL="114300" distR="114300" simplePos="0" relativeHeight="251708416" behindDoc="0" locked="0" layoutInCell="1" allowOverlap="1">
                <wp:simplePos x="0" y="0"/>
                <wp:positionH relativeFrom="column">
                  <wp:posOffset>8876665</wp:posOffset>
                </wp:positionH>
                <wp:positionV relativeFrom="paragraph">
                  <wp:posOffset>-45085</wp:posOffset>
                </wp:positionV>
                <wp:extent cx="1176020" cy="772795"/>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28C71550">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8.95pt;margin-top:-3.55pt;height:60.85pt;width:92.6pt;z-index:251708416;mso-width-relative:page;mso-height-relative:page;" fillcolor="#000000" filled="t" stroked="f" coordsize="21600,21600" o:gfxdata="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woeH1NgA&#10;AAAMAQAADwAAAAAAAAABACAAAAAiAAAAZHJzL2Rvd25yZXYueG1sUEsBAhQAFAAAAAgAh07iQIKg&#10;LORYAgAArgQAAA4AAAAAAAAAAQAgAAAAJwEAAGRycy9lMm9Eb2MueG1sUEsFBgAAAAAGAAYAWQEA&#10;APEFAAAAAA==&#10;">
                <v:fill on="t" opacity="0f" focussize="0,0"/>
                <v:stroke on="f" weight="0.5pt"/>
                <v:imagedata o:title=""/>
                <o:lock v:ext="edit" aspectratio="f"/>
                <v:textbox>
                  <w:txbxContent>
                    <w:p w14:paraId="28C71550">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92032" behindDoc="0" locked="0" layoutInCell="1" allowOverlap="1">
                <wp:simplePos x="0" y="0"/>
                <wp:positionH relativeFrom="column">
                  <wp:posOffset>2736850</wp:posOffset>
                </wp:positionH>
                <wp:positionV relativeFrom="paragraph">
                  <wp:posOffset>5640070</wp:posOffset>
                </wp:positionV>
                <wp:extent cx="4201160" cy="30734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4201160" cy="307340"/>
                        </a:xfrm>
                        <a:prstGeom prst="rect">
                          <a:avLst/>
                        </a:prstGeom>
                        <a:noFill/>
                        <a:ln>
                          <a:noFill/>
                        </a:ln>
                      </wps:spPr>
                      <wps:txbx>
                        <w:txbxContent>
                          <w:p w14:paraId="7E57067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附图四：河南省三线一单综合信息应用平台查询图</w:t>
                            </w:r>
                          </w:p>
                        </w:txbxContent>
                      </wps:txbx>
                      <wps:bodyPr upright="1"/>
                    </wps:wsp>
                  </a:graphicData>
                </a:graphic>
              </wp:anchor>
            </w:drawing>
          </mc:Choice>
          <mc:Fallback>
            <w:pict>
              <v:shape id="_x0000_s1026" o:spid="_x0000_s1026" o:spt="202" type="#_x0000_t202" style="position:absolute;left:0pt;margin-left:215.5pt;margin-top:444.1pt;height:24.2pt;width:330.8pt;z-index:251692032;mso-width-relative:page;mso-height-relative:page;" filled="f" stroked="f" coordsize="21600,21600" o:gfxdata="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4EXO6&#10;2QAAAAwBAAAPAAAAAAAAAAEAIAAAACIAAABkcnMvZG93bnJldi54bWxQSwECFAAUAAAACACHTuJA&#10;vZ0gFK4BAABSAwAADgAAAAAAAAABACAAAAAoAQAAZHJzL2Uyb0RvYy54bWxQSwUGAAAAAAYABgBZ&#10;AQAASAUAAAAA&#10;">
                <v:fill on="f" focussize="0,0"/>
                <v:stroke on="f"/>
                <v:imagedata o:title=""/>
                <o:lock v:ext="edit" aspectratio="f"/>
                <v:textbox>
                  <w:txbxContent>
                    <w:p w14:paraId="7E57067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附图四：河南省三线一单综合信息应用平台查询图</w:t>
                      </w:r>
                    </w:p>
                  </w:txbxContent>
                </v:textbox>
              </v:shape>
            </w:pict>
          </mc:Fallback>
        </mc:AlternateContent>
      </w:r>
      <w:r>
        <w:rPr>
          <w:sz w:val="24"/>
        </w:rPr>
        <w:drawing>
          <wp:inline distT="0" distB="0" distL="114300" distR="114300">
            <wp:extent cx="9698990" cy="5574030"/>
            <wp:effectExtent l="0" t="0" r="16510" b="7620"/>
            <wp:docPr id="128" name="图片 128" descr="f785c8db92e00ff957dde1cf05d212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f785c8db92e00ff957dde1cf05d2129d"/>
                    <pic:cNvPicPr>
                      <a:picLocks noChangeAspect="1"/>
                    </pic:cNvPicPr>
                  </pic:nvPicPr>
                  <pic:blipFill>
                    <a:blip r:embed="rId26"/>
                    <a:stretch>
                      <a:fillRect/>
                    </a:stretch>
                  </pic:blipFill>
                  <pic:spPr>
                    <a:xfrm>
                      <a:off x="0" y="0"/>
                      <a:ext cx="9698990" cy="5574030"/>
                    </a:xfrm>
                    <a:prstGeom prst="rect">
                      <a:avLst/>
                    </a:prstGeom>
                  </pic:spPr>
                </pic:pic>
              </a:graphicData>
            </a:graphic>
          </wp:inline>
        </w:drawing>
      </w:r>
      <w:r>
        <w:rPr>
          <w:rFonts w:hint="default" w:ascii="Times New Roman" w:hAnsi="Times New Roman" w:cs="Times New Roman"/>
          <w:sz w:val="24"/>
        </w:rPr>
        <mc:AlternateContent>
          <mc:Choice Requires="wps">
            <w:drawing>
              <wp:anchor distT="0" distB="0" distL="114300" distR="114300" simplePos="0" relativeHeight="251694080" behindDoc="0" locked="0" layoutInCell="1" allowOverlap="1">
                <wp:simplePos x="0" y="0"/>
                <wp:positionH relativeFrom="column">
                  <wp:posOffset>2284730</wp:posOffset>
                </wp:positionH>
                <wp:positionV relativeFrom="paragraph">
                  <wp:posOffset>3528695</wp:posOffset>
                </wp:positionV>
                <wp:extent cx="1331595" cy="276860"/>
                <wp:effectExtent l="4445" t="393700" r="16510" b="15240"/>
                <wp:wrapNone/>
                <wp:docPr id="28" name="矩形标注 28"/>
                <wp:cNvGraphicFramePr/>
                <a:graphic xmlns:a="http://schemas.openxmlformats.org/drawingml/2006/main">
                  <a:graphicData uri="http://schemas.microsoft.com/office/word/2010/wordprocessingShape">
                    <wps:wsp>
                      <wps:cNvSpPr/>
                      <wps:spPr>
                        <a:xfrm>
                          <a:off x="0" y="0"/>
                          <a:ext cx="1331595" cy="276860"/>
                        </a:xfrm>
                        <a:prstGeom prst="wedgeRectCallout">
                          <a:avLst>
                            <a:gd name="adj1" fmla="val -23962"/>
                            <a:gd name="adj2" fmla="val -187844"/>
                          </a:avLst>
                        </a:prstGeom>
                        <a:solidFill>
                          <a:srgbClr val="FFFFFF"/>
                        </a:solidFill>
                        <a:ln w="9525" cap="flat" cmpd="sng">
                          <a:solidFill>
                            <a:srgbClr val="FF0000"/>
                          </a:solidFill>
                          <a:prstDash val="solid"/>
                          <a:miter/>
                          <a:headEnd type="none" w="med" len="med"/>
                          <a:tailEnd type="none" w="med" len="med"/>
                        </a:ln>
                      </wps:spPr>
                      <wps:txbx>
                        <w:txbxContent>
                          <w:p w14:paraId="4000E735">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sz w:val="24"/>
                                <w:szCs w:val="24"/>
                                <w:lang w:eastAsia="zh-CN"/>
                              </w:rPr>
                            </w:pPr>
                            <w:r>
                              <w:rPr>
                                <w:rFonts w:hint="eastAsia"/>
                                <w:sz w:val="24"/>
                                <w:szCs w:val="24"/>
                                <w:lang w:eastAsia="zh-CN"/>
                              </w:rPr>
                              <w:t>本项目所在位置</w:t>
                            </w:r>
                          </w:p>
                        </w:txbxContent>
                      </wps:txbx>
                      <wps:bodyPr upright="1"/>
                    </wps:wsp>
                  </a:graphicData>
                </a:graphic>
              </wp:anchor>
            </w:drawing>
          </mc:Choice>
          <mc:Fallback>
            <w:pict>
              <v:shape id="_x0000_s1026" o:spid="_x0000_s1026" o:spt="61" type="#_x0000_t61" style="position:absolute;left:0pt;margin-left:179.9pt;margin-top:277.85pt;height:21.8pt;width:104.85pt;z-index:251694080;mso-width-relative:page;mso-height-relative:page;" fillcolor="#FFFFFF" filled="t" stroked="t" coordsize="21600,21600" o:gfxdata="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ITJz22QAAAAsBAAAPAAAAAAAAAAEAIAAAACIAAABkcnMv&#10;ZG93bnJldi54bWxQSwECFAAUAAAACACHTuJAWzrnCzsCAACRBAAADgAAAAAAAAABACAAAAAoAQAA&#10;ZHJzL2Uyb0RvYy54bWxQSwUGAAAAAAYABgBZAQAA1QUAAAAA&#10;" adj="5624,-29774">
                <v:fill on="t" focussize="0,0"/>
                <v:stroke color="#FF0000" joinstyle="miter"/>
                <v:imagedata o:title=""/>
                <o:lock v:ext="edit" aspectratio="f"/>
                <v:textbox>
                  <w:txbxContent>
                    <w:p w14:paraId="4000E735">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sz w:val="24"/>
                          <w:szCs w:val="24"/>
                          <w:lang w:eastAsia="zh-CN"/>
                        </w:rPr>
                      </w:pPr>
                      <w:r>
                        <w:rPr>
                          <w:rFonts w:hint="eastAsia"/>
                          <w:sz w:val="24"/>
                          <w:szCs w:val="24"/>
                          <w:lang w:eastAsia="zh-CN"/>
                        </w:rPr>
                        <w:t>本项目所在位置</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95104" behindDoc="0" locked="0" layoutInCell="1" allowOverlap="1">
                <wp:simplePos x="0" y="0"/>
                <wp:positionH relativeFrom="column">
                  <wp:posOffset>2576195</wp:posOffset>
                </wp:positionH>
                <wp:positionV relativeFrom="paragraph">
                  <wp:posOffset>3067685</wp:posOffset>
                </wp:positionV>
                <wp:extent cx="127000" cy="126365"/>
                <wp:effectExtent l="13970" t="15875" r="30480" b="29210"/>
                <wp:wrapNone/>
                <wp:docPr id="30" name="五角星 30"/>
                <wp:cNvGraphicFramePr/>
                <a:graphic xmlns:a="http://schemas.openxmlformats.org/drawingml/2006/main">
                  <a:graphicData uri="http://schemas.microsoft.com/office/word/2010/wordprocessingShape">
                    <wps:wsp>
                      <wps:cNvSpPr/>
                      <wps:spPr>
                        <a:xfrm>
                          <a:off x="0" y="0"/>
                          <a:ext cx="127000" cy="126365"/>
                        </a:xfrm>
                        <a:prstGeom prst="star5">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202.85pt;margin-top:241.55pt;height:9.95pt;width:10pt;z-index:251695104;mso-width-relative:page;mso-height-relative:page;" fillcolor="#FF0000" filled="t" stroked="t" coordsize="127000,126365" o:gfxdata="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0B9j2gAAAAsBAAAPAAAAAAAAAAEAIAAAACIAAABkcnMvZG93&#10;bnJldi54bWxQSwECFAAUAAAACACHTuJAor7l1/4BAAAjBAAADgAAAAAAAAABACAAAAApAQAAZHJz&#10;L2Uyb0RvYy54bWxQSwUGAAAAAAYABgBZAQAAmQUAAAAA&#10;" path="m0,48267l48509,48267,63500,0,78490,48267,126999,48267,87754,78097,102745,126364,63500,96533,24254,126364,39245,78097xe">
                <v:path o:connectlocs="63500,0;0,48267;24254,126364;102745,126364;126999,48267" o:connectangles="247,164,82,82,0"/>
                <v:fill on="t" focussize="0,0"/>
                <v:stroke color="#FF0000" joinstyle="miter"/>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93056" behindDoc="0" locked="0" layoutInCell="1" allowOverlap="1">
                <wp:simplePos x="0" y="0"/>
                <wp:positionH relativeFrom="column">
                  <wp:posOffset>1192530</wp:posOffset>
                </wp:positionH>
                <wp:positionV relativeFrom="paragraph">
                  <wp:posOffset>6151245</wp:posOffset>
                </wp:positionV>
                <wp:extent cx="6657340" cy="30734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6657340" cy="307340"/>
                        </a:xfrm>
                        <a:prstGeom prst="rect">
                          <a:avLst/>
                        </a:prstGeom>
                        <a:noFill/>
                        <a:ln>
                          <a:noFill/>
                        </a:ln>
                      </wps:spPr>
                      <wps:txbx>
                        <w:txbxContent>
                          <w:p w14:paraId="63ACEA0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28"/>
                                <w:szCs w:val="28"/>
                                <w:lang w:val="en-US" w:eastAsia="zh-CN"/>
                              </w:rPr>
                            </w:pPr>
                            <w:r>
                              <w:rPr>
                                <w:rFonts w:hint="eastAsia"/>
                                <w:b/>
                                <w:bCs/>
                                <w:sz w:val="28"/>
                                <w:szCs w:val="28"/>
                                <w:lang w:eastAsia="zh-CN"/>
                              </w:rPr>
                              <w:t>附图五：武陟经济技术开发区发展规划（</w:t>
                            </w:r>
                            <w:r>
                              <w:rPr>
                                <w:rFonts w:hint="eastAsia"/>
                                <w:b/>
                                <w:bCs/>
                                <w:sz w:val="28"/>
                                <w:szCs w:val="28"/>
                                <w:lang w:val="en-US" w:eastAsia="zh-CN"/>
                              </w:rPr>
                              <w:t>2022-2035</w:t>
                            </w:r>
                            <w:r>
                              <w:rPr>
                                <w:rFonts w:hint="eastAsia"/>
                                <w:b/>
                                <w:bCs/>
                                <w:sz w:val="28"/>
                                <w:szCs w:val="28"/>
                                <w:lang w:eastAsia="zh-CN"/>
                              </w:rPr>
                              <w:t>）—东部园区产业功能布局图</w:t>
                            </w:r>
                          </w:p>
                        </w:txbxContent>
                      </wps:txbx>
                      <wps:bodyPr upright="1"/>
                    </wps:wsp>
                  </a:graphicData>
                </a:graphic>
              </wp:anchor>
            </w:drawing>
          </mc:Choice>
          <mc:Fallback>
            <w:pict>
              <v:shape id="_x0000_s1026" o:spid="_x0000_s1026" o:spt="202" type="#_x0000_t202" style="position:absolute;left:0pt;margin-left:93.9pt;margin-top:484.35pt;height:24.2pt;width:524.2pt;z-index:251693056;mso-width-relative:page;mso-height-relative:page;" filled="f" stroked="f" coordsize="21600,21600" o:gfxdata="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IAY8r9kA&#10;AAANAQAADwAAAAAAAAABACAAAAAiAAAAZHJzL2Rvd25yZXYueG1sUEsBAhQAFAAAAAgAh07iQGUr&#10;20GsAQAAUgMAAA4AAAAAAAAAAQAgAAAAKAEAAGRycy9lMm9Eb2MueG1sUEsFBgAAAAAGAAYAWQEA&#10;AEYFAAAAAA==&#10;">
                <v:fill on="f" focussize="0,0"/>
                <v:stroke on="f"/>
                <v:imagedata o:title=""/>
                <o:lock v:ext="edit" aspectratio="f"/>
                <v:textbox>
                  <w:txbxContent>
                    <w:p w14:paraId="63ACEA0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28"/>
                          <w:szCs w:val="28"/>
                          <w:lang w:val="en-US" w:eastAsia="zh-CN"/>
                        </w:rPr>
                      </w:pPr>
                      <w:r>
                        <w:rPr>
                          <w:rFonts w:hint="eastAsia"/>
                          <w:b/>
                          <w:bCs/>
                          <w:sz w:val="28"/>
                          <w:szCs w:val="28"/>
                          <w:lang w:eastAsia="zh-CN"/>
                        </w:rPr>
                        <w:t>附图五：武陟经济技术开发区发展规划（</w:t>
                      </w:r>
                      <w:r>
                        <w:rPr>
                          <w:rFonts w:hint="eastAsia"/>
                          <w:b/>
                          <w:bCs/>
                          <w:sz w:val="28"/>
                          <w:szCs w:val="28"/>
                          <w:lang w:val="en-US" w:eastAsia="zh-CN"/>
                        </w:rPr>
                        <w:t>2022-2035</w:t>
                      </w:r>
                      <w:r>
                        <w:rPr>
                          <w:rFonts w:hint="eastAsia"/>
                          <w:b/>
                          <w:bCs/>
                          <w:sz w:val="28"/>
                          <w:szCs w:val="28"/>
                          <w:lang w:eastAsia="zh-CN"/>
                        </w:rPr>
                        <w:t>）—东部园区产业功能布局图</w:t>
                      </w:r>
                    </w:p>
                  </w:txbxContent>
                </v:textbox>
              </v:shape>
            </w:pict>
          </mc:Fallback>
        </mc:AlternateContent>
      </w:r>
      <w:r>
        <w:drawing>
          <wp:inline distT="0" distB="0" distL="114300" distR="114300">
            <wp:extent cx="8786495" cy="6207125"/>
            <wp:effectExtent l="0" t="0" r="14605" b="3175"/>
            <wp:docPr id="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
                    <pic:cNvPicPr>
                      <a:picLocks noChangeAspect="1"/>
                    </pic:cNvPicPr>
                  </pic:nvPicPr>
                  <pic:blipFill>
                    <a:blip r:embed="rId27"/>
                    <a:stretch>
                      <a:fillRect/>
                    </a:stretch>
                  </pic:blipFill>
                  <pic:spPr>
                    <a:xfrm>
                      <a:off x="0" y="0"/>
                      <a:ext cx="8786495" cy="6207125"/>
                    </a:xfrm>
                    <a:prstGeom prst="rect">
                      <a:avLst/>
                    </a:prstGeom>
                    <a:noFill/>
                    <a:ln>
                      <a:noFill/>
                    </a:ln>
                  </pic:spPr>
                </pic:pic>
              </a:graphicData>
            </a:graphic>
          </wp:inline>
        </w:drawing>
      </w:r>
      <w:r>
        <w:drawing>
          <wp:inline distT="0" distB="0" distL="114300" distR="114300">
            <wp:extent cx="8680450" cy="6132195"/>
            <wp:effectExtent l="0" t="0" r="6350" b="1905"/>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28"/>
                    <a:stretch>
                      <a:fillRect/>
                    </a:stretch>
                  </pic:blipFill>
                  <pic:spPr>
                    <a:xfrm>
                      <a:off x="0" y="0"/>
                      <a:ext cx="8680450" cy="6132195"/>
                    </a:xfrm>
                    <a:prstGeom prst="rect">
                      <a:avLst/>
                    </a:prstGeom>
                    <a:noFill/>
                    <a:ln>
                      <a:noFill/>
                    </a:ln>
                  </pic:spPr>
                </pic:pic>
              </a:graphicData>
            </a:graphic>
          </wp:inline>
        </w:drawing>
      </w:r>
      <w:r>
        <w:rPr>
          <w:rFonts w:hint="default" w:ascii="Times New Roman" w:hAnsi="Times New Roman" w:cs="Times New Roman"/>
          <w:sz w:val="24"/>
        </w:rPr>
        <mc:AlternateContent>
          <mc:Choice Requires="wps">
            <w:drawing>
              <wp:anchor distT="0" distB="0" distL="114300" distR="114300" simplePos="0" relativeHeight="251665408" behindDoc="0" locked="0" layoutInCell="1" allowOverlap="1">
                <wp:simplePos x="0" y="0"/>
                <wp:positionH relativeFrom="column">
                  <wp:posOffset>2376805</wp:posOffset>
                </wp:positionH>
                <wp:positionV relativeFrom="paragraph">
                  <wp:posOffset>3717290</wp:posOffset>
                </wp:positionV>
                <wp:extent cx="1274445" cy="301625"/>
                <wp:effectExtent l="4445" t="659765" r="16510" b="10160"/>
                <wp:wrapNone/>
                <wp:docPr id="50" name="矩形标注 50"/>
                <wp:cNvGraphicFramePr/>
                <a:graphic xmlns:a="http://schemas.openxmlformats.org/drawingml/2006/main">
                  <a:graphicData uri="http://schemas.microsoft.com/office/word/2010/wordprocessingShape">
                    <wps:wsp>
                      <wps:cNvSpPr/>
                      <wps:spPr>
                        <a:xfrm>
                          <a:off x="0" y="0"/>
                          <a:ext cx="1274445" cy="301625"/>
                        </a:xfrm>
                        <a:prstGeom prst="wedgeRectCallout">
                          <a:avLst>
                            <a:gd name="adj1" fmla="val -25435"/>
                            <a:gd name="adj2" fmla="val -262206"/>
                          </a:avLst>
                        </a:prstGeom>
                        <a:solidFill>
                          <a:srgbClr val="FFFFFF"/>
                        </a:solidFill>
                        <a:ln w="9525" cap="flat" cmpd="sng">
                          <a:solidFill>
                            <a:srgbClr val="FF0000"/>
                          </a:solidFill>
                          <a:prstDash val="solid"/>
                          <a:miter/>
                          <a:headEnd type="none" w="med" len="med"/>
                          <a:tailEnd type="none" w="med" len="med"/>
                        </a:ln>
                      </wps:spPr>
                      <wps:txbx>
                        <w:txbxContent>
                          <w:p w14:paraId="25B1FCE2">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lang w:eastAsia="zh-CN"/>
                              </w:rPr>
                            </w:pPr>
                            <w:r>
                              <w:rPr>
                                <w:rFonts w:hint="eastAsia"/>
                                <w:lang w:eastAsia="zh-CN"/>
                              </w:rPr>
                              <w:t>本项目所在位置</w:t>
                            </w:r>
                          </w:p>
                        </w:txbxContent>
                      </wps:txbx>
                      <wps:bodyPr upright="1"/>
                    </wps:wsp>
                  </a:graphicData>
                </a:graphic>
              </wp:anchor>
            </w:drawing>
          </mc:Choice>
          <mc:Fallback>
            <w:pict>
              <v:shape id="_x0000_s1026" o:spid="_x0000_s1026" o:spt="61" type="#_x0000_t61" style="position:absolute;left:0pt;margin-left:187.15pt;margin-top:292.7pt;height:23.75pt;width:100.35pt;z-index:251665408;mso-width-relative:page;mso-height-relative:page;" fillcolor="#FFFFFF" filled="t" stroked="t" coordsize="21600,21600" o:gfxdata="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mlDKf2gAAAAsBAAAPAAAAAAAAAAEAIAAAACIAAABkcnMv&#10;ZG93bnJldi54bWxQSwECFAAUAAAACACHTuJAHiCMKzoCAACRBAAADgAAAAAAAAABACAAAAApAQAA&#10;ZHJzL2Uyb0RvYy54bWxQSwUGAAAAAAYABgBZAQAA1QUAAAAA&#10;" adj="5306,-45836">
                <v:fill on="t" focussize="0,0"/>
                <v:stroke color="#FF0000" joinstyle="miter"/>
                <v:imagedata o:title=""/>
                <o:lock v:ext="edit" aspectratio="f"/>
                <v:textbox>
                  <w:txbxContent>
                    <w:p w14:paraId="25B1FCE2">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lang w:eastAsia="zh-CN"/>
                        </w:rPr>
                      </w:pPr>
                      <w:r>
                        <w:rPr>
                          <w:rFonts w:hint="eastAsia"/>
                          <w:lang w:eastAsia="zh-CN"/>
                        </w:rPr>
                        <w:t>本项目所在位置</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4384" behindDoc="0" locked="0" layoutInCell="1" allowOverlap="1">
                <wp:simplePos x="0" y="0"/>
                <wp:positionH relativeFrom="column">
                  <wp:posOffset>2614930</wp:posOffset>
                </wp:positionH>
                <wp:positionV relativeFrom="paragraph">
                  <wp:posOffset>3033395</wp:posOffset>
                </wp:positionV>
                <wp:extent cx="127000" cy="126365"/>
                <wp:effectExtent l="13970" t="15875" r="30480" b="29210"/>
                <wp:wrapNone/>
                <wp:docPr id="31" name="五角星 31"/>
                <wp:cNvGraphicFramePr/>
                <a:graphic xmlns:a="http://schemas.openxmlformats.org/drawingml/2006/main">
                  <a:graphicData uri="http://schemas.microsoft.com/office/word/2010/wordprocessingShape">
                    <wps:wsp>
                      <wps:cNvSpPr/>
                      <wps:spPr>
                        <a:xfrm>
                          <a:off x="0" y="0"/>
                          <a:ext cx="127000" cy="126365"/>
                        </a:xfrm>
                        <a:prstGeom prst="star5">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205.9pt;margin-top:238.85pt;height:9.95pt;width:10pt;z-index:251664384;mso-width-relative:page;mso-height-relative:page;" fillcolor="#FF0000" filled="t" stroked="t" coordsize="127000,126365" o:gfxdata="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3dmFNsAAAALAQAADwAAAAAAAAABACAAAAAiAAAAZHJzL2Rv&#10;d25yZXYueG1sUEsBAhQAFAAAAAgAh07iQK8wEOL+AQAAIwQAAA4AAAAAAAAAAQAgAAAAKgEAAGRy&#10;cy9lMm9Eb2MueG1sUEsFBgAAAAAGAAYAWQEAAJoFAAAAAA==&#10;" path="m0,48267l48509,48267,63500,0,78490,48267,126999,48267,87754,78097,102745,126364,63500,96533,24254,126364,39245,78097xe">
                <v:path o:connectlocs="63500,0;0,48267;24254,126364;102745,126364;126999,48267" o:connectangles="247,164,82,82,0"/>
                <v:fill on="t" focussize="0,0"/>
                <v:stroke color="#FF0000" joinstyle="miter"/>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7456" behindDoc="0" locked="0" layoutInCell="1" allowOverlap="1">
                <wp:simplePos x="0" y="0"/>
                <wp:positionH relativeFrom="column">
                  <wp:posOffset>1337945</wp:posOffset>
                </wp:positionH>
                <wp:positionV relativeFrom="paragraph">
                  <wp:posOffset>6083300</wp:posOffset>
                </wp:positionV>
                <wp:extent cx="6657340" cy="30734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6657340" cy="307340"/>
                        </a:xfrm>
                        <a:prstGeom prst="rect">
                          <a:avLst/>
                        </a:prstGeom>
                        <a:noFill/>
                        <a:ln>
                          <a:noFill/>
                        </a:ln>
                      </wps:spPr>
                      <wps:txbx>
                        <w:txbxContent>
                          <w:p w14:paraId="3BB79141">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28"/>
                                <w:szCs w:val="28"/>
                                <w:lang w:val="en-US" w:eastAsia="zh-CN"/>
                              </w:rPr>
                            </w:pPr>
                            <w:r>
                              <w:rPr>
                                <w:rFonts w:hint="eastAsia"/>
                                <w:b/>
                                <w:bCs/>
                                <w:sz w:val="28"/>
                                <w:szCs w:val="28"/>
                                <w:lang w:eastAsia="zh-CN"/>
                              </w:rPr>
                              <w:t>附图六：武陟经济技术开发区发展规划（</w:t>
                            </w:r>
                            <w:r>
                              <w:rPr>
                                <w:rFonts w:hint="eastAsia"/>
                                <w:b/>
                                <w:bCs/>
                                <w:sz w:val="28"/>
                                <w:szCs w:val="28"/>
                                <w:lang w:val="en-US" w:eastAsia="zh-CN"/>
                              </w:rPr>
                              <w:t>2022-2035</w:t>
                            </w:r>
                            <w:r>
                              <w:rPr>
                                <w:rFonts w:hint="eastAsia"/>
                                <w:b/>
                                <w:bCs/>
                                <w:sz w:val="28"/>
                                <w:szCs w:val="28"/>
                                <w:lang w:eastAsia="zh-CN"/>
                              </w:rPr>
                              <w:t>）—东部园区用地功能布局图</w:t>
                            </w:r>
                          </w:p>
                        </w:txbxContent>
                      </wps:txbx>
                      <wps:bodyPr upright="1"/>
                    </wps:wsp>
                  </a:graphicData>
                </a:graphic>
              </wp:anchor>
            </w:drawing>
          </mc:Choice>
          <mc:Fallback>
            <w:pict>
              <v:shape id="_x0000_s1026" o:spid="_x0000_s1026" o:spt="202" type="#_x0000_t202" style="position:absolute;left:0pt;margin-left:105.35pt;margin-top:479pt;height:24.2pt;width:524.2pt;z-index:251667456;mso-width-relative:page;mso-height-relative:page;" filled="f" stroked="f" coordsize="21600,21600" o:gfxdata="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I6KzT2AAA&#10;AA0BAAAPAAAAAAAAAAEAIAAAACIAAABkcnMvZG93bnJldi54bWxQSwECFAAUAAAACACHTuJAQNJ8&#10;TawBAABQAwAADgAAAAAAAAABACAAAAAnAQAAZHJzL2Uyb0RvYy54bWxQSwUGAAAAAAYABgBZAQAA&#10;RQUAAAAA&#10;">
                <v:fill on="f" focussize="0,0"/>
                <v:stroke on="f"/>
                <v:imagedata o:title=""/>
                <o:lock v:ext="edit" aspectratio="f"/>
                <v:textbox>
                  <w:txbxContent>
                    <w:p w14:paraId="3BB79141">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28"/>
                          <w:szCs w:val="28"/>
                          <w:lang w:val="en-US" w:eastAsia="zh-CN"/>
                        </w:rPr>
                      </w:pPr>
                      <w:r>
                        <w:rPr>
                          <w:rFonts w:hint="eastAsia"/>
                          <w:b/>
                          <w:bCs/>
                          <w:sz w:val="28"/>
                          <w:szCs w:val="28"/>
                          <w:lang w:eastAsia="zh-CN"/>
                        </w:rPr>
                        <w:t>附图六：武陟经济技术开发区发展规划（</w:t>
                      </w:r>
                      <w:r>
                        <w:rPr>
                          <w:rFonts w:hint="eastAsia"/>
                          <w:b/>
                          <w:bCs/>
                          <w:sz w:val="28"/>
                          <w:szCs w:val="28"/>
                          <w:lang w:val="en-US" w:eastAsia="zh-CN"/>
                        </w:rPr>
                        <w:t>2022-2035</w:t>
                      </w:r>
                      <w:r>
                        <w:rPr>
                          <w:rFonts w:hint="eastAsia"/>
                          <w:b/>
                          <w:bCs/>
                          <w:sz w:val="28"/>
                          <w:szCs w:val="28"/>
                          <w:lang w:eastAsia="zh-CN"/>
                        </w:rPr>
                        <w:t>）—东部园区用地功能布局图</w:t>
                      </w:r>
                    </w:p>
                  </w:txbxContent>
                </v:textbox>
              </v:shape>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column">
                  <wp:posOffset>7078980</wp:posOffset>
                </wp:positionH>
                <wp:positionV relativeFrom="paragraph">
                  <wp:posOffset>2281555</wp:posOffset>
                </wp:positionV>
                <wp:extent cx="2149475" cy="421640"/>
                <wp:effectExtent l="0" t="0" r="0" b="0"/>
                <wp:wrapNone/>
                <wp:docPr id="4" name="文本框 4"/>
                <wp:cNvGraphicFramePr/>
                <a:graphic xmlns:a="http://schemas.openxmlformats.org/drawingml/2006/main">
                  <a:graphicData uri="http://schemas.microsoft.com/office/word/2010/wordprocessingShape">
                    <wps:wsp>
                      <wps:cNvSpPr txBox="1"/>
                      <wps:spPr>
                        <a:xfrm>
                          <a:off x="7801610" y="3248660"/>
                          <a:ext cx="2149475" cy="4216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AB5F8A">
                            <w:pPr>
                              <w:keepNext w:val="0"/>
                              <w:keepLines w:val="0"/>
                              <w:pageBreakBefore w:val="0"/>
                              <w:widowControl w:val="0"/>
                              <w:kinsoku/>
                              <w:wordWrap/>
                              <w:overflowPunct/>
                              <w:topLinePunct w:val="0"/>
                              <w:bidi w:val="0"/>
                              <w:adjustRightInd/>
                              <w:snapToGrid/>
                              <w:spacing w:line="240" w:lineRule="auto"/>
                              <w:ind w:firstLine="0" w:firstLineChars="0"/>
                              <w:textAlignment w:val="auto"/>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7.4pt;margin-top:179.65pt;height:33.2pt;width:169.25pt;z-index:251673600;mso-width-relative:page;mso-height-relative:page;" filled="f" stroked="f" coordsize="21600,21600" o:gfxdata="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NR/wJrcAAAADQEAAA8AAAAA&#10;AAAAAQAgAAAAIgAAAGRycy9kb3ducmV2LnhtbFBLAQIUABQAAAAIAIdO4kBUGiwNSQIAAHIEAAAO&#10;AAAAAAAAAAEAIAAAACsBAABkcnMvZTJvRG9jLnhtbFBLBQYAAAAABgAGAFkBAADmBQAAAAA=&#10;">
                <v:fill on="f" focussize="0,0"/>
                <v:stroke on="f" weight="0.5pt"/>
                <v:imagedata o:title=""/>
                <o:lock v:ext="edit" aspectratio="f"/>
                <v:textbox>
                  <w:txbxContent>
                    <w:p w14:paraId="71AB5F8A">
                      <w:pPr>
                        <w:keepNext w:val="0"/>
                        <w:keepLines w:val="0"/>
                        <w:pageBreakBefore w:val="0"/>
                        <w:widowControl w:val="0"/>
                        <w:kinsoku/>
                        <w:wordWrap/>
                        <w:overflowPunct/>
                        <w:topLinePunct w:val="0"/>
                        <w:bidi w:val="0"/>
                        <w:adjustRightInd/>
                        <w:snapToGrid/>
                        <w:spacing w:line="240" w:lineRule="auto"/>
                        <w:ind w:firstLine="0" w:firstLineChars="0"/>
                        <w:textAlignment w:val="auto"/>
                      </w:pP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1312" behindDoc="0" locked="0" layoutInCell="1" allowOverlap="1">
                <wp:simplePos x="0" y="0"/>
                <wp:positionH relativeFrom="column">
                  <wp:posOffset>243840</wp:posOffset>
                </wp:positionH>
                <wp:positionV relativeFrom="paragraph">
                  <wp:posOffset>188595</wp:posOffset>
                </wp:positionV>
                <wp:extent cx="3693795" cy="272034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3693795" cy="2720340"/>
                        </a:xfrm>
                        <a:prstGeom prst="rect">
                          <a:avLst/>
                        </a:prstGeom>
                        <a:noFill/>
                        <a:ln>
                          <a:noFill/>
                        </a:ln>
                      </wps:spPr>
                      <wps:txbx>
                        <w:txbxContent>
                          <w:p w14:paraId="04165DE5">
                            <w:pPr>
                              <w:spacing w:line="240" w:lineRule="auto"/>
                              <w:ind w:left="0" w:leftChars="0" w:firstLine="0" w:firstLineChars="0"/>
                              <w:rPr>
                                <w:rFonts w:hint="eastAsia" w:eastAsia="宋体"/>
                                <w:lang w:eastAsia="zh-CN"/>
                              </w:rPr>
                            </w:pPr>
                          </w:p>
                        </w:txbxContent>
                      </wps:txbx>
                      <wps:bodyPr wrap="none" upright="1">
                        <a:spAutoFit/>
                      </wps:bodyPr>
                    </wps:wsp>
                  </a:graphicData>
                </a:graphic>
              </wp:anchor>
            </w:drawing>
          </mc:Choice>
          <mc:Fallback>
            <w:pict>
              <v:shape id="_x0000_s1026" o:spid="_x0000_s1026" o:spt="202" type="#_x0000_t202" style="position:absolute;left:0pt;margin-left:19.2pt;margin-top:14.85pt;height:214.2pt;width:290.85pt;mso-wrap-style:none;z-index:251661312;mso-width-relative:page;mso-height-relative:page;" filled="f" stroked="f" coordsize="21600,21600" o:gfxdata="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X9jHrWAAAACQEAAA8AAAAAAAAAAQAgAAAAIgAAAGRycy9kb3ducmV2&#10;LnhtbFBLAQIUABQAAAAIAIdO4kC65EyuxQEAAHcDAAAOAAAAAAAAAAEAIAAAACUBAABkcnMvZTJv&#10;RG9jLnhtbFBLBQYAAAAABgAGAFkBAABcBQAAAAA=&#10;">
                <v:fill on="f" focussize="0,0"/>
                <v:stroke on="f"/>
                <v:imagedata o:title=""/>
                <o:lock v:ext="edit" aspectratio="f"/>
                <v:textbox style="mso-fit-shape-to-text:t;">
                  <w:txbxContent>
                    <w:p w14:paraId="04165DE5">
                      <w:pPr>
                        <w:spacing w:line="240" w:lineRule="auto"/>
                        <w:ind w:left="0" w:leftChars="0" w:firstLine="0" w:firstLineChars="0"/>
                        <w:rPr>
                          <w:rFonts w:hint="eastAsia" w:eastAsia="宋体"/>
                          <w:lang w:eastAsia="zh-CN"/>
                        </w:rPr>
                      </w:pPr>
                    </w:p>
                  </w:txbxContent>
                </v:textbox>
              </v:shape>
            </w:pict>
          </mc:Fallback>
        </mc:AlternateContent>
      </w:r>
    </w:p>
    <w:p w14:paraId="5910F7E1">
      <w:pPr>
        <w:spacing w:line="240" w:lineRule="auto"/>
        <w:ind w:firstLine="0" w:firstLineChars="0"/>
        <w:jc w:val="center"/>
        <w:rPr>
          <w:rFonts w:hint="default" w:ascii="Times New Roman" w:hAnsi="Times New Roman" w:cs="Times New Roman"/>
        </w:rPr>
      </w:pPr>
      <w:r>
        <w:rPr>
          <w:sz w:val="24"/>
        </w:rPr>
        <mc:AlternateContent>
          <mc:Choice Requires="wps">
            <w:drawing>
              <wp:anchor distT="0" distB="0" distL="114300" distR="114300" simplePos="0" relativeHeight="251721728" behindDoc="0" locked="0" layoutInCell="1" allowOverlap="1">
                <wp:simplePos x="0" y="0"/>
                <wp:positionH relativeFrom="column">
                  <wp:posOffset>7109460</wp:posOffset>
                </wp:positionH>
                <wp:positionV relativeFrom="paragraph">
                  <wp:posOffset>2980055</wp:posOffset>
                </wp:positionV>
                <wp:extent cx="634365" cy="264795"/>
                <wp:effectExtent l="4445" t="4445" r="8890" b="16510"/>
                <wp:wrapNone/>
                <wp:docPr id="84" name="文本框 84"/>
                <wp:cNvGraphicFramePr/>
                <a:graphic xmlns:a="http://schemas.openxmlformats.org/drawingml/2006/main">
                  <a:graphicData uri="http://schemas.microsoft.com/office/word/2010/wordprocessingShape">
                    <wps:wsp>
                      <wps:cNvSpPr txBox="1"/>
                      <wps:spPr>
                        <a:xfrm>
                          <a:off x="0" y="0"/>
                          <a:ext cx="634365" cy="2647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8950977">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lang w:val="en-US" w:eastAsia="zh-CN"/>
                              </w:rPr>
                            </w:pPr>
                            <w:r>
                              <w:rPr>
                                <w:rFonts w:hint="eastAsia"/>
                                <w:lang w:val="en-US" w:eastAsia="zh-CN"/>
                              </w:rPr>
                              <w:t>2300m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9.8pt;margin-top:234.65pt;height:20.85pt;width:49.95pt;z-index:251721728;mso-width-relative:page;mso-height-relative:page;" fillcolor="#FFFFFF [3201]" filled="t" stroked="t" coordsize="21600,21600" o:gfxdata="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H1cQT2AAA&#10;AA0BAAAPAAAAAAAAAAEAIAAAACIAAABkcnMvZG93bnJldi54bWxQSwECFAAUAAAACACHTuJAKFXi&#10;y1cCAAC4BAAADgAAAAAAAAABACAAAAAnAQAAZHJzL2Uyb0RvYy54bWxQSwUGAAAAAAYABgBZAQAA&#10;8AUAAAAA&#10;">
                <v:fill on="t" focussize="0,0"/>
                <v:stroke weight="0.5pt" color="#000000 [3204]" joinstyle="round"/>
                <v:imagedata o:title=""/>
                <o:lock v:ext="edit" aspectratio="f"/>
                <v:textbox>
                  <w:txbxContent>
                    <w:p w14:paraId="58950977">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lang w:val="en-US" w:eastAsia="zh-CN"/>
                        </w:rPr>
                      </w:pPr>
                      <w:r>
                        <w:rPr>
                          <w:rFonts w:hint="eastAsia"/>
                          <w:lang w:val="en-US" w:eastAsia="zh-CN"/>
                        </w:rPr>
                        <w:t>2300m</w:t>
                      </w:r>
                    </w:p>
                  </w:txbxContent>
                </v:textbox>
              </v:shape>
            </w:pict>
          </mc:Fallback>
        </mc:AlternateContent>
      </w:r>
      <w:r>
        <w:rPr>
          <w:sz w:val="24"/>
        </w:rPr>
        <mc:AlternateContent>
          <mc:Choice Requires="wps">
            <w:drawing>
              <wp:anchor distT="0" distB="0" distL="114300" distR="114300" simplePos="0" relativeHeight="251720704" behindDoc="0" locked="0" layoutInCell="1" allowOverlap="1">
                <wp:simplePos x="0" y="0"/>
                <wp:positionH relativeFrom="column">
                  <wp:posOffset>5517515</wp:posOffset>
                </wp:positionH>
                <wp:positionV relativeFrom="paragraph">
                  <wp:posOffset>2362200</wp:posOffset>
                </wp:positionV>
                <wp:extent cx="561340" cy="264795"/>
                <wp:effectExtent l="4445" t="4445" r="5715" b="16510"/>
                <wp:wrapNone/>
                <wp:docPr id="83" name="文本框 83"/>
                <wp:cNvGraphicFramePr/>
                <a:graphic xmlns:a="http://schemas.openxmlformats.org/drawingml/2006/main">
                  <a:graphicData uri="http://schemas.microsoft.com/office/word/2010/wordprocessingShape">
                    <wps:wsp>
                      <wps:cNvSpPr txBox="1"/>
                      <wps:spPr>
                        <a:xfrm>
                          <a:off x="3886200" y="3403600"/>
                          <a:ext cx="561340" cy="2647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87F4D9B">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lang w:val="en-US" w:eastAsia="zh-CN"/>
                              </w:rPr>
                            </w:pPr>
                            <w:r>
                              <w:rPr>
                                <w:rFonts w:hint="eastAsia"/>
                                <w:lang w:val="en-US" w:eastAsia="zh-CN"/>
                              </w:rPr>
                              <w:t>305m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4.45pt;margin-top:186pt;height:20.85pt;width:44.2pt;z-index:251720704;mso-width-relative:page;mso-height-relative:page;" fillcolor="#FFFFFF [3201]" filled="t" stroked="t" coordsize="21600,21600" o:gfxdata="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4cwLLNgAAAALAQAADwAAAAAAAAABACAAAAAiAAAAZHJzL2Rvd25yZXYueG1sUEsBAhQAFAAA&#10;AAgAh07iQKIwOqdhAgAAxAQAAA4AAAAAAAAAAQAgAAAAJwEAAGRycy9lMm9Eb2MueG1sUEsFBgAA&#10;AAAGAAYAWQEAAPoFAAAAAA==&#10;">
                <v:fill on="t" focussize="0,0"/>
                <v:stroke weight="0.5pt" color="#000000 [3204]" joinstyle="round"/>
                <v:imagedata o:title=""/>
                <o:lock v:ext="edit" aspectratio="f"/>
                <v:textbox>
                  <w:txbxContent>
                    <w:p w14:paraId="287F4D9B">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lang w:val="en-US" w:eastAsia="zh-CN"/>
                        </w:rPr>
                      </w:pPr>
                      <w:r>
                        <w:rPr>
                          <w:rFonts w:hint="eastAsia"/>
                          <w:lang w:val="en-US" w:eastAsia="zh-CN"/>
                        </w:rPr>
                        <w:t>305m</w:t>
                      </w:r>
                    </w:p>
                  </w:txbxContent>
                </v:textbox>
              </v:shape>
            </w:pict>
          </mc:Fallback>
        </mc:AlternateContent>
      </w:r>
      <w:r>
        <w:rPr>
          <w:sz w:val="24"/>
        </w:rPr>
        <mc:AlternateContent>
          <mc:Choice Requires="wps">
            <w:drawing>
              <wp:anchor distT="0" distB="0" distL="114300" distR="114300" simplePos="0" relativeHeight="251719680" behindDoc="0" locked="0" layoutInCell="1" allowOverlap="1">
                <wp:simplePos x="0" y="0"/>
                <wp:positionH relativeFrom="column">
                  <wp:posOffset>6313170</wp:posOffset>
                </wp:positionH>
                <wp:positionV relativeFrom="paragraph">
                  <wp:posOffset>2432050</wp:posOffset>
                </wp:positionV>
                <wp:extent cx="511175" cy="643890"/>
                <wp:effectExtent l="7620" t="5715" r="14605" b="17145"/>
                <wp:wrapNone/>
                <wp:docPr id="82" name="直接箭头连接符 82"/>
                <wp:cNvGraphicFramePr/>
                <a:graphic xmlns:a="http://schemas.openxmlformats.org/drawingml/2006/main">
                  <a:graphicData uri="http://schemas.microsoft.com/office/word/2010/wordprocessingShape">
                    <wps:wsp>
                      <wps:cNvCnPr>
                        <a:stCxn id="80" idx="3"/>
                      </wps:cNvCnPr>
                      <wps:spPr>
                        <a:xfrm>
                          <a:off x="6998970" y="3346450"/>
                          <a:ext cx="511175" cy="643890"/>
                        </a:xfrm>
                        <a:prstGeom prst="straightConnector1">
                          <a:avLst/>
                        </a:prstGeom>
                        <a:ln w="19050">
                          <a:solidFill>
                            <a:srgbClr val="05FB3B"/>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497.1pt;margin-top:191.5pt;height:50.7pt;width:40.25pt;z-index:251719680;mso-width-relative:page;mso-height-relative:page;" filled="f" stroked="t" coordsize="21600,21600" o:gfxdata="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VqFkS2wAAAAwBAAAPAAAAAAAAAAEAIAAAACIAAABkcnMvZG93bnJldi54bWxQ&#10;SwECFAAUAAAACACHTuJAQgI40y0CAAAYBAAADgAAAAAAAAABACAAAAAqAQAAZHJzL2Uyb0RvYy54&#10;bWxQSwUGAAAAAAYABgBZAQAAyQUAAAAA&#10;">
                <v:fill on="f" focussize="0,0"/>
                <v:stroke weight="1.5pt" color="#05FB3B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18656" behindDoc="0" locked="0" layoutInCell="1" allowOverlap="1">
                <wp:simplePos x="0" y="0"/>
                <wp:positionH relativeFrom="column">
                  <wp:posOffset>6313170</wp:posOffset>
                </wp:positionH>
                <wp:positionV relativeFrom="paragraph">
                  <wp:posOffset>2432050</wp:posOffset>
                </wp:positionV>
                <wp:extent cx="12065" cy="213360"/>
                <wp:effectExtent l="46990" t="635" r="55245" b="14605"/>
                <wp:wrapNone/>
                <wp:docPr id="81" name="直接箭头连接符 81"/>
                <wp:cNvGraphicFramePr/>
                <a:graphic xmlns:a="http://schemas.openxmlformats.org/drawingml/2006/main">
                  <a:graphicData uri="http://schemas.microsoft.com/office/word/2010/wordprocessingShape">
                    <wps:wsp>
                      <wps:cNvCnPr>
                        <a:stCxn id="80" idx="3"/>
                      </wps:cNvCnPr>
                      <wps:spPr>
                        <a:xfrm>
                          <a:off x="6998970" y="3346450"/>
                          <a:ext cx="12065" cy="213360"/>
                        </a:xfrm>
                        <a:prstGeom prst="straightConnector1">
                          <a:avLst/>
                        </a:prstGeom>
                        <a:ln w="19050">
                          <a:solidFill>
                            <a:srgbClr val="FFFF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497.1pt;margin-top:191.5pt;height:16.8pt;width:0.95pt;z-index:251718656;mso-width-relative:page;mso-height-relative:page;" filled="f" stroked="t" coordsize="21600,21600" o:gfxdata="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6gCRO2gAAAAsBAAAPAAAAAAAAAAEAIAAAACIAAABkcnMvZG93bnJldi54bWxQSwECFAAU&#10;AAAACACHTuJASu0GqigCAAAXBAAADgAAAAAAAAABACAAAAApAQAAZHJzL2Uyb0RvYy54bWxQSwUG&#10;AAAAAAYABgBZAQAAwwUAAAAA&#10;">
                <v:fill on="f" focussize="0,0"/>
                <v:stroke weight="1.5pt" color="#FFFF00 [3204]" miterlimit="8" joinstyle="miter" endarrow="open"/>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251716608" behindDoc="0" locked="0" layoutInCell="1" allowOverlap="1">
                <wp:simplePos x="0" y="0"/>
                <wp:positionH relativeFrom="column">
                  <wp:posOffset>4975860</wp:posOffset>
                </wp:positionH>
                <wp:positionV relativeFrom="paragraph">
                  <wp:posOffset>1901190</wp:posOffset>
                </wp:positionV>
                <wp:extent cx="1274445" cy="301625"/>
                <wp:effectExtent l="4445" t="4445" r="54610" b="189230"/>
                <wp:wrapNone/>
                <wp:docPr id="79" name="矩形标注 79"/>
                <wp:cNvGraphicFramePr/>
                <a:graphic xmlns:a="http://schemas.openxmlformats.org/drawingml/2006/main">
                  <a:graphicData uri="http://schemas.microsoft.com/office/word/2010/wordprocessingShape">
                    <wps:wsp>
                      <wps:cNvSpPr/>
                      <wps:spPr>
                        <a:xfrm>
                          <a:off x="0" y="0"/>
                          <a:ext cx="1274445" cy="301625"/>
                        </a:xfrm>
                        <a:prstGeom prst="wedgeRectCallout">
                          <a:avLst>
                            <a:gd name="adj1" fmla="val 51295"/>
                            <a:gd name="adj2" fmla="val 104315"/>
                          </a:avLst>
                        </a:prstGeom>
                        <a:solidFill>
                          <a:srgbClr val="FFFFFF"/>
                        </a:solidFill>
                        <a:ln w="9525" cap="flat" cmpd="sng">
                          <a:solidFill>
                            <a:srgbClr val="FF0000"/>
                          </a:solidFill>
                          <a:prstDash val="solid"/>
                          <a:miter/>
                          <a:headEnd type="none" w="med" len="med"/>
                          <a:tailEnd type="none" w="med" len="med"/>
                        </a:ln>
                      </wps:spPr>
                      <wps:txbx>
                        <w:txbxContent>
                          <w:p w14:paraId="586A03F4">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lang w:eastAsia="zh-CN"/>
                              </w:rPr>
                            </w:pPr>
                            <w:r>
                              <w:rPr>
                                <w:rFonts w:hint="eastAsia"/>
                                <w:lang w:eastAsia="zh-CN"/>
                              </w:rPr>
                              <w:t>本项目所在位置</w:t>
                            </w:r>
                          </w:p>
                        </w:txbxContent>
                      </wps:txbx>
                      <wps:bodyPr upright="1"/>
                    </wps:wsp>
                  </a:graphicData>
                </a:graphic>
              </wp:anchor>
            </w:drawing>
          </mc:Choice>
          <mc:Fallback>
            <w:pict>
              <v:shape id="_x0000_s1026" o:spid="_x0000_s1026" o:spt="61" type="#_x0000_t61" style="position:absolute;left:0pt;margin-left:391.8pt;margin-top:149.7pt;height:23.75pt;width:100.35pt;z-index:251716608;mso-width-relative:page;mso-height-relative:page;" fillcolor="#FFFFFF" filled="t" stroked="t" coordsize="21600,21600" o:gfxdata="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xWb8vaAAAACwEAAA8AAAAAAAAAAQAgAAAAIgAAAGRycy9k&#10;b3ducmV2LnhtbFBLAQIUABQAAAAIAIdO4kBF+FUjOQIAAI8EAAAOAAAAAAAAAAEAIAAAACkBAABk&#10;cnMvZTJvRG9jLnhtbFBLBQYAAAAABgAGAFkBAADUBQAAAAA=&#10;" adj="21880,33332">
                <v:fill on="t" focussize="0,0"/>
                <v:stroke color="#FF0000" joinstyle="miter"/>
                <v:imagedata o:title=""/>
                <o:lock v:ext="edit" aspectratio="f"/>
                <v:textbox>
                  <w:txbxContent>
                    <w:p w14:paraId="586A03F4">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lang w:eastAsia="zh-CN"/>
                        </w:rPr>
                      </w:pPr>
                      <w:r>
                        <w:rPr>
                          <w:rFonts w:hint="eastAsia"/>
                          <w:lang w:eastAsia="zh-CN"/>
                        </w:rPr>
                        <w:t>本项目所在位置</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717632" behindDoc="0" locked="0" layoutInCell="1" allowOverlap="1">
                <wp:simplePos x="0" y="0"/>
                <wp:positionH relativeFrom="column">
                  <wp:posOffset>6219825</wp:posOffset>
                </wp:positionH>
                <wp:positionV relativeFrom="paragraph">
                  <wp:posOffset>2325370</wp:posOffset>
                </wp:positionV>
                <wp:extent cx="115570" cy="106680"/>
                <wp:effectExtent l="15240" t="15240" r="21590" b="30480"/>
                <wp:wrapNone/>
                <wp:docPr id="80" name="五角星 80"/>
                <wp:cNvGraphicFramePr/>
                <a:graphic xmlns:a="http://schemas.openxmlformats.org/drawingml/2006/main">
                  <a:graphicData uri="http://schemas.microsoft.com/office/word/2010/wordprocessingShape">
                    <wps:wsp>
                      <wps:cNvSpPr/>
                      <wps:spPr>
                        <a:xfrm>
                          <a:off x="0" y="0"/>
                          <a:ext cx="115570" cy="106680"/>
                        </a:xfrm>
                        <a:prstGeom prst="star5">
                          <a:avLst/>
                        </a:prstGeom>
                        <a:solidFill>
                          <a:srgbClr val="FFFF00"/>
                        </a:solidFill>
                        <a:ln w="9525" cap="flat" cmpd="sng">
                          <a:solidFill>
                            <a:srgbClr val="FFFF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489.75pt;margin-top:183.1pt;height:8.4pt;width:9.1pt;z-index:251717632;mso-width-relative:page;mso-height-relative:page;" fillcolor="#FFFF00" filled="t" stroked="t" coordsize="115570,106680" o:gfxdata="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6k+RY2QAAAAsBAAAPAAAAAAAAAAEAIAAAACIAAABkcnMvZG93&#10;bnJldi54bWxQSwECFAAUAAAACACHTuJAwZzPSf8BAAAjBAAADgAAAAAAAAABACAAAAAoAQAAZHJz&#10;L2Uyb0RvYy54bWxQSwUGAAAAAAYABgBZAQAAmQUAAAAA&#10;" path="m0,40748l44144,40748,57785,0,71425,40748,115569,40748,79856,65931,93498,106679,57785,81495,22071,106679,35713,65931xe">
                <v:path o:connectlocs="57785,0;0,40748;22071,106679;93498,106679;115569,40748" o:connectangles="247,164,82,82,0"/>
                <v:fill on="t" focussize="0,0"/>
                <v:stroke color="#FFFF00" joinstyle="miter"/>
                <v:imagedata o:title=""/>
                <o:lock v:ext="edit" aspectratio="f"/>
              </v:shape>
            </w:pict>
          </mc:Fallback>
        </mc:AlternateContent>
      </w:r>
      <w:r>
        <w:rPr>
          <w:sz w:val="24"/>
        </w:rPr>
        <mc:AlternateContent>
          <mc:Choice Requires="wps">
            <w:drawing>
              <wp:anchor distT="0" distB="0" distL="114300" distR="114300" simplePos="0" relativeHeight="251715584" behindDoc="0" locked="0" layoutInCell="1" allowOverlap="1">
                <wp:simplePos x="0" y="0"/>
                <wp:positionH relativeFrom="column">
                  <wp:posOffset>8506460</wp:posOffset>
                </wp:positionH>
                <wp:positionV relativeFrom="paragraph">
                  <wp:posOffset>-60960</wp:posOffset>
                </wp:positionV>
                <wp:extent cx="1176020" cy="772795"/>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176020" cy="772795"/>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78E4527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7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9.8pt;margin-top:-4.8pt;height:60.85pt;width:92.6pt;z-index:251715584;mso-width-relative:page;mso-height-relative:page;" fillcolor="#000000" filled="t" stroked="f" coordsize="21600,21600" o:gfxdata="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sH5ifY&#10;AAAADAEAAA8AAAAAAAAAAQAgAAAAIgAAAGRycy9kb3ducmV2LnhtbFBLAQIUABQAAAAIAIdO4kCQ&#10;xrroWQIAAK4EAAAOAAAAAAAAAAEAIAAAACcBAABkcnMvZTJvRG9jLnhtbFBLBQYAAAAABgAGAFkB&#10;AADyBQAAAAA=&#10;">
                <v:fill on="t" opacity="0f" focussize="0,0"/>
                <v:stroke on="f" weight="0.5pt"/>
                <v:imagedata o:title=""/>
                <o:lock v:ext="edit" aspectratio="f"/>
                <v:textbox>
                  <w:txbxContent>
                    <w:p w14:paraId="78E4527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pPr>
                      <w:r>
                        <w:drawing>
                          <wp:inline distT="0" distB="0" distL="114300" distR="114300">
                            <wp:extent cx="727075" cy="593725"/>
                            <wp:effectExtent l="0" t="0" r="15875" b="15875"/>
                            <wp:docPr id="7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
                                    <pic:cNvPicPr>
                                      <a:picLocks noChangeAspect="1"/>
                                    </pic:cNvPicPr>
                                  </pic:nvPicPr>
                                  <pic:blipFill>
                                    <a:blip r:embed="rId19"/>
                                    <a:srcRect l="24178" t="27474" r="12511" b="24316"/>
                                    <a:stretch>
                                      <a:fillRect/>
                                    </a:stretch>
                                  </pic:blipFill>
                                  <pic:spPr>
                                    <a:xfrm>
                                      <a:off x="0" y="0"/>
                                      <a:ext cx="727075" cy="593725"/>
                                    </a:xfrm>
                                    <a:prstGeom prst="rect">
                                      <a:avLst/>
                                    </a:prstGeom>
                                    <a:noFill/>
                                    <a:ln>
                                      <a:noFill/>
                                    </a:ln>
                                  </pic:spPr>
                                </pic:pic>
                              </a:graphicData>
                            </a:graphic>
                          </wp:inline>
                        </w:drawing>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711488" behindDoc="0" locked="0" layoutInCell="1" allowOverlap="1">
                <wp:simplePos x="0" y="0"/>
                <wp:positionH relativeFrom="column">
                  <wp:posOffset>1097280</wp:posOffset>
                </wp:positionH>
                <wp:positionV relativeFrom="paragraph">
                  <wp:posOffset>5269865</wp:posOffset>
                </wp:positionV>
                <wp:extent cx="6784340" cy="3302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6784340" cy="330200"/>
                        </a:xfrm>
                        <a:prstGeom prst="rect">
                          <a:avLst/>
                        </a:prstGeom>
                        <a:noFill/>
                        <a:ln>
                          <a:noFill/>
                        </a:ln>
                      </wps:spPr>
                      <wps:txbx>
                        <w:txbxContent>
                          <w:p w14:paraId="7475C471">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28"/>
                                <w:szCs w:val="28"/>
                                <w:lang w:val="en-US" w:eastAsia="zh-CN"/>
                              </w:rPr>
                            </w:pPr>
                            <w:r>
                              <w:rPr>
                                <w:rFonts w:hint="eastAsia"/>
                                <w:b/>
                                <w:bCs/>
                                <w:sz w:val="28"/>
                                <w:szCs w:val="28"/>
                                <w:lang w:eastAsia="zh-CN"/>
                              </w:rPr>
                              <w:t>附图七：武陟经济技术开发区发展规划（</w:t>
                            </w:r>
                            <w:r>
                              <w:rPr>
                                <w:rFonts w:hint="eastAsia"/>
                                <w:b/>
                                <w:bCs/>
                                <w:sz w:val="28"/>
                                <w:szCs w:val="28"/>
                                <w:lang w:val="en-US" w:eastAsia="zh-CN"/>
                              </w:rPr>
                              <w:t>2022-2035</w:t>
                            </w:r>
                            <w:r>
                              <w:rPr>
                                <w:rFonts w:hint="eastAsia"/>
                                <w:b/>
                                <w:bCs/>
                                <w:sz w:val="28"/>
                                <w:szCs w:val="28"/>
                                <w:lang w:eastAsia="zh-CN"/>
                              </w:rPr>
                              <w:t>）—</w:t>
                            </w:r>
                            <w:r>
                              <w:rPr>
                                <w:rFonts w:ascii="宋体" w:hAnsi="宋体" w:eastAsia="宋体" w:cs="宋体"/>
                                <w:b/>
                                <w:bCs/>
                                <w:color w:val="000000"/>
                                <w:sz w:val="28"/>
                                <w:szCs w:val="28"/>
                              </w:rPr>
                              <w:t>中洛石油管道及铁路</w:t>
                            </w:r>
                            <w:r>
                              <w:rPr>
                                <w:rFonts w:hint="eastAsia" w:ascii="宋体" w:hAnsi="宋体" w:eastAsia="宋体" w:cs="宋体"/>
                                <w:b/>
                                <w:bCs/>
                                <w:color w:val="000000"/>
                                <w:sz w:val="28"/>
                                <w:szCs w:val="28"/>
                                <w:lang w:eastAsia="zh-CN"/>
                              </w:rPr>
                              <w:t>走</w:t>
                            </w:r>
                            <w:r>
                              <w:rPr>
                                <w:rFonts w:ascii="宋体" w:hAnsi="宋体" w:eastAsia="宋体" w:cs="宋体"/>
                                <w:b/>
                                <w:bCs/>
                                <w:color w:val="000000"/>
                                <w:sz w:val="28"/>
                                <w:szCs w:val="28"/>
                              </w:rPr>
                              <w:t>向图</w:t>
                            </w:r>
                          </w:p>
                        </w:txbxContent>
                      </wps:txbx>
                      <wps:bodyPr upright="1"/>
                    </wps:wsp>
                  </a:graphicData>
                </a:graphic>
              </wp:anchor>
            </w:drawing>
          </mc:Choice>
          <mc:Fallback>
            <w:pict>
              <v:shape id="_x0000_s1026" o:spid="_x0000_s1026" o:spt="202" type="#_x0000_t202" style="position:absolute;left:0pt;margin-left:86.4pt;margin-top:414.95pt;height:26pt;width:534.2pt;z-index:251711488;mso-width-relative:page;mso-height-relative:page;" filled="f" stroked="f" coordsize="21600,21600" o:gfxdata="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8Aw9D1wAA&#10;AAwBAAAPAAAAAAAAAAEAIAAAACIAAABkcnMvZG93bnJldi54bWxQSwECFAAUAAAACACHTuJAY13d&#10;2K0BAABQAwAADgAAAAAAAAABACAAAAAmAQAAZHJzL2Uyb0RvYy54bWxQSwUGAAAAAAYABgBZAQAA&#10;RQUAAAAA&#10;">
                <v:fill on="f" focussize="0,0"/>
                <v:stroke on="f"/>
                <v:imagedata o:title=""/>
                <o:lock v:ext="edit" aspectratio="f"/>
                <v:textbox>
                  <w:txbxContent>
                    <w:p w14:paraId="7475C471">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28"/>
                          <w:szCs w:val="28"/>
                          <w:lang w:val="en-US" w:eastAsia="zh-CN"/>
                        </w:rPr>
                      </w:pPr>
                      <w:r>
                        <w:rPr>
                          <w:rFonts w:hint="eastAsia"/>
                          <w:b/>
                          <w:bCs/>
                          <w:sz w:val="28"/>
                          <w:szCs w:val="28"/>
                          <w:lang w:eastAsia="zh-CN"/>
                        </w:rPr>
                        <w:t>附图七：武陟经济技术开发区发展规划（</w:t>
                      </w:r>
                      <w:r>
                        <w:rPr>
                          <w:rFonts w:hint="eastAsia"/>
                          <w:b/>
                          <w:bCs/>
                          <w:sz w:val="28"/>
                          <w:szCs w:val="28"/>
                          <w:lang w:val="en-US" w:eastAsia="zh-CN"/>
                        </w:rPr>
                        <w:t>2022-2035</w:t>
                      </w:r>
                      <w:r>
                        <w:rPr>
                          <w:rFonts w:hint="eastAsia"/>
                          <w:b/>
                          <w:bCs/>
                          <w:sz w:val="28"/>
                          <w:szCs w:val="28"/>
                          <w:lang w:eastAsia="zh-CN"/>
                        </w:rPr>
                        <w:t>）—</w:t>
                      </w:r>
                      <w:r>
                        <w:rPr>
                          <w:rFonts w:ascii="宋体" w:hAnsi="宋体" w:eastAsia="宋体" w:cs="宋体"/>
                          <w:b/>
                          <w:bCs/>
                          <w:color w:val="000000"/>
                          <w:sz w:val="28"/>
                          <w:szCs w:val="28"/>
                        </w:rPr>
                        <w:t>中洛石油管道及铁路</w:t>
                      </w:r>
                      <w:r>
                        <w:rPr>
                          <w:rFonts w:hint="eastAsia" w:ascii="宋体" w:hAnsi="宋体" w:eastAsia="宋体" w:cs="宋体"/>
                          <w:b/>
                          <w:bCs/>
                          <w:color w:val="000000"/>
                          <w:sz w:val="28"/>
                          <w:szCs w:val="28"/>
                          <w:lang w:eastAsia="zh-CN"/>
                        </w:rPr>
                        <w:t>走</w:t>
                      </w:r>
                      <w:r>
                        <w:rPr>
                          <w:rFonts w:ascii="宋体" w:hAnsi="宋体" w:eastAsia="宋体" w:cs="宋体"/>
                          <w:b/>
                          <w:bCs/>
                          <w:color w:val="000000"/>
                          <w:sz w:val="28"/>
                          <w:szCs w:val="28"/>
                        </w:rPr>
                        <w:t>向图</w:t>
                      </w:r>
                    </w:p>
                  </w:txbxContent>
                </v:textbox>
              </v:shape>
            </w:pict>
          </mc:Fallback>
        </mc:AlternateContent>
      </w:r>
      <w:r>
        <w:drawing>
          <wp:inline distT="0" distB="0" distL="114300" distR="114300">
            <wp:extent cx="9304655" cy="5222240"/>
            <wp:effectExtent l="0" t="0" r="10795" b="16510"/>
            <wp:docPr id="6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7"/>
                    <pic:cNvPicPr>
                      <a:picLocks noChangeAspect="1"/>
                    </pic:cNvPicPr>
                  </pic:nvPicPr>
                  <pic:blipFill>
                    <a:blip r:embed="rId29"/>
                    <a:stretch>
                      <a:fillRect/>
                    </a:stretch>
                  </pic:blipFill>
                  <pic:spPr>
                    <a:xfrm>
                      <a:off x="0" y="0"/>
                      <a:ext cx="9304655" cy="5222240"/>
                    </a:xfrm>
                    <a:prstGeom prst="rect">
                      <a:avLst/>
                    </a:prstGeom>
                    <a:noFill/>
                    <a:ln>
                      <a:noFill/>
                    </a:ln>
                  </pic:spPr>
                </pic:pic>
              </a:graphicData>
            </a:graphic>
          </wp:inline>
        </w:drawing>
      </w:r>
    </w:p>
    <w:p w14:paraId="78A64EDC">
      <w:pPr>
        <w:jc w:val="center"/>
        <w:rPr>
          <w:rFonts w:hint="default" w:ascii="Times New Roman" w:hAnsi="Times New Roman" w:cs="Times New Roman"/>
        </w:rPr>
        <w:sectPr>
          <w:pgSz w:w="16838" w:h="11906" w:orient="landscape"/>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tbl>
      <w:tblPr>
        <w:tblStyle w:val="15"/>
        <w:tblW w:w="10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2"/>
        <w:gridCol w:w="5037"/>
      </w:tblGrid>
      <w:tr w14:paraId="5988F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6" w:hRule="atLeast"/>
          <w:jc w:val="center"/>
        </w:trPr>
        <w:tc>
          <w:tcPr>
            <w:tcW w:w="5062" w:type="dxa"/>
            <w:noWrap w:val="0"/>
            <w:tcMar>
              <w:left w:w="57" w:type="dxa"/>
              <w:right w:w="57" w:type="dxa"/>
            </w:tcMar>
            <w:vAlign w:val="center"/>
          </w:tcPr>
          <w:p w14:paraId="1759404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3085465" cy="2305685"/>
                  <wp:effectExtent l="0" t="0" r="635" b="18415"/>
                  <wp:docPr id="5" name="图片 5" descr="68aee66ed51cbe3190d285bc0859f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8aee66ed51cbe3190d285bc0859f117"/>
                          <pic:cNvPicPr>
                            <a:picLocks noChangeAspect="1"/>
                          </pic:cNvPicPr>
                        </pic:nvPicPr>
                        <pic:blipFill>
                          <a:blip r:embed="rId30"/>
                          <a:srcRect r="14132" b="14490"/>
                          <a:stretch>
                            <a:fillRect/>
                          </a:stretch>
                        </pic:blipFill>
                        <pic:spPr>
                          <a:xfrm>
                            <a:off x="0" y="0"/>
                            <a:ext cx="3085465" cy="2305685"/>
                          </a:xfrm>
                          <a:prstGeom prst="rect">
                            <a:avLst/>
                          </a:prstGeom>
                        </pic:spPr>
                      </pic:pic>
                    </a:graphicData>
                  </a:graphic>
                </wp:inline>
              </w:drawing>
            </w:r>
          </w:p>
        </w:tc>
        <w:tc>
          <w:tcPr>
            <w:tcW w:w="5037" w:type="dxa"/>
            <w:noWrap w:val="0"/>
            <w:tcMar>
              <w:left w:w="57" w:type="dxa"/>
              <w:right w:w="57" w:type="dxa"/>
            </w:tcMar>
            <w:vAlign w:val="center"/>
          </w:tcPr>
          <w:p w14:paraId="74CF1DE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3119755" cy="2350135"/>
                  <wp:effectExtent l="0" t="0" r="4445" b="12065"/>
                  <wp:docPr id="8" name="图片 8" descr="dc23cbdea808151842676496118d9c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c23cbdea808151842676496118d9c1a"/>
                          <pic:cNvPicPr>
                            <a:picLocks noChangeAspect="1"/>
                          </pic:cNvPicPr>
                        </pic:nvPicPr>
                        <pic:blipFill>
                          <a:blip r:embed="rId31"/>
                          <a:stretch>
                            <a:fillRect/>
                          </a:stretch>
                        </pic:blipFill>
                        <pic:spPr>
                          <a:xfrm>
                            <a:off x="0" y="0"/>
                            <a:ext cx="3119755" cy="2350135"/>
                          </a:xfrm>
                          <a:prstGeom prst="rect">
                            <a:avLst/>
                          </a:prstGeom>
                        </pic:spPr>
                      </pic:pic>
                    </a:graphicData>
                  </a:graphic>
                </wp:inline>
              </w:drawing>
            </w:r>
          </w:p>
        </w:tc>
      </w:tr>
      <w:tr w14:paraId="4C373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062" w:type="dxa"/>
            <w:noWrap w:val="0"/>
            <w:tcMar>
              <w:left w:w="57" w:type="dxa"/>
              <w:right w:w="57" w:type="dxa"/>
            </w:tcMar>
            <w:vAlign w:val="center"/>
          </w:tcPr>
          <w:p w14:paraId="175ACDC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宋体" w:cs="Times New Roman"/>
              </w:rPr>
              <w:t>项</w:t>
            </w:r>
            <w:r>
              <w:rPr>
                <w:rFonts w:hint="default" w:ascii="Times New Roman" w:hAnsi="Times New Roman" w:eastAsia="宋体" w:cs="Times New Roman"/>
                <w:highlight w:val="none"/>
              </w:rPr>
              <w:t>目东侧</w:t>
            </w:r>
            <w:r>
              <w:rPr>
                <w:rFonts w:hint="default" w:ascii="Times New Roman" w:hAnsi="Times New Roman" w:cs="Times New Roman"/>
                <w:highlight w:val="none"/>
              </w:rPr>
              <w:t>建能智慧科技（河南）有限公司</w:t>
            </w:r>
          </w:p>
        </w:tc>
        <w:tc>
          <w:tcPr>
            <w:tcW w:w="5037" w:type="dxa"/>
            <w:noWrap w:val="0"/>
            <w:tcMar>
              <w:left w:w="57" w:type="dxa"/>
              <w:right w:w="57" w:type="dxa"/>
            </w:tcMar>
            <w:vAlign w:val="center"/>
          </w:tcPr>
          <w:p w14:paraId="5210A7B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宋体" w:cs="Times New Roman"/>
              </w:rPr>
              <w:t>项目北侧</w:t>
            </w:r>
            <w:r>
              <w:rPr>
                <w:rFonts w:hint="eastAsia" w:cs="Times New Roman"/>
                <w:lang w:eastAsia="zh-CN"/>
              </w:rPr>
              <w:t>空</w:t>
            </w:r>
            <w:r>
              <w:rPr>
                <w:rFonts w:hint="default" w:ascii="Times New Roman" w:hAnsi="Times New Roman" w:eastAsia="宋体" w:cs="Times New Roman"/>
                <w:lang w:eastAsia="zh-CN"/>
              </w:rPr>
              <w:t>厂房</w:t>
            </w:r>
          </w:p>
        </w:tc>
      </w:tr>
      <w:tr w14:paraId="32E8D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4" w:hRule="atLeast"/>
          <w:jc w:val="center"/>
        </w:trPr>
        <w:tc>
          <w:tcPr>
            <w:tcW w:w="5062" w:type="dxa"/>
            <w:noWrap w:val="0"/>
            <w:tcMar>
              <w:left w:w="57" w:type="dxa"/>
              <w:right w:w="57" w:type="dxa"/>
            </w:tcMar>
            <w:vAlign w:val="center"/>
          </w:tcPr>
          <w:p w14:paraId="05091A5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3150870" cy="2633345"/>
                  <wp:effectExtent l="0" t="0" r="11430" b="14605"/>
                  <wp:docPr id="3" name="图片 3" descr="13221334e27de98ac08af93243ab4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3221334e27de98ac08af93243ab4470"/>
                          <pic:cNvPicPr>
                            <a:picLocks noChangeAspect="1"/>
                          </pic:cNvPicPr>
                        </pic:nvPicPr>
                        <pic:blipFill>
                          <a:blip r:embed="rId32"/>
                          <a:stretch>
                            <a:fillRect/>
                          </a:stretch>
                        </pic:blipFill>
                        <pic:spPr>
                          <a:xfrm>
                            <a:off x="0" y="0"/>
                            <a:ext cx="3150870" cy="2633345"/>
                          </a:xfrm>
                          <a:prstGeom prst="rect">
                            <a:avLst/>
                          </a:prstGeom>
                        </pic:spPr>
                      </pic:pic>
                    </a:graphicData>
                  </a:graphic>
                </wp:inline>
              </w:drawing>
            </w:r>
          </w:p>
        </w:tc>
        <w:tc>
          <w:tcPr>
            <w:tcW w:w="5037" w:type="dxa"/>
            <w:noWrap w:val="0"/>
            <w:tcMar>
              <w:left w:w="57" w:type="dxa"/>
              <w:right w:w="57" w:type="dxa"/>
            </w:tcMar>
            <w:vAlign w:val="center"/>
          </w:tcPr>
          <w:p w14:paraId="4ACD5DD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3025140" cy="2832735"/>
                  <wp:effectExtent l="0" t="0" r="3810" b="5715"/>
                  <wp:docPr id="10" name="图片 10" descr="bf7b1346ff1dfd72a3276bb63d95e0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f7b1346ff1dfd72a3276bb63d95e0c6"/>
                          <pic:cNvPicPr>
                            <a:picLocks noChangeAspect="1"/>
                          </pic:cNvPicPr>
                        </pic:nvPicPr>
                        <pic:blipFill>
                          <a:blip r:embed="rId33"/>
                          <a:srcRect l="12663" b="9078"/>
                          <a:stretch>
                            <a:fillRect/>
                          </a:stretch>
                        </pic:blipFill>
                        <pic:spPr>
                          <a:xfrm>
                            <a:off x="0" y="0"/>
                            <a:ext cx="3025140" cy="2832735"/>
                          </a:xfrm>
                          <a:prstGeom prst="rect">
                            <a:avLst/>
                          </a:prstGeom>
                        </pic:spPr>
                      </pic:pic>
                    </a:graphicData>
                  </a:graphic>
                </wp:inline>
              </w:drawing>
            </w:r>
          </w:p>
        </w:tc>
      </w:tr>
      <w:tr w14:paraId="7CD04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5062" w:type="dxa"/>
            <w:noWrap w:val="0"/>
            <w:tcMar>
              <w:left w:w="57" w:type="dxa"/>
              <w:right w:w="57" w:type="dxa"/>
            </w:tcMar>
            <w:vAlign w:val="center"/>
          </w:tcPr>
          <w:p w14:paraId="063F9A1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lang w:eastAsia="zh-CN"/>
              </w:rPr>
            </w:pPr>
            <w:r>
              <w:rPr>
                <w:rFonts w:hint="default" w:ascii="Times New Roman" w:hAnsi="Times New Roman" w:eastAsia="宋体" w:cs="Times New Roman"/>
              </w:rPr>
              <w:t>项目西侧</w:t>
            </w:r>
            <w:r>
              <w:rPr>
                <w:rFonts w:hint="eastAsia" w:cs="Times New Roman"/>
                <w:lang w:eastAsia="zh-CN"/>
              </w:rPr>
              <w:t>腾鸿建材</w:t>
            </w:r>
          </w:p>
        </w:tc>
        <w:tc>
          <w:tcPr>
            <w:tcW w:w="5037" w:type="dxa"/>
            <w:noWrap w:val="0"/>
            <w:tcMar>
              <w:left w:w="57" w:type="dxa"/>
              <w:right w:w="57" w:type="dxa"/>
            </w:tcMar>
            <w:vAlign w:val="center"/>
          </w:tcPr>
          <w:p w14:paraId="236806B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宋体" w:cs="Times New Roman"/>
              </w:rPr>
              <w:t>项目南侧</w:t>
            </w:r>
            <w:r>
              <w:rPr>
                <w:rFonts w:hint="eastAsia" w:cs="Times New Roman"/>
                <w:highlight w:val="none"/>
                <w:lang w:eastAsia="zh-CN"/>
              </w:rPr>
              <w:t>河南星达医疗设备有限公司</w:t>
            </w:r>
          </w:p>
        </w:tc>
      </w:tr>
      <w:tr w14:paraId="0B588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8" w:hRule="atLeast"/>
          <w:jc w:val="center"/>
        </w:trPr>
        <w:tc>
          <w:tcPr>
            <w:tcW w:w="5062" w:type="dxa"/>
            <w:noWrap w:val="0"/>
            <w:tcMar>
              <w:left w:w="57" w:type="dxa"/>
              <w:right w:w="57" w:type="dxa"/>
            </w:tcMar>
            <w:vAlign w:val="center"/>
          </w:tcPr>
          <w:p w14:paraId="2779E52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3136265" cy="2480310"/>
                  <wp:effectExtent l="0" t="0" r="6985" b="15240"/>
                  <wp:docPr id="1" name="图片 1" descr="be66c69103e41e6141ea256bda73e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e66c69103e41e6141ea256bda73e776"/>
                          <pic:cNvPicPr>
                            <a:picLocks noChangeAspect="1"/>
                          </pic:cNvPicPr>
                        </pic:nvPicPr>
                        <pic:blipFill>
                          <a:blip r:embed="rId34"/>
                          <a:stretch>
                            <a:fillRect/>
                          </a:stretch>
                        </pic:blipFill>
                        <pic:spPr>
                          <a:xfrm>
                            <a:off x="0" y="0"/>
                            <a:ext cx="3136265" cy="2480310"/>
                          </a:xfrm>
                          <a:prstGeom prst="rect">
                            <a:avLst/>
                          </a:prstGeom>
                        </pic:spPr>
                      </pic:pic>
                    </a:graphicData>
                  </a:graphic>
                </wp:inline>
              </w:drawing>
            </w:r>
          </w:p>
        </w:tc>
        <w:tc>
          <w:tcPr>
            <w:tcW w:w="5037" w:type="dxa"/>
            <w:noWrap w:val="0"/>
            <w:tcMar>
              <w:left w:w="57" w:type="dxa"/>
              <w:right w:w="57" w:type="dxa"/>
            </w:tcMar>
            <w:vAlign w:val="center"/>
          </w:tcPr>
          <w:p w14:paraId="19D81FC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3119755" cy="2456815"/>
                  <wp:effectExtent l="0" t="0" r="4445" b="635"/>
                  <wp:docPr id="2" name="图片 2" descr="e593aee3401ddccd644eea74b6084b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593aee3401ddccd644eea74b6084b85"/>
                          <pic:cNvPicPr>
                            <a:picLocks noChangeAspect="1"/>
                          </pic:cNvPicPr>
                        </pic:nvPicPr>
                        <pic:blipFill>
                          <a:blip r:embed="rId35"/>
                          <a:stretch>
                            <a:fillRect/>
                          </a:stretch>
                        </pic:blipFill>
                        <pic:spPr>
                          <a:xfrm>
                            <a:off x="0" y="0"/>
                            <a:ext cx="3119755" cy="2456815"/>
                          </a:xfrm>
                          <a:prstGeom prst="rect">
                            <a:avLst/>
                          </a:prstGeom>
                        </pic:spPr>
                      </pic:pic>
                    </a:graphicData>
                  </a:graphic>
                </wp:inline>
              </w:drawing>
            </w:r>
          </w:p>
        </w:tc>
      </w:tr>
      <w:tr w14:paraId="33DDA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5062" w:type="dxa"/>
            <w:noWrap w:val="0"/>
            <w:tcMar>
              <w:left w:w="57" w:type="dxa"/>
              <w:right w:w="57" w:type="dxa"/>
            </w:tcMar>
            <w:vAlign w:val="center"/>
          </w:tcPr>
          <w:p w14:paraId="4A72B2C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lang w:eastAsia="zh-CN"/>
              </w:rPr>
            </w:pPr>
            <w:r>
              <w:rPr>
                <w:rFonts w:hint="default" w:ascii="Times New Roman" w:hAnsi="Times New Roman" w:cs="Times New Roman"/>
                <w:sz w:val="24"/>
              </w:rPr>
              <mc:AlternateContent>
                <mc:Choice Requires="wps">
                  <w:drawing>
                    <wp:anchor distT="0" distB="0" distL="114300" distR="114300" simplePos="0" relativeHeight="251669504" behindDoc="0" locked="0" layoutInCell="1" allowOverlap="1">
                      <wp:simplePos x="0" y="0"/>
                      <wp:positionH relativeFrom="column">
                        <wp:posOffset>1857375</wp:posOffset>
                      </wp:positionH>
                      <wp:positionV relativeFrom="paragraph">
                        <wp:posOffset>240665</wp:posOffset>
                      </wp:positionV>
                      <wp:extent cx="2974975" cy="43434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2974975" cy="434340"/>
                              </a:xfrm>
                              <a:prstGeom prst="rect">
                                <a:avLst/>
                              </a:prstGeom>
                              <a:noFill/>
                              <a:ln>
                                <a:noFill/>
                              </a:ln>
                            </wps:spPr>
                            <wps:txbx>
                              <w:txbxContent>
                                <w:p w14:paraId="1C61650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附图八：项目现状及周围环境照片</w:t>
                                  </w:r>
                                </w:p>
                              </w:txbxContent>
                            </wps:txbx>
                            <wps:bodyPr upright="1"/>
                          </wps:wsp>
                        </a:graphicData>
                      </a:graphic>
                    </wp:anchor>
                  </w:drawing>
                </mc:Choice>
                <mc:Fallback>
                  <w:pict>
                    <v:shape id="_x0000_s1026" o:spid="_x0000_s1026" o:spt="202" type="#_x0000_t202" style="position:absolute;left:0pt;margin-left:146.25pt;margin-top:18.95pt;height:34.2pt;width:234.25pt;z-index:251669504;mso-width-relative:page;mso-height-relative:page;" filled="f" stroked="f" coordsize="21600,21600" o:gfxdata="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YI5X3Y&#10;AAAACgEAAA8AAAAAAAAAAQAgAAAAIgAAAGRycy9kb3ducmV2LnhtbFBLAQIUABQAAAAIAIdO4kAV&#10;eISargEAAFADAAAOAAAAAAAAAAEAIAAAACcBAABkcnMvZTJvRG9jLnhtbFBLBQYAAAAABgAGAFkB&#10;AABHBQAAAAA=&#10;">
                      <v:fill on="f" focussize="0,0"/>
                      <v:stroke on="f"/>
                      <v:imagedata o:title=""/>
                      <o:lock v:ext="edit" aspectratio="f"/>
                      <v:textbox>
                        <w:txbxContent>
                          <w:p w14:paraId="1C61650A">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eastAsia" w:eastAsia="宋体"/>
                                <w:b/>
                                <w:bCs/>
                                <w:sz w:val="28"/>
                                <w:szCs w:val="28"/>
                                <w:lang w:eastAsia="zh-CN"/>
                              </w:rPr>
                            </w:pPr>
                            <w:r>
                              <w:rPr>
                                <w:rFonts w:hint="eastAsia"/>
                                <w:b/>
                                <w:bCs/>
                                <w:sz w:val="28"/>
                                <w:szCs w:val="28"/>
                                <w:lang w:eastAsia="zh-CN"/>
                              </w:rPr>
                              <w:t>附图八：项目现状及周围环境照片</w:t>
                            </w:r>
                          </w:p>
                        </w:txbxContent>
                      </v:textbox>
                    </v:shape>
                  </w:pict>
                </mc:Fallback>
              </mc:AlternateContent>
            </w:r>
            <w:r>
              <w:rPr>
                <w:rFonts w:hint="default" w:ascii="Times New Roman" w:hAnsi="Times New Roman" w:cs="Times New Roman"/>
                <w:sz w:val="24"/>
                <w:lang w:eastAsia="zh-CN"/>
              </w:rPr>
              <w:t>厂</w:t>
            </w:r>
            <w:r>
              <w:rPr>
                <w:rFonts w:hint="eastAsia" w:cs="Times New Roman"/>
                <w:sz w:val="24"/>
                <w:lang w:eastAsia="zh-CN"/>
              </w:rPr>
              <w:t>房</w:t>
            </w:r>
            <w:r>
              <w:rPr>
                <w:rFonts w:hint="default" w:ascii="Times New Roman" w:hAnsi="Times New Roman" w:cs="Times New Roman"/>
                <w:sz w:val="24"/>
                <w:lang w:eastAsia="zh-CN"/>
              </w:rPr>
              <w:t>大门处现状照片</w:t>
            </w:r>
          </w:p>
        </w:tc>
        <w:tc>
          <w:tcPr>
            <w:tcW w:w="5037" w:type="dxa"/>
            <w:noWrap w:val="0"/>
            <w:tcMar>
              <w:left w:w="57" w:type="dxa"/>
              <w:right w:w="57" w:type="dxa"/>
            </w:tcMar>
            <w:vAlign w:val="center"/>
          </w:tcPr>
          <w:p w14:paraId="65A2D5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cs="Times New Roman"/>
              </w:rPr>
              <w:t>项目厂区</w:t>
            </w:r>
            <w:r>
              <w:rPr>
                <w:rFonts w:hint="default" w:ascii="Times New Roman" w:hAnsi="Times New Roman" w:cs="Times New Roman"/>
                <w:lang w:val="en-US" w:eastAsia="zh-CN"/>
              </w:rPr>
              <w:t>内现状照片</w:t>
            </w:r>
          </w:p>
        </w:tc>
      </w:tr>
    </w:tbl>
    <w:p w14:paraId="7BA91566">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center"/>
        <w:textAlignment w:val="auto"/>
        <w:rPr>
          <w:rFonts w:hint="eastAsia" w:eastAsia="宋体"/>
          <w:b/>
          <w:bCs/>
          <w:sz w:val="36"/>
          <w:szCs w:val="36"/>
          <w:lang w:eastAsia="zh-CN"/>
        </w:rPr>
      </w:pPr>
      <w:r>
        <w:rPr>
          <w:sz w:val="36"/>
        </w:rPr>
        <mc:AlternateContent>
          <mc:Choice Requires="wps">
            <w:drawing>
              <wp:anchor distT="0" distB="0" distL="114300" distR="114300" simplePos="0" relativeHeight="251735040" behindDoc="0" locked="0" layoutInCell="1" allowOverlap="1">
                <wp:simplePos x="0" y="0"/>
                <wp:positionH relativeFrom="column">
                  <wp:posOffset>5509895</wp:posOffset>
                </wp:positionH>
                <wp:positionV relativeFrom="paragraph">
                  <wp:posOffset>-8870950</wp:posOffset>
                </wp:positionV>
                <wp:extent cx="984250" cy="422910"/>
                <wp:effectExtent l="0" t="0" r="0" b="0"/>
                <wp:wrapNone/>
                <wp:docPr id="24" name="文本框 24"/>
                <wp:cNvGraphicFramePr/>
                <a:graphic xmlns:a="http://schemas.openxmlformats.org/drawingml/2006/main">
                  <a:graphicData uri="http://schemas.microsoft.com/office/word/2010/wordprocessingShape">
                    <wps:wsp>
                      <wps:cNvSpPr txBox="1"/>
                      <wps:spPr>
                        <a:xfrm>
                          <a:off x="6442075" y="424180"/>
                          <a:ext cx="984250" cy="422910"/>
                        </a:xfrm>
                        <a:prstGeom prst="rect">
                          <a:avLst/>
                        </a:prstGeom>
                        <a:solidFill>
                          <a:srgbClr val="000000">
                            <a:alpha val="0"/>
                          </a:srgbClr>
                        </a:solidFill>
                        <a:ln w="6350">
                          <a:noFill/>
                        </a:ln>
                      </wps:spPr>
                      <wps:style>
                        <a:lnRef idx="0">
                          <a:schemeClr val="accent1"/>
                        </a:lnRef>
                        <a:fillRef idx="0">
                          <a:schemeClr val="accent1"/>
                        </a:fillRef>
                        <a:effectRef idx="0">
                          <a:schemeClr val="accent1"/>
                        </a:effectRef>
                        <a:fontRef idx="minor">
                          <a:schemeClr val="dk1"/>
                        </a:fontRef>
                      </wps:style>
                      <wps:txbx>
                        <w:txbxContent>
                          <w:p w14:paraId="14A836E0">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b/>
                                <w:bCs/>
                                <w:sz w:val="28"/>
                                <w:szCs w:val="28"/>
                                <w:lang w:val="en-US" w:eastAsia="zh-CN"/>
                              </w:rPr>
                            </w:pPr>
                            <w:r>
                              <w:rPr>
                                <w:rFonts w:hint="eastAsia"/>
                                <w:b/>
                                <w:bCs/>
                                <w:sz w:val="28"/>
                                <w:szCs w:val="28"/>
                                <w:lang w:val="en-US" w:eastAsia="zh-CN"/>
                              </w:rPr>
                              <w:t>附件1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3.85pt;margin-top:-698.5pt;height:33.3pt;width:77.5pt;z-index:251735040;mso-width-relative:page;mso-height-relative:page;" fillcolor="#000000" filled="t" stroked="f" coordsize="21600,21600" o:gfxdata="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BXjyIHaAAAAEAEAAA8AAAAAAAAAAQAgAAAAIgAAAGRycy9kb3ducmV2LnhtbFBLAQIU&#10;ABQAAAAIAIdO4kBjsy53YwIAALgEAAAOAAAAAAAAAAEAIAAAACkBAABkcnMvZTJvRG9jLnhtbFBL&#10;BQYAAAAABgAGAFkBAAD+BQAAAAA=&#10;">
                <v:fill on="t" opacity="0f" focussize="0,0"/>
                <v:stroke on="f" weight="0.5pt"/>
                <v:imagedata o:title=""/>
                <o:lock v:ext="edit" aspectratio="f"/>
                <v:textbox>
                  <w:txbxContent>
                    <w:p w14:paraId="14A836E0">
                      <w:pPr>
                        <w:keepNext w:val="0"/>
                        <w:keepLines w:val="0"/>
                        <w:pageBreakBefore w:val="0"/>
                        <w:widowControl w:val="0"/>
                        <w:kinsoku/>
                        <w:wordWrap/>
                        <w:overflowPunct/>
                        <w:topLinePunct w:val="0"/>
                        <w:bidi w:val="0"/>
                        <w:adjustRightInd/>
                        <w:snapToGrid/>
                        <w:spacing w:line="240" w:lineRule="auto"/>
                        <w:ind w:firstLine="0" w:firstLineChars="0"/>
                        <w:textAlignment w:val="auto"/>
                        <w:rPr>
                          <w:rFonts w:hint="default" w:eastAsia="宋体"/>
                          <w:b/>
                          <w:bCs/>
                          <w:sz w:val="28"/>
                          <w:szCs w:val="28"/>
                          <w:lang w:val="en-US" w:eastAsia="zh-CN"/>
                        </w:rPr>
                      </w:pPr>
                      <w:r>
                        <w:rPr>
                          <w:rFonts w:hint="eastAsia"/>
                          <w:b/>
                          <w:bCs/>
                          <w:sz w:val="28"/>
                          <w:szCs w:val="28"/>
                          <w:lang w:val="en-US" w:eastAsia="zh-CN"/>
                        </w:rPr>
                        <w:t>附件1</w:t>
                      </w:r>
                    </w:p>
                  </w:txbxContent>
                </v:textbox>
              </v:shape>
            </w:pict>
          </mc:Fallback>
        </mc:AlternateContent>
      </w:r>
      <w:bookmarkStart w:id="3" w:name="_GoBack"/>
      <w:r>
        <w:rPr>
          <w:rFonts w:hint="eastAsia" w:eastAsia="宋体"/>
          <w:b/>
          <w:bCs/>
          <w:sz w:val="36"/>
          <w:szCs w:val="36"/>
          <w:lang w:eastAsia="zh-CN"/>
        </w:rPr>
        <w:drawing>
          <wp:anchor distT="0" distB="0" distL="114300" distR="114300" simplePos="0" relativeHeight="251734016" behindDoc="0" locked="0" layoutInCell="1" allowOverlap="1">
            <wp:simplePos x="0" y="0"/>
            <wp:positionH relativeFrom="column">
              <wp:posOffset>-784225</wp:posOffset>
            </wp:positionH>
            <wp:positionV relativeFrom="paragraph">
              <wp:posOffset>-581025</wp:posOffset>
            </wp:positionV>
            <wp:extent cx="7145655" cy="10102215"/>
            <wp:effectExtent l="0" t="0" r="17145" b="13335"/>
            <wp:wrapSquare wrapText="bothSides"/>
            <wp:docPr id="21" name="图片 21" descr="25bafeae175351433aec30f55a2aba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5bafeae175351433aec30f55a2aba17"/>
                    <pic:cNvPicPr>
                      <a:picLocks noChangeAspect="1"/>
                    </pic:cNvPicPr>
                  </pic:nvPicPr>
                  <pic:blipFill>
                    <a:blip r:embed="rId36"/>
                    <a:srcRect t="6701" b="12136"/>
                    <a:stretch>
                      <a:fillRect/>
                    </a:stretch>
                  </pic:blipFill>
                  <pic:spPr>
                    <a:xfrm>
                      <a:off x="0" y="0"/>
                      <a:ext cx="7145655" cy="10102215"/>
                    </a:xfrm>
                    <a:prstGeom prst="rect">
                      <a:avLst/>
                    </a:prstGeom>
                  </pic:spPr>
                </pic:pic>
              </a:graphicData>
            </a:graphic>
          </wp:anchor>
        </w:drawing>
      </w:r>
      <w:bookmarkEnd w:id="3"/>
    </w:p>
    <w:p w14:paraId="2E58E7BF">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pPr>
      <w:r>
        <w:rPr>
          <w:sz w:val="24"/>
        </w:rPr>
        <mc:AlternateContent>
          <mc:Choice Requires="wps">
            <w:drawing>
              <wp:anchor distT="0" distB="0" distL="114300" distR="114300" simplePos="0" relativeHeight="251722752" behindDoc="0" locked="0" layoutInCell="1" allowOverlap="1">
                <wp:simplePos x="0" y="0"/>
                <wp:positionH relativeFrom="column">
                  <wp:posOffset>5510530</wp:posOffset>
                </wp:positionH>
                <wp:positionV relativeFrom="paragraph">
                  <wp:posOffset>-9002395</wp:posOffset>
                </wp:positionV>
                <wp:extent cx="899795" cy="401955"/>
                <wp:effectExtent l="0" t="0" r="0" b="0"/>
                <wp:wrapNone/>
                <wp:docPr id="86" name="文本框 86"/>
                <wp:cNvGraphicFramePr/>
                <a:graphic xmlns:a="http://schemas.openxmlformats.org/drawingml/2006/main">
                  <a:graphicData uri="http://schemas.microsoft.com/office/word/2010/wordprocessingShape">
                    <wps:wsp>
                      <wps:cNvSpPr txBox="1"/>
                      <wps:spPr>
                        <a:xfrm>
                          <a:off x="6590665" y="218440"/>
                          <a:ext cx="899795" cy="401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D65DF4">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3.9pt;margin-top:-708.85pt;height:31.65pt;width:70.85pt;z-index:251722752;mso-width-relative:page;mso-height-relative:page;" filled="f" stroked="f" coordsize="21600,21600" o:gfxdata="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UvwY+OAAAAAQAQAADwAA&#10;AAAAAAABACAAAAAiAAAAZHJzL2Rvd25yZXYueG1sUEsBAhQAFAAAAAgAh07iQMr+xfZHAgAAcgQA&#10;AA4AAAAAAAAAAQAgAAAALwEAAGRycy9lMm9Eb2MueG1sUEsFBgAAAAAGAAYAWQEAAOgFAAAAAA==&#10;">
                <v:fill on="f" focussize="0,0"/>
                <v:stroke on="f" weight="0.5pt"/>
                <v:imagedata o:title=""/>
                <o:lock v:ext="edit" aspectratio="f"/>
                <v:textbox>
                  <w:txbxContent>
                    <w:p w14:paraId="44D65DF4">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2</w:t>
                      </w:r>
                    </w:p>
                  </w:txbxContent>
                </v:textbox>
              </v:shape>
            </w:pict>
          </mc:Fallback>
        </mc:AlternateContent>
      </w:r>
      <w:r>
        <w:drawing>
          <wp:anchor distT="0" distB="0" distL="114300" distR="114300" simplePos="0" relativeHeight="251696128" behindDoc="0" locked="0" layoutInCell="1" allowOverlap="1">
            <wp:simplePos x="0" y="0"/>
            <wp:positionH relativeFrom="column">
              <wp:posOffset>-844550</wp:posOffset>
            </wp:positionH>
            <wp:positionV relativeFrom="paragraph">
              <wp:posOffset>-593090</wp:posOffset>
            </wp:positionV>
            <wp:extent cx="7191375" cy="10024745"/>
            <wp:effectExtent l="0" t="0" r="9525" b="14605"/>
            <wp:wrapSquare wrapText="bothSides"/>
            <wp:docPr id="32" name="图片 32" descr="f4a6e9e4f5ffc0e435c04b2b54319b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f4a6e9e4f5ffc0e435c04b2b54319bd7"/>
                    <pic:cNvPicPr>
                      <a:picLocks noChangeAspect="1"/>
                    </pic:cNvPicPr>
                  </pic:nvPicPr>
                  <pic:blipFill>
                    <a:blip r:embed="rId37"/>
                    <a:stretch>
                      <a:fillRect/>
                    </a:stretch>
                  </pic:blipFill>
                  <pic:spPr>
                    <a:xfrm>
                      <a:off x="0" y="0"/>
                      <a:ext cx="7191375" cy="10024745"/>
                    </a:xfrm>
                    <a:prstGeom prst="rect">
                      <a:avLst/>
                    </a:prstGeom>
                  </pic:spPr>
                </pic:pic>
              </a:graphicData>
            </a:graphic>
          </wp:anchor>
        </w:drawing>
      </w:r>
      <w:r>
        <w:rPr>
          <w:sz w:val="24"/>
        </w:rPr>
        <mc:AlternateContent>
          <mc:Choice Requires="wps">
            <w:drawing>
              <wp:anchor distT="0" distB="0" distL="114300" distR="114300" simplePos="0" relativeHeight="251701248" behindDoc="0" locked="0" layoutInCell="1" allowOverlap="1">
                <wp:simplePos x="0" y="0"/>
                <wp:positionH relativeFrom="column">
                  <wp:posOffset>6059805</wp:posOffset>
                </wp:positionH>
                <wp:positionV relativeFrom="paragraph">
                  <wp:posOffset>-9544685</wp:posOffset>
                </wp:positionV>
                <wp:extent cx="1005205" cy="391160"/>
                <wp:effectExtent l="0" t="0" r="0" b="0"/>
                <wp:wrapNone/>
                <wp:docPr id="49" name="文本框 49"/>
                <wp:cNvGraphicFramePr/>
                <a:graphic xmlns:a="http://schemas.openxmlformats.org/drawingml/2006/main">
                  <a:graphicData uri="http://schemas.microsoft.com/office/word/2010/wordprocessingShape">
                    <wps:wsp>
                      <wps:cNvSpPr txBox="1"/>
                      <wps:spPr>
                        <a:xfrm>
                          <a:off x="6537960" y="300355"/>
                          <a:ext cx="1005205" cy="391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16AC7">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7.15pt;margin-top:-751.55pt;height:30.8pt;width:79.15pt;z-index:251701248;mso-width-relative:page;mso-height-relative:page;" filled="f" stroked="f" coordsize="21600,21600" o:gfxdata="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OW/r5t8AAAAQAQAADwAA&#10;AAAAAAABACAAAAAiAAAAZHJzL2Rvd25yZXYueG1sUEsBAhQAFAAAAAgAh07iQLRHnk1IAgAAcwQA&#10;AA4AAAAAAAAAAQAgAAAALgEAAGRycy9lMm9Eb2MueG1sUEsFBgAAAAAGAAYAWQEAAOgFAAAAAA==&#10;">
                <v:fill on="f" focussize="0,0"/>
                <v:stroke on="f" weight="0.5pt"/>
                <v:imagedata o:title=""/>
                <o:lock v:ext="edit" aspectratio="f"/>
                <v:textbox>
                  <w:txbxContent>
                    <w:p w14:paraId="3C116AC7">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2</w:t>
                      </w:r>
                    </w:p>
                  </w:txbxContent>
                </v:textbox>
              </v:shape>
            </w:pict>
          </mc:Fallback>
        </mc:AlternateContent>
      </w:r>
    </w:p>
    <w:p w14:paraId="59BDAF2E">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rPr>
          <w:rFonts w:hint="default"/>
          <w:lang w:eastAsia="zh-CN"/>
        </w:rPr>
      </w:pPr>
      <w:r>
        <w:rPr>
          <w:sz w:val="24"/>
        </w:rPr>
        <mc:AlternateContent>
          <mc:Choice Requires="wps">
            <w:drawing>
              <wp:anchor distT="0" distB="0" distL="114300" distR="114300" simplePos="0" relativeHeight="251723776" behindDoc="0" locked="0" layoutInCell="1" allowOverlap="1">
                <wp:simplePos x="0" y="0"/>
                <wp:positionH relativeFrom="column">
                  <wp:posOffset>5553075</wp:posOffset>
                </wp:positionH>
                <wp:positionV relativeFrom="paragraph">
                  <wp:posOffset>-8964930</wp:posOffset>
                </wp:positionV>
                <wp:extent cx="868045" cy="412750"/>
                <wp:effectExtent l="0" t="0" r="0" b="0"/>
                <wp:wrapNone/>
                <wp:docPr id="87" name="文本框 87"/>
                <wp:cNvGraphicFramePr/>
                <a:graphic xmlns:a="http://schemas.openxmlformats.org/drawingml/2006/main">
                  <a:graphicData uri="http://schemas.microsoft.com/office/word/2010/wordprocessingShape">
                    <wps:wsp>
                      <wps:cNvSpPr txBox="1"/>
                      <wps:spPr>
                        <a:xfrm>
                          <a:off x="6633210" y="255905"/>
                          <a:ext cx="868045" cy="412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36387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7.25pt;margin-top:-705.9pt;height:32.5pt;width:68.35pt;z-index:251723776;mso-width-relative:page;mso-height-relative:page;" filled="f" stroked="f" coordsize="21600,21600" o:gfxdata="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Ru5GlN8AAAAQAQAADwAA&#10;AAAAAAABACAAAAAiAAAAZHJzL2Rvd25yZXYueG1sUEsBAhQAFAAAAAgAh07iQC6MA2FIAgAAcgQA&#10;AA4AAAAAAAAAAQAgAAAALgEAAGRycy9lMm9Eb2MueG1sUEsFBgAAAAAGAAYAWQEAAOgFAAAAAA==&#10;">
                <v:fill on="f" focussize="0,0"/>
                <v:stroke on="f" weight="0.5pt"/>
                <v:imagedata o:title=""/>
                <o:lock v:ext="edit" aspectratio="f"/>
                <v:textbox>
                  <w:txbxContent>
                    <w:p w14:paraId="5B36387D">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3</w:t>
                      </w:r>
                    </w:p>
                  </w:txbxContent>
                </v:textbox>
              </v:shape>
            </w:pict>
          </mc:Fallback>
        </mc:AlternateContent>
      </w:r>
      <w:r>
        <w:rPr>
          <w:rFonts w:hint="default" w:ascii="Times New Roman" w:hAnsi="Times New Roman" w:cs="Times New Roman"/>
          <w:sz w:val="24"/>
        </w:rPr>
        <w:drawing>
          <wp:anchor distT="0" distB="0" distL="114300" distR="114300" simplePos="0" relativeHeight="251697152" behindDoc="0" locked="0" layoutInCell="1" allowOverlap="1">
            <wp:simplePos x="0" y="0"/>
            <wp:positionH relativeFrom="column">
              <wp:posOffset>-777875</wp:posOffset>
            </wp:positionH>
            <wp:positionV relativeFrom="paragraph">
              <wp:posOffset>-454660</wp:posOffset>
            </wp:positionV>
            <wp:extent cx="7019290" cy="9856470"/>
            <wp:effectExtent l="0" t="0" r="10160" b="11430"/>
            <wp:wrapSquare wrapText="bothSides"/>
            <wp:docPr id="39" name="图片 39" descr="200d1f599cca920a885caa8e8e300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200d1f599cca920a885caa8e8e300ed2"/>
                    <pic:cNvPicPr>
                      <a:picLocks noChangeAspect="1"/>
                    </pic:cNvPicPr>
                  </pic:nvPicPr>
                  <pic:blipFill>
                    <a:blip r:embed="rId38"/>
                    <a:srcRect t="3327" b="13048"/>
                    <a:stretch>
                      <a:fillRect/>
                    </a:stretch>
                  </pic:blipFill>
                  <pic:spPr>
                    <a:xfrm>
                      <a:off x="0" y="0"/>
                      <a:ext cx="7019290" cy="9856470"/>
                    </a:xfrm>
                    <a:prstGeom prst="rect">
                      <a:avLst/>
                    </a:prstGeom>
                  </pic:spPr>
                </pic:pic>
              </a:graphicData>
            </a:graphic>
          </wp:anchor>
        </w:drawing>
      </w:r>
      <w:r>
        <w:rPr>
          <w:sz w:val="24"/>
        </w:rPr>
        <mc:AlternateContent>
          <mc:Choice Requires="wps">
            <w:drawing>
              <wp:anchor distT="0" distB="0" distL="114300" distR="114300" simplePos="0" relativeHeight="251702272" behindDoc="0" locked="0" layoutInCell="1" allowOverlap="1">
                <wp:simplePos x="0" y="0"/>
                <wp:positionH relativeFrom="column">
                  <wp:posOffset>6069965</wp:posOffset>
                </wp:positionH>
                <wp:positionV relativeFrom="paragraph">
                  <wp:posOffset>-9616440</wp:posOffset>
                </wp:positionV>
                <wp:extent cx="1047750" cy="444500"/>
                <wp:effectExtent l="0" t="0" r="0" b="0"/>
                <wp:wrapNone/>
                <wp:docPr id="51" name="文本框 51"/>
                <wp:cNvGraphicFramePr/>
                <a:graphic xmlns:a="http://schemas.openxmlformats.org/drawingml/2006/main">
                  <a:graphicData uri="http://schemas.microsoft.com/office/word/2010/wordprocessingShape">
                    <wps:wsp>
                      <wps:cNvSpPr txBox="1"/>
                      <wps:spPr>
                        <a:xfrm>
                          <a:off x="6315710" y="313690"/>
                          <a:ext cx="1047750" cy="444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77908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7.95pt;margin-top:-757.2pt;height:35pt;width:82.5pt;z-index:251702272;mso-width-relative:page;mso-height-relative:page;" filled="f" stroked="f" coordsize="21600,21600" o:gfxdata="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Y4yp3gAAABABAAAPAAAAAAAA&#10;AAEAIAAAACIAAABkcnMvZG93bnJldi54bWxQSwECFAAUAAAACACHTuJAvtd2qkUCAABzBAAADgAA&#10;AAAAAAABACAAAAAtAQAAZHJzL2Uyb0RvYy54bWxQSwUGAAAAAAYABgBZAQAA5AUAAAAA&#10;">
                <v:fill on="f" focussize="0,0"/>
                <v:stroke on="f" weight="0.5pt"/>
                <v:imagedata o:title=""/>
                <o:lock v:ext="edit" aspectratio="f"/>
                <v:textbox>
                  <w:txbxContent>
                    <w:p w14:paraId="28779086">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3</w:t>
                      </w:r>
                    </w:p>
                  </w:txbxContent>
                </v:textbox>
              </v:shape>
            </w:pict>
          </mc:Fallback>
        </mc:AlternateContent>
      </w:r>
    </w:p>
    <w:p w14:paraId="3E9AC22E">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rPr>
          <w:rFonts w:hint="default"/>
          <w:lang w:eastAsia="zh-CN"/>
        </w:rPr>
      </w:pPr>
      <w:r>
        <w:rPr>
          <w:sz w:val="24"/>
        </w:rPr>
        <mc:AlternateContent>
          <mc:Choice Requires="wps">
            <w:drawing>
              <wp:anchor distT="0" distB="0" distL="114300" distR="114300" simplePos="0" relativeHeight="251724800" behindDoc="0" locked="0" layoutInCell="1" allowOverlap="1">
                <wp:simplePos x="0" y="0"/>
                <wp:positionH relativeFrom="column">
                  <wp:posOffset>5351780</wp:posOffset>
                </wp:positionH>
                <wp:positionV relativeFrom="paragraph">
                  <wp:posOffset>-8963025</wp:posOffset>
                </wp:positionV>
                <wp:extent cx="1005840" cy="433705"/>
                <wp:effectExtent l="0" t="0" r="0" b="0"/>
                <wp:wrapNone/>
                <wp:docPr id="89" name="文本框 89"/>
                <wp:cNvGraphicFramePr/>
                <a:graphic xmlns:a="http://schemas.openxmlformats.org/drawingml/2006/main">
                  <a:graphicData uri="http://schemas.microsoft.com/office/word/2010/wordprocessingShape">
                    <wps:wsp>
                      <wps:cNvSpPr txBox="1"/>
                      <wps:spPr>
                        <a:xfrm>
                          <a:off x="6431915" y="257810"/>
                          <a:ext cx="1005840"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D461D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1.4pt;margin-top:-705.75pt;height:34.15pt;width:79.2pt;z-index:251724800;mso-width-relative:page;mso-height-relative:page;" filled="f" stroked="f" coordsize="21600,21600" o:gfxdata="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MHGKp3gAAABABAAAPAAAA&#10;AAAAAAEAIAAAACIAAABkcnMvZG93bnJldi54bWxQSwECFAAUAAAACACHTuJARtf+XEgCAABzBAAA&#10;DgAAAAAAAAABACAAAAAtAQAAZHJzL2Uyb0RvYy54bWxQSwUGAAAAAAYABgBZAQAA5wUAAAAA&#10;">
                <v:fill on="f" focussize="0,0"/>
                <v:stroke on="f" weight="0.5pt"/>
                <v:imagedata o:title=""/>
                <o:lock v:ext="edit" aspectratio="f"/>
                <v:textbox>
                  <w:txbxContent>
                    <w:p w14:paraId="40D461D2">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4</w:t>
                      </w:r>
                    </w:p>
                  </w:txbxContent>
                </v:textbox>
              </v:shape>
            </w:pict>
          </mc:Fallback>
        </mc:AlternateContent>
      </w:r>
      <w:r>
        <w:rPr>
          <w:rFonts w:hint="default"/>
          <w:lang w:eastAsia="zh-CN"/>
        </w:rPr>
        <w:drawing>
          <wp:anchor distT="0" distB="0" distL="114300" distR="114300" simplePos="0" relativeHeight="251698176" behindDoc="0" locked="0" layoutInCell="1" allowOverlap="1">
            <wp:simplePos x="0" y="0"/>
            <wp:positionH relativeFrom="column">
              <wp:posOffset>-711200</wp:posOffset>
            </wp:positionH>
            <wp:positionV relativeFrom="paragraph">
              <wp:posOffset>-631190</wp:posOffset>
            </wp:positionV>
            <wp:extent cx="6936740" cy="10069830"/>
            <wp:effectExtent l="0" t="0" r="16510" b="7620"/>
            <wp:wrapSquare wrapText="bothSides"/>
            <wp:docPr id="41" name="图片 41" descr="0e749750a0c42c8aaa4af2cb5b3779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0e749750a0c42c8aaa4af2cb5b37791a"/>
                    <pic:cNvPicPr>
                      <a:picLocks noChangeAspect="1"/>
                    </pic:cNvPicPr>
                  </pic:nvPicPr>
                  <pic:blipFill>
                    <a:blip r:embed="rId39"/>
                    <a:srcRect t="1017" r="5040" b="7511"/>
                    <a:stretch>
                      <a:fillRect/>
                    </a:stretch>
                  </pic:blipFill>
                  <pic:spPr>
                    <a:xfrm>
                      <a:off x="0" y="0"/>
                      <a:ext cx="6936740" cy="10069830"/>
                    </a:xfrm>
                    <a:prstGeom prst="rect">
                      <a:avLst/>
                    </a:prstGeom>
                  </pic:spPr>
                </pic:pic>
              </a:graphicData>
            </a:graphic>
          </wp:anchor>
        </w:drawing>
      </w:r>
      <w:r>
        <w:rPr>
          <w:sz w:val="24"/>
        </w:rPr>
        <mc:AlternateContent>
          <mc:Choice Requires="wps">
            <w:drawing>
              <wp:anchor distT="0" distB="0" distL="114300" distR="114300" simplePos="0" relativeHeight="251703296" behindDoc="0" locked="0" layoutInCell="1" allowOverlap="1">
                <wp:simplePos x="0" y="0"/>
                <wp:positionH relativeFrom="column">
                  <wp:posOffset>6070600</wp:posOffset>
                </wp:positionH>
                <wp:positionV relativeFrom="paragraph">
                  <wp:posOffset>-9632315</wp:posOffset>
                </wp:positionV>
                <wp:extent cx="1036955" cy="444500"/>
                <wp:effectExtent l="0" t="0" r="0" b="0"/>
                <wp:wrapNone/>
                <wp:docPr id="56" name="文本框 56"/>
                <wp:cNvGraphicFramePr/>
                <a:graphic xmlns:a="http://schemas.openxmlformats.org/drawingml/2006/main">
                  <a:graphicData uri="http://schemas.microsoft.com/office/word/2010/wordprocessingShape">
                    <wps:wsp>
                      <wps:cNvSpPr txBox="1"/>
                      <wps:spPr>
                        <a:xfrm>
                          <a:off x="6315710" y="328930"/>
                          <a:ext cx="1036955" cy="444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C0A59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8pt;margin-top:-758.45pt;height:35pt;width:81.65pt;z-index:251703296;mso-width-relative:page;mso-height-relative:page;" filled="f" stroked="f" coordsize="21600,21600" o:gfxdata="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RvjYPd8AAAAQAQAADwAA&#10;AAAAAAABACAAAAAiAAAAZHJzL2Rvd25yZXYueG1sUEsBAhQAFAAAAAgAh07iQBgZAJpIAgAAcwQA&#10;AA4AAAAAAAAAAQAgAAAALgEAAGRycy9lMm9Eb2MueG1sUEsFBgAAAAAGAAYAWQEAAOgFAAAAAA==&#10;">
                <v:fill on="f" focussize="0,0"/>
                <v:stroke on="f" weight="0.5pt"/>
                <v:imagedata o:title=""/>
                <o:lock v:ext="edit" aspectratio="f"/>
                <v:textbox>
                  <w:txbxContent>
                    <w:p w14:paraId="73C0A593">
                      <w:pPr>
                        <w:keepNext w:val="0"/>
                        <w:keepLines w:val="0"/>
                        <w:pageBreakBefore w:val="0"/>
                        <w:widowControl w:val="0"/>
                        <w:kinsoku/>
                        <w:wordWrap/>
                        <w:overflowPunct/>
                        <w:topLinePunct w:val="0"/>
                        <w:bidi w:val="0"/>
                        <w:adjustRightInd/>
                        <w:snapToGrid/>
                        <w:spacing w:line="240" w:lineRule="auto"/>
                        <w:ind w:left="0" w:leftChars="0" w:firstLine="0" w:firstLineChars="0"/>
                        <w:textAlignment w:val="auto"/>
                        <w:rPr>
                          <w:rFonts w:hint="default" w:eastAsia="宋体"/>
                          <w:b/>
                          <w:bCs/>
                          <w:sz w:val="30"/>
                          <w:szCs w:val="30"/>
                          <w:lang w:val="en-US" w:eastAsia="zh-CN"/>
                        </w:rPr>
                      </w:pPr>
                      <w:r>
                        <w:rPr>
                          <w:rFonts w:hint="eastAsia"/>
                          <w:b/>
                          <w:bCs/>
                          <w:sz w:val="30"/>
                          <w:szCs w:val="30"/>
                          <w:lang w:eastAsia="zh-CN"/>
                        </w:rPr>
                        <w:t>附件</w:t>
                      </w:r>
                      <w:r>
                        <w:rPr>
                          <w:rFonts w:hint="eastAsia"/>
                          <w:b/>
                          <w:bCs/>
                          <w:sz w:val="30"/>
                          <w:szCs w:val="30"/>
                          <w:lang w:val="en-US" w:eastAsia="zh-CN"/>
                        </w:rPr>
                        <w:t>4</w:t>
                      </w:r>
                    </w:p>
                  </w:txbxContent>
                </v:textbox>
              </v:shape>
            </w:pict>
          </mc:Fallback>
        </mc:AlternateContent>
      </w:r>
    </w:p>
    <w:p w14:paraId="1A8BDA03">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rPr>
          <w:rFonts w:hint="default"/>
          <w:lang w:eastAsia="zh-CN"/>
        </w:rPr>
      </w:pPr>
      <w:r>
        <w:rPr>
          <w:rFonts w:hint="default"/>
          <w:lang w:eastAsia="zh-CN"/>
        </w:rPr>
        <w:drawing>
          <wp:anchor distT="0" distB="0" distL="114300" distR="114300" simplePos="0" relativeHeight="251699200" behindDoc="0" locked="0" layoutInCell="1" allowOverlap="1">
            <wp:simplePos x="0" y="0"/>
            <wp:positionH relativeFrom="column">
              <wp:posOffset>-577850</wp:posOffset>
            </wp:positionH>
            <wp:positionV relativeFrom="paragraph">
              <wp:posOffset>-532130</wp:posOffset>
            </wp:positionV>
            <wp:extent cx="6598285" cy="10005060"/>
            <wp:effectExtent l="0" t="0" r="12065" b="15240"/>
            <wp:wrapSquare wrapText="bothSides"/>
            <wp:docPr id="43" name="图片 43" descr="d6e96a1aa086e6d1ba9840f9754695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d6e96a1aa086e6d1ba9840f97546956f"/>
                    <pic:cNvPicPr>
                      <a:picLocks noChangeAspect="1"/>
                    </pic:cNvPicPr>
                  </pic:nvPicPr>
                  <pic:blipFill>
                    <a:blip r:embed="rId40"/>
                    <a:srcRect t="1398" r="5495" b="4633"/>
                    <a:stretch>
                      <a:fillRect/>
                    </a:stretch>
                  </pic:blipFill>
                  <pic:spPr>
                    <a:xfrm>
                      <a:off x="0" y="0"/>
                      <a:ext cx="6598285" cy="10005060"/>
                    </a:xfrm>
                    <a:prstGeom prst="rect">
                      <a:avLst/>
                    </a:prstGeom>
                  </pic:spPr>
                </pic:pic>
              </a:graphicData>
            </a:graphic>
          </wp:anchor>
        </w:drawing>
      </w:r>
    </w:p>
    <w:p w14:paraId="4F7435D1">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rPr>
          <w:rFonts w:hint="default"/>
          <w:lang w:eastAsia="zh-CN"/>
        </w:rPr>
      </w:pPr>
      <w:r>
        <w:rPr>
          <w:rFonts w:hint="default"/>
          <w:lang w:eastAsia="zh-CN"/>
        </w:rPr>
        <w:drawing>
          <wp:anchor distT="0" distB="0" distL="114300" distR="114300" simplePos="0" relativeHeight="251700224" behindDoc="0" locked="0" layoutInCell="1" allowOverlap="1">
            <wp:simplePos x="0" y="0"/>
            <wp:positionH relativeFrom="column">
              <wp:posOffset>-644525</wp:posOffset>
            </wp:positionH>
            <wp:positionV relativeFrom="paragraph">
              <wp:posOffset>-580390</wp:posOffset>
            </wp:positionV>
            <wp:extent cx="6865620" cy="10059670"/>
            <wp:effectExtent l="0" t="0" r="11430" b="17780"/>
            <wp:wrapSquare wrapText="bothSides"/>
            <wp:docPr id="47" name="图片 47" descr="6ad3e0186f580339bd38d081c364a5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6ad3e0186f580339bd38d081c364a5d1"/>
                    <pic:cNvPicPr>
                      <a:picLocks noChangeAspect="1"/>
                    </pic:cNvPicPr>
                  </pic:nvPicPr>
                  <pic:blipFill>
                    <a:blip r:embed="rId41"/>
                    <a:srcRect l="4524" t="933" r="3636" b="7357"/>
                    <a:stretch>
                      <a:fillRect/>
                    </a:stretch>
                  </pic:blipFill>
                  <pic:spPr>
                    <a:xfrm>
                      <a:off x="0" y="0"/>
                      <a:ext cx="6865620" cy="10059670"/>
                    </a:xfrm>
                    <a:prstGeom prst="rect">
                      <a:avLst/>
                    </a:prstGeom>
                  </pic:spPr>
                </pic:pic>
              </a:graphicData>
            </a:graphic>
          </wp:anchor>
        </w:drawing>
      </w:r>
    </w:p>
    <w:p w14:paraId="77D05B88">
      <w:pPr>
        <w:pStyle w:val="2"/>
        <w:keepNext/>
        <w:keepLines/>
        <w:pageBreakBefore w:val="0"/>
        <w:widowControl w:val="0"/>
        <w:tabs>
          <w:tab w:val="left" w:pos="540"/>
        </w:tabs>
        <w:kinsoku/>
        <w:wordWrap/>
        <w:overflowPunct/>
        <w:topLinePunct w:val="0"/>
        <w:autoSpaceDE/>
        <w:autoSpaceDN/>
        <w:bidi w:val="0"/>
        <w:adjustRightInd w:val="0"/>
        <w:snapToGrid/>
        <w:spacing w:line="520" w:lineRule="exact"/>
        <w:ind w:firstLine="0"/>
        <w:jc w:val="center"/>
        <w:textAlignment w:val="auto"/>
        <w:rPr>
          <w:rFonts w:hint="default" w:ascii="Times New Roman" w:hAnsi="Times New Roman" w:eastAsia="宋体" w:cs="Times New Roman"/>
          <w:b/>
          <w:bCs w:val="0"/>
          <w:sz w:val="36"/>
          <w:szCs w:val="36"/>
          <w:lang w:eastAsia="zh-CN"/>
        </w:rPr>
      </w:pPr>
      <w:r>
        <w:rPr>
          <w:rFonts w:hint="default" w:ascii="Times New Roman" w:hAnsi="Times New Roman" w:eastAsia="宋体" w:cs="Times New Roman"/>
          <w:b/>
          <w:bCs w:val="0"/>
          <w:sz w:val="36"/>
          <w:szCs w:val="36"/>
          <w:lang w:eastAsia="zh-CN"/>
        </w:rPr>
        <w:t>挥发性有机物污染治理专项分析</w:t>
      </w:r>
    </w:p>
    <w:p w14:paraId="18913458">
      <w:pPr>
        <w:pStyle w:val="2"/>
        <w:keepNext/>
        <w:keepLines/>
        <w:pageBreakBefore w:val="0"/>
        <w:widowControl w:val="0"/>
        <w:tabs>
          <w:tab w:val="left" w:pos="540"/>
        </w:tabs>
        <w:kinsoku/>
        <w:wordWrap/>
        <w:overflowPunct/>
        <w:topLinePunct w:val="0"/>
        <w:autoSpaceDE/>
        <w:autoSpaceDN/>
        <w:bidi w:val="0"/>
        <w:adjustRightInd w:val="0"/>
        <w:snapToGrid/>
        <w:spacing w:line="520" w:lineRule="exact"/>
        <w:ind w:firstLine="0"/>
        <w:jc w:val="both"/>
        <w:textAlignment w:val="auto"/>
        <w:rPr>
          <w:rFonts w:hint="default" w:ascii="Times New Roman" w:hAnsi="Times New Roman" w:eastAsia="宋体" w:cs="Times New Roman"/>
          <w:b/>
          <w:bCs w:val="0"/>
          <w:sz w:val="32"/>
          <w:szCs w:val="32"/>
        </w:rPr>
      </w:pPr>
      <w:r>
        <w:rPr>
          <w:rFonts w:hint="default" w:ascii="Times New Roman" w:hAnsi="Times New Roman" w:eastAsia="宋体" w:cs="Times New Roman"/>
          <w:b/>
          <w:bCs w:val="0"/>
          <w:sz w:val="32"/>
          <w:szCs w:val="32"/>
        </w:rPr>
        <w:t>一、企业概况</w:t>
      </w:r>
    </w:p>
    <w:p w14:paraId="4519BE52">
      <w:pPr>
        <w:pageBreakBefore w:val="0"/>
        <w:widowControl w:val="0"/>
        <w:kinsoku/>
        <w:wordWrap/>
        <w:overflowPunct/>
        <w:topLinePunct w:val="0"/>
        <w:autoSpaceDE/>
        <w:autoSpaceDN/>
        <w:bidi w:val="0"/>
        <w:snapToGrid/>
        <w:spacing w:line="520" w:lineRule="exact"/>
        <w:ind w:left="0" w:leftChars="0" w:firstLine="482" w:firstLineChars="20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1</w:t>
      </w:r>
      <w:r>
        <w:rPr>
          <w:rFonts w:hint="default" w:ascii="Times New Roman" w:hAnsi="Times New Roman" w:eastAsia="宋体" w:cs="Times New Roman"/>
          <w:b/>
          <w:bCs/>
          <w:sz w:val="24"/>
          <w:lang w:val="en-US" w:eastAsia="zh-CN"/>
        </w:rPr>
        <w:t>.1</w:t>
      </w:r>
      <w:r>
        <w:rPr>
          <w:rFonts w:hint="default" w:ascii="Times New Roman" w:hAnsi="Times New Roman" w:eastAsia="宋体" w:cs="Times New Roman"/>
          <w:b/>
          <w:bCs/>
          <w:sz w:val="24"/>
        </w:rPr>
        <w:t>企业简介</w:t>
      </w:r>
    </w:p>
    <w:p w14:paraId="73999230">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t>企业名称：</w:t>
      </w:r>
      <w:r>
        <w:rPr>
          <w:rFonts w:hint="eastAsia" w:cs="Times New Roman"/>
          <w:b w:val="0"/>
          <w:bCs w:val="0"/>
          <w:sz w:val="24"/>
          <w:lang w:eastAsia="zh-CN"/>
        </w:rPr>
        <w:t>河南建皓新材料有限公司</w:t>
      </w:r>
    </w:p>
    <w:p w14:paraId="0326BB3F">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企业地址：焦作市武陟县经开区东部园区昌武路与鸿源路交叉口路西200米路南01号</w:t>
      </w:r>
    </w:p>
    <w:p w14:paraId="18EFCA4F">
      <w:pPr>
        <w:pageBreakBefore w:val="0"/>
        <w:widowControl w:val="0"/>
        <w:kinsoku/>
        <w:wordWrap/>
        <w:overflowPunct/>
        <w:topLinePunct w:val="0"/>
        <w:autoSpaceDE/>
        <w:autoSpaceDN/>
        <w:bidi w:val="0"/>
        <w:snapToGrid/>
        <w:spacing w:line="520" w:lineRule="exact"/>
        <w:ind w:firstLine="482"/>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t>所属行业：C2927日用塑料制品</w:t>
      </w:r>
    </w:p>
    <w:p w14:paraId="5A34A395">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厂区中心经纬度：东经：11</w:t>
      </w:r>
      <w:r>
        <w:rPr>
          <w:rFonts w:hint="default" w:ascii="Times New Roman" w:hAnsi="Times New Roman" w:eastAsia="宋体" w:cs="Times New Roman"/>
          <w:b w:val="0"/>
          <w:bCs w:val="0"/>
          <w:sz w:val="24"/>
          <w:lang w:val="en-US" w:eastAsia="zh-CN"/>
        </w:rPr>
        <w:t>3</w:t>
      </w:r>
      <w:r>
        <w:rPr>
          <w:rFonts w:hint="default" w:ascii="Times New Roman" w:hAnsi="Times New Roman" w:eastAsia="宋体" w:cs="Times New Roman"/>
          <w:b w:val="0"/>
          <w:bCs w:val="0"/>
          <w:sz w:val="24"/>
        </w:rPr>
        <w:t>°</w:t>
      </w:r>
      <w:r>
        <w:rPr>
          <w:rFonts w:hint="eastAsia" w:ascii="Times New Roman" w:hAnsi="Times New Roman" w:eastAsia="宋体" w:cs="Times New Roman"/>
          <w:b w:val="0"/>
          <w:bCs w:val="0"/>
          <w:sz w:val="24"/>
          <w:lang w:val="en-US" w:eastAsia="zh-CN"/>
        </w:rPr>
        <w:t>33</w:t>
      </w:r>
      <w:r>
        <w:rPr>
          <w:rFonts w:hint="default" w:ascii="Times New Roman" w:hAnsi="Times New Roman" w:eastAsia="宋体" w:cs="Times New Roman"/>
          <w:b w:val="0"/>
          <w:bCs w:val="0"/>
          <w:sz w:val="24"/>
        </w:rPr>
        <w:t>′</w:t>
      </w:r>
      <w:r>
        <w:rPr>
          <w:rFonts w:hint="eastAsia" w:cs="Times New Roman"/>
          <w:b w:val="0"/>
          <w:bCs w:val="0"/>
          <w:sz w:val="24"/>
          <w:lang w:val="en-US" w:eastAsia="zh-CN"/>
        </w:rPr>
        <w:t>50.029</w:t>
      </w:r>
      <w:r>
        <w:rPr>
          <w:rFonts w:hint="default" w:ascii="Times New Roman" w:hAnsi="Times New Roman" w:eastAsia="宋体" w:cs="Times New Roman"/>
          <w:b w:val="0"/>
          <w:bCs w:val="0"/>
          <w:sz w:val="24"/>
        </w:rPr>
        <w:t>″、北纬：</w:t>
      </w:r>
      <w:r>
        <w:rPr>
          <w:rFonts w:hint="default" w:ascii="Times New Roman" w:hAnsi="Times New Roman" w:eastAsia="宋体" w:cs="Times New Roman"/>
          <w:b w:val="0"/>
          <w:bCs w:val="0"/>
          <w:sz w:val="24"/>
          <w:lang w:val="en-US" w:eastAsia="zh-CN"/>
        </w:rPr>
        <w:t>35</w:t>
      </w:r>
      <w:r>
        <w:rPr>
          <w:rFonts w:hint="default" w:ascii="Times New Roman" w:hAnsi="Times New Roman" w:eastAsia="宋体" w:cs="Times New Roman"/>
          <w:b w:val="0"/>
          <w:bCs w:val="0"/>
          <w:sz w:val="24"/>
        </w:rPr>
        <w:t>°</w:t>
      </w:r>
      <w:r>
        <w:rPr>
          <w:rFonts w:hint="eastAsia" w:ascii="Times New Roman" w:hAnsi="Times New Roman" w:eastAsia="宋体" w:cs="Times New Roman"/>
          <w:b w:val="0"/>
          <w:bCs w:val="0"/>
          <w:sz w:val="24"/>
          <w:lang w:val="en-US" w:eastAsia="zh-CN"/>
        </w:rPr>
        <w:t>2</w:t>
      </w:r>
      <w:r>
        <w:rPr>
          <w:rFonts w:hint="default" w:ascii="Times New Roman" w:hAnsi="Times New Roman" w:eastAsia="宋体" w:cs="Times New Roman"/>
          <w:b w:val="0"/>
          <w:bCs w:val="0"/>
          <w:sz w:val="24"/>
        </w:rPr>
        <w:t>′</w:t>
      </w:r>
      <w:r>
        <w:rPr>
          <w:rFonts w:hint="eastAsia" w:cs="Times New Roman"/>
          <w:b w:val="0"/>
          <w:bCs w:val="0"/>
          <w:color w:val="auto"/>
          <w:sz w:val="24"/>
          <w:lang w:val="en-US" w:eastAsia="zh-CN"/>
        </w:rPr>
        <w:t>54.729</w:t>
      </w:r>
      <w:r>
        <w:rPr>
          <w:rFonts w:hint="default" w:ascii="Times New Roman" w:hAnsi="Times New Roman" w:eastAsia="宋体" w:cs="Times New Roman"/>
          <w:b w:val="0"/>
          <w:bCs w:val="0"/>
          <w:sz w:val="24"/>
        </w:rPr>
        <w:t>″</w:t>
      </w:r>
    </w:p>
    <w:p w14:paraId="478980A6">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lang w:val="en-US"/>
        </w:rPr>
      </w:pPr>
      <w:r>
        <w:rPr>
          <w:rFonts w:hint="default" w:ascii="Times New Roman" w:hAnsi="Times New Roman" w:eastAsia="宋体" w:cs="Times New Roman"/>
          <w:b w:val="0"/>
          <w:bCs w:val="0"/>
          <w:sz w:val="24"/>
        </w:rPr>
        <w:t>占地面积：</w:t>
      </w:r>
      <w:r>
        <w:rPr>
          <w:rFonts w:hint="eastAsia" w:cs="Times New Roman"/>
          <w:b w:val="0"/>
          <w:bCs w:val="0"/>
          <w:color w:val="auto"/>
          <w:sz w:val="24"/>
          <w:lang w:val="en-US" w:eastAsia="zh-CN"/>
        </w:rPr>
        <w:t>1400m</w:t>
      </w:r>
      <w:r>
        <w:rPr>
          <w:rFonts w:hint="eastAsia" w:cs="Times New Roman"/>
          <w:b w:val="0"/>
          <w:bCs w:val="0"/>
          <w:color w:val="auto"/>
          <w:sz w:val="24"/>
          <w:vertAlign w:val="superscript"/>
          <w:lang w:val="en-US" w:eastAsia="zh-CN"/>
        </w:rPr>
        <w:t>2</w:t>
      </w:r>
    </w:p>
    <w:p w14:paraId="08CCBFCC">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投产时间：202</w:t>
      </w:r>
      <w:r>
        <w:rPr>
          <w:rFonts w:hint="default" w:ascii="Times New Roman" w:hAnsi="Times New Roman" w:eastAsia="宋体" w:cs="Times New Roman"/>
          <w:b w:val="0"/>
          <w:bCs w:val="0"/>
          <w:sz w:val="24"/>
          <w:lang w:val="en-US" w:eastAsia="zh-CN"/>
        </w:rPr>
        <w:t>5</w:t>
      </w:r>
      <w:r>
        <w:rPr>
          <w:rFonts w:hint="default" w:ascii="Times New Roman" w:hAnsi="Times New Roman" w:eastAsia="宋体" w:cs="Times New Roman"/>
          <w:b w:val="0"/>
          <w:bCs w:val="0"/>
          <w:sz w:val="24"/>
        </w:rPr>
        <w:t>年</w:t>
      </w:r>
      <w:r>
        <w:rPr>
          <w:rFonts w:hint="eastAsia" w:ascii="Times New Roman" w:hAnsi="Times New Roman" w:eastAsia="宋体" w:cs="Times New Roman"/>
          <w:b w:val="0"/>
          <w:bCs w:val="0"/>
          <w:sz w:val="24"/>
          <w:lang w:val="en-US" w:eastAsia="zh-CN"/>
        </w:rPr>
        <w:t>1</w:t>
      </w:r>
      <w:r>
        <w:rPr>
          <w:rFonts w:hint="eastAsia" w:cs="Times New Roman"/>
          <w:b w:val="0"/>
          <w:bCs w:val="0"/>
          <w:sz w:val="24"/>
          <w:lang w:val="en-US" w:eastAsia="zh-CN"/>
        </w:rPr>
        <w:t>1</w:t>
      </w:r>
      <w:r>
        <w:rPr>
          <w:rFonts w:hint="default" w:ascii="Times New Roman" w:hAnsi="Times New Roman" w:eastAsia="宋体" w:cs="Times New Roman"/>
          <w:b w:val="0"/>
          <w:bCs w:val="0"/>
          <w:sz w:val="24"/>
        </w:rPr>
        <w:t>月</w:t>
      </w:r>
    </w:p>
    <w:p w14:paraId="6291BB58">
      <w:pPr>
        <w:pageBreakBefore w:val="0"/>
        <w:widowControl w:val="0"/>
        <w:kinsoku/>
        <w:wordWrap/>
        <w:overflowPunct/>
        <w:topLinePunct w:val="0"/>
        <w:autoSpaceDE/>
        <w:autoSpaceDN/>
        <w:bidi w:val="0"/>
        <w:snapToGrid/>
        <w:spacing w:line="520" w:lineRule="exact"/>
        <w:ind w:firstLine="482"/>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t>主要产品：</w:t>
      </w:r>
      <w:r>
        <w:rPr>
          <w:rFonts w:hint="eastAsia" w:ascii="Times New Roman" w:hAnsi="Times New Roman" w:eastAsia="宋体" w:cs="Times New Roman"/>
          <w:b w:val="0"/>
          <w:bCs w:val="0"/>
          <w:sz w:val="24"/>
          <w:lang w:eastAsia="zh-CN"/>
        </w:rPr>
        <w:t>塑料食品餐盒</w:t>
      </w:r>
    </w:p>
    <w:p w14:paraId="788CE266">
      <w:pPr>
        <w:pageBreakBefore w:val="0"/>
        <w:widowControl w:val="0"/>
        <w:kinsoku/>
        <w:wordWrap/>
        <w:overflowPunct/>
        <w:topLinePunct w:val="0"/>
        <w:autoSpaceDE/>
        <w:autoSpaceDN/>
        <w:bidi w:val="0"/>
        <w:snapToGrid/>
        <w:spacing w:line="520" w:lineRule="exact"/>
        <w:ind w:firstLine="482"/>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t>生产规模：</w:t>
      </w:r>
      <w:r>
        <w:rPr>
          <w:rFonts w:hint="eastAsia" w:cs="Times New Roman"/>
          <w:b w:val="0"/>
          <w:bCs w:val="0"/>
          <w:sz w:val="24"/>
          <w:lang w:eastAsia="zh-CN"/>
        </w:rPr>
        <w:t>年产</w:t>
      </w:r>
      <w:r>
        <w:rPr>
          <w:rFonts w:hint="eastAsia" w:cs="Times New Roman"/>
          <w:b w:val="0"/>
          <w:bCs w:val="0"/>
          <w:sz w:val="24"/>
          <w:lang w:val="en-US" w:eastAsia="zh-CN"/>
        </w:rPr>
        <w:t>300吨塑料食品餐盒</w:t>
      </w:r>
    </w:p>
    <w:p w14:paraId="7EAE36BC">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t>劳动定员：</w:t>
      </w:r>
      <w:r>
        <w:rPr>
          <w:rFonts w:hint="eastAsia" w:ascii="Times New Roman" w:hAnsi="Times New Roman" w:eastAsia="宋体" w:cs="Times New Roman"/>
          <w:b w:val="0"/>
          <w:bCs w:val="0"/>
          <w:sz w:val="24"/>
          <w:lang w:val="en-US" w:eastAsia="zh-CN"/>
        </w:rPr>
        <w:t>1</w:t>
      </w:r>
      <w:r>
        <w:rPr>
          <w:rFonts w:hint="default" w:ascii="Times New Roman" w:hAnsi="Times New Roman" w:eastAsia="宋体" w:cs="Times New Roman"/>
          <w:b w:val="0"/>
          <w:bCs w:val="0"/>
          <w:sz w:val="24"/>
          <w:lang w:val="en-US" w:eastAsia="zh-CN"/>
        </w:rPr>
        <w:t>0人</w:t>
      </w:r>
    </w:p>
    <w:p w14:paraId="2AD5440B">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highlight w:val="none"/>
        </w:rPr>
      </w:pPr>
      <w:r>
        <w:rPr>
          <w:rFonts w:hint="default" w:ascii="Times New Roman" w:hAnsi="Times New Roman" w:eastAsia="宋体" w:cs="Times New Roman"/>
          <w:b w:val="0"/>
          <w:bCs w:val="0"/>
          <w:sz w:val="24"/>
        </w:rPr>
        <w:t>工作制度：年工作</w:t>
      </w:r>
      <w:r>
        <w:rPr>
          <w:rFonts w:hint="default" w:ascii="Times New Roman" w:hAnsi="Times New Roman" w:eastAsia="宋体" w:cs="Times New Roman"/>
          <w:b w:val="0"/>
          <w:bCs w:val="0"/>
          <w:sz w:val="24"/>
          <w:lang w:val="en-US" w:eastAsia="zh-CN"/>
        </w:rPr>
        <w:t>30</w:t>
      </w:r>
      <w:r>
        <w:rPr>
          <w:rFonts w:hint="default" w:ascii="Times New Roman" w:hAnsi="Times New Roman" w:eastAsia="宋体" w:cs="Times New Roman"/>
          <w:b w:val="0"/>
          <w:bCs w:val="0"/>
          <w:sz w:val="24"/>
        </w:rPr>
        <w:t>0</w:t>
      </w:r>
      <w:r>
        <w:rPr>
          <w:rFonts w:hint="default" w:ascii="Times New Roman" w:hAnsi="Times New Roman" w:eastAsia="宋体" w:cs="Times New Roman"/>
          <w:b w:val="0"/>
          <w:bCs w:val="0"/>
          <w:sz w:val="24"/>
          <w:highlight w:val="none"/>
        </w:rPr>
        <w:t>天，</w:t>
      </w:r>
      <w:r>
        <w:rPr>
          <w:rFonts w:hint="eastAsia" w:cs="Times New Roman"/>
          <w:b w:val="0"/>
          <w:bCs w:val="0"/>
          <w:sz w:val="24"/>
          <w:highlight w:val="none"/>
          <w:lang w:val="en-US" w:eastAsia="zh-CN"/>
        </w:rPr>
        <w:t>1</w:t>
      </w:r>
      <w:r>
        <w:rPr>
          <w:rFonts w:hint="default" w:ascii="Times New Roman" w:hAnsi="Times New Roman" w:eastAsia="宋体" w:cs="Times New Roman"/>
          <w:b w:val="0"/>
          <w:bCs w:val="0"/>
          <w:sz w:val="24"/>
          <w:highlight w:val="none"/>
        </w:rPr>
        <w:t>班制，每班</w:t>
      </w:r>
      <w:r>
        <w:rPr>
          <w:rFonts w:hint="eastAsia" w:cs="Times New Roman"/>
          <w:b w:val="0"/>
          <w:bCs w:val="0"/>
          <w:sz w:val="24"/>
          <w:highlight w:val="none"/>
          <w:lang w:val="en-US" w:eastAsia="zh-CN"/>
        </w:rPr>
        <w:t>8</w:t>
      </w:r>
      <w:r>
        <w:rPr>
          <w:rFonts w:hint="default" w:ascii="Times New Roman" w:hAnsi="Times New Roman" w:eastAsia="宋体" w:cs="Times New Roman"/>
          <w:b w:val="0"/>
          <w:bCs w:val="0"/>
          <w:sz w:val="24"/>
          <w:highlight w:val="none"/>
        </w:rPr>
        <w:t>小时；</w:t>
      </w:r>
    </w:p>
    <w:p w14:paraId="3B446295">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val="0"/>
          <w:bCs w:val="0"/>
          <w:sz w:val="24"/>
          <w:lang w:eastAsia="zh-CN"/>
        </w:rPr>
      </w:pPr>
      <w:r>
        <w:rPr>
          <w:rFonts w:hint="default" w:ascii="Times New Roman" w:hAnsi="Times New Roman" w:eastAsia="宋体" w:cs="Times New Roman"/>
          <w:b w:val="0"/>
          <w:bCs w:val="0"/>
          <w:sz w:val="24"/>
        </w:rPr>
        <w:t>联系人信息</w:t>
      </w:r>
      <w:r>
        <w:rPr>
          <w:rFonts w:hint="default" w:ascii="Times New Roman" w:hAnsi="Times New Roman" w:eastAsia="宋体" w:cs="Times New Roman"/>
          <w:b w:val="0"/>
          <w:bCs w:val="0"/>
          <w:color w:val="auto"/>
          <w:sz w:val="24"/>
        </w:rPr>
        <w:t>：联系人：</w:t>
      </w:r>
      <w:r>
        <w:rPr>
          <w:rFonts w:hint="eastAsia" w:cs="Times New Roman"/>
          <w:lang w:eastAsia="zh-CN"/>
        </w:rPr>
        <w:t>郭元岭</w:t>
      </w:r>
      <w:r>
        <w:rPr>
          <w:rFonts w:hint="default" w:ascii="Times New Roman" w:hAnsi="Times New Roman" w:eastAsia="宋体" w:cs="Times New Roman"/>
          <w:b w:val="0"/>
          <w:bCs w:val="0"/>
          <w:color w:val="auto"/>
          <w:sz w:val="24"/>
        </w:rPr>
        <w:t>；联系电话：</w:t>
      </w:r>
      <w:r>
        <w:rPr>
          <w:rFonts w:hint="eastAsia" w:cs="Times New Roman"/>
          <w:lang w:val="en-US" w:eastAsia="zh-CN"/>
        </w:rPr>
        <w:t>17737137575</w:t>
      </w:r>
      <w:r>
        <w:rPr>
          <w:rFonts w:hint="default" w:ascii="Times New Roman" w:hAnsi="Times New Roman" w:cs="Times New Roman"/>
          <w:b w:val="0"/>
          <w:bCs w:val="0"/>
          <w:color w:val="auto"/>
          <w:sz w:val="24"/>
          <w:szCs w:val="21"/>
          <w:lang w:eastAsia="zh-CN"/>
        </w:rPr>
        <w:t>；</w:t>
      </w:r>
    </w:p>
    <w:p w14:paraId="370DB25B">
      <w:pPr>
        <w:pageBreakBefore w:val="0"/>
        <w:widowControl w:val="0"/>
        <w:kinsoku/>
        <w:wordWrap/>
        <w:overflowPunct/>
        <w:topLinePunct w:val="0"/>
        <w:autoSpaceDE/>
        <w:autoSpaceDN/>
        <w:bidi w:val="0"/>
        <w:snapToGrid/>
        <w:spacing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b w:val="0"/>
          <w:bCs w:val="0"/>
          <w:sz w:val="24"/>
        </w:rPr>
        <w:t>联系地址：焦作市武陟县经开区东部园区昌武路与鸿源路交叉口路西200米路南01号</w:t>
      </w:r>
    </w:p>
    <w:p w14:paraId="4B9ACA20">
      <w:pPr>
        <w:pageBreakBefore w:val="0"/>
        <w:widowControl w:val="0"/>
        <w:kinsoku/>
        <w:wordWrap/>
        <w:overflowPunct/>
        <w:topLinePunct w:val="0"/>
        <w:autoSpaceDE/>
        <w:autoSpaceDN/>
        <w:bidi w:val="0"/>
        <w:snapToGrid/>
        <w:spacing w:line="520" w:lineRule="exact"/>
        <w:ind w:firstLine="482"/>
        <w:textAlignment w:val="auto"/>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lang w:val="en-US" w:eastAsia="zh-CN"/>
        </w:rPr>
        <w:t>1.</w:t>
      </w:r>
      <w:r>
        <w:rPr>
          <w:rFonts w:hint="default" w:ascii="Times New Roman" w:hAnsi="Times New Roman" w:eastAsia="宋体" w:cs="Times New Roman"/>
          <w:b/>
          <w:bCs/>
          <w:color w:val="0C0C0C"/>
          <w:sz w:val="24"/>
        </w:rPr>
        <w:t>2</w:t>
      </w:r>
      <w:r>
        <w:rPr>
          <w:rFonts w:hint="default" w:ascii="Times New Roman" w:hAnsi="Times New Roman" w:eastAsia="宋体" w:cs="Times New Roman"/>
          <w:b/>
          <w:bCs/>
          <w:color w:val="0C0C0C"/>
          <w:sz w:val="24"/>
          <w:lang w:val="en-US" w:eastAsia="zh-CN"/>
        </w:rPr>
        <w:t>工程建设内容</w:t>
      </w:r>
    </w:p>
    <w:p w14:paraId="3488E5BB">
      <w:pPr>
        <w:pStyle w:val="30"/>
        <w:keepNext w:val="0"/>
        <w:keepLines w:val="0"/>
        <w:pageBreakBefore w:val="0"/>
        <w:widowControl/>
        <w:kinsoku/>
        <w:wordWrap/>
        <w:overflowPunct/>
        <w:topLinePunct w:val="0"/>
        <w:autoSpaceDE/>
        <w:autoSpaceDN/>
        <w:bidi w:val="0"/>
        <w:adjustRightInd/>
        <w:snapToGrid/>
        <w:spacing w:before="0" w:beforeLines="0" w:line="520" w:lineRule="exact"/>
        <w:ind w:firstLine="480" w:firstLineChars="200"/>
        <w:jc w:val="left"/>
        <w:textAlignment w:val="auto"/>
        <w:rPr>
          <w:rFonts w:hint="default" w:ascii="Times New Roman" w:hAnsi="Times New Roman" w:eastAsia="宋体" w:cs="Times New Roman"/>
        </w:rPr>
      </w:pPr>
      <w:r>
        <w:rPr>
          <w:rFonts w:hint="default" w:ascii="Times New Roman" w:hAnsi="Times New Roman" w:eastAsia="宋体" w:cs="Times New Roman"/>
          <w:b w:val="0"/>
          <w:bCs w:val="0"/>
        </w:rPr>
        <w:t>本项目</w:t>
      </w:r>
      <w:r>
        <w:rPr>
          <w:rFonts w:hint="default" w:ascii="Times New Roman" w:hAnsi="Times New Roman" w:eastAsia="宋体" w:cs="Times New Roman"/>
          <w:b w:val="0"/>
          <w:bCs w:val="0"/>
          <w:highlight w:val="none"/>
        </w:rPr>
        <w:t>租赁建能智慧科技（河南）有限公司</w:t>
      </w:r>
      <w:r>
        <w:rPr>
          <w:rFonts w:hint="eastAsia" w:ascii="Times New Roman" w:hAnsi="Times New Roman" w:eastAsia="宋体" w:cs="Times New Roman"/>
          <w:b w:val="0"/>
          <w:bCs w:val="0"/>
          <w:highlight w:val="none"/>
          <w:lang w:eastAsia="zh-CN"/>
        </w:rPr>
        <w:t>的</w:t>
      </w:r>
      <w:r>
        <w:rPr>
          <w:rFonts w:hint="default" w:ascii="Times New Roman" w:hAnsi="Times New Roman" w:eastAsia="宋体" w:cs="Times New Roman"/>
          <w:b w:val="0"/>
          <w:bCs w:val="0"/>
          <w:highlight w:val="none"/>
        </w:rPr>
        <w:t>现有</w:t>
      </w:r>
      <w:r>
        <w:rPr>
          <w:rFonts w:hint="eastAsia" w:ascii="Times New Roman" w:hAnsi="Times New Roman" w:eastAsia="宋体" w:cs="Times New Roman"/>
          <w:b w:val="0"/>
          <w:bCs w:val="0"/>
          <w:highlight w:val="none"/>
          <w:lang w:eastAsia="zh-CN"/>
        </w:rPr>
        <w:t>空</w:t>
      </w:r>
      <w:r>
        <w:rPr>
          <w:rFonts w:hint="default" w:ascii="Times New Roman" w:hAnsi="Times New Roman" w:eastAsia="宋体" w:cs="Times New Roman"/>
          <w:b w:val="0"/>
          <w:bCs w:val="0"/>
          <w:highlight w:val="none"/>
        </w:rPr>
        <w:t>厂房进行建设，</w:t>
      </w:r>
      <w:r>
        <w:rPr>
          <w:rFonts w:hint="default" w:ascii="Times New Roman" w:hAnsi="Times New Roman" w:eastAsia="宋体" w:cs="Times New Roman"/>
          <w:highlight w:val="none"/>
        </w:rPr>
        <w:t>主要建设内容见下</w:t>
      </w:r>
      <w:r>
        <w:rPr>
          <w:rFonts w:hint="default" w:ascii="Times New Roman" w:hAnsi="Times New Roman" w:eastAsia="宋体" w:cs="Times New Roman"/>
        </w:rPr>
        <w:t>表。</w:t>
      </w:r>
    </w:p>
    <w:p w14:paraId="5475C0B5">
      <w:pPr>
        <w:pStyle w:val="28"/>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表</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 xml:space="preserve">  </w:t>
      </w:r>
      <w:r>
        <w:rPr>
          <w:rFonts w:hint="default" w:ascii="Times New Roman" w:hAnsi="Times New Roman" w:cs="Times New Roman"/>
          <w:highlight w:val="none"/>
          <w:lang w:eastAsia="zh-CN"/>
        </w:rPr>
        <w:t>本</w:t>
      </w:r>
      <w:r>
        <w:rPr>
          <w:rFonts w:hint="default" w:ascii="Times New Roman" w:hAnsi="Times New Roman" w:cs="Times New Roman"/>
          <w:highlight w:val="none"/>
        </w:rPr>
        <w:t>项目建设内容</w:t>
      </w:r>
      <w:r>
        <w:rPr>
          <w:rFonts w:hint="eastAsia" w:ascii="Times New Roman" w:hAnsi="Times New Roman" w:cs="Times New Roman"/>
          <w:highlight w:val="none"/>
          <w:lang w:eastAsia="zh-CN"/>
        </w:rPr>
        <w:t>与规模</w:t>
      </w:r>
      <w:r>
        <w:rPr>
          <w:rFonts w:hint="default" w:ascii="Times New Roman" w:hAnsi="Times New Roman" w:cs="Times New Roman"/>
          <w:highlight w:val="none"/>
        </w:rPr>
        <w:t>一览表</w:t>
      </w:r>
    </w:p>
    <w:tbl>
      <w:tblPr>
        <w:tblStyle w:val="15"/>
        <w:tblW w:w="5025"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0" w:type="dxa"/>
          <w:bottom w:w="0" w:type="dxa"/>
          <w:right w:w="0" w:type="dxa"/>
        </w:tblCellMar>
      </w:tblPr>
      <w:tblGrid>
        <w:gridCol w:w="1066"/>
        <w:gridCol w:w="1283"/>
        <w:gridCol w:w="892"/>
        <w:gridCol w:w="1226"/>
        <w:gridCol w:w="893"/>
        <w:gridCol w:w="2645"/>
        <w:gridCol w:w="837"/>
      </w:tblGrid>
      <w:tr w14:paraId="7EC7523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95" w:hRule="atLeast"/>
          <w:jc w:val="center"/>
        </w:trPr>
        <w:tc>
          <w:tcPr>
            <w:tcW w:w="603" w:type="pct"/>
            <w:noWrap w:val="0"/>
            <w:vAlign w:val="center"/>
          </w:tcPr>
          <w:p w14:paraId="2C40CC2D">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项目组成</w:t>
            </w:r>
          </w:p>
        </w:tc>
        <w:tc>
          <w:tcPr>
            <w:tcW w:w="725" w:type="pct"/>
            <w:noWrap w:val="0"/>
            <w:vAlign w:val="center"/>
          </w:tcPr>
          <w:p w14:paraId="33EB2080">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名称</w:t>
            </w:r>
          </w:p>
        </w:tc>
        <w:tc>
          <w:tcPr>
            <w:tcW w:w="3197" w:type="pct"/>
            <w:gridSpan w:val="4"/>
            <w:noWrap w:val="0"/>
            <w:vAlign w:val="center"/>
          </w:tcPr>
          <w:p w14:paraId="608D2A75">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建设内容</w:t>
            </w:r>
          </w:p>
        </w:tc>
        <w:tc>
          <w:tcPr>
            <w:tcW w:w="473" w:type="pct"/>
            <w:noWrap w:val="0"/>
            <w:vAlign w:val="center"/>
          </w:tcPr>
          <w:p w14:paraId="64EEBA60">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备注</w:t>
            </w:r>
          </w:p>
        </w:tc>
      </w:tr>
      <w:tr w14:paraId="4EB86B9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603" w:type="pct"/>
            <w:noWrap w:val="0"/>
            <w:vAlign w:val="center"/>
          </w:tcPr>
          <w:p w14:paraId="2B969E0B">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主体工程</w:t>
            </w:r>
          </w:p>
        </w:tc>
        <w:tc>
          <w:tcPr>
            <w:tcW w:w="725" w:type="pct"/>
            <w:noWrap w:val="0"/>
            <w:vAlign w:val="center"/>
          </w:tcPr>
          <w:p w14:paraId="0DA3D811">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highlight w:val="none"/>
                <w:lang w:eastAsia="zh-CN"/>
              </w:rPr>
              <w:t>生产车间</w:t>
            </w:r>
          </w:p>
        </w:tc>
        <w:tc>
          <w:tcPr>
            <w:tcW w:w="3197" w:type="pct"/>
            <w:gridSpan w:val="4"/>
            <w:noWrap w:val="0"/>
            <w:vAlign w:val="center"/>
          </w:tcPr>
          <w:p w14:paraId="3363EE7B">
            <w:pPr>
              <w:pStyle w:val="21"/>
              <w:keepNext w:val="0"/>
              <w:keepLines w:val="0"/>
              <w:pageBreakBefore w:val="0"/>
              <w:widowControl w:val="0"/>
              <w:kinsoku/>
              <w:wordWrap/>
              <w:overflowPunct/>
              <w:topLinePunct w:val="0"/>
              <w:bidi w:val="0"/>
              <w:adjustRightInd/>
              <w:snapToGrid w:val="0"/>
              <w:spacing w:line="360" w:lineRule="exact"/>
              <w:ind w:firstLine="0" w:firstLineChars="0"/>
              <w:jc w:val="both"/>
              <w:textAlignment w:val="auto"/>
              <w:rPr>
                <w:rFonts w:hint="default" w:ascii="Times New Roman" w:hAnsi="Times New Roman" w:eastAsia="宋体" w:cs="Times New Roman"/>
                <w:bCs/>
                <w:color w:val="000000"/>
                <w:kern w:val="0"/>
                <w:sz w:val="21"/>
                <w:szCs w:val="20"/>
                <w:lang w:val="en-US" w:eastAsia="zh-CN" w:bidi="ar-SA"/>
              </w:rPr>
            </w:pPr>
            <w:r>
              <w:rPr>
                <w:rFonts w:hint="default" w:ascii="Times New Roman" w:hAnsi="Times New Roman" w:cs="Times New Roman"/>
                <w:lang w:eastAsia="zh-CN"/>
              </w:rPr>
              <w:t>占地</w:t>
            </w:r>
            <w:r>
              <w:rPr>
                <w:rFonts w:hint="default" w:ascii="Times New Roman" w:hAnsi="Times New Roman" w:cs="Times New Roman"/>
              </w:rPr>
              <w:t>面积</w:t>
            </w:r>
            <w:r>
              <w:rPr>
                <w:rFonts w:hint="eastAsia" w:ascii="Times New Roman" w:hAnsi="Times New Roman" w:cs="Times New Roman"/>
                <w:lang w:val="en-US" w:eastAsia="zh-CN"/>
              </w:rPr>
              <w:t>1400</w:t>
            </w:r>
            <w:r>
              <w:rPr>
                <w:rFonts w:hint="default" w:ascii="Times New Roman" w:hAnsi="Times New Roman" w:cs="Times New Roman"/>
              </w:rPr>
              <w:t>m</w:t>
            </w:r>
            <w:r>
              <w:rPr>
                <w:rFonts w:hint="default" w:ascii="Times New Roman" w:hAnsi="Times New Roman" w:cs="Times New Roman"/>
                <w:vertAlign w:val="superscript"/>
              </w:rPr>
              <w:t>2</w:t>
            </w:r>
            <w:r>
              <w:rPr>
                <w:rFonts w:hint="default" w:ascii="Times New Roman" w:hAnsi="Times New Roman" w:cs="Times New Roman"/>
              </w:rPr>
              <w:t>，</w:t>
            </w:r>
            <w:r>
              <w:rPr>
                <w:rFonts w:hint="default" w:ascii="Times New Roman" w:hAnsi="Times New Roman" w:cs="Times New Roman"/>
                <w:lang w:eastAsia="zh-CN"/>
              </w:rPr>
              <w:t>长</w:t>
            </w:r>
            <w:r>
              <w:rPr>
                <w:rFonts w:hint="default" w:ascii="Times New Roman" w:hAnsi="Times New Roman" w:cs="Times New Roman"/>
                <w:lang w:val="en-US" w:eastAsia="zh-CN"/>
              </w:rPr>
              <w:t>×宽</w:t>
            </w:r>
            <w:r>
              <w:rPr>
                <w:rFonts w:hint="eastAsia" w:cs="Times New Roman"/>
                <w:lang w:val="en-US" w:eastAsia="zh-CN"/>
              </w:rPr>
              <w:t>×高</w:t>
            </w:r>
            <w:r>
              <w:rPr>
                <w:rFonts w:hint="default" w:ascii="Times New Roman" w:hAnsi="Times New Roman" w:cs="Times New Roman"/>
                <w:lang w:val="en-US" w:eastAsia="zh-CN"/>
              </w:rPr>
              <w:t>=</w:t>
            </w:r>
            <w:r>
              <w:rPr>
                <w:rFonts w:hint="eastAsia" w:ascii="Times New Roman" w:hAnsi="Times New Roman" w:cs="Times New Roman"/>
                <w:lang w:val="en-US" w:eastAsia="zh-CN"/>
              </w:rPr>
              <w:t>70</w:t>
            </w:r>
            <w:r>
              <w:rPr>
                <w:rFonts w:hint="eastAsia" w:cs="Times New Roman"/>
                <w:lang w:val="en-US" w:eastAsia="zh-CN"/>
              </w:rPr>
              <w:t>m</w:t>
            </w:r>
            <w:r>
              <w:rPr>
                <w:rFonts w:hint="default" w:ascii="Times New Roman" w:hAnsi="Times New Roman" w:cs="Times New Roman"/>
                <w:lang w:val="en-US" w:eastAsia="zh-CN"/>
              </w:rPr>
              <w:t>×</w:t>
            </w:r>
            <w:r>
              <w:rPr>
                <w:rFonts w:hint="eastAsia" w:ascii="Times New Roman" w:hAnsi="Times New Roman" w:cs="Times New Roman"/>
                <w:lang w:val="en-US" w:eastAsia="zh-CN"/>
              </w:rPr>
              <w:t>2</w:t>
            </w:r>
            <w:r>
              <w:rPr>
                <w:rFonts w:hint="default" w:ascii="Times New Roman" w:hAnsi="Times New Roman" w:cs="Times New Roman"/>
                <w:lang w:val="en-US" w:eastAsia="zh-CN"/>
              </w:rPr>
              <w:t>0</w:t>
            </w:r>
            <w:r>
              <w:rPr>
                <w:rFonts w:hint="eastAsia" w:cs="Times New Roman"/>
                <w:lang w:val="en-US" w:eastAsia="zh-CN"/>
              </w:rPr>
              <w:t>m×9m</w:t>
            </w:r>
            <w:r>
              <w:rPr>
                <w:rFonts w:hint="default" w:ascii="Times New Roman" w:hAnsi="Times New Roman" w:cs="Times New Roman"/>
                <w:lang w:val="en-US" w:eastAsia="zh-CN"/>
              </w:rPr>
              <w:t>，</w:t>
            </w:r>
            <w:r>
              <w:rPr>
                <w:rFonts w:hint="default" w:ascii="Times New Roman" w:hAnsi="Times New Roman" w:cs="Times New Roman"/>
              </w:rPr>
              <w:t>钢结构厂房，</w:t>
            </w:r>
            <w:r>
              <w:rPr>
                <w:rFonts w:hint="default" w:ascii="Times New Roman" w:hAnsi="Times New Roman" w:cs="Times New Roman"/>
                <w:lang w:val="en-US" w:eastAsia="zh-CN"/>
              </w:rPr>
              <w:t>1栋</w:t>
            </w:r>
            <w:r>
              <w:rPr>
                <w:rFonts w:hint="default" w:ascii="Times New Roman" w:hAnsi="Times New Roman" w:cs="Times New Roman"/>
              </w:rPr>
              <w:t>1层</w:t>
            </w:r>
            <w:r>
              <w:rPr>
                <w:rFonts w:hint="eastAsia" w:ascii="Times New Roman" w:hAnsi="Times New Roman" w:cs="Times New Roman"/>
                <w:lang w:eastAsia="zh-CN"/>
              </w:rPr>
              <w:t>，包含塑料食品餐盒生产。</w:t>
            </w:r>
          </w:p>
        </w:tc>
        <w:tc>
          <w:tcPr>
            <w:tcW w:w="473" w:type="pct"/>
            <w:vMerge w:val="restart"/>
            <w:noWrap w:val="0"/>
            <w:vAlign w:val="center"/>
          </w:tcPr>
          <w:p w14:paraId="1350E182">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租赁</w:t>
            </w:r>
            <w:r>
              <w:rPr>
                <w:rFonts w:hint="default" w:ascii="Times New Roman" w:hAnsi="Times New Roman" w:cs="Times New Roman"/>
                <w:sz w:val="21"/>
                <w:szCs w:val="21"/>
              </w:rPr>
              <w:t>现</w:t>
            </w:r>
          </w:p>
          <w:p w14:paraId="4EA8707E">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有厂房</w:t>
            </w:r>
          </w:p>
        </w:tc>
      </w:tr>
      <w:tr w14:paraId="3554181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08" w:hRule="atLeast"/>
          <w:jc w:val="center"/>
        </w:trPr>
        <w:tc>
          <w:tcPr>
            <w:tcW w:w="603" w:type="pct"/>
            <w:vMerge w:val="restart"/>
            <w:noWrap w:val="0"/>
            <w:vAlign w:val="center"/>
          </w:tcPr>
          <w:p w14:paraId="3E8EE39A">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储运工程</w:t>
            </w:r>
          </w:p>
        </w:tc>
        <w:tc>
          <w:tcPr>
            <w:tcW w:w="725" w:type="pct"/>
            <w:noWrap w:val="0"/>
            <w:vAlign w:val="center"/>
          </w:tcPr>
          <w:p w14:paraId="5FA47545">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highlight w:val="none"/>
                <w:lang w:eastAsia="zh-CN"/>
              </w:rPr>
            </w:pPr>
            <w:r>
              <w:rPr>
                <w:rFonts w:hint="default" w:ascii="Times New Roman" w:hAnsi="Times New Roman" w:cs="Times New Roman"/>
                <w:sz w:val="21"/>
                <w:szCs w:val="21"/>
                <w:highlight w:val="none"/>
              </w:rPr>
              <w:t>原料</w:t>
            </w:r>
            <w:r>
              <w:rPr>
                <w:rFonts w:hint="default" w:ascii="Times New Roman" w:hAnsi="Times New Roman" w:cs="Times New Roman"/>
                <w:sz w:val="21"/>
                <w:szCs w:val="21"/>
                <w:highlight w:val="none"/>
                <w:lang w:eastAsia="zh-CN"/>
              </w:rPr>
              <w:t>区</w:t>
            </w:r>
          </w:p>
        </w:tc>
        <w:tc>
          <w:tcPr>
            <w:tcW w:w="3197" w:type="pct"/>
            <w:gridSpan w:val="4"/>
            <w:noWrap w:val="0"/>
            <w:vAlign w:val="center"/>
          </w:tcPr>
          <w:p w14:paraId="44B00CC7">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lang w:eastAsia="zh-CN"/>
              </w:rPr>
              <w:t>位于车间</w:t>
            </w:r>
            <w:r>
              <w:rPr>
                <w:rFonts w:hint="eastAsia" w:ascii="Times New Roman" w:hAnsi="Times New Roman" w:cs="Times New Roman"/>
                <w:highlight w:val="none"/>
                <w:lang w:eastAsia="zh-CN"/>
              </w:rPr>
              <w:t>中部</w:t>
            </w:r>
            <w:r>
              <w:rPr>
                <w:rFonts w:hint="default" w:ascii="Times New Roman" w:hAnsi="Times New Roman" w:cs="Times New Roman"/>
                <w:highlight w:val="none"/>
                <w:lang w:eastAsia="zh-CN"/>
              </w:rPr>
              <w:t>区域</w:t>
            </w:r>
            <w:r>
              <w:rPr>
                <w:rFonts w:hint="default" w:ascii="Times New Roman" w:hAnsi="Times New Roman" w:cs="Times New Roman"/>
                <w:highlight w:val="none"/>
              </w:rPr>
              <w:t>，</w:t>
            </w:r>
            <w:r>
              <w:rPr>
                <w:rFonts w:hint="default" w:ascii="Times New Roman" w:hAnsi="Times New Roman" w:cs="Times New Roman"/>
                <w:highlight w:val="none"/>
                <w:lang w:eastAsia="zh-CN"/>
              </w:rPr>
              <w:t>用于存放</w:t>
            </w:r>
            <w:r>
              <w:rPr>
                <w:rFonts w:hint="eastAsia" w:ascii="Times New Roman" w:hAnsi="Times New Roman" w:cs="Times New Roman"/>
                <w:highlight w:val="none"/>
                <w:lang w:val="en-US" w:eastAsia="zh-CN"/>
              </w:rPr>
              <w:t>BOPS片材、包装纸箱</w:t>
            </w:r>
            <w:r>
              <w:rPr>
                <w:rFonts w:hint="default" w:ascii="Times New Roman" w:hAnsi="Times New Roman" w:cs="Times New Roman"/>
                <w:highlight w:val="none"/>
                <w:lang w:eastAsia="zh-CN"/>
              </w:rPr>
              <w:t>等原料</w:t>
            </w:r>
            <w:r>
              <w:rPr>
                <w:rFonts w:hint="eastAsia" w:ascii="Times New Roman" w:hAnsi="Times New Roman" w:cs="Times New Roman"/>
                <w:highlight w:val="none"/>
                <w:lang w:eastAsia="zh-CN"/>
              </w:rPr>
              <w:t>。</w:t>
            </w:r>
          </w:p>
        </w:tc>
        <w:tc>
          <w:tcPr>
            <w:tcW w:w="473" w:type="pct"/>
            <w:vMerge w:val="continue"/>
            <w:noWrap w:val="0"/>
            <w:vAlign w:val="center"/>
          </w:tcPr>
          <w:p w14:paraId="05A0B95B">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r>
      <w:tr w14:paraId="6C33D0A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95" w:hRule="atLeast"/>
          <w:jc w:val="center"/>
        </w:trPr>
        <w:tc>
          <w:tcPr>
            <w:tcW w:w="603" w:type="pct"/>
            <w:vMerge w:val="continue"/>
            <w:noWrap w:val="0"/>
            <w:vAlign w:val="center"/>
          </w:tcPr>
          <w:p w14:paraId="7FBA722F">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c>
          <w:tcPr>
            <w:tcW w:w="725" w:type="pct"/>
            <w:noWrap w:val="0"/>
            <w:vAlign w:val="center"/>
          </w:tcPr>
          <w:p w14:paraId="53DDAF7B">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成品</w:t>
            </w:r>
            <w:r>
              <w:rPr>
                <w:rFonts w:hint="default" w:ascii="Times New Roman" w:hAnsi="Times New Roman" w:cs="Times New Roman"/>
                <w:sz w:val="21"/>
                <w:szCs w:val="21"/>
                <w:lang w:eastAsia="zh-CN"/>
              </w:rPr>
              <w:t>区</w:t>
            </w:r>
          </w:p>
        </w:tc>
        <w:tc>
          <w:tcPr>
            <w:tcW w:w="3197" w:type="pct"/>
            <w:gridSpan w:val="4"/>
            <w:noWrap w:val="0"/>
            <w:vAlign w:val="center"/>
          </w:tcPr>
          <w:p w14:paraId="5F0D19B9">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rPr>
            </w:pPr>
            <w:r>
              <w:rPr>
                <w:rFonts w:hint="default" w:ascii="Times New Roman" w:hAnsi="Times New Roman" w:cs="Times New Roman"/>
                <w:lang w:eastAsia="zh-CN"/>
              </w:rPr>
              <w:t>位于车间</w:t>
            </w:r>
            <w:r>
              <w:rPr>
                <w:rFonts w:hint="eastAsia" w:ascii="Times New Roman" w:hAnsi="Times New Roman" w:cs="Times New Roman"/>
                <w:lang w:eastAsia="zh-CN"/>
              </w:rPr>
              <w:t>入口左</w:t>
            </w:r>
            <w:r>
              <w:rPr>
                <w:rFonts w:hint="default" w:ascii="Times New Roman" w:hAnsi="Times New Roman" w:cs="Times New Roman"/>
                <w:lang w:eastAsia="zh-CN"/>
              </w:rPr>
              <w:t>侧区域</w:t>
            </w:r>
            <w:r>
              <w:rPr>
                <w:rFonts w:hint="default" w:ascii="Times New Roman" w:hAnsi="Times New Roman" w:cs="Times New Roman"/>
              </w:rPr>
              <w:t>，</w:t>
            </w:r>
            <w:r>
              <w:rPr>
                <w:rFonts w:hint="default" w:ascii="Times New Roman" w:hAnsi="Times New Roman" w:cs="Times New Roman"/>
                <w:lang w:eastAsia="zh-CN"/>
              </w:rPr>
              <w:t>用于</w:t>
            </w:r>
            <w:r>
              <w:rPr>
                <w:rFonts w:hint="eastAsia" w:ascii="Times New Roman" w:hAnsi="Times New Roman" w:cs="Times New Roman"/>
                <w:lang w:eastAsia="zh-CN"/>
              </w:rPr>
              <w:t>打包过的塑料食品餐盒成品。</w:t>
            </w:r>
          </w:p>
        </w:tc>
        <w:tc>
          <w:tcPr>
            <w:tcW w:w="473" w:type="pct"/>
            <w:vMerge w:val="continue"/>
            <w:noWrap w:val="0"/>
            <w:vAlign w:val="center"/>
          </w:tcPr>
          <w:p w14:paraId="0524339B">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r>
      <w:tr w14:paraId="53ED25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35" w:hRule="atLeast"/>
          <w:jc w:val="center"/>
        </w:trPr>
        <w:tc>
          <w:tcPr>
            <w:tcW w:w="603" w:type="pct"/>
            <w:noWrap w:val="0"/>
            <w:vAlign w:val="center"/>
          </w:tcPr>
          <w:p w14:paraId="4B35F0F2">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辅助工程</w:t>
            </w:r>
          </w:p>
        </w:tc>
        <w:tc>
          <w:tcPr>
            <w:tcW w:w="725" w:type="pct"/>
            <w:noWrap w:val="0"/>
            <w:vAlign w:val="center"/>
          </w:tcPr>
          <w:p w14:paraId="1FFD07F7">
            <w:pPr>
              <w:keepNext w:val="0"/>
              <w:keepLines w:val="0"/>
              <w:pageBreakBefore w:val="0"/>
              <w:widowControl w:val="0"/>
              <w:tabs>
                <w:tab w:val="left" w:pos="696"/>
              </w:tabs>
              <w:kinsoku/>
              <w:wordWrap/>
              <w:overflowPunct/>
              <w:topLinePunct w:val="0"/>
              <w:bidi w:val="0"/>
              <w:adjustRightInd/>
              <w:snapToGrid w:val="0"/>
              <w:spacing w:line="360" w:lineRule="exact"/>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办公</w:t>
            </w:r>
            <w:r>
              <w:rPr>
                <w:rFonts w:hint="eastAsia" w:ascii="Times New Roman" w:hAnsi="Times New Roman" w:cs="Times New Roman"/>
                <w:sz w:val="21"/>
                <w:szCs w:val="21"/>
                <w:lang w:eastAsia="zh-CN"/>
              </w:rPr>
              <w:t>区</w:t>
            </w:r>
          </w:p>
        </w:tc>
        <w:tc>
          <w:tcPr>
            <w:tcW w:w="3197" w:type="pct"/>
            <w:gridSpan w:val="4"/>
            <w:noWrap w:val="0"/>
            <w:vAlign w:val="center"/>
          </w:tcPr>
          <w:p w14:paraId="14E0F2C2">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lang w:eastAsia="zh-CN"/>
              </w:rPr>
              <w:t>位于</w:t>
            </w:r>
            <w:r>
              <w:rPr>
                <w:rFonts w:hint="eastAsia" w:ascii="Times New Roman" w:hAnsi="Times New Roman" w:cs="Times New Roman"/>
                <w:sz w:val="21"/>
                <w:lang w:eastAsia="zh-CN"/>
              </w:rPr>
              <w:t>车间入口右侧</w:t>
            </w:r>
            <w:r>
              <w:rPr>
                <w:rFonts w:hint="default" w:ascii="Times New Roman" w:hAnsi="Times New Roman" w:cs="Times New Roman"/>
                <w:sz w:val="21"/>
                <w:lang w:eastAsia="zh-CN"/>
              </w:rPr>
              <w:t>区域</w:t>
            </w:r>
            <w:r>
              <w:rPr>
                <w:rFonts w:hint="eastAsia" w:ascii="Times New Roman" w:hAnsi="Times New Roman" w:cs="Times New Roman"/>
                <w:sz w:val="21"/>
                <w:lang w:eastAsia="zh-CN"/>
              </w:rPr>
              <w:t>，用于日常办公使用。</w:t>
            </w:r>
          </w:p>
        </w:tc>
        <w:tc>
          <w:tcPr>
            <w:tcW w:w="473" w:type="pct"/>
            <w:vMerge w:val="continue"/>
            <w:noWrap w:val="0"/>
            <w:vAlign w:val="center"/>
          </w:tcPr>
          <w:p w14:paraId="52FB094C">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lang w:eastAsia="zh-CN"/>
              </w:rPr>
            </w:pPr>
          </w:p>
        </w:tc>
      </w:tr>
      <w:tr w14:paraId="387CFCE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20" w:hRule="atLeast"/>
          <w:jc w:val="center"/>
        </w:trPr>
        <w:tc>
          <w:tcPr>
            <w:tcW w:w="603" w:type="pct"/>
            <w:vMerge w:val="restart"/>
            <w:noWrap w:val="0"/>
            <w:vAlign w:val="center"/>
          </w:tcPr>
          <w:p w14:paraId="5A684E52">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公用工程</w:t>
            </w:r>
          </w:p>
        </w:tc>
        <w:tc>
          <w:tcPr>
            <w:tcW w:w="725" w:type="pct"/>
            <w:noWrap w:val="0"/>
            <w:vAlign w:val="center"/>
          </w:tcPr>
          <w:p w14:paraId="068B4BF3">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供水</w:t>
            </w:r>
          </w:p>
        </w:tc>
        <w:tc>
          <w:tcPr>
            <w:tcW w:w="3197" w:type="pct"/>
            <w:gridSpan w:val="4"/>
            <w:noWrap w:val="0"/>
            <w:vAlign w:val="center"/>
          </w:tcPr>
          <w:p w14:paraId="27D39851">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市政</w:t>
            </w:r>
            <w:r>
              <w:rPr>
                <w:rFonts w:hint="default" w:ascii="Times New Roman" w:hAnsi="Times New Roman" w:cs="Times New Roman"/>
                <w:sz w:val="21"/>
                <w:szCs w:val="21"/>
                <w:lang w:eastAsia="zh-CN"/>
              </w:rPr>
              <w:t>管网</w:t>
            </w:r>
            <w:r>
              <w:rPr>
                <w:rFonts w:hint="default" w:ascii="Times New Roman" w:hAnsi="Times New Roman" w:cs="Times New Roman"/>
                <w:sz w:val="21"/>
                <w:szCs w:val="21"/>
              </w:rPr>
              <w:t>供水</w:t>
            </w:r>
          </w:p>
        </w:tc>
        <w:tc>
          <w:tcPr>
            <w:tcW w:w="473" w:type="pct"/>
            <w:vMerge w:val="restart"/>
            <w:noWrap w:val="0"/>
            <w:vAlign w:val="center"/>
          </w:tcPr>
          <w:p w14:paraId="330530F8">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依托现有</w:t>
            </w:r>
            <w:r>
              <w:rPr>
                <w:rFonts w:hint="eastAsia" w:ascii="Times New Roman" w:hAnsi="Times New Roman" w:cs="Times New Roman"/>
                <w:sz w:val="21"/>
                <w:szCs w:val="21"/>
                <w:lang w:eastAsia="zh-CN"/>
              </w:rPr>
              <w:t>厂区</w:t>
            </w:r>
          </w:p>
        </w:tc>
      </w:tr>
      <w:tr w14:paraId="1CDC2A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20" w:hRule="atLeast"/>
          <w:jc w:val="center"/>
        </w:trPr>
        <w:tc>
          <w:tcPr>
            <w:tcW w:w="603" w:type="pct"/>
            <w:vMerge w:val="continue"/>
            <w:noWrap w:val="0"/>
            <w:vAlign w:val="center"/>
          </w:tcPr>
          <w:p w14:paraId="405F1DC8">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c>
          <w:tcPr>
            <w:tcW w:w="725" w:type="pct"/>
            <w:noWrap w:val="0"/>
            <w:vAlign w:val="center"/>
          </w:tcPr>
          <w:p w14:paraId="7ABCB7D4">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供电</w:t>
            </w:r>
          </w:p>
        </w:tc>
        <w:tc>
          <w:tcPr>
            <w:tcW w:w="3197" w:type="pct"/>
            <w:gridSpan w:val="4"/>
            <w:noWrap w:val="0"/>
            <w:vAlign w:val="center"/>
          </w:tcPr>
          <w:p w14:paraId="6D4DBDED">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市政</w:t>
            </w:r>
            <w:r>
              <w:rPr>
                <w:rFonts w:hint="default" w:ascii="Times New Roman" w:hAnsi="Times New Roman" w:cs="Times New Roman"/>
                <w:sz w:val="21"/>
                <w:szCs w:val="21"/>
                <w:lang w:eastAsia="zh-CN"/>
              </w:rPr>
              <w:t>电网</w:t>
            </w:r>
            <w:r>
              <w:rPr>
                <w:rFonts w:hint="default" w:ascii="Times New Roman" w:hAnsi="Times New Roman" w:cs="Times New Roman"/>
                <w:sz w:val="21"/>
                <w:szCs w:val="21"/>
              </w:rPr>
              <w:t>供电</w:t>
            </w:r>
          </w:p>
        </w:tc>
        <w:tc>
          <w:tcPr>
            <w:tcW w:w="473" w:type="pct"/>
            <w:vMerge w:val="continue"/>
            <w:noWrap w:val="0"/>
            <w:vAlign w:val="center"/>
          </w:tcPr>
          <w:p w14:paraId="708DD880">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rPr>
            </w:pPr>
          </w:p>
        </w:tc>
      </w:tr>
      <w:tr w14:paraId="765607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12" w:hRule="atLeast"/>
          <w:jc w:val="center"/>
        </w:trPr>
        <w:tc>
          <w:tcPr>
            <w:tcW w:w="603" w:type="pct"/>
            <w:vMerge w:val="restart"/>
            <w:noWrap w:val="0"/>
            <w:vAlign w:val="center"/>
          </w:tcPr>
          <w:p w14:paraId="169722A6">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环保工程</w:t>
            </w:r>
          </w:p>
        </w:tc>
        <w:tc>
          <w:tcPr>
            <w:tcW w:w="725" w:type="pct"/>
            <w:vMerge w:val="restart"/>
            <w:noWrap w:val="0"/>
            <w:vAlign w:val="center"/>
          </w:tcPr>
          <w:p w14:paraId="44343FE6">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废气治</w:t>
            </w:r>
          </w:p>
          <w:p w14:paraId="689F889D">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504" w:type="pct"/>
            <w:vMerge w:val="restart"/>
            <w:noWrap w:val="0"/>
            <w:vAlign w:val="center"/>
          </w:tcPr>
          <w:p w14:paraId="4581C89A">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eastAsia="宋体" w:cs="Times New Roman"/>
                <w:iCs/>
                <w:sz w:val="21"/>
                <w:szCs w:val="21"/>
                <w:highlight w:val="none"/>
                <w:lang w:eastAsia="zh-CN"/>
              </w:rPr>
            </w:pPr>
            <w:r>
              <w:rPr>
                <w:rFonts w:hint="eastAsia" w:ascii="Times New Roman" w:hAnsi="Times New Roman" w:eastAsia="宋体" w:cs="Times New Roman"/>
                <w:iCs/>
                <w:sz w:val="21"/>
                <w:szCs w:val="21"/>
                <w:highlight w:val="none"/>
                <w:lang w:eastAsia="zh-CN"/>
              </w:rPr>
              <w:t>加热成型工序</w:t>
            </w:r>
          </w:p>
        </w:tc>
        <w:tc>
          <w:tcPr>
            <w:tcW w:w="693" w:type="pct"/>
            <w:vMerge w:val="restart"/>
            <w:noWrap w:val="0"/>
            <w:vAlign w:val="center"/>
          </w:tcPr>
          <w:p w14:paraId="5B20E4A4">
            <w:pPr>
              <w:pStyle w:val="32"/>
              <w:keepNext w:val="0"/>
              <w:keepLines w:val="0"/>
              <w:pageBreakBefore w:val="0"/>
              <w:widowControl w:val="0"/>
              <w:kinsoku/>
              <w:wordWrap w:val="0"/>
              <w:overflowPunct/>
              <w:topLinePunct w:val="0"/>
              <w:autoSpaceDE/>
              <w:autoSpaceDN/>
              <w:bidi w:val="0"/>
              <w:snapToGrid w:val="0"/>
              <w:ind w:firstLine="0" w:firstLineChars="0"/>
              <w:textAlignment w:val="auto"/>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加热成型</w:t>
            </w:r>
          </w:p>
          <w:p w14:paraId="0C4A7CBF">
            <w:pPr>
              <w:pStyle w:val="32"/>
              <w:keepNext w:val="0"/>
              <w:keepLines w:val="0"/>
              <w:pageBreakBefore w:val="0"/>
              <w:widowControl w:val="0"/>
              <w:kinsoku/>
              <w:wordWrap w:val="0"/>
              <w:overflowPunct/>
              <w:topLinePunct w:val="0"/>
              <w:autoSpaceDE/>
              <w:autoSpaceDN/>
              <w:bidi w:val="0"/>
              <w:snapToGrid w:val="0"/>
              <w:ind w:firstLine="0" w:firstLineChars="0"/>
              <w:textAlignment w:val="auto"/>
              <w:rPr>
                <w:rFonts w:hint="default" w:ascii="Times New Roman" w:hAnsi="Times New Roman" w:cs="Times New Roman"/>
                <w:snapToGrid/>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废气</w:t>
            </w:r>
          </w:p>
        </w:tc>
        <w:tc>
          <w:tcPr>
            <w:tcW w:w="505" w:type="pct"/>
            <w:noWrap w:val="0"/>
            <w:vAlign w:val="center"/>
          </w:tcPr>
          <w:p w14:paraId="66D327E8">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r>
              <w:rPr>
                <w:rFonts w:hint="eastAsia" w:ascii="Times New Roman" w:hAnsi="Times New Roman" w:cs="Times New Roman"/>
                <w:iCs/>
                <w:sz w:val="21"/>
                <w:szCs w:val="21"/>
                <w:highlight w:val="none"/>
                <w:lang w:eastAsia="zh-CN"/>
              </w:rPr>
              <w:t>非甲烷</w:t>
            </w:r>
          </w:p>
          <w:p w14:paraId="7AF15474">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iCs/>
                <w:sz w:val="21"/>
                <w:szCs w:val="21"/>
                <w:highlight w:val="none"/>
                <w:lang w:eastAsia="zh-CN"/>
              </w:rPr>
            </w:pPr>
            <w:r>
              <w:rPr>
                <w:rFonts w:hint="eastAsia" w:ascii="Times New Roman" w:hAnsi="Times New Roman" w:cs="Times New Roman"/>
                <w:iCs/>
                <w:sz w:val="21"/>
                <w:szCs w:val="21"/>
                <w:highlight w:val="none"/>
                <w:lang w:eastAsia="zh-CN"/>
              </w:rPr>
              <w:t>总烃</w:t>
            </w:r>
          </w:p>
        </w:tc>
        <w:tc>
          <w:tcPr>
            <w:tcW w:w="1494" w:type="pct"/>
            <w:vMerge w:val="restart"/>
            <w:noWrap w:val="0"/>
            <w:vAlign w:val="center"/>
          </w:tcPr>
          <w:p w14:paraId="3EBC895B">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sz w:val="21"/>
                <w:szCs w:val="21"/>
                <w:highlight w:val="none"/>
                <w:lang w:eastAsia="zh-CN"/>
              </w:rPr>
            </w:pPr>
            <w:r>
              <w:rPr>
                <w:rFonts w:hint="default" w:ascii="Times New Roman" w:hAnsi="Times New Roman" w:eastAsia="宋体" w:cs="Times New Roman"/>
                <w:b w:val="0"/>
                <w:bCs w:val="0"/>
                <w:color w:val="000000"/>
                <w:kern w:val="2"/>
                <w:sz w:val="21"/>
                <w:szCs w:val="21"/>
                <w:highlight w:val="none"/>
                <w:u w:val="none" w:color="auto"/>
                <w:lang w:val="en-US" w:eastAsia="zh-CN" w:bidi="ar-SA"/>
              </w:rPr>
              <w:t>有机废气</w:t>
            </w:r>
            <w:r>
              <w:rPr>
                <w:rFonts w:hint="eastAsia" w:ascii="Times New Roman" w:hAnsi="Times New Roman" w:eastAsia="宋体" w:cs="Times New Roman"/>
                <w:b w:val="0"/>
                <w:bCs w:val="0"/>
                <w:color w:val="000000"/>
                <w:kern w:val="2"/>
                <w:sz w:val="21"/>
                <w:szCs w:val="21"/>
                <w:highlight w:val="none"/>
                <w:u w:val="none" w:color="auto"/>
                <w:lang w:val="en-US" w:eastAsia="zh-CN" w:bidi="ar-SA"/>
              </w:rPr>
              <w:t>通过集气</w:t>
            </w:r>
            <w:r>
              <w:rPr>
                <w:rFonts w:hint="eastAsia" w:cs="Times New Roman"/>
                <w:b w:val="0"/>
                <w:bCs w:val="0"/>
                <w:color w:val="000000"/>
                <w:kern w:val="2"/>
                <w:sz w:val="21"/>
                <w:szCs w:val="21"/>
                <w:highlight w:val="none"/>
                <w:u w:val="none" w:color="auto"/>
                <w:lang w:val="en-US" w:eastAsia="zh-CN" w:bidi="ar-SA"/>
              </w:rPr>
              <w:t>系统</w:t>
            </w:r>
            <w:r>
              <w:rPr>
                <w:rFonts w:hint="eastAsia" w:ascii="Times New Roman" w:hAnsi="Times New Roman" w:eastAsia="宋体" w:cs="Times New Roman"/>
                <w:b w:val="0"/>
                <w:bCs w:val="0"/>
                <w:color w:val="000000"/>
                <w:kern w:val="2"/>
                <w:sz w:val="21"/>
                <w:szCs w:val="21"/>
                <w:highlight w:val="none"/>
                <w:u w:val="none" w:color="auto"/>
                <w:lang w:val="en-US" w:eastAsia="zh-CN" w:bidi="ar-SA"/>
              </w:rPr>
              <w:t>收集后，</w:t>
            </w:r>
            <w:r>
              <w:rPr>
                <w:rFonts w:hint="default" w:ascii="Times New Roman" w:hAnsi="Times New Roman" w:eastAsia="宋体" w:cs="Times New Roman"/>
                <w:b w:val="0"/>
                <w:bCs w:val="0"/>
                <w:color w:val="000000"/>
                <w:kern w:val="2"/>
                <w:sz w:val="21"/>
                <w:szCs w:val="21"/>
                <w:highlight w:val="none"/>
                <w:u w:val="none" w:color="auto"/>
                <w:lang w:val="en-US" w:eastAsia="zh-CN" w:bidi="ar-SA"/>
              </w:rPr>
              <w:t>经1套两级活性炭吸附装置处理后经15m高排气筒（DA001）排放</w:t>
            </w:r>
            <w:r>
              <w:rPr>
                <w:rFonts w:hint="eastAsia" w:ascii="Times New Roman" w:hAnsi="Times New Roman" w:eastAsia="宋体" w:cs="Times New Roman"/>
                <w:b w:val="0"/>
                <w:bCs w:val="0"/>
                <w:color w:val="000000"/>
                <w:kern w:val="2"/>
                <w:sz w:val="21"/>
                <w:szCs w:val="21"/>
                <w:highlight w:val="none"/>
                <w:u w:val="none" w:color="auto"/>
                <w:lang w:val="en-US" w:eastAsia="zh-CN" w:bidi="ar-SA"/>
              </w:rPr>
              <w:t>。</w:t>
            </w:r>
          </w:p>
        </w:tc>
        <w:tc>
          <w:tcPr>
            <w:tcW w:w="473" w:type="pct"/>
            <w:vMerge w:val="restart"/>
            <w:noWrap w:val="0"/>
            <w:vAlign w:val="center"/>
          </w:tcPr>
          <w:p w14:paraId="08AE59FB">
            <w:pPr>
              <w:pStyle w:val="21"/>
              <w:keepNext w:val="0"/>
              <w:keepLines w:val="0"/>
              <w:pageBreakBefore w:val="0"/>
              <w:widowControl w:val="0"/>
              <w:kinsoku/>
              <w:wordWrap/>
              <w:overflowPunct/>
              <w:topLinePunct w:val="0"/>
              <w:bidi w:val="0"/>
              <w:adjustRightInd/>
              <w:snapToGrid w:val="0"/>
              <w:spacing w:line="360" w:lineRule="exact"/>
              <w:textAlignment w:val="auto"/>
              <w:rPr>
                <w:rFonts w:hint="default" w:ascii="Times New Roman" w:hAnsi="Times New Roman" w:cs="Times New Roman"/>
                <w:szCs w:val="21"/>
                <w:lang w:val="zh-CN"/>
              </w:rPr>
            </w:pPr>
            <w:r>
              <w:rPr>
                <w:rFonts w:hint="default" w:ascii="Times New Roman" w:hAnsi="Times New Roman" w:cs="Times New Roman"/>
                <w:szCs w:val="21"/>
                <w:lang w:val="zh-CN"/>
              </w:rPr>
              <w:t>新建</w:t>
            </w:r>
          </w:p>
        </w:tc>
      </w:tr>
      <w:tr w14:paraId="64408E0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47" w:hRule="atLeast"/>
          <w:jc w:val="center"/>
        </w:trPr>
        <w:tc>
          <w:tcPr>
            <w:tcW w:w="603" w:type="pct"/>
            <w:vMerge w:val="continue"/>
            <w:noWrap w:val="0"/>
            <w:vAlign w:val="center"/>
          </w:tcPr>
          <w:p w14:paraId="21CA6ECD">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725" w:type="pct"/>
            <w:vMerge w:val="continue"/>
            <w:noWrap w:val="0"/>
            <w:vAlign w:val="center"/>
          </w:tcPr>
          <w:p w14:paraId="2B56C464">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504" w:type="pct"/>
            <w:vMerge w:val="continue"/>
            <w:noWrap w:val="0"/>
            <w:vAlign w:val="center"/>
          </w:tcPr>
          <w:p w14:paraId="7D4708E0">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693" w:type="pct"/>
            <w:vMerge w:val="continue"/>
            <w:noWrap w:val="0"/>
            <w:vAlign w:val="center"/>
          </w:tcPr>
          <w:p w14:paraId="3149E20D">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505" w:type="pct"/>
            <w:noWrap w:val="0"/>
            <w:vAlign w:val="center"/>
          </w:tcPr>
          <w:p w14:paraId="4AF72566">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r>
              <w:rPr>
                <w:rFonts w:hint="eastAsia" w:ascii="Times New Roman" w:hAnsi="Times New Roman" w:cs="Times New Roman"/>
                <w:iCs/>
                <w:sz w:val="21"/>
                <w:szCs w:val="21"/>
                <w:highlight w:val="none"/>
                <w:lang w:eastAsia="zh-CN"/>
              </w:rPr>
              <w:t>苯乙烯</w:t>
            </w:r>
          </w:p>
        </w:tc>
        <w:tc>
          <w:tcPr>
            <w:tcW w:w="1494" w:type="pct"/>
            <w:vMerge w:val="continue"/>
            <w:noWrap w:val="0"/>
            <w:vAlign w:val="center"/>
          </w:tcPr>
          <w:p w14:paraId="30096AE1">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c>
          <w:tcPr>
            <w:tcW w:w="473" w:type="pct"/>
            <w:vMerge w:val="continue"/>
            <w:noWrap w:val="0"/>
            <w:vAlign w:val="center"/>
          </w:tcPr>
          <w:p w14:paraId="3D2BF0CB">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r>
      <w:tr w14:paraId="0281B1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14" w:hRule="atLeast"/>
          <w:jc w:val="center"/>
        </w:trPr>
        <w:tc>
          <w:tcPr>
            <w:tcW w:w="603" w:type="pct"/>
            <w:vMerge w:val="continue"/>
            <w:noWrap w:val="0"/>
            <w:vAlign w:val="center"/>
          </w:tcPr>
          <w:p w14:paraId="18F52506">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725" w:type="pct"/>
            <w:vMerge w:val="continue"/>
            <w:noWrap w:val="0"/>
            <w:vAlign w:val="center"/>
          </w:tcPr>
          <w:p w14:paraId="57461A66">
            <w:pPr>
              <w:pStyle w:val="21"/>
              <w:keepNext w:val="0"/>
              <w:keepLines w:val="0"/>
              <w:pageBreakBefore w:val="0"/>
              <w:widowControl w:val="0"/>
              <w:kinsoku/>
              <w:wordWrap/>
              <w:overflowPunct/>
              <w:topLinePunct w:val="0"/>
              <w:bidi w:val="0"/>
              <w:adjustRightInd/>
              <w:snapToGrid w:val="0"/>
              <w:spacing w:line="360" w:lineRule="exact"/>
              <w:textAlignment w:val="auto"/>
            </w:pPr>
          </w:p>
        </w:tc>
        <w:tc>
          <w:tcPr>
            <w:tcW w:w="504" w:type="pct"/>
            <w:shd w:val="clear" w:color="auto" w:fill="auto"/>
            <w:noWrap w:val="0"/>
            <w:vAlign w:val="center"/>
          </w:tcPr>
          <w:p w14:paraId="0C94F7BE">
            <w:pPr>
              <w:pStyle w:val="21"/>
              <w:keepNext w:val="0"/>
              <w:keepLines w:val="0"/>
              <w:pageBreakBefore w:val="0"/>
              <w:widowControl w:val="0"/>
              <w:kinsoku/>
              <w:wordWrap/>
              <w:overflowPunct/>
              <w:topLinePunct w:val="0"/>
              <w:bidi w:val="0"/>
              <w:adjustRightInd/>
              <w:snapToGrid w:val="0"/>
              <w:spacing w:line="360" w:lineRule="exact"/>
              <w:ind w:firstLine="0" w:firstLineChars="0"/>
              <w:textAlignment w:val="auto"/>
              <w:rPr>
                <w:rFonts w:hint="eastAsia" w:ascii="Times New Roman" w:hAnsi="Times New Roman" w:eastAsia="宋体" w:cs="Times New Roman"/>
                <w:bCs/>
                <w:color w:val="000000"/>
                <w:kern w:val="0"/>
                <w:sz w:val="21"/>
                <w:szCs w:val="20"/>
                <w:lang w:val="en-US" w:eastAsia="zh-CN" w:bidi="ar-SA"/>
              </w:rPr>
            </w:pPr>
            <w:r>
              <w:rPr>
                <w:rFonts w:hint="eastAsia"/>
                <w:lang w:eastAsia="zh-CN"/>
              </w:rPr>
              <w:t>危废间</w:t>
            </w:r>
          </w:p>
        </w:tc>
        <w:tc>
          <w:tcPr>
            <w:tcW w:w="693" w:type="pct"/>
            <w:shd w:val="clear" w:color="auto" w:fill="auto"/>
            <w:noWrap w:val="0"/>
            <w:vAlign w:val="center"/>
          </w:tcPr>
          <w:p w14:paraId="6FFA4996">
            <w:pPr>
              <w:pStyle w:val="21"/>
              <w:keepNext w:val="0"/>
              <w:keepLines w:val="0"/>
              <w:pageBreakBefore w:val="0"/>
              <w:widowControl w:val="0"/>
              <w:kinsoku/>
              <w:wordWrap/>
              <w:overflowPunct/>
              <w:topLinePunct w:val="0"/>
              <w:bidi w:val="0"/>
              <w:adjustRightInd/>
              <w:snapToGrid w:val="0"/>
              <w:spacing w:line="360" w:lineRule="exact"/>
              <w:ind w:firstLine="0" w:firstLineChars="0"/>
              <w:textAlignment w:val="auto"/>
              <w:rPr>
                <w:rFonts w:hint="default" w:ascii="Times New Roman" w:hAnsi="Times New Roman" w:eastAsia="宋体" w:cs="Times New Roman"/>
                <w:bCs/>
                <w:color w:val="000000"/>
                <w:kern w:val="0"/>
                <w:sz w:val="21"/>
                <w:szCs w:val="20"/>
                <w:lang w:val="en-US" w:eastAsia="zh-CN" w:bidi="ar-SA"/>
              </w:rPr>
            </w:pPr>
            <w:r>
              <w:rPr>
                <w:rFonts w:hint="eastAsia"/>
                <w:lang w:val="en-US" w:eastAsia="zh-CN"/>
              </w:rPr>
              <w:t>危废间废气</w:t>
            </w:r>
          </w:p>
        </w:tc>
        <w:tc>
          <w:tcPr>
            <w:tcW w:w="505" w:type="pct"/>
            <w:shd w:val="clear" w:color="auto" w:fill="auto"/>
            <w:noWrap w:val="0"/>
            <w:vAlign w:val="center"/>
          </w:tcPr>
          <w:p w14:paraId="2A1E3764">
            <w:pPr>
              <w:pStyle w:val="21"/>
              <w:keepNext w:val="0"/>
              <w:keepLines w:val="0"/>
              <w:pageBreakBefore w:val="0"/>
              <w:widowControl w:val="0"/>
              <w:kinsoku/>
              <w:wordWrap/>
              <w:overflowPunct/>
              <w:topLinePunct w:val="0"/>
              <w:bidi w:val="0"/>
              <w:adjustRightInd/>
              <w:snapToGrid w:val="0"/>
              <w:spacing w:line="360" w:lineRule="exact"/>
              <w:ind w:firstLine="0" w:firstLineChars="0"/>
              <w:textAlignment w:val="auto"/>
              <w:rPr>
                <w:rFonts w:hint="eastAsia" w:ascii="Times New Roman" w:hAnsi="Times New Roman" w:eastAsia="宋体" w:cs="Times New Roman"/>
                <w:bCs/>
                <w:iCs/>
                <w:color w:val="000000"/>
                <w:kern w:val="0"/>
                <w:sz w:val="21"/>
                <w:szCs w:val="21"/>
                <w:highlight w:val="none"/>
                <w:lang w:val="en-US" w:eastAsia="zh-CN" w:bidi="ar-SA"/>
              </w:rPr>
            </w:pPr>
            <w:r>
              <w:rPr>
                <w:rFonts w:hint="eastAsia" w:cs="Times New Roman"/>
                <w:iCs/>
                <w:sz w:val="21"/>
                <w:szCs w:val="21"/>
                <w:highlight w:val="none"/>
                <w:lang w:val="en-US" w:eastAsia="zh-CN"/>
              </w:rPr>
              <w:t>VOCs</w:t>
            </w:r>
          </w:p>
        </w:tc>
        <w:tc>
          <w:tcPr>
            <w:tcW w:w="1494" w:type="pct"/>
            <w:vMerge w:val="continue"/>
            <w:noWrap w:val="0"/>
            <w:vAlign w:val="center"/>
          </w:tcPr>
          <w:p w14:paraId="36566B62">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c>
          <w:tcPr>
            <w:tcW w:w="473" w:type="pct"/>
            <w:vMerge w:val="continue"/>
            <w:noWrap w:val="0"/>
            <w:vAlign w:val="center"/>
          </w:tcPr>
          <w:p w14:paraId="46A7BB69">
            <w:pPr>
              <w:pStyle w:val="21"/>
              <w:keepNext w:val="0"/>
              <w:keepLines w:val="0"/>
              <w:pageBreakBefore w:val="0"/>
              <w:widowControl w:val="0"/>
              <w:kinsoku/>
              <w:wordWrap/>
              <w:overflowPunct/>
              <w:topLinePunct w:val="0"/>
              <w:bidi w:val="0"/>
              <w:adjustRightInd/>
              <w:snapToGrid w:val="0"/>
              <w:spacing w:line="360" w:lineRule="exact"/>
              <w:textAlignment w:val="auto"/>
              <w:rPr>
                <w:rFonts w:hint="eastAsia" w:ascii="Times New Roman" w:hAnsi="Times New Roman" w:cs="Times New Roman"/>
                <w:iCs/>
                <w:sz w:val="21"/>
                <w:szCs w:val="21"/>
                <w:highlight w:val="none"/>
                <w:lang w:eastAsia="zh-CN"/>
              </w:rPr>
            </w:pPr>
          </w:p>
        </w:tc>
      </w:tr>
      <w:tr w14:paraId="110C245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76" w:hRule="atLeast"/>
          <w:jc w:val="center"/>
        </w:trPr>
        <w:tc>
          <w:tcPr>
            <w:tcW w:w="603" w:type="pct"/>
            <w:vMerge w:val="continue"/>
            <w:noWrap w:val="0"/>
            <w:vAlign w:val="center"/>
          </w:tcPr>
          <w:p w14:paraId="0741CC5B">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p>
        </w:tc>
        <w:tc>
          <w:tcPr>
            <w:tcW w:w="725" w:type="pct"/>
            <w:noWrap w:val="0"/>
            <w:vAlign w:val="center"/>
          </w:tcPr>
          <w:p w14:paraId="7DA16598">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废水治</w:t>
            </w:r>
          </w:p>
          <w:p w14:paraId="7EC61C5B">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3197" w:type="pct"/>
            <w:gridSpan w:val="4"/>
            <w:noWrap w:val="0"/>
            <w:vAlign w:val="center"/>
          </w:tcPr>
          <w:p w14:paraId="091CFFB5">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eastAsia" w:ascii="Times New Roman" w:hAnsi="Times New Roman" w:eastAsia="宋体" w:cs="Times New Roman"/>
                <w:bCs/>
                <w:iCs/>
                <w:sz w:val="21"/>
                <w:szCs w:val="21"/>
                <w:highlight w:val="none"/>
                <w:lang w:eastAsia="zh-CN"/>
              </w:rPr>
            </w:pPr>
            <w:r>
              <w:rPr>
                <w:rFonts w:hint="default" w:ascii="Times New Roman" w:hAnsi="Times New Roman" w:cs="Times New Roman"/>
                <w:sz w:val="21"/>
                <w:szCs w:val="21"/>
                <w:highlight w:val="none"/>
              </w:rPr>
              <w:t>生活污水</w:t>
            </w:r>
            <w:r>
              <w:rPr>
                <w:rFonts w:hint="eastAsia" w:cs="Times New Roman"/>
                <w:sz w:val="21"/>
                <w:szCs w:val="21"/>
                <w:highlight w:val="none"/>
                <w:lang w:eastAsia="zh-CN"/>
              </w:rPr>
              <w:t>经</w:t>
            </w:r>
            <w:r>
              <w:rPr>
                <w:rFonts w:hint="default" w:ascii="Times New Roman" w:hAnsi="Times New Roman" w:cs="Times New Roman"/>
                <w:sz w:val="21"/>
                <w:szCs w:val="21"/>
                <w:highlight w:val="none"/>
              </w:rPr>
              <w:t>化粪池处理后</w:t>
            </w:r>
            <w:r>
              <w:rPr>
                <w:rFonts w:hint="default" w:ascii="Times New Roman" w:hAnsi="Times New Roman" w:cs="Times New Roman"/>
                <w:bCs/>
                <w:color w:val="000000"/>
                <w:sz w:val="21"/>
                <w:szCs w:val="21"/>
                <w:highlight w:val="none"/>
              </w:rPr>
              <w:t>通过</w:t>
            </w:r>
            <w:r>
              <w:rPr>
                <w:rFonts w:hint="eastAsia" w:cs="Times New Roman"/>
                <w:bCs/>
                <w:color w:val="000000"/>
                <w:sz w:val="21"/>
                <w:szCs w:val="21"/>
                <w:highlight w:val="none"/>
                <w:lang w:eastAsia="zh-CN"/>
              </w:rPr>
              <w:t>产业园区</w:t>
            </w:r>
            <w:r>
              <w:rPr>
                <w:rFonts w:hint="default" w:ascii="Times New Roman" w:hAnsi="Times New Roman" w:cs="Times New Roman"/>
                <w:bCs/>
                <w:color w:val="000000"/>
                <w:sz w:val="21"/>
                <w:szCs w:val="21"/>
                <w:highlight w:val="none"/>
              </w:rPr>
              <w:t>污水管网排入</w:t>
            </w:r>
            <w:r>
              <w:rPr>
                <w:rFonts w:hint="eastAsia" w:ascii="Times New Roman" w:hAnsi="Times New Roman" w:cs="Times New Roman"/>
                <w:bCs/>
                <w:color w:val="000000"/>
                <w:sz w:val="21"/>
                <w:szCs w:val="21"/>
                <w:highlight w:val="none"/>
                <w:lang w:eastAsia="zh-CN"/>
              </w:rPr>
              <w:t>詹店镇</w:t>
            </w:r>
            <w:r>
              <w:rPr>
                <w:rFonts w:hint="default" w:ascii="Times New Roman" w:hAnsi="Times New Roman" w:cs="Times New Roman"/>
                <w:sz w:val="21"/>
                <w:szCs w:val="21"/>
                <w:highlight w:val="none"/>
              </w:rPr>
              <w:t>污水处理厂进一步处理</w:t>
            </w:r>
            <w:r>
              <w:rPr>
                <w:rFonts w:hint="eastAsia" w:ascii="Times New Roman" w:hAnsi="Times New Roman" w:cs="Times New Roman"/>
                <w:sz w:val="21"/>
                <w:szCs w:val="21"/>
                <w:highlight w:val="none"/>
                <w:lang w:eastAsia="zh-CN"/>
              </w:rPr>
              <w:t>。</w:t>
            </w:r>
          </w:p>
        </w:tc>
        <w:tc>
          <w:tcPr>
            <w:tcW w:w="473" w:type="pct"/>
            <w:noWrap w:val="0"/>
            <w:vAlign w:val="center"/>
          </w:tcPr>
          <w:p w14:paraId="7DEF4237">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bCs/>
                <w:iCs/>
                <w:sz w:val="21"/>
                <w:szCs w:val="21"/>
                <w:lang w:eastAsia="zh-CN"/>
              </w:rPr>
            </w:pPr>
            <w:r>
              <w:rPr>
                <w:rFonts w:hint="default" w:ascii="Times New Roman" w:hAnsi="Times New Roman" w:cs="Times New Roman"/>
                <w:bCs/>
                <w:iCs/>
                <w:sz w:val="21"/>
                <w:szCs w:val="21"/>
                <w:lang w:eastAsia="zh-CN"/>
              </w:rPr>
              <w:t>新建</w:t>
            </w:r>
          </w:p>
        </w:tc>
      </w:tr>
      <w:tr w14:paraId="280F81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15" w:hRule="atLeast"/>
          <w:jc w:val="center"/>
        </w:trPr>
        <w:tc>
          <w:tcPr>
            <w:tcW w:w="603" w:type="pct"/>
            <w:vMerge w:val="continue"/>
            <w:noWrap w:val="0"/>
            <w:vAlign w:val="center"/>
          </w:tcPr>
          <w:p w14:paraId="48B3DB0F">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p>
        </w:tc>
        <w:tc>
          <w:tcPr>
            <w:tcW w:w="725" w:type="pct"/>
            <w:noWrap w:val="0"/>
            <w:vAlign w:val="center"/>
          </w:tcPr>
          <w:p w14:paraId="5C892BFA">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噪声治</w:t>
            </w:r>
          </w:p>
          <w:p w14:paraId="51BAAE0B">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3197" w:type="pct"/>
            <w:gridSpan w:val="4"/>
            <w:noWrap w:val="0"/>
            <w:vAlign w:val="center"/>
          </w:tcPr>
          <w:p w14:paraId="56890B98">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基础减振、厂房隔</w:t>
            </w:r>
            <w:r>
              <w:rPr>
                <w:rFonts w:hint="default" w:ascii="Times New Roman" w:hAnsi="Times New Roman" w:cs="Times New Roman"/>
                <w:sz w:val="21"/>
                <w:szCs w:val="21"/>
                <w:highlight w:val="none"/>
                <w:lang w:eastAsia="zh-CN"/>
              </w:rPr>
              <w:t>声</w:t>
            </w:r>
          </w:p>
        </w:tc>
        <w:tc>
          <w:tcPr>
            <w:tcW w:w="473" w:type="pct"/>
            <w:noWrap w:val="0"/>
            <w:vAlign w:val="center"/>
          </w:tcPr>
          <w:p w14:paraId="54AD8028">
            <w:pPr>
              <w:keepNext w:val="0"/>
              <w:keepLines w:val="0"/>
              <w:pageBreakBefore w:val="0"/>
              <w:widowControl w:val="0"/>
              <w:kinsoku/>
              <w:wordWrap/>
              <w:overflowPunct/>
              <w:topLinePunct w:val="0"/>
              <w:bidi w:val="0"/>
              <w:adjustRightInd/>
              <w:snapToGrid w:val="0"/>
              <w:spacing w:line="360" w:lineRule="exac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r>
      <w:tr w14:paraId="06D18E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15" w:hRule="atLeast"/>
          <w:jc w:val="center"/>
        </w:trPr>
        <w:tc>
          <w:tcPr>
            <w:tcW w:w="603" w:type="pct"/>
            <w:vMerge w:val="continue"/>
            <w:noWrap w:val="0"/>
            <w:vAlign w:val="center"/>
          </w:tcPr>
          <w:p w14:paraId="72AE708F">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p>
        </w:tc>
        <w:tc>
          <w:tcPr>
            <w:tcW w:w="725" w:type="pct"/>
            <w:noWrap w:val="0"/>
            <w:vAlign w:val="center"/>
          </w:tcPr>
          <w:p w14:paraId="20F6214A">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固废处</w:t>
            </w:r>
          </w:p>
          <w:p w14:paraId="0AA79808">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理措施</w:t>
            </w:r>
          </w:p>
        </w:tc>
        <w:tc>
          <w:tcPr>
            <w:tcW w:w="3197" w:type="pct"/>
            <w:gridSpan w:val="4"/>
            <w:noWrap w:val="0"/>
            <w:vAlign w:val="center"/>
          </w:tcPr>
          <w:p w14:paraId="7A3E631C">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left"/>
              <w:textAlignment w:val="auto"/>
              <w:rPr>
                <w:rFonts w:hint="default" w:ascii="Times New Roman" w:hAnsi="Times New Roman" w:cs="Times New Roman"/>
                <w:bCs/>
                <w:iCs/>
                <w:sz w:val="21"/>
                <w:szCs w:val="21"/>
                <w:highlight w:val="none"/>
              </w:rPr>
            </w:pPr>
            <w:r>
              <w:rPr>
                <w:rFonts w:hint="default" w:ascii="Times New Roman" w:hAnsi="Times New Roman" w:cs="Times New Roman"/>
                <w:bCs/>
                <w:iCs/>
                <w:sz w:val="21"/>
                <w:szCs w:val="21"/>
                <w:highlight w:val="none"/>
              </w:rPr>
              <w:t>废</w:t>
            </w:r>
            <w:r>
              <w:rPr>
                <w:rFonts w:hint="eastAsia" w:ascii="Times New Roman" w:hAnsi="Times New Roman" w:cs="Times New Roman"/>
                <w:bCs/>
                <w:iCs/>
                <w:sz w:val="21"/>
                <w:szCs w:val="21"/>
                <w:highlight w:val="none"/>
                <w:lang w:eastAsia="zh-CN"/>
              </w:rPr>
              <w:t>边角料</w:t>
            </w:r>
            <w:r>
              <w:rPr>
                <w:rFonts w:hint="default" w:ascii="Times New Roman" w:hAnsi="Times New Roman" w:cs="Times New Roman"/>
                <w:bCs/>
                <w:iCs/>
                <w:sz w:val="21"/>
                <w:szCs w:val="21"/>
                <w:highlight w:val="none"/>
                <w:lang w:eastAsia="zh-CN"/>
              </w:rPr>
              <w:t>、</w:t>
            </w:r>
            <w:r>
              <w:rPr>
                <w:rFonts w:hint="eastAsia" w:ascii="Times New Roman" w:hAnsi="Times New Roman" w:cs="Times New Roman"/>
                <w:bCs/>
                <w:iCs/>
                <w:sz w:val="21"/>
                <w:szCs w:val="21"/>
                <w:highlight w:val="none"/>
                <w:lang w:eastAsia="zh-CN"/>
              </w:rPr>
              <w:t>不合格产品</w:t>
            </w:r>
            <w:r>
              <w:rPr>
                <w:rFonts w:hint="default"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收集后在一般固废间暂存</w:t>
            </w:r>
            <w:r>
              <w:rPr>
                <w:rFonts w:hint="eastAsia" w:ascii="Times New Roman" w:hAnsi="Times New Roman" w:cs="Times New Roman"/>
                <w:bCs/>
                <w:iCs/>
                <w:sz w:val="21"/>
                <w:szCs w:val="21"/>
                <w:highlight w:val="none"/>
                <w:lang w:eastAsia="zh-CN"/>
              </w:rPr>
              <w:t>（</w:t>
            </w:r>
            <w:r>
              <w:rPr>
                <w:rFonts w:hint="eastAsia" w:ascii="Times New Roman" w:hAnsi="Times New Roman" w:cs="Times New Roman"/>
                <w:bCs/>
                <w:iCs/>
                <w:sz w:val="21"/>
                <w:szCs w:val="21"/>
                <w:highlight w:val="none"/>
                <w:lang w:val="en-US" w:eastAsia="zh-CN"/>
              </w:rPr>
              <w:t>10m</w:t>
            </w:r>
            <w:r>
              <w:rPr>
                <w:rFonts w:hint="eastAsia" w:ascii="Times New Roman" w:hAnsi="Times New Roman" w:cs="Times New Roman"/>
                <w:bCs/>
                <w:iCs/>
                <w:sz w:val="21"/>
                <w:szCs w:val="21"/>
                <w:highlight w:val="none"/>
                <w:vertAlign w:val="superscript"/>
                <w:lang w:val="en-US" w:eastAsia="zh-CN"/>
              </w:rPr>
              <w:t>2</w:t>
            </w:r>
            <w:r>
              <w:rPr>
                <w:rFonts w:hint="eastAsia"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，定期外售；废润滑油、废油桶</w:t>
            </w:r>
            <w:r>
              <w:rPr>
                <w:rFonts w:hint="eastAsia" w:ascii="Times New Roman" w:hAnsi="Times New Roman" w:cs="Times New Roman"/>
                <w:bCs/>
                <w:iCs/>
                <w:sz w:val="21"/>
                <w:szCs w:val="21"/>
                <w:highlight w:val="none"/>
                <w:lang w:eastAsia="zh-CN"/>
              </w:rPr>
              <w:t>、废活性炭</w:t>
            </w:r>
            <w:r>
              <w:rPr>
                <w:rFonts w:hint="default" w:ascii="Times New Roman" w:hAnsi="Times New Roman" w:cs="Times New Roman"/>
                <w:bCs/>
                <w:iCs/>
                <w:sz w:val="21"/>
                <w:szCs w:val="21"/>
                <w:highlight w:val="none"/>
              </w:rPr>
              <w:t>经收集后</w:t>
            </w:r>
            <w:r>
              <w:rPr>
                <w:rFonts w:hint="eastAsia" w:ascii="Times New Roman" w:hAnsi="Times New Roman" w:cs="Times New Roman"/>
                <w:bCs/>
                <w:iCs/>
                <w:sz w:val="21"/>
                <w:szCs w:val="21"/>
                <w:highlight w:val="none"/>
                <w:lang w:eastAsia="zh-CN"/>
              </w:rPr>
              <w:t>密闭</w:t>
            </w:r>
            <w:r>
              <w:rPr>
                <w:rFonts w:hint="default" w:ascii="Times New Roman" w:hAnsi="Times New Roman" w:cs="Times New Roman"/>
                <w:bCs/>
                <w:iCs/>
                <w:sz w:val="21"/>
                <w:szCs w:val="21"/>
                <w:highlight w:val="none"/>
              </w:rPr>
              <w:t>暂存于危废间</w:t>
            </w:r>
            <w:r>
              <w:rPr>
                <w:rFonts w:hint="eastAsia" w:ascii="Times New Roman" w:hAnsi="Times New Roman" w:cs="Times New Roman"/>
                <w:bCs/>
                <w:iCs/>
                <w:sz w:val="21"/>
                <w:szCs w:val="21"/>
                <w:highlight w:val="none"/>
                <w:lang w:eastAsia="zh-CN"/>
              </w:rPr>
              <w:t>内（</w:t>
            </w:r>
            <w:r>
              <w:rPr>
                <w:rFonts w:hint="eastAsia" w:cs="Times New Roman"/>
                <w:bCs/>
                <w:iCs/>
                <w:sz w:val="21"/>
                <w:szCs w:val="21"/>
                <w:highlight w:val="none"/>
                <w:lang w:val="en-US" w:eastAsia="zh-CN"/>
              </w:rPr>
              <w:t>5</w:t>
            </w:r>
            <w:r>
              <w:rPr>
                <w:rFonts w:hint="eastAsia" w:ascii="Times New Roman" w:hAnsi="Times New Roman" w:cs="Times New Roman"/>
                <w:bCs/>
                <w:iCs/>
                <w:sz w:val="21"/>
                <w:szCs w:val="21"/>
                <w:highlight w:val="none"/>
                <w:lang w:val="en-US" w:eastAsia="zh-CN"/>
              </w:rPr>
              <w:t>m</w:t>
            </w:r>
            <w:r>
              <w:rPr>
                <w:rFonts w:hint="eastAsia" w:ascii="Times New Roman" w:hAnsi="Times New Roman" w:cs="Times New Roman"/>
                <w:bCs/>
                <w:iCs/>
                <w:sz w:val="21"/>
                <w:szCs w:val="21"/>
                <w:highlight w:val="none"/>
                <w:vertAlign w:val="superscript"/>
                <w:lang w:val="en-US" w:eastAsia="zh-CN"/>
              </w:rPr>
              <w:t>2</w:t>
            </w:r>
            <w:r>
              <w:rPr>
                <w:rFonts w:hint="eastAsia"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，定期交由有资质单位处置</w:t>
            </w:r>
            <w:r>
              <w:rPr>
                <w:rFonts w:hint="default" w:ascii="Times New Roman" w:hAnsi="Times New Roman" w:cs="Times New Roman"/>
                <w:bCs/>
                <w:iCs/>
                <w:sz w:val="21"/>
                <w:szCs w:val="21"/>
                <w:highlight w:val="none"/>
                <w:lang w:eastAsia="zh-CN"/>
              </w:rPr>
              <w:t>；</w:t>
            </w:r>
            <w:r>
              <w:rPr>
                <w:rFonts w:hint="default" w:ascii="Times New Roman" w:hAnsi="Times New Roman" w:cs="Times New Roman"/>
                <w:bCs/>
                <w:iCs/>
                <w:sz w:val="21"/>
                <w:szCs w:val="21"/>
                <w:highlight w:val="none"/>
              </w:rPr>
              <w:t>生活垃圾经垃圾桶收集后由当地环卫部门定期清运。</w:t>
            </w:r>
          </w:p>
        </w:tc>
        <w:tc>
          <w:tcPr>
            <w:tcW w:w="473" w:type="pct"/>
            <w:noWrap w:val="0"/>
            <w:vAlign w:val="center"/>
          </w:tcPr>
          <w:p w14:paraId="271001E6">
            <w:pPr>
              <w:keepNext w:val="0"/>
              <w:keepLines w:val="0"/>
              <w:pageBreakBefore w:val="0"/>
              <w:widowControl w:val="0"/>
              <w:kinsoku/>
              <w:wordWrap/>
              <w:overflowPunct/>
              <w:topLinePunct w:val="0"/>
              <w:autoSpaceDE w:val="0"/>
              <w:autoSpaceDN w:val="0"/>
              <w:bidi w:val="0"/>
              <w:adjustRightInd/>
              <w:snapToGrid w:val="0"/>
              <w:spacing w:line="360" w:lineRule="exact"/>
              <w:ind w:firstLine="0" w:firstLineChars="0"/>
              <w:jc w:val="center"/>
              <w:textAlignment w:val="auto"/>
              <w:rPr>
                <w:rFonts w:hint="default" w:ascii="Times New Roman" w:hAnsi="Times New Roman" w:eastAsia="宋体" w:cs="Times New Roman"/>
                <w:bCs/>
                <w:iCs/>
                <w:sz w:val="21"/>
                <w:szCs w:val="21"/>
                <w:lang w:eastAsia="zh-CN"/>
              </w:rPr>
            </w:pPr>
            <w:r>
              <w:rPr>
                <w:rFonts w:hint="default" w:ascii="Times New Roman" w:hAnsi="Times New Roman" w:eastAsia="宋体" w:cs="Times New Roman"/>
                <w:bCs/>
                <w:iCs/>
                <w:sz w:val="21"/>
                <w:szCs w:val="21"/>
                <w:lang w:eastAsia="zh-CN"/>
              </w:rPr>
              <w:t>新建</w:t>
            </w:r>
          </w:p>
        </w:tc>
      </w:tr>
    </w:tbl>
    <w:p w14:paraId="6EFFB397">
      <w:pPr>
        <w:pStyle w:val="2"/>
        <w:keepLines w:val="0"/>
        <w:pageBreakBefore w:val="0"/>
        <w:widowControl w:val="0"/>
        <w:tabs>
          <w:tab w:val="left" w:pos="540"/>
        </w:tabs>
        <w:kinsoku/>
        <w:wordWrap/>
        <w:overflowPunct/>
        <w:topLinePunct w:val="0"/>
        <w:autoSpaceDE/>
        <w:autoSpaceDN/>
        <w:bidi w:val="0"/>
        <w:adjustRightInd/>
        <w:snapToGrid/>
        <w:spacing w:line="520" w:lineRule="exact"/>
        <w:jc w:val="both"/>
        <w:textAlignment w:val="auto"/>
        <w:rPr>
          <w:rFonts w:hint="default" w:ascii="Times New Roman" w:hAnsi="Times New Roman" w:eastAsia="宋体" w:cs="Times New Roman"/>
          <w:b/>
          <w:bCs w:val="0"/>
          <w:sz w:val="32"/>
          <w:szCs w:val="32"/>
        </w:rPr>
      </w:pPr>
      <w:r>
        <w:rPr>
          <w:rFonts w:hint="default" w:ascii="Times New Roman" w:hAnsi="Times New Roman" w:eastAsia="宋体" w:cs="Times New Roman"/>
          <w:b/>
          <w:bCs w:val="0"/>
          <w:sz w:val="32"/>
          <w:szCs w:val="32"/>
        </w:rPr>
        <w:t>二、生产工艺</w:t>
      </w:r>
    </w:p>
    <w:p w14:paraId="7FC6BD3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cs="Times New Roman"/>
          <w:b w:val="0"/>
          <w:bCs w:val="0"/>
          <w:highlight w:val="none"/>
        </w:rPr>
      </w:pPr>
      <w:r>
        <w:rPr>
          <w:rFonts w:hint="eastAsia" w:cs="Times New Roman"/>
          <w:b w:val="0"/>
          <w:bCs w:val="0"/>
          <w:highlight w:val="none"/>
          <w:lang w:eastAsia="zh-CN"/>
        </w:rPr>
        <w:t>本项目塑料食品餐盒</w:t>
      </w:r>
      <w:r>
        <w:rPr>
          <w:rFonts w:hint="default" w:ascii="Times New Roman" w:hAnsi="Times New Roman" w:cs="Times New Roman"/>
          <w:b w:val="0"/>
          <w:bCs w:val="0"/>
          <w:highlight w:val="none"/>
          <w:lang w:eastAsia="zh-CN"/>
        </w:rPr>
        <w:t>生产线工艺流程：</w:t>
      </w:r>
    </w:p>
    <w:p w14:paraId="4AA20D5D">
      <w:pPr>
        <w:pStyle w:val="2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s="Times New Roman"/>
          <w:highlight w:val="none"/>
          <w:lang w:eastAsia="zh-CN"/>
        </w:rPr>
      </w:pPr>
      <w:r>
        <w:rPr>
          <w:rFonts w:hint="eastAsia" w:cs="Times New Roman"/>
          <w:highlight w:val="none"/>
          <w:lang w:eastAsia="zh-CN"/>
        </w:rPr>
        <w:t>（</w:t>
      </w:r>
      <w:r>
        <w:rPr>
          <w:rFonts w:hint="eastAsia" w:cs="Times New Roman"/>
          <w:highlight w:val="none"/>
          <w:lang w:val="en-US" w:eastAsia="zh-CN"/>
        </w:rPr>
        <w:t>1</w:t>
      </w:r>
      <w:r>
        <w:rPr>
          <w:rFonts w:hint="eastAsia" w:cs="Times New Roman"/>
          <w:highlight w:val="none"/>
          <w:lang w:eastAsia="zh-CN"/>
        </w:rPr>
        <w:t>）外购原材料</w:t>
      </w:r>
    </w:p>
    <w:p w14:paraId="2EB44B49">
      <w:pPr>
        <w:pStyle w:val="2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s="Times New Roman"/>
          <w:highlight w:val="none"/>
          <w:lang w:eastAsia="zh-CN"/>
        </w:rPr>
      </w:pPr>
      <w:r>
        <w:rPr>
          <w:rFonts w:hint="eastAsia" w:cs="Times New Roman"/>
          <w:highlight w:val="none"/>
          <w:lang w:val="en-US" w:eastAsia="zh-CN"/>
        </w:rPr>
        <w:t>BOPS片材、包装纸箱等原材料，由供货方运输至厂房内，在车间原料区暂存，供生产使用。</w:t>
      </w:r>
    </w:p>
    <w:p w14:paraId="3330224A">
      <w:pPr>
        <w:pStyle w:val="26"/>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s="Times New Roman"/>
          <w:highlight w:val="none"/>
          <w:lang w:eastAsia="zh-CN"/>
        </w:rPr>
      </w:pPr>
      <w:r>
        <w:rPr>
          <w:rFonts w:hint="eastAsia" w:cs="Times New Roman"/>
          <w:highlight w:val="none"/>
          <w:lang w:eastAsia="zh-CN"/>
        </w:rPr>
        <w:t>（</w:t>
      </w:r>
      <w:r>
        <w:rPr>
          <w:rFonts w:hint="eastAsia" w:cs="Times New Roman"/>
          <w:highlight w:val="none"/>
          <w:lang w:val="en-US" w:eastAsia="zh-CN"/>
        </w:rPr>
        <w:t>2</w:t>
      </w:r>
      <w:r>
        <w:rPr>
          <w:rFonts w:hint="eastAsia" w:cs="Times New Roman"/>
          <w:highlight w:val="none"/>
          <w:lang w:eastAsia="zh-CN"/>
        </w:rPr>
        <w:t>）上料</w:t>
      </w:r>
    </w:p>
    <w:p w14:paraId="653A3304">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eastAsia="宋体" w:cs="Times New Roman"/>
          <w:highlight w:val="none"/>
          <w:lang w:eastAsia="zh-CN"/>
        </w:rPr>
      </w:pPr>
      <w:r>
        <w:rPr>
          <w:rFonts w:hint="eastAsia" w:cs="Times New Roman"/>
          <w:highlight w:val="none"/>
          <w:lang w:eastAsia="zh-CN"/>
        </w:rPr>
        <w:t>成卷的</w:t>
      </w:r>
      <w:r>
        <w:rPr>
          <w:rFonts w:hint="eastAsia" w:cs="Times New Roman"/>
          <w:highlight w:val="none"/>
          <w:lang w:val="en-US" w:eastAsia="zh-CN"/>
        </w:rPr>
        <w:t>BOPS片材被安装在成型机前端的放卷架上，通过可转动的卷轴架，来带动成卷的BOPS片材转动，可以更快的供料，接着，BOPS片材</w:t>
      </w:r>
      <w:r>
        <w:rPr>
          <w:rFonts w:hint="eastAsia" w:cs="Times New Roman"/>
          <w:b w:val="0"/>
          <w:bCs w:val="0"/>
          <w:highlight w:val="none"/>
          <w:lang w:val="en-US" w:eastAsia="zh-CN"/>
        </w:rPr>
        <w:t>始端缠绕在成型机前端的一套辊筒上，通过辊筒的牵引，使BOPS片材平整</w:t>
      </w:r>
      <w:r>
        <w:rPr>
          <w:rFonts w:hint="eastAsia" w:cs="Times New Roman"/>
          <w:highlight w:val="none"/>
          <w:lang w:val="en-US" w:eastAsia="zh-CN"/>
        </w:rPr>
        <w:t>、连续地从卷轴上拉出，拉出的BOPS片材传递至成型机的传送带上，同时，传送带两侧有固定BOPS片材的夹子，夹子不仅可以固定BOPS片材，防止其收缩时移位，还可以决定BOPS片材的边角料范围，能够更快的进入下一工序。</w:t>
      </w:r>
      <w:r>
        <w:rPr>
          <w:rFonts w:hint="default" w:ascii="Times New Roman" w:hAnsi="Times New Roman" w:cs="Times New Roman"/>
          <w:highlight w:val="none"/>
          <w:lang w:eastAsia="zh-CN"/>
        </w:rPr>
        <w:t>该工序产生的主要污染为设备运行噪声</w:t>
      </w:r>
      <w:r>
        <w:rPr>
          <w:rFonts w:hint="default" w:ascii="Times New Roman" w:hAnsi="Times New Roman" w:cs="Times New Roman"/>
          <w:highlight w:val="none"/>
          <w:lang w:val="en-US" w:eastAsia="zh-CN"/>
        </w:rPr>
        <w:t>。</w:t>
      </w:r>
    </w:p>
    <w:p w14:paraId="6BB2A574">
      <w:pPr>
        <w:pStyle w:val="26"/>
        <w:keepNext w:val="0"/>
        <w:keepLines w:val="0"/>
        <w:pageBreakBefore w:val="0"/>
        <w:widowControl w:val="0"/>
        <w:kinsoku/>
        <w:wordWrap w:val="0"/>
        <w:overflowPunct/>
        <w:topLinePunct w:val="0"/>
        <w:autoSpaceDE/>
        <w:autoSpaceDN/>
        <w:bidi w:val="0"/>
        <w:adjustRightInd/>
        <w:snapToGrid/>
        <w:spacing w:line="520" w:lineRule="exact"/>
        <w:ind w:firstLine="480" w:firstLineChars="200"/>
        <w:textAlignment w:val="auto"/>
        <w:rPr>
          <w:rFonts w:hint="eastAsia" w:cs="Times New Roman"/>
          <w:highlight w:val="none"/>
          <w:lang w:val="en-US" w:eastAsia="zh-CN"/>
        </w:rPr>
      </w:pPr>
      <w:r>
        <w:rPr>
          <w:rFonts w:hint="eastAsia" w:cs="Times New Roman"/>
          <w:highlight w:val="none"/>
          <w:lang w:val="en-US" w:eastAsia="zh-CN"/>
        </w:rPr>
        <w:t>（3）加热成型</w:t>
      </w:r>
    </w:p>
    <w:p w14:paraId="3DF01B37">
      <w:pPr>
        <w:pStyle w:val="26"/>
        <w:keepNext w:val="0"/>
        <w:keepLines w:val="0"/>
        <w:pageBreakBefore w:val="0"/>
        <w:widowControl w:val="0"/>
        <w:kinsoku/>
        <w:wordWrap w:val="0"/>
        <w:overflowPunct/>
        <w:topLinePunct w:val="0"/>
        <w:autoSpaceDE/>
        <w:autoSpaceDN/>
        <w:bidi w:val="0"/>
        <w:adjustRightInd/>
        <w:snapToGrid/>
        <w:spacing w:line="520" w:lineRule="exact"/>
        <w:ind w:firstLine="480" w:firstLineChars="200"/>
        <w:textAlignment w:val="auto"/>
        <w:rPr>
          <w:rFonts w:hint="default" w:ascii="Times New Roman" w:hAnsi="Times New Roman" w:eastAsia="宋体" w:cs="Times New Roman"/>
          <w:highlight w:val="none"/>
          <w:lang w:eastAsia="zh-CN"/>
        </w:rPr>
      </w:pPr>
      <w:r>
        <w:rPr>
          <w:rFonts w:hint="eastAsia" w:cs="Times New Roman"/>
          <w:highlight w:val="none"/>
          <w:lang w:val="en-US" w:eastAsia="zh-CN"/>
        </w:rPr>
        <w:t>当BOPS片材经过传送带，向前输送至成型机的加热区域，成型机加热区</w:t>
      </w:r>
      <w:r>
        <w:rPr>
          <w:rFonts w:hint="eastAsia" w:cs="Times New Roman"/>
          <w:highlight w:val="none"/>
          <w:lang w:eastAsia="zh-CN"/>
        </w:rPr>
        <w:t>配备电热丝加热组，为上下两面加热，对</w:t>
      </w:r>
      <w:r>
        <w:rPr>
          <w:rFonts w:hint="eastAsia" w:cs="Times New Roman"/>
          <w:highlight w:val="none"/>
          <w:lang w:val="en-US" w:eastAsia="zh-CN"/>
        </w:rPr>
        <w:t>BOPS片材</w:t>
      </w:r>
      <w:r>
        <w:rPr>
          <w:rFonts w:hint="eastAsia" w:cs="Times New Roman"/>
          <w:highlight w:val="none"/>
          <w:lang w:eastAsia="zh-CN"/>
        </w:rPr>
        <w:t>进行均匀加热，</w:t>
      </w:r>
      <w:r>
        <w:rPr>
          <w:rFonts w:hint="eastAsia" w:cs="Times New Roman"/>
          <w:highlight w:val="none"/>
          <w:lang w:val="en-US" w:eastAsia="zh-CN"/>
        </w:rPr>
        <w:t>BOPS片材经过加热后会软化，</w:t>
      </w:r>
      <w:r>
        <w:rPr>
          <w:rFonts w:hint="eastAsia" w:cs="Times New Roman"/>
          <w:highlight w:val="none"/>
          <w:lang w:eastAsia="zh-CN"/>
        </w:rPr>
        <w:t>加热温度大约为</w:t>
      </w:r>
      <w:r>
        <w:rPr>
          <w:rFonts w:hint="eastAsia" w:cs="Times New Roman"/>
          <w:highlight w:val="none"/>
          <w:lang w:val="en-US" w:eastAsia="zh-CN"/>
        </w:rPr>
        <w:t>100</w:t>
      </w:r>
      <w:r>
        <w:rPr>
          <w:rFonts w:hint="default" w:ascii="Times New Roman" w:hAnsi="Times New Roman" w:cs="Times New Roman"/>
          <w:highlight w:val="none"/>
          <w:lang w:eastAsia="zh-CN"/>
        </w:rPr>
        <w:t>°C</w:t>
      </w:r>
      <w:r>
        <w:rPr>
          <w:rFonts w:hint="eastAsia" w:cs="Times New Roman"/>
          <w:highlight w:val="none"/>
          <w:lang w:val="en-US" w:eastAsia="zh-CN"/>
        </w:rPr>
        <w:t>-130</w:t>
      </w:r>
      <w:r>
        <w:rPr>
          <w:rFonts w:hint="default" w:ascii="Times New Roman" w:hAnsi="Times New Roman" w:cs="Times New Roman"/>
          <w:highlight w:val="none"/>
          <w:lang w:eastAsia="zh-CN"/>
        </w:rPr>
        <w:t>°C</w:t>
      </w:r>
      <w:r>
        <w:rPr>
          <w:rFonts w:hint="eastAsia" w:ascii="Times New Roman" w:hAnsi="Times New Roman" w:cs="Times New Roman"/>
          <w:highlight w:val="none"/>
          <w:lang w:eastAsia="zh-CN"/>
        </w:rPr>
        <w:t>。</w:t>
      </w:r>
      <w:r>
        <w:rPr>
          <w:rFonts w:hint="eastAsia" w:cs="Times New Roman"/>
          <w:highlight w:val="none"/>
          <w:lang w:val="en-US" w:eastAsia="zh-CN"/>
        </w:rPr>
        <w:t>加热后的BOPS片材迅速被转移到成型区，模具由模塞和型腔两部分组成（本项目生产两种形状的塑料食品餐盒，生产对应形状的餐盒，更换相应的模具），BOPS片材与型腔闭合形成一个密封的成型空间，模塞向上运动，将软化的片材压缩成型，同时，从BOPS片材下方通入压缩空气，BOPS</w:t>
      </w:r>
      <w:r>
        <w:rPr>
          <w:rFonts w:ascii="Segoe UI" w:hAnsi="Segoe UI" w:eastAsia="Segoe UI" w:cs="Segoe UI"/>
          <w:i w:val="0"/>
          <w:iCs w:val="0"/>
          <w:caps w:val="0"/>
          <w:color w:val="0F1115"/>
          <w:spacing w:val="0"/>
          <w:sz w:val="24"/>
          <w:szCs w:val="24"/>
          <w:shd w:val="clear" w:fill="FFFFFF"/>
        </w:rPr>
        <w:t>片材</w:t>
      </w:r>
      <w:r>
        <w:rPr>
          <w:rFonts w:hint="eastAsia" w:ascii="Segoe UI" w:hAnsi="Segoe UI" w:eastAsia="宋体" w:cs="Segoe UI"/>
          <w:i w:val="0"/>
          <w:iCs w:val="0"/>
          <w:caps w:val="0"/>
          <w:color w:val="0F1115"/>
          <w:spacing w:val="0"/>
          <w:sz w:val="24"/>
          <w:szCs w:val="24"/>
          <w:shd w:val="clear" w:fill="FFFFFF"/>
          <w:lang w:eastAsia="zh-CN"/>
        </w:rPr>
        <w:t>由于上下压力不同，软化的</w:t>
      </w:r>
      <w:r>
        <w:rPr>
          <w:rFonts w:hint="eastAsia" w:cs="Times New Roman"/>
          <w:highlight w:val="none"/>
          <w:lang w:val="en-US" w:eastAsia="zh-CN"/>
        </w:rPr>
        <w:t>BOPS</w:t>
      </w:r>
      <w:r>
        <w:rPr>
          <w:rFonts w:hint="eastAsia" w:ascii="Segoe UI" w:hAnsi="Segoe UI" w:eastAsia="宋体" w:cs="Segoe UI"/>
          <w:i w:val="0"/>
          <w:iCs w:val="0"/>
          <w:caps w:val="0"/>
          <w:color w:val="0F1115"/>
          <w:spacing w:val="0"/>
          <w:sz w:val="24"/>
          <w:szCs w:val="24"/>
          <w:shd w:val="clear" w:fill="FFFFFF"/>
          <w:lang w:eastAsia="zh-CN"/>
        </w:rPr>
        <w:t>片材紧紧地贴合在在模具上，</w:t>
      </w:r>
      <w:r>
        <w:rPr>
          <w:rFonts w:hint="eastAsia" w:cs="Times New Roman"/>
          <w:highlight w:val="none"/>
          <w:lang w:val="en-US" w:eastAsia="zh-CN"/>
        </w:rPr>
        <w:t>BOPS</w:t>
      </w:r>
      <w:r>
        <w:rPr>
          <w:rFonts w:ascii="Segoe UI" w:hAnsi="Segoe UI" w:eastAsia="Segoe UI" w:cs="Segoe UI"/>
          <w:i w:val="0"/>
          <w:iCs w:val="0"/>
          <w:caps w:val="0"/>
          <w:color w:val="0F1115"/>
          <w:spacing w:val="0"/>
          <w:sz w:val="24"/>
          <w:szCs w:val="24"/>
          <w:shd w:val="clear" w:fill="FFFFFF"/>
        </w:rPr>
        <w:t>片材一旦贴合模具，就会在此状态下保持一个短暂的</w:t>
      </w:r>
      <w:r>
        <w:rPr>
          <w:rStyle w:val="18"/>
          <w:rFonts w:hint="eastAsia" w:ascii="Segoe UI" w:hAnsi="Segoe UI" w:eastAsia="宋体" w:cs="Segoe UI"/>
          <w:b w:val="0"/>
          <w:bCs w:val="0"/>
          <w:i w:val="0"/>
          <w:iCs w:val="0"/>
          <w:caps w:val="0"/>
          <w:color w:val="0F1115"/>
          <w:spacing w:val="0"/>
          <w:sz w:val="24"/>
          <w:szCs w:val="24"/>
          <w:shd w:val="clear" w:fill="FFFFFF"/>
          <w:lang w:eastAsia="zh-CN"/>
        </w:rPr>
        <w:t>成型</w:t>
      </w:r>
      <w:r>
        <w:rPr>
          <w:rStyle w:val="18"/>
          <w:rFonts w:hint="default" w:ascii="Segoe UI" w:hAnsi="Segoe UI" w:eastAsia="Segoe UI" w:cs="Segoe UI"/>
          <w:b w:val="0"/>
          <w:bCs w:val="0"/>
          <w:i w:val="0"/>
          <w:iCs w:val="0"/>
          <w:caps w:val="0"/>
          <w:color w:val="0F1115"/>
          <w:spacing w:val="0"/>
          <w:sz w:val="24"/>
          <w:szCs w:val="24"/>
          <w:shd w:val="clear" w:fill="FFFFFF"/>
        </w:rPr>
        <w:t>时间</w:t>
      </w:r>
      <w:r>
        <w:rPr>
          <w:rFonts w:hint="default" w:ascii="Segoe UI" w:hAnsi="Segoe UI" w:eastAsia="Segoe UI" w:cs="Segoe UI"/>
          <w:b w:val="0"/>
          <w:bCs w:val="0"/>
          <w:i w:val="0"/>
          <w:iCs w:val="0"/>
          <w:caps w:val="0"/>
          <w:color w:val="0F1115"/>
          <w:spacing w:val="0"/>
          <w:sz w:val="24"/>
          <w:szCs w:val="24"/>
          <w:shd w:val="clear" w:fill="FFFFFF"/>
        </w:rPr>
        <w:t>。</w:t>
      </w:r>
      <w:r>
        <w:rPr>
          <w:rFonts w:hint="eastAsia" w:ascii="Segoe UI" w:hAnsi="Segoe UI" w:eastAsia="宋体" w:cs="Segoe UI"/>
          <w:i w:val="0"/>
          <w:iCs w:val="0"/>
          <w:caps w:val="0"/>
          <w:color w:val="0F1115"/>
          <w:spacing w:val="0"/>
          <w:sz w:val="24"/>
          <w:szCs w:val="24"/>
          <w:shd w:val="clear" w:fill="FFFFFF"/>
          <w:lang w:eastAsia="zh-CN"/>
        </w:rPr>
        <w:t>成型后，模具与片材之间</w:t>
      </w:r>
      <w:r>
        <w:rPr>
          <w:rFonts w:hint="default" w:ascii="Segoe UI" w:hAnsi="Segoe UI" w:eastAsia="Segoe UI" w:cs="Segoe UI"/>
          <w:i w:val="0"/>
          <w:iCs w:val="0"/>
          <w:caps w:val="0"/>
          <w:color w:val="0F1115"/>
          <w:spacing w:val="0"/>
          <w:sz w:val="24"/>
          <w:szCs w:val="24"/>
          <w:shd w:val="clear" w:fill="FFFFFF"/>
        </w:rPr>
        <w:t>会通入少量</w:t>
      </w:r>
      <w:r>
        <w:rPr>
          <w:rFonts w:hint="eastAsia" w:ascii="Segoe UI" w:hAnsi="Segoe UI" w:eastAsia="宋体" w:cs="Segoe UI"/>
          <w:i w:val="0"/>
          <w:iCs w:val="0"/>
          <w:caps w:val="0"/>
          <w:color w:val="0F1115"/>
          <w:spacing w:val="0"/>
          <w:sz w:val="24"/>
          <w:szCs w:val="24"/>
          <w:shd w:val="clear" w:fill="FFFFFF"/>
          <w:lang w:eastAsia="zh-CN"/>
        </w:rPr>
        <w:t>的</w:t>
      </w:r>
      <w:r>
        <w:rPr>
          <w:rFonts w:hint="default" w:ascii="Segoe UI" w:hAnsi="Segoe UI" w:eastAsia="Segoe UI" w:cs="Segoe UI"/>
          <w:i w:val="0"/>
          <w:iCs w:val="0"/>
          <w:caps w:val="0"/>
          <w:color w:val="0F1115"/>
          <w:spacing w:val="0"/>
          <w:sz w:val="24"/>
          <w:szCs w:val="24"/>
          <w:shd w:val="clear" w:fill="FFFFFF"/>
        </w:rPr>
        <w:t>压缩空气</w:t>
      </w:r>
      <w:r>
        <w:rPr>
          <w:rFonts w:hint="eastAsia" w:ascii="Segoe UI" w:hAnsi="Segoe UI" w:eastAsia="宋体" w:cs="Segoe UI"/>
          <w:i w:val="0"/>
          <w:iCs w:val="0"/>
          <w:caps w:val="0"/>
          <w:color w:val="0F1115"/>
          <w:spacing w:val="0"/>
          <w:sz w:val="24"/>
          <w:szCs w:val="24"/>
          <w:shd w:val="clear" w:fill="FFFFFF"/>
          <w:lang w:eastAsia="zh-CN"/>
        </w:rPr>
        <w:t>来</w:t>
      </w:r>
      <w:r>
        <w:rPr>
          <w:rFonts w:hint="default" w:ascii="Segoe UI" w:hAnsi="Segoe UI" w:eastAsia="Segoe UI" w:cs="Segoe UI"/>
          <w:i w:val="0"/>
          <w:iCs w:val="0"/>
          <w:caps w:val="0"/>
          <w:color w:val="0F1115"/>
          <w:spacing w:val="0"/>
          <w:sz w:val="24"/>
          <w:szCs w:val="24"/>
          <w:shd w:val="clear" w:fill="FFFFFF"/>
        </w:rPr>
        <w:t>辅助脱模</w:t>
      </w:r>
      <w:r>
        <w:rPr>
          <w:rFonts w:hint="eastAsia" w:ascii="Segoe UI" w:hAnsi="Segoe UI" w:eastAsia="宋体" w:cs="Segoe UI"/>
          <w:i w:val="0"/>
          <w:iCs w:val="0"/>
          <w:caps w:val="0"/>
          <w:color w:val="0F1115"/>
          <w:spacing w:val="0"/>
          <w:sz w:val="24"/>
          <w:szCs w:val="24"/>
          <w:shd w:val="clear" w:fill="FFFFFF"/>
          <w:lang w:eastAsia="zh-CN"/>
        </w:rPr>
        <w:t>，</w:t>
      </w:r>
      <w:r>
        <w:rPr>
          <w:rFonts w:hint="default" w:ascii="Segoe UI" w:hAnsi="Segoe UI" w:eastAsia="Segoe UI" w:cs="Segoe UI"/>
          <w:i w:val="0"/>
          <w:iCs w:val="0"/>
          <w:caps w:val="0"/>
          <w:color w:val="0F1115"/>
          <w:spacing w:val="0"/>
          <w:sz w:val="24"/>
          <w:szCs w:val="24"/>
          <w:shd w:val="clear" w:fill="FFFFFF"/>
        </w:rPr>
        <w:t>接着</w:t>
      </w:r>
      <w:r>
        <w:rPr>
          <w:rFonts w:hint="eastAsia" w:ascii="Segoe UI" w:hAnsi="Segoe UI" w:eastAsia="宋体" w:cs="Segoe UI"/>
          <w:i w:val="0"/>
          <w:iCs w:val="0"/>
          <w:caps w:val="0"/>
          <w:color w:val="0F1115"/>
          <w:spacing w:val="0"/>
          <w:sz w:val="24"/>
          <w:szCs w:val="24"/>
          <w:shd w:val="clear" w:fill="FFFFFF"/>
          <w:lang w:eastAsia="zh-CN"/>
        </w:rPr>
        <w:t>，</w:t>
      </w:r>
      <w:r>
        <w:rPr>
          <w:rFonts w:hint="default" w:ascii="Segoe UI" w:hAnsi="Segoe UI" w:eastAsia="Segoe UI" w:cs="Segoe UI"/>
          <w:i w:val="0"/>
          <w:iCs w:val="0"/>
          <w:caps w:val="0"/>
          <w:color w:val="0F1115"/>
          <w:spacing w:val="0"/>
          <w:sz w:val="24"/>
          <w:szCs w:val="24"/>
          <w:shd w:val="clear" w:fill="FFFFFF"/>
        </w:rPr>
        <w:t>模塞退回，模具打开</w:t>
      </w:r>
      <w:r>
        <w:rPr>
          <w:rFonts w:hint="eastAsia" w:ascii="Segoe UI" w:hAnsi="Segoe UI" w:eastAsia="宋体" w:cs="Segoe UI"/>
          <w:i w:val="0"/>
          <w:iCs w:val="0"/>
          <w:caps w:val="0"/>
          <w:color w:val="0F1115"/>
          <w:spacing w:val="0"/>
          <w:sz w:val="24"/>
          <w:szCs w:val="24"/>
          <w:shd w:val="clear" w:fill="FFFFFF"/>
          <w:lang w:eastAsia="zh-CN"/>
        </w:rPr>
        <w:t>，塑料食品餐盒成品掉落在成型机的传送带上。加热成型</w:t>
      </w:r>
      <w:r>
        <w:rPr>
          <w:rFonts w:ascii="Segoe UI" w:hAnsi="Segoe UI" w:eastAsia="Segoe UI" w:cs="Segoe UI"/>
          <w:i w:val="0"/>
          <w:iCs w:val="0"/>
          <w:caps w:val="0"/>
          <w:color w:val="0F1115"/>
          <w:spacing w:val="0"/>
          <w:sz w:val="24"/>
          <w:szCs w:val="24"/>
          <w:shd w:val="clear" w:fill="FFFFFF"/>
        </w:rPr>
        <w:t>这个过程在</w:t>
      </w:r>
      <w:r>
        <w:rPr>
          <w:rFonts w:hint="default" w:ascii="Times New Roman" w:hAnsi="Times New Roman" w:eastAsia="宋体" w:cs="Times New Roman"/>
          <w:i w:val="0"/>
          <w:iCs w:val="0"/>
          <w:caps w:val="0"/>
          <w:color w:val="0F1115"/>
          <w:spacing w:val="0"/>
          <w:sz w:val="24"/>
          <w:szCs w:val="24"/>
          <w:shd w:val="clear" w:fill="FFFFFF"/>
          <w:lang w:val="en-US" w:eastAsia="zh-CN"/>
        </w:rPr>
        <w:t>1-</w:t>
      </w:r>
      <w:r>
        <w:rPr>
          <w:rFonts w:hint="eastAsia" w:ascii="Times New Roman" w:hAnsi="Times New Roman" w:eastAsia="宋体" w:cs="Times New Roman"/>
          <w:i w:val="0"/>
          <w:iCs w:val="0"/>
          <w:caps w:val="0"/>
          <w:color w:val="0F1115"/>
          <w:spacing w:val="0"/>
          <w:sz w:val="24"/>
          <w:szCs w:val="24"/>
          <w:shd w:val="clear" w:fill="FFFFFF"/>
          <w:lang w:val="en-US" w:eastAsia="zh-CN"/>
        </w:rPr>
        <w:t>3</w:t>
      </w:r>
      <w:r>
        <w:rPr>
          <w:rFonts w:hint="default" w:ascii="Times New Roman" w:hAnsi="Times New Roman" w:eastAsia="Segoe UI" w:cs="Times New Roman"/>
          <w:i w:val="0"/>
          <w:iCs w:val="0"/>
          <w:caps w:val="0"/>
          <w:color w:val="0F1115"/>
          <w:spacing w:val="0"/>
          <w:sz w:val="24"/>
          <w:szCs w:val="24"/>
          <w:shd w:val="clear" w:fill="FFFFFF"/>
        </w:rPr>
        <w:t>秒钟内完成，</w:t>
      </w:r>
      <w:r>
        <w:rPr>
          <w:rFonts w:hint="default" w:ascii="Times New Roman" w:hAnsi="Times New Roman" w:cs="Times New Roman"/>
          <w:highlight w:val="none"/>
          <w:lang w:val="en-US" w:eastAsia="zh-CN"/>
        </w:rPr>
        <w:t>B</w:t>
      </w:r>
      <w:r>
        <w:rPr>
          <w:rFonts w:hint="eastAsia" w:cs="Times New Roman"/>
          <w:highlight w:val="none"/>
          <w:lang w:val="en-US" w:eastAsia="zh-CN"/>
        </w:rPr>
        <w:t>OPS</w:t>
      </w:r>
      <w:r>
        <w:rPr>
          <w:rFonts w:ascii="Segoe UI" w:hAnsi="Segoe UI" w:eastAsia="Segoe UI" w:cs="Segoe UI"/>
          <w:i w:val="0"/>
          <w:iCs w:val="0"/>
          <w:caps w:val="0"/>
          <w:color w:val="0F1115"/>
          <w:spacing w:val="0"/>
          <w:sz w:val="24"/>
          <w:szCs w:val="24"/>
          <w:shd w:val="clear" w:fill="FFFFFF"/>
        </w:rPr>
        <w:t>片材被</w:t>
      </w:r>
      <w:r>
        <w:rPr>
          <w:rFonts w:hint="eastAsia" w:ascii="Segoe UI" w:hAnsi="Segoe UI" w:eastAsia="宋体" w:cs="Segoe UI"/>
          <w:i w:val="0"/>
          <w:iCs w:val="0"/>
          <w:caps w:val="0"/>
          <w:color w:val="0F1115"/>
          <w:spacing w:val="0"/>
          <w:sz w:val="24"/>
          <w:szCs w:val="24"/>
          <w:shd w:val="clear" w:fill="FFFFFF"/>
          <w:lang w:eastAsia="zh-CN"/>
        </w:rPr>
        <w:t>制作</w:t>
      </w:r>
      <w:r>
        <w:rPr>
          <w:rFonts w:ascii="Segoe UI" w:hAnsi="Segoe UI" w:eastAsia="Segoe UI" w:cs="Segoe UI"/>
          <w:i w:val="0"/>
          <w:iCs w:val="0"/>
          <w:caps w:val="0"/>
          <w:color w:val="0F1115"/>
          <w:spacing w:val="0"/>
          <w:sz w:val="24"/>
          <w:szCs w:val="24"/>
          <w:shd w:val="clear" w:fill="FFFFFF"/>
        </w:rPr>
        <w:t>成</w:t>
      </w:r>
      <w:r>
        <w:rPr>
          <w:rFonts w:hint="eastAsia" w:ascii="Segoe UI" w:hAnsi="Segoe UI" w:eastAsia="宋体" w:cs="Segoe UI"/>
          <w:i w:val="0"/>
          <w:iCs w:val="0"/>
          <w:caps w:val="0"/>
          <w:color w:val="0F1115"/>
          <w:spacing w:val="0"/>
          <w:sz w:val="24"/>
          <w:szCs w:val="24"/>
          <w:shd w:val="clear" w:fill="FFFFFF"/>
          <w:lang w:eastAsia="zh-CN"/>
        </w:rPr>
        <w:t>塑料</w:t>
      </w:r>
      <w:r>
        <w:rPr>
          <w:rFonts w:ascii="Segoe UI" w:hAnsi="Segoe UI" w:eastAsia="Segoe UI" w:cs="Segoe UI"/>
          <w:i w:val="0"/>
          <w:iCs w:val="0"/>
          <w:caps w:val="0"/>
          <w:color w:val="0F1115"/>
          <w:spacing w:val="0"/>
          <w:sz w:val="24"/>
          <w:szCs w:val="24"/>
          <w:shd w:val="clear" w:fill="FFFFFF"/>
        </w:rPr>
        <w:t>餐盒的形状</w:t>
      </w:r>
      <w:r>
        <w:rPr>
          <w:rFonts w:hint="eastAsia" w:ascii="Segoe UI" w:hAnsi="Segoe UI" w:eastAsia="宋体" w:cs="Segoe UI"/>
          <w:i w:val="0"/>
          <w:iCs w:val="0"/>
          <w:caps w:val="0"/>
          <w:color w:val="0F1115"/>
          <w:spacing w:val="0"/>
          <w:sz w:val="24"/>
          <w:szCs w:val="24"/>
          <w:shd w:val="clear" w:fill="FFFFFF"/>
          <w:lang w:eastAsia="zh-CN"/>
        </w:rPr>
        <w:t>。</w:t>
      </w:r>
      <w:r>
        <w:rPr>
          <w:rFonts w:hint="default" w:ascii="Times New Roman" w:hAnsi="Times New Roman" w:cs="Times New Roman"/>
          <w:highlight w:val="none"/>
          <w:lang w:eastAsia="zh-CN"/>
        </w:rPr>
        <w:t>该工序产生的主要污染为</w:t>
      </w:r>
      <w:r>
        <w:rPr>
          <w:rFonts w:hint="eastAsia" w:ascii="Times New Roman" w:hAnsi="Times New Roman" w:cs="Times New Roman"/>
          <w:highlight w:val="none"/>
          <w:lang w:eastAsia="zh-CN"/>
        </w:rPr>
        <w:t>加热成型</w:t>
      </w:r>
      <w:r>
        <w:rPr>
          <w:rFonts w:hint="default" w:ascii="Times New Roman" w:hAnsi="Times New Roman" w:cs="Times New Roman"/>
          <w:highlight w:val="none"/>
          <w:lang w:eastAsia="zh-CN"/>
        </w:rPr>
        <w:t>废气</w:t>
      </w:r>
      <w:r>
        <w:rPr>
          <w:rFonts w:hint="eastAsia" w:ascii="Times New Roman" w:hAnsi="Times New Roman" w:cs="Times New Roman"/>
          <w:highlight w:val="none"/>
          <w:lang w:eastAsia="zh-CN"/>
        </w:rPr>
        <w:t>、</w:t>
      </w:r>
      <w:r>
        <w:rPr>
          <w:rFonts w:hint="eastAsia" w:ascii="Segoe UI" w:hAnsi="Segoe UI" w:eastAsia="宋体" w:cs="Segoe UI"/>
          <w:i w:val="0"/>
          <w:iCs w:val="0"/>
          <w:caps w:val="0"/>
          <w:color w:val="0F1115"/>
          <w:spacing w:val="0"/>
          <w:sz w:val="24"/>
          <w:szCs w:val="24"/>
          <w:shd w:val="clear" w:fill="FFFFFF"/>
          <w:lang w:eastAsia="zh-CN"/>
        </w:rPr>
        <w:t>废边角料</w:t>
      </w:r>
      <w:r>
        <w:rPr>
          <w:rFonts w:hint="default" w:ascii="Times New Roman" w:hAnsi="Times New Roman" w:cs="Times New Roman"/>
          <w:highlight w:val="none"/>
          <w:lang w:eastAsia="zh-CN"/>
        </w:rPr>
        <w:t>和设备运行噪声</w:t>
      </w:r>
      <w:r>
        <w:rPr>
          <w:rFonts w:hint="default" w:ascii="Times New Roman" w:hAnsi="Times New Roman" w:cs="Times New Roman"/>
          <w:highlight w:val="none"/>
          <w:lang w:val="en-US" w:eastAsia="zh-CN"/>
        </w:rPr>
        <w:t>。</w:t>
      </w:r>
    </w:p>
    <w:p w14:paraId="13813DEE">
      <w:pPr>
        <w:pStyle w:val="12"/>
        <w:keepNext w:val="0"/>
        <w:keepLines w:val="0"/>
        <w:widowControl/>
        <w:suppressLineNumbers w:val="0"/>
        <w:spacing w:before="0" w:beforeAutospacing="0" w:after="0" w:afterAutospacing="0"/>
        <w:ind w:left="0" w:right="0"/>
        <w:rPr>
          <w:rFonts w:hint="default" w:ascii="Times New Roman" w:hAnsi="Times New Roman" w:eastAsia="宋体" w:cs="Times New Roman"/>
          <w:i w:val="0"/>
          <w:iCs w:val="0"/>
          <w:caps w:val="0"/>
          <w:color w:val="0F1115"/>
          <w:spacing w:val="0"/>
          <w:sz w:val="24"/>
          <w:szCs w:val="24"/>
          <w:shd w:val="clear" w:fill="FFFFFF"/>
          <w:lang w:eastAsia="zh-CN"/>
        </w:rPr>
      </w:pPr>
      <w:r>
        <w:rPr>
          <w:rFonts w:hint="default" w:ascii="Times New Roman" w:hAnsi="Times New Roman" w:eastAsia="宋体" w:cs="Times New Roman"/>
          <w:i w:val="0"/>
          <w:iCs w:val="0"/>
          <w:caps w:val="0"/>
          <w:color w:val="0F1115"/>
          <w:spacing w:val="0"/>
          <w:sz w:val="24"/>
          <w:szCs w:val="24"/>
          <w:shd w:val="clear" w:fill="FFFFFF"/>
          <w:lang w:eastAsia="zh-CN"/>
        </w:rPr>
        <w:t>（</w:t>
      </w:r>
      <w:r>
        <w:rPr>
          <w:rFonts w:hint="eastAsia" w:ascii="Times New Roman" w:hAnsi="Times New Roman" w:eastAsia="宋体" w:cs="Times New Roman"/>
          <w:i w:val="0"/>
          <w:iCs w:val="0"/>
          <w:caps w:val="0"/>
          <w:color w:val="0F1115"/>
          <w:spacing w:val="0"/>
          <w:sz w:val="24"/>
          <w:szCs w:val="24"/>
          <w:shd w:val="clear" w:fill="FFFFFF"/>
          <w:lang w:val="en-US" w:eastAsia="zh-CN"/>
        </w:rPr>
        <w:t>4</w:t>
      </w:r>
      <w:r>
        <w:rPr>
          <w:rFonts w:hint="default" w:ascii="Times New Roman" w:hAnsi="Times New Roman" w:eastAsia="宋体" w:cs="Times New Roman"/>
          <w:i w:val="0"/>
          <w:iCs w:val="0"/>
          <w:caps w:val="0"/>
          <w:color w:val="0F1115"/>
          <w:spacing w:val="0"/>
          <w:sz w:val="24"/>
          <w:szCs w:val="24"/>
          <w:shd w:val="clear" w:fill="FFFFFF"/>
          <w:lang w:eastAsia="zh-CN"/>
        </w:rPr>
        <w:t>）包装</w:t>
      </w:r>
    </w:p>
    <w:p w14:paraId="267AEA6A">
      <w:pPr>
        <w:pStyle w:val="26"/>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Times New Roman" w:hAnsi="Times New Roman" w:eastAsia="宋体" w:cs="Times New Roman"/>
          <w:highlight w:val="none"/>
          <w:lang w:eastAsia="zh-CN"/>
        </w:rPr>
      </w:pPr>
      <w:r>
        <w:rPr>
          <w:rFonts w:hint="eastAsia" w:ascii="Segoe UI" w:hAnsi="Segoe UI" w:eastAsia="宋体" w:cs="Segoe UI"/>
          <w:i w:val="0"/>
          <w:iCs w:val="0"/>
          <w:caps w:val="0"/>
          <w:color w:val="0F1115"/>
          <w:spacing w:val="0"/>
          <w:sz w:val="24"/>
          <w:szCs w:val="24"/>
          <w:shd w:val="clear" w:fill="FFFFFF"/>
          <w:lang w:eastAsia="zh-CN"/>
        </w:rPr>
        <w:t>成型后的塑料食品餐盒经传送带送出，经过人工检验塑料食品餐盒无破损情况视为合格，人工将合格的塑料食品餐盒堆叠收集，再包装到纸箱内封口，最终进行外售。</w:t>
      </w:r>
      <w:r>
        <w:rPr>
          <w:rFonts w:hint="default" w:ascii="Times New Roman" w:hAnsi="Times New Roman" w:cs="Times New Roman"/>
          <w:highlight w:val="none"/>
          <w:lang w:eastAsia="zh-CN"/>
        </w:rPr>
        <w:t>该工序产生的主要污染为</w:t>
      </w:r>
      <w:r>
        <w:rPr>
          <w:rFonts w:hint="eastAsia" w:ascii="Times New Roman" w:hAnsi="Times New Roman" w:cs="Times New Roman"/>
          <w:highlight w:val="none"/>
          <w:lang w:eastAsia="zh-CN"/>
        </w:rPr>
        <w:t>不合格产品。</w:t>
      </w:r>
    </w:p>
    <w:p w14:paraId="6268AC91">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000000"/>
          <w:kern w:val="0"/>
          <w:sz w:val="24"/>
          <w:szCs w:val="24"/>
          <w:highlight w:val="none"/>
          <w:lang w:eastAsia="zh-CN" w:bidi="ar"/>
        </w:rPr>
      </w:pPr>
      <w:r>
        <w:rPr>
          <w:rFonts w:hint="default" w:ascii="Times New Roman" w:hAnsi="Times New Roman" w:cs="Times New Roman"/>
          <w:highlight w:val="none"/>
          <w:lang w:eastAsia="zh-CN"/>
        </w:rPr>
        <w:object>
          <v:shape id="_x0000_i1028" o:spt="75" type="#_x0000_t75" style="height:217.2pt;width:288.05pt;" o:ole="t" filled="f" o:preferrelative="t" stroked="f" coordsize="21600,21600">
            <v:path/>
            <v:fill on="f" focussize="0,0"/>
            <v:stroke on="f"/>
            <v:imagedata r:id="rId18" croptop="2170f" cropbottom="28632f" o:title=""/>
            <o:lock v:ext="edit" aspectratio="f"/>
            <w10:wrap type="none"/>
            <w10:anchorlock/>
          </v:shape>
          <o:OLEObject Type="Embed" ProgID="Visio.Drawing.11" ShapeID="_x0000_i1028" DrawAspect="Content" ObjectID="_1468075729" r:id="rId42">
            <o:LockedField>false</o:LockedField>
          </o:OLEObject>
        </w:object>
      </w:r>
    </w:p>
    <w:p w14:paraId="1926D32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图</w:t>
      </w:r>
      <w:r>
        <w:rPr>
          <w:rFonts w:hint="eastAsia" w:ascii="Times New Roman" w:hAnsi="Times New Roman" w:eastAsia="宋体" w:cs="Times New Roman"/>
          <w:b/>
          <w:bCs/>
          <w:sz w:val="24"/>
          <w:szCs w:val="24"/>
          <w:highlight w:val="none"/>
          <w:lang w:val="en-US" w:eastAsia="zh-CN"/>
        </w:rPr>
        <w:t>1</w:t>
      </w:r>
      <w:r>
        <w:rPr>
          <w:rFonts w:hint="default" w:ascii="Times New Roman" w:hAnsi="Times New Roman" w:eastAsia="宋体" w:cs="Times New Roman"/>
          <w:b/>
          <w:bCs/>
          <w:sz w:val="24"/>
          <w:szCs w:val="24"/>
          <w:highlight w:val="none"/>
        </w:rPr>
        <w:t xml:space="preserve">  </w:t>
      </w:r>
      <w:r>
        <w:rPr>
          <w:rFonts w:hint="default" w:ascii="Times New Roman" w:hAnsi="Times New Roman" w:eastAsia="宋体" w:cs="Times New Roman"/>
          <w:b/>
          <w:bCs/>
          <w:sz w:val="24"/>
          <w:szCs w:val="24"/>
          <w:highlight w:val="none"/>
          <w:lang w:eastAsia="zh-CN"/>
        </w:rPr>
        <w:t>塑料食品餐盒</w:t>
      </w:r>
      <w:r>
        <w:rPr>
          <w:rFonts w:hint="default" w:ascii="Times New Roman" w:hAnsi="Times New Roman" w:eastAsia="宋体" w:cs="Times New Roman"/>
          <w:b/>
          <w:bCs/>
          <w:sz w:val="24"/>
          <w:szCs w:val="24"/>
          <w:highlight w:val="none"/>
        </w:rPr>
        <w:t>工艺流程</w:t>
      </w:r>
      <w:r>
        <w:rPr>
          <w:rFonts w:hint="default" w:ascii="Times New Roman" w:hAnsi="Times New Roman" w:eastAsia="宋体" w:cs="Times New Roman"/>
          <w:b/>
          <w:bCs/>
          <w:sz w:val="24"/>
          <w:szCs w:val="24"/>
          <w:highlight w:val="none"/>
          <w:lang w:val="en-US" w:eastAsia="zh-CN"/>
        </w:rPr>
        <w:t>及产污环节示意</w:t>
      </w:r>
      <w:r>
        <w:rPr>
          <w:rFonts w:hint="default" w:ascii="Times New Roman" w:hAnsi="Times New Roman" w:eastAsia="宋体" w:cs="Times New Roman"/>
          <w:b/>
          <w:bCs/>
          <w:sz w:val="24"/>
          <w:szCs w:val="24"/>
          <w:highlight w:val="none"/>
        </w:rPr>
        <w:t>图</w:t>
      </w:r>
    </w:p>
    <w:p w14:paraId="786DBD0B">
      <w:pPr>
        <w:keepNext w:val="0"/>
        <w:keepLines w:val="0"/>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eastAsia" w:ascii="Times New Roman" w:hAnsi="Times New Roman" w:cs="Times New Roman"/>
          <w:sz w:val="28"/>
          <w:szCs w:val="28"/>
          <w:lang w:eastAsia="zh-CN"/>
        </w:rPr>
        <w:t>一</w:t>
      </w:r>
      <w:r>
        <w:rPr>
          <w:rFonts w:hint="default" w:ascii="Times New Roman" w:hAnsi="Times New Roman" w:cs="Times New Roman"/>
          <w:sz w:val="28"/>
          <w:szCs w:val="28"/>
          <w:lang w:eastAsia="zh-CN"/>
        </w:rPr>
        <w:t>）生产设备</w:t>
      </w:r>
    </w:p>
    <w:p w14:paraId="33318F3F">
      <w:pPr>
        <w:keepNext w:val="0"/>
        <w:keepLines w:val="0"/>
        <w:pageBreakBefore w:val="0"/>
        <w:kinsoku/>
        <w:wordWrap/>
        <w:overflowPunct/>
        <w:topLinePunct w:val="0"/>
        <w:autoSpaceDE/>
        <w:autoSpaceDN/>
        <w:bidi w:val="0"/>
        <w:adjustRightInd/>
        <w:snapToGrid/>
        <w:spacing w:line="520" w:lineRule="exact"/>
        <w:textAlignment w:val="auto"/>
        <w:rPr>
          <w:rFonts w:hint="default" w:ascii="Times New Roman" w:hAnsi="Times New Roman" w:cs="Times New Roman"/>
          <w:lang w:val="en-US" w:eastAsia="zh-CN"/>
        </w:rPr>
      </w:pPr>
      <w:r>
        <w:rPr>
          <w:rFonts w:hint="default" w:ascii="Times New Roman" w:hAnsi="Times New Roman" w:cs="Times New Roman"/>
          <w:lang w:eastAsia="zh-CN"/>
        </w:rPr>
        <w:t>本项目涉及</w:t>
      </w:r>
      <w:r>
        <w:rPr>
          <w:rFonts w:hint="default" w:ascii="Times New Roman" w:hAnsi="Times New Roman" w:cs="Times New Roman"/>
          <w:lang w:val="en-US" w:eastAsia="zh-CN"/>
        </w:rPr>
        <w:t>VOCs的设备</w:t>
      </w:r>
      <w:r>
        <w:rPr>
          <w:rFonts w:hint="eastAsia" w:cs="Times New Roman"/>
          <w:lang w:val="en-US" w:eastAsia="zh-CN"/>
        </w:rPr>
        <w:t>是成型机设备</w:t>
      </w:r>
      <w:r>
        <w:rPr>
          <w:rFonts w:hint="default" w:ascii="Times New Roman" w:hAnsi="Times New Roman" w:cs="Times New Roman"/>
        </w:rPr>
        <w:t>，具体设备情况详见表</w:t>
      </w:r>
      <w:r>
        <w:rPr>
          <w:rFonts w:hint="default" w:ascii="Times New Roman" w:hAnsi="Times New Roman" w:cs="Times New Roman"/>
          <w:lang w:val="en-US" w:eastAsia="zh-CN"/>
        </w:rPr>
        <w:t>2。</w:t>
      </w:r>
    </w:p>
    <w:p w14:paraId="608EC1E5">
      <w:pPr>
        <w:pStyle w:val="39"/>
        <w:keepNext w:val="0"/>
        <w:keepLines w:val="0"/>
        <w:pageBreakBefore w:val="0"/>
        <w:kinsoku/>
        <w:wordWrap/>
        <w:overflowPunct/>
        <w:topLinePunct w:val="0"/>
        <w:autoSpaceDE/>
        <w:autoSpaceDN/>
        <w:bidi w:val="0"/>
        <w:adjustRightInd/>
        <w:snapToGrid/>
        <w:spacing w:line="520" w:lineRule="exact"/>
        <w:textAlignment w:val="auto"/>
        <w:rPr>
          <w:rFonts w:hint="default" w:ascii="Times New Roman" w:hAnsi="Times New Roman" w:eastAsia="宋体" w:cs="Times New Roman"/>
          <w:b/>
          <w:bCs w:val="0"/>
        </w:rPr>
      </w:pPr>
      <w:r>
        <w:rPr>
          <w:rFonts w:hint="default" w:ascii="Times New Roman" w:hAnsi="Times New Roman" w:eastAsia="宋体" w:cs="Times New Roman"/>
          <w:b/>
          <w:bCs w:val="0"/>
        </w:rPr>
        <w:t>表</w:t>
      </w:r>
      <w:r>
        <w:rPr>
          <w:rFonts w:hint="default" w:ascii="Times New Roman" w:hAnsi="Times New Roman" w:eastAsia="宋体" w:cs="Times New Roman"/>
          <w:b/>
          <w:bCs w:val="0"/>
          <w:lang w:val="en-US" w:eastAsia="zh-CN"/>
        </w:rPr>
        <w:t>2</w:t>
      </w:r>
      <w:r>
        <w:rPr>
          <w:rFonts w:hint="default" w:ascii="Times New Roman" w:hAnsi="Times New Roman" w:eastAsia="宋体" w:cs="Times New Roman"/>
          <w:b/>
          <w:bCs w:val="0"/>
        </w:rPr>
        <w:t xml:space="preserve">   涉VOCs主要设备一览表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1491"/>
        <w:gridCol w:w="1421"/>
        <w:gridCol w:w="1129"/>
        <w:gridCol w:w="3987"/>
      </w:tblGrid>
      <w:tr w14:paraId="230ED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540" w:type="pct"/>
            <w:noWrap w:val="0"/>
            <w:vAlign w:val="center"/>
          </w:tcPr>
          <w:p w14:paraId="75D6ACB7">
            <w:pPr>
              <w:keepNext w:val="0"/>
              <w:keepLines w:val="0"/>
              <w:pageBreakBefore w:val="0"/>
              <w:widowControl/>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1"/>
              </w:rPr>
            </w:pPr>
            <w:r>
              <w:rPr>
                <w:rFonts w:hint="default" w:ascii="Times New Roman" w:hAnsi="Times New Roman" w:cs="Times New Roman"/>
                <w:b w:val="0"/>
                <w:bCs/>
                <w:kern w:val="0"/>
                <w:sz w:val="21"/>
                <w:szCs w:val="21"/>
              </w:rPr>
              <w:t>产品</w:t>
            </w:r>
          </w:p>
        </w:tc>
        <w:tc>
          <w:tcPr>
            <w:tcW w:w="828" w:type="pct"/>
            <w:noWrap w:val="0"/>
            <w:vAlign w:val="center"/>
          </w:tcPr>
          <w:p w14:paraId="753F4194">
            <w:pPr>
              <w:keepNext w:val="0"/>
              <w:keepLines w:val="0"/>
              <w:pageBreakBefore w:val="0"/>
              <w:widowControl/>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kern w:val="0"/>
                <w:sz w:val="21"/>
                <w:szCs w:val="21"/>
              </w:rPr>
            </w:pPr>
            <w:r>
              <w:rPr>
                <w:rFonts w:hint="default" w:ascii="Times New Roman" w:hAnsi="Times New Roman" w:cs="Times New Roman"/>
                <w:b w:val="0"/>
                <w:bCs/>
                <w:kern w:val="0"/>
                <w:sz w:val="21"/>
                <w:szCs w:val="21"/>
              </w:rPr>
              <w:t>设备名称</w:t>
            </w:r>
          </w:p>
        </w:tc>
        <w:tc>
          <w:tcPr>
            <w:tcW w:w="789" w:type="pct"/>
            <w:noWrap w:val="0"/>
            <w:vAlign w:val="center"/>
          </w:tcPr>
          <w:p w14:paraId="523C40F7">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规格/型</w:t>
            </w:r>
            <w:r>
              <w:rPr>
                <w:rFonts w:hint="default" w:ascii="Times New Roman" w:hAnsi="Times New Roman" w:cs="Times New Roman"/>
                <w:b w:val="0"/>
                <w:bCs/>
                <w:sz w:val="21"/>
                <w:szCs w:val="21"/>
              </w:rPr>
              <w:cr/>
            </w:r>
            <w:r>
              <w:rPr>
                <w:rFonts w:hint="default" w:ascii="Times New Roman" w:hAnsi="Times New Roman" w:cs="Times New Roman"/>
                <w:b w:val="0"/>
                <w:bCs/>
                <w:sz w:val="21"/>
                <w:szCs w:val="21"/>
              </w:rPr>
              <w:t>号</w:t>
            </w:r>
          </w:p>
        </w:tc>
        <w:tc>
          <w:tcPr>
            <w:tcW w:w="627" w:type="pct"/>
            <w:noWrap w:val="0"/>
            <w:vAlign w:val="center"/>
          </w:tcPr>
          <w:p w14:paraId="02E5DCC0">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cs="Times New Roman"/>
                <w:b w:val="0"/>
                <w:bCs/>
                <w:sz w:val="21"/>
                <w:szCs w:val="21"/>
              </w:rPr>
              <w:t>数量</w:t>
            </w:r>
          </w:p>
        </w:tc>
        <w:tc>
          <w:tcPr>
            <w:tcW w:w="2214" w:type="pct"/>
            <w:noWrap w:val="0"/>
            <w:vAlign w:val="center"/>
          </w:tcPr>
          <w:p w14:paraId="49955CE0">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b w:val="0"/>
                <w:bCs/>
                <w:sz w:val="21"/>
                <w:szCs w:val="21"/>
              </w:rPr>
            </w:pPr>
            <w:r>
              <w:rPr>
                <w:rFonts w:hint="default" w:ascii="Times New Roman" w:hAnsi="Times New Roman" w:cs="Times New Roman"/>
                <w:b w:val="0"/>
                <w:bCs/>
                <w:sz w:val="21"/>
                <w:szCs w:val="21"/>
              </w:rPr>
              <w:t>备注</w:t>
            </w:r>
          </w:p>
        </w:tc>
      </w:tr>
      <w:tr w14:paraId="697E2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40" w:type="pct"/>
            <w:noWrap w:val="0"/>
            <w:vAlign w:val="center"/>
          </w:tcPr>
          <w:p w14:paraId="5E48C23E">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eastAsia" w:ascii="Times New Roman" w:hAnsi="Times New Roman" w:eastAsia="宋体" w:cs="Times New Roman"/>
                <w:kern w:val="0"/>
                <w:sz w:val="21"/>
                <w:szCs w:val="21"/>
                <w:lang w:eastAsia="zh-CN"/>
              </w:rPr>
            </w:pPr>
            <w:r>
              <w:rPr>
                <w:rFonts w:hint="eastAsia" w:cs="Times New Roman"/>
                <w:kern w:val="0"/>
                <w:sz w:val="21"/>
                <w:szCs w:val="21"/>
                <w:lang w:eastAsia="zh-CN"/>
              </w:rPr>
              <w:t>塑料食品餐盒</w:t>
            </w:r>
          </w:p>
        </w:tc>
        <w:tc>
          <w:tcPr>
            <w:tcW w:w="828" w:type="pct"/>
            <w:noWrap w:val="0"/>
            <w:vAlign w:val="center"/>
          </w:tcPr>
          <w:p w14:paraId="7DA14AA3">
            <w:pPr>
              <w:pStyle w:val="21"/>
              <w:keepNext w:val="0"/>
              <w:keepLines w:val="0"/>
              <w:pageBreakBefore w:val="0"/>
              <w:kinsoku/>
              <w:wordWrap/>
              <w:overflowPunct/>
              <w:topLinePunct w:val="0"/>
              <w:autoSpaceDE w:val="0"/>
              <w:autoSpaceDN w:val="0"/>
              <w:bidi w:val="0"/>
              <w:adjustRightInd w:val="0"/>
              <w:snapToGrid w:val="0"/>
              <w:spacing w:line="360" w:lineRule="exact"/>
              <w:ind w:firstLine="0" w:firstLineChars="0"/>
              <w:jc w:val="center"/>
              <w:textAlignment w:val="auto"/>
              <w:rPr>
                <w:rFonts w:hint="default" w:ascii="Times New Roman" w:hAnsi="Times New Roman" w:eastAsia="宋体"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成型机</w:t>
            </w:r>
          </w:p>
        </w:tc>
        <w:tc>
          <w:tcPr>
            <w:tcW w:w="789" w:type="pct"/>
            <w:noWrap w:val="0"/>
            <w:vAlign w:val="center"/>
          </w:tcPr>
          <w:p w14:paraId="166584A6">
            <w:pPr>
              <w:pStyle w:val="21"/>
              <w:keepNext w:val="0"/>
              <w:keepLines w:val="0"/>
              <w:pageBreakBefore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eastAsia="宋体"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HY-6378</w:t>
            </w:r>
          </w:p>
        </w:tc>
        <w:tc>
          <w:tcPr>
            <w:tcW w:w="627" w:type="pct"/>
            <w:noWrap w:val="0"/>
            <w:vAlign w:val="center"/>
          </w:tcPr>
          <w:p w14:paraId="45A78778">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eastAsia="仿宋" w:cs="Times New Roman"/>
                <w:kern w:val="2"/>
                <w:sz w:val="21"/>
                <w:szCs w:val="21"/>
                <w:lang w:val="en-US" w:eastAsia="zh-CN" w:bidi="ar-SA"/>
              </w:rPr>
            </w:pPr>
            <w:r>
              <w:rPr>
                <w:rFonts w:hint="eastAsia" w:eastAsia="仿宋" w:cs="Times New Roman"/>
                <w:kern w:val="2"/>
                <w:sz w:val="21"/>
                <w:szCs w:val="21"/>
                <w:lang w:val="en-US" w:eastAsia="zh-CN" w:bidi="ar-SA"/>
              </w:rPr>
              <w:t>6</w:t>
            </w:r>
            <w:r>
              <w:rPr>
                <w:rFonts w:hint="eastAsia" w:ascii="宋体" w:hAnsi="宋体" w:eastAsia="宋体" w:cs="宋体"/>
                <w:kern w:val="2"/>
                <w:sz w:val="21"/>
                <w:szCs w:val="21"/>
                <w:lang w:val="en-US" w:eastAsia="zh-CN" w:bidi="ar-SA"/>
              </w:rPr>
              <w:t>台</w:t>
            </w:r>
          </w:p>
        </w:tc>
        <w:tc>
          <w:tcPr>
            <w:tcW w:w="2214" w:type="pct"/>
            <w:noWrap w:val="0"/>
            <w:vAlign w:val="center"/>
          </w:tcPr>
          <w:p w14:paraId="68B4BFBA">
            <w:pPr>
              <w:keepNext w:val="0"/>
              <w:keepLines w:val="0"/>
              <w:pageBreakBefore w:val="0"/>
              <w:kinsoku/>
              <w:wordWrap/>
              <w:overflowPunct/>
              <w:topLinePunct w:val="0"/>
              <w:bidi w:val="0"/>
              <w:adjustRightInd w:val="0"/>
              <w:snapToGrid w:val="0"/>
              <w:spacing w:line="360" w:lineRule="exact"/>
              <w:ind w:firstLine="0" w:firstLineChars="0"/>
              <w:jc w:val="center"/>
              <w:textAlignment w:val="auto"/>
              <w:rPr>
                <w:rFonts w:hint="default" w:ascii="Times New Roman" w:hAnsi="Times New Roman" w:cs="Times New Roman"/>
                <w:kern w:val="0"/>
                <w:sz w:val="21"/>
                <w:szCs w:val="21"/>
                <w:lang w:val="en-US" w:eastAsia="zh-CN" w:bidi="ar-SA"/>
              </w:rPr>
            </w:pPr>
            <w:r>
              <w:rPr>
                <w:rFonts w:hint="eastAsia" w:cs="Times New Roman"/>
                <w:kern w:val="0"/>
                <w:sz w:val="21"/>
                <w:szCs w:val="21"/>
                <w:lang w:val="en-US" w:eastAsia="zh-CN" w:bidi="ar-SA"/>
              </w:rPr>
              <w:t>用于加工生产塑料食品餐盒</w:t>
            </w:r>
          </w:p>
        </w:tc>
      </w:tr>
    </w:tbl>
    <w:p w14:paraId="453F7CA3">
      <w:pPr>
        <w:keepNext w:val="0"/>
        <w:keepLines w:val="0"/>
        <w:pageBreakBefore w:val="0"/>
        <w:widowControl w:val="0"/>
        <w:kinsoku/>
        <w:wordWrap/>
        <w:overflowPunct/>
        <w:topLinePunct w:val="0"/>
        <w:bidi w:val="0"/>
        <w:spacing w:line="520" w:lineRule="exact"/>
        <w:textAlignment w:val="auto"/>
        <w:rPr>
          <w:rFonts w:hint="default" w:ascii="Times New Roman" w:hAnsi="Times New Roman" w:cs="Times New Roman"/>
          <w:lang w:eastAsia="zh-CN"/>
        </w:rPr>
      </w:pPr>
      <w:r>
        <w:rPr>
          <w:rFonts w:hint="default" w:ascii="Times New Roman" w:hAnsi="Times New Roman" w:cs="Times New Roman"/>
        </w:rPr>
        <w:t>经查阅</w:t>
      </w:r>
      <w:r>
        <w:rPr>
          <w:rFonts w:hint="default" w:ascii="Times New Roman" w:hAnsi="Times New Roman" w:eastAsia="宋体" w:cs="Times New Roman"/>
          <w:b w:val="0"/>
          <w:bCs w:val="0"/>
          <w:u w:val="none"/>
          <w:lang w:eastAsia="zh-CN"/>
        </w:rPr>
        <w:t>《产业结构调整指导目录（2024年本）》</w:t>
      </w:r>
      <w:r>
        <w:rPr>
          <w:rFonts w:hint="default" w:ascii="Times New Roman" w:hAnsi="Times New Roman" w:cs="Times New Roman"/>
        </w:rPr>
        <w:t>，项目所</w:t>
      </w:r>
      <w:r>
        <w:rPr>
          <w:rFonts w:hint="default" w:ascii="Times New Roman" w:hAnsi="Times New Roman" w:cs="Times New Roman"/>
          <w:lang w:eastAsia="zh-CN"/>
        </w:rPr>
        <w:t>用</w:t>
      </w:r>
      <w:r>
        <w:rPr>
          <w:rFonts w:hint="default" w:ascii="Times New Roman" w:hAnsi="Times New Roman" w:cs="Times New Roman"/>
        </w:rPr>
        <w:t>设备均不属于限制类或淘汰类设备</w:t>
      </w:r>
      <w:r>
        <w:rPr>
          <w:rFonts w:hint="default" w:ascii="Times New Roman" w:hAnsi="Times New Roman" w:cs="Times New Roman"/>
          <w:lang w:eastAsia="zh-CN"/>
        </w:rPr>
        <w:t>。</w:t>
      </w:r>
    </w:p>
    <w:p w14:paraId="0574DCBE">
      <w:pPr>
        <w:keepNext w:val="0"/>
        <w:keepLines w:val="0"/>
        <w:pageBreakBefore w:val="0"/>
        <w:widowControl w:val="0"/>
        <w:kinsoku/>
        <w:wordWrap/>
        <w:overflowPunct/>
        <w:topLinePunct w:val="0"/>
        <w:bidi w:val="0"/>
        <w:spacing w:line="520" w:lineRule="exact"/>
        <w:ind w:left="0" w:leftChars="0"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（二）产品产能</w:t>
      </w:r>
    </w:p>
    <w:p w14:paraId="3258C3E3">
      <w:pPr>
        <w:keepNext w:val="0"/>
        <w:keepLines w:val="0"/>
        <w:pageBreakBefore w:val="0"/>
        <w:widowControl w:val="0"/>
        <w:kinsoku/>
        <w:wordWrap/>
        <w:overflowPunct/>
        <w:topLinePunct w:val="0"/>
        <w:autoSpaceDE/>
        <w:autoSpaceDN/>
        <w:bidi w:val="0"/>
        <w:spacing w:line="520" w:lineRule="exact"/>
        <w:ind w:left="0" w:leftChars="0" w:right="0" w:rightChars="0" w:firstLine="480" w:firstLineChars="200"/>
        <w:textAlignment w:val="auto"/>
        <w:outlineLvl w:val="9"/>
        <w:rPr>
          <w:rFonts w:hint="default" w:ascii="Times New Roman" w:hAnsi="Times New Roman" w:cs="Times New Roman"/>
          <w:b w:val="0"/>
          <w:bCs w:val="0"/>
          <w:color w:val="000000"/>
          <w:sz w:val="24"/>
          <w:szCs w:val="24"/>
          <w:u w:val="none" w:color="auto"/>
          <w:lang w:val="en-US" w:eastAsia="zh-CN"/>
        </w:rPr>
      </w:pPr>
      <w:r>
        <w:rPr>
          <w:rFonts w:hint="eastAsia" w:cs="Times New Roman"/>
          <w:b w:val="0"/>
          <w:bCs w:val="0"/>
          <w:color w:val="000000"/>
          <w:sz w:val="24"/>
          <w:szCs w:val="24"/>
          <w:u w:val="none" w:color="auto"/>
          <w:lang w:val="en-US" w:eastAsia="zh-CN"/>
        </w:rPr>
        <w:t>本项目</w:t>
      </w:r>
      <w:r>
        <w:rPr>
          <w:rFonts w:hint="default" w:ascii="Times New Roman" w:hAnsi="Times New Roman" w:cs="Times New Roman"/>
          <w:b w:val="0"/>
          <w:bCs w:val="0"/>
          <w:color w:val="000000"/>
          <w:sz w:val="24"/>
          <w:szCs w:val="24"/>
          <w:u w:val="none" w:color="auto"/>
          <w:lang w:val="en-US" w:eastAsia="zh-CN"/>
        </w:rPr>
        <w:t>产品为</w:t>
      </w:r>
      <w:r>
        <w:rPr>
          <w:rFonts w:hint="eastAsia" w:ascii="Times New Roman" w:hAnsi="Times New Roman" w:cs="Times New Roman"/>
          <w:b w:val="0"/>
          <w:bCs w:val="0"/>
          <w:color w:val="000000"/>
          <w:sz w:val="24"/>
          <w:szCs w:val="24"/>
          <w:u w:val="none" w:color="auto"/>
          <w:lang w:val="en-US" w:eastAsia="zh-CN"/>
        </w:rPr>
        <w:t>塑料食品餐盒</w:t>
      </w:r>
      <w:r>
        <w:rPr>
          <w:rFonts w:hint="default" w:ascii="Times New Roman" w:hAnsi="Times New Roman" w:cs="Times New Roman"/>
          <w:b w:val="0"/>
          <w:bCs w:val="0"/>
          <w:color w:val="000000"/>
          <w:sz w:val="24"/>
          <w:szCs w:val="24"/>
          <w:u w:val="none" w:color="auto"/>
          <w:lang w:val="en-US" w:eastAsia="zh-CN"/>
        </w:rPr>
        <w:t>，</w:t>
      </w:r>
      <w:r>
        <w:rPr>
          <w:rFonts w:hint="default" w:ascii="Times New Roman" w:hAnsi="Times New Roman" w:cs="Times New Roman"/>
          <w:color w:val="auto"/>
          <w:sz w:val="24"/>
          <w:szCs w:val="24"/>
          <w:highlight w:val="none"/>
        </w:rPr>
        <w:t>项目具体生产规模及产品方案详见下表。</w:t>
      </w:r>
    </w:p>
    <w:p w14:paraId="60917715">
      <w:pPr>
        <w:keepNext w:val="0"/>
        <w:keepLines w:val="0"/>
        <w:pageBreakBefore w:val="0"/>
        <w:widowControl w:val="0"/>
        <w:kinsoku/>
        <w:wordWrap/>
        <w:overflowPunct/>
        <w:topLinePunct w:val="0"/>
        <w:autoSpaceDE/>
        <w:autoSpaceDN/>
        <w:bidi w:val="0"/>
        <w:spacing w:line="520" w:lineRule="exact"/>
        <w:ind w:left="0" w:leftChars="0" w:firstLine="0" w:firstLineChars="0"/>
        <w:jc w:val="center"/>
        <w:textAlignment w:val="auto"/>
        <w:rPr>
          <w:rFonts w:hint="default" w:ascii="Times New Roman" w:hAnsi="Times New Roman" w:eastAsia="宋体" w:cs="Times New Roman"/>
          <w:b/>
          <w:bCs/>
          <w:sz w:val="24"/>
          <w:u w:val="none" w:color="auto"/>
        </w:rPr>
      </w:pPr>
      <w:r>
        <w:rPr>
          <w:rFonts w:hint="default" w:ascii="Times New Roman" w:hAnsi="Times New Roman" w:eastAsia="宋体" w:cs="Times New Roman"/>
          <w:b/>
          <w:bCs/>
          <w:sz w:val="24"/>
          <w:u w:val="none" w:color="auto"/>
        </w:rPr>
        <w:t>表</w:t>
      </w:r>
      <w:r>
        <w:rPr>
          <w:rFonts w:hint="eastAsia" w:cs="Times New Roman"/>
          <w:b/>
          <w:bCs/>
          <w:sz w:val="24"/>
          <w:u w:val="none" w:color="auto"/>
          <w:lang w:val="en-US" w:eastAsia="zh-CN"/>
        </w:rPr>
        <w:t>3</w:t>
      </w:r>
      <w:r>
        <w:rPr>
          <w:rFonts w:hint="default" w:ascii="Times New Roman" w:hAnsi="Times New Roman" w:eastAsia="宋体" w:cs="Times New Roman"/>
          <w:b/>
          <w:bCs/>
          <w:sz w:val="24"/>
          <w:u w:val="none" w:color="auto"/>
          <w:lang w:val="en-US" w:eastAsia="zh-CN"/>
        </w:rPr>
        <w:t xml:space="preserve">   </w:t>
      </w:r>
      <w:r>
        <w:rPr>
          <w:rFonts w:hint="default" w:ascii="Times New Roman" w:hAnsi="Times New Roman" w:eastAsia="宋体" w:cs="Times New Roman"/>
          <w:b/>
          <w:bCs/>
          <w:sz w:val="24"/>
          <w:u w:val="none" w:color="auto"/>
          <w:lang w:eastAsia="zh-CN"/>
        </w:rPr>
        <w:t>本项目</w:t>
      </w:r>
      <w:r>
        <w:rPr>
          <w:rFonts w:hint="default" w:ascii="Times New Roman" w:hAnsi="Times New Roman" w:eastAsia="宋体" w:cs="Times New Roman"/>
          <w:b/>
          <w:bCs/>
          <w:sz w:val="24"/>
          <w:u w:val="none" w:color="auto"/>
        </w:rPr>
        <w:t>产品</w:t>
      </w:r>
      <w:r>
        <w:rPr>
          <w:rFonts w:hint="default" w:ascii="Times New Roman" w:hAnsi="Times New Roman" w:eastAsia="宋体" w:cs="Times New Roman"/>
          <w:b/>
          <w:bCs/>
          <w:sz w:val="24"/>
          <w:u w:val="none" w:color="auto"/>
          <w:lang w:eastAsia="zh-CN"/>
        </w:rPr>
        <w:t>方案与</w:t>
      </w:r>
      <w:r>
        <w:rPr>
          <w:rFonts w:hint="default" w:ascii="Times New Roman" w:hAnsi="Times New Roman" w:eastAsia="宋体" w:cs="Times New Roman"/>
          <w:b/>
          <w:bCs/>
          <w:sz w:val="24"/>
          <w:u w:val="none" w:color="auto"/>
        </w:rPr>
        <w:t>规模一览表</w:t>
      </w:r>
    </w:p>
    <w:tbl>
      <w:tblPr>
        <w:tblStyle w:val="15"/>
        <w:tblW w:w="4998"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0" w:type="dxa"/>
          <w:bottom w:w="0" w:type="dxa"/>
          <w:right w:w="0" w:type="dxa"/>
        </w:tblCellMar>
      </w:tblPr>
      <w:tblGrid>
        <w:gridCol w:w="923"/>
        <w:gridCol w:w="2404"/>
        <w:gridCol w:w="1508"/>
        <w:gridCol w:w="3959"/>
      </w:tblGrid>
      <w:tr w14:paraId="41F02E62">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436" w:hRule="atLeast"/>
          <w:jc w:val="center"/>
        </w:trPr>
        <w:tc>
          <w:tcPr>
            <w:tcW w:w="525" w:type="pct"/>
            <w:noWrap w:val="0"/>
            <w:vAlign w:val="center"/>
          </w:tcPr>
          <w:p w14:paraId="5122E5F8">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eastAsia="宋体" w:cs="Times New Roman"/>
                <w:b w:val="0"/>
                <w:bCs/>
                <w:sz w:val="21"/>
                <w:szCs w:val="21"/>
                <w:lang w:eastAsia="zh-CN"/>
              </w:rPr>
            </w:pPr>
            <w:r>
              <w:rPr>
                <w:rFonts w:hint="default" w:ascii="Times New Roman" w:hAnsi="Times New Roman" w:cs="Times New Roman"/>
                <w:b w:val="0"/>
                <w:bCs/>
                <w:sz w:val="21"/>
                <w:szCs w:val="21"/>
                <w:lang w:eastAsia="zh-CN"/>
              </w:rPr>
              <w:t>序号</w:t>
            </w:r>
          </w:p>
        </w:tc>
        <w:tc>
          <w:tcPr>
            <w:tcW w:w="1366" w:type="pct"/>
            <w:noWrap w:val="0"/>
            <w:vAlign w:val="center"/>
          </w:tcPr>
          <w:p w14:paraId="322D8F3E">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产品名称</w:t>
            </w:r>
          </w:p>
        </w:tc>
        <w:tc>
          <w:tcPr>
            <w:tcW w:w="857" w:type="pct"/>
            <w:noWrap w:val="0"/>
            <w:vAlign w:val="center"/>
          </w:tcPr>
          <w:p w14:paraId="30A73E2F">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生产规模</w:t>
            </w:r>
            <w:r>
              <w:rPr>
                <w:rFonts w:hint="default" w:ascii="Times New Roman" w:hAnsi="Times New Roman" w:cs="Times New Roman"/>
                <w:b w:val="0"/>
                <w:bCs/>
                <w:sz w:val="21"/>
                <w:szCs w:val="21"/>
                <w:highlight w:val="none"/>
                <w:lang w:val="en-US" w:eastAsia="zh-CN"/>
              </w:rPr>
              <w:t>t</w:t>
            </w:r>
            <w:r>
              <w:rPr>
                <w:rFonts w:hint="default" w:ascii="Times New Roman" w:hAnsi="Times New Roman" w:cs="Times New Roman"/>
                <w:b w:val="0"/>
                <w:bCs/>
                <w:sz w:val="21"/>
                <w:szCs w:val="21"/>
                <w:highlight w:val="none"/>
              </w:rPr>
              <w:t>/a</w:t>
            </w:r>
          </w:p>
        </w:tc>
        <w:tc>
          <w:tcPr>
            <w:tcW w:w="2250" w:type="pct"/>
            <w:noWrap w:val="0"/>
            <w:vAlign w:val="center"/>
          </w:tcPr>
          <w:p w14:paraId="0A9D85A2">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default" w:ascii="Times New Roman" w:hAnsi="Times New Roman" w:eastAsia="宋体" w:cs="Times New Roman"/>
                <w:b w:val="0"/>
                <w:bCs/>
                <w:sz w:val="21"/>
                <w:szCs w:val="21"/>
                <w:highlight w:val="none"/>
                <w:lang w:eastAsia="zh-CN"/>
              </w:rPr>
            </w:pPr>
            <w:r>
              <w:rPr>
                <w:rFonts w:hint="eastAsia" w:cs="Times New Roman"/>
                <w:b w:val="0"/>
                <w:bCs/>
                <w:sz w:val="21"/>
                <w:szCs w:val="21"/>
                <w:highlight w:val="none"/>
                <w:lang w:eastAsia="zh-CN"/>
              </w:rPr>
              <w:t>形状、规格</w:t>
            </w:r>
          </w:p>
        </w:tc>
      </w:tr>
      <w:tr w14:paraId="1999C0B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462" w:hRule="atLeast"/>
          <w:jc w:val="center"/>
        </w:trPr>
        <w:tc>
          <w:tcPr>
            <w:tcW w:w="525" w:type="pct"/>
            <w:noWrap w:val="0"/>
            <w:vAlign w:val="center"/>
          </w:tcPr>
          <w:p w14:paraId="13428158">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w:t>
            </w:r>
          </w:p>
        </w:tc>
        <w:tc>
          <w:tcPr>
            <w:tcW w:w="1366" w:type="pct"/>
            <w:vMerge w:val="restart"/>
            <w:shd w:val="clear" w:color="auto" w:fill="auto"/>
            <w:noWrap w:val="0"/>
            <w:vAlign w:val="center"/>
          </w:tcPr>
          <w:p w14:paraId="0B599FE3">
            <w:pPr>
              <w:keepNext w:val="0"/>
              <w:keepLines w:val="0"/>
              <w:pageBreakBefore w:val="0"/>
              <w:widowControl w:val="0"/>
              <w:kinsoku/>
              <w:wordWrap/>
              <w:overflowPunct/>
              <w:topLinePunct w:val="0"/>
              <w:bidi w:val="0"/>
              <w:spacing w:line="360" w:lineRule="exact"/>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b w:val="0"/>
                <w:bCs w:val="0"/>
                <w:color w:val="000000"/>
                <w:sz w:val="21"/>
                <w:szCs w:val="21"/>
                <w:highlight w:val="none"/>
                <w:u w:val="none" w:color="auto"/>
                <w:lang w:eastAsia="zh-CN"/>
              </w:rPr>
              <w:t>塑料食品餐盒</w:t>
            </w:r>
          </w:p>
        </w:tc>
        <w:tc>
          <w:tcPr>
            <w:tcW w:w="857" w:type="pct"/>
            <w:noWrap w:val="0"/>
            <w:vAlign w:val="center"/>
          </w:tcPr>
          <w:p w14:paraId="43DCD862">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cs="Times New Roman"/>
                <w:bCs w:val="0"/>
                <w:sz w:val="21"/>
                <w:szCs w:val="21"/>
                <w:lang w:val="en-US" w:eastAsia="zh-CN"/>
              </w:rPr>
            </w:pPr>
            <w:r>
              <w:rPr>
                <w:rFonts w:hint="eastAsia" w:cs="Times New Roman"/>
                <w:bCs w:val="0"/>
                <w:sz w:val="21"/>
                <w:szCs w:val="21"/>
                <w:lang w:val="en-US" w:eastAsia="zh-CN"/>
              </w:rPr>
              <w:t>200</w:t>
            </w:r>
          </w:p>
        </w:tc>
        <w:tc>
          <w:tcPr>
            <w:tcW w:w="2250" w:type="pct"/>
            <w:noWrap w:val="0"/>
            <w:vAlign w:val="center"/>
          </w:tcPr>
          <w:p w14:paraId="47E19BDF">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cs="Times New Roman"/>
                <w:bCs w:val="0"/>
                <w:color w:val="000000"/>
                <w:kern w:val="0"/>
                <w:sz w:val="21"/>
                <w:szCs w:val="21"/>
                <w:lang w:val="en-US" w:eastAsia="zh-CN" w:bidi="ar-SA"/>
              </w:rPr>
            </w:pPr>
            <w:r>
              <w:rPr>
                <w:rFonts w:hint="eastAsia" w:cs="Times New Roman"/>
                <w:bCs w:val="0"/>
                <w:color w:val="000000"/>
                <w:kern w:val="0"/>
                <w:sz w:val="21"/>
                <w:szCs w:val="21"/>
                <w:lang w:val="en-US" w:eastAsia="zh-CN" w:bidi="ar-SA"/>
              </w:rPr>
              <w:t>长方形，247mm×184mm</w:t>
            </w:r>
          </w:p>
        </w:tc>
      </w:tr>
      <w:tr w14:paraId="7268905A">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478" w:hRule="atLeast"/>
          <w:jc w:val="center"/>
        </w:trPr>
        <w:tc>
          <w:tcPr>
            <w:tcW w:w="525" w:type="pct"/>
            <w:noWrap w:val="0"/>
            <w:vAlign w:val="center"/>
          </w:tcPr>
          <w:p w14:paraId="2E54865B">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66" w:type="pct"/>
            <w:vMerge w:val="continue"/>
            <w:shd w:val="clear" w:color="auto" w:fill="auto"/>
            <w:noWrap w:val="0"/>
            <w:vAlign w:val="center"/>
          </w:tcPr>
          <w:p w14:paraId="2D739C43">
            <w:pPr>
              <w:keepNext w:val="0"/>
              <w:keepLines w:val="0"/>
              <w:pageBreakBefore w:val="0"/>
              <w:widowControl w:val="0"/>
              <w:kinsoku/>
              <w:wordWrap/>
              <w:overflowPunct/>
              <w:topLinePunct w:val="0"/>
              <w:bidi w:val="0"/>
              <w:spacing w:line="360" w:lineRule="exact"/>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857" w:type="pct"/>
            <w:noWrap w:val="0"/>
            <w:vAlign w:val="center"/>
          </w:tcPr>
          <w:p w14:paraId="4B39B136">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cs="Times New Roman"/>
                <w:bCs w:val="0"/>
                <w:sz w:val="21"/>
                <w:szCs w:val="21"/>
                <w:lang w:val="en-US" w:eastAsia="zh-CN"/>
              </w:rPr>
            </w:pPr>
            <w:r>
              <w:rPr>
                <w:rFonts w:hint="eastAsia" w:cs="Times New Roman"/>
                <w:bCs w:val="0"/>
                <w:sz w:val="21"/>
                <w:szCs w:val="21"/>
                <w:lang w:val="en-US" w:eastAsia="zh-CN"/>
              </w:rPr>
              <w:t>100</w:t>
            </w:r>
          </w:p>
        </w:tc>
        <w:tc>
          <w:tcPr>
            <w:tcW w:w="2250" w:type="pct"/>
            <w:noWrap w:val="0"/>
            <w:vAlign w:val="center"/>
          </w:tcPr>
          <w:p w14:paraId="46DF8346">
            <w:pPr>
              <w:pStyle w:val="21"/>
              <w:keepNext w:val="0"/>
              <w:keepLines w:val="0"/>
              <w:pageBreakBefore w:val="0"/>
              <w:widowControl w:val="0"/>
              <w:kinsoku/>
              <w:wordWrap/>
              <w:overflowPunct/>
              <w:topLinePunct w:val="0"/>
              <w:autoSpaceDE w:val="0"/>
              <w:autoSpaceDN w:val="0"/>
              <w:bidi w:val="0"/>
              <w:adjustRightInd w:val="0"/>
              <w:snapToGrid w:val="0"/>
              <w:spacing w:line="360" w:lineRule="exact"/>
              <w:ind w:firstLine="0" w:firstLineChars="0"/>
              <w:textAlignment w:val="auto"/>
              <w:rPr>
                <w:rFonts w:hint="default" w:ascii="Times New Roman" w:hAnsi="Times New Roman" w:eastAsia="宋体" w:cs="Times New Roman"/>
                <w:bCs/>
                <w:color w:val="000000"/>
                <w:kern w:val="0"/>
                <w:sz w:val="21"/>
                <w:szCs w:val="21"/>
                <w:lang w:val="en-US" w:eastAsia="zh-CN" w:bidi="ar-SA"/>
              </w:rPr>
            </w:pPr>
            <w:r>
              <w:rPr>
                <w:rFonts w:hint="eastAsia" w:cs="Times New Roman"/>
                <w:bCs w:val="0"/>
                <w:color w:val="000000"/>
                <w:kern w:val="0"/>
                <w:sz w:val="21"/>
                <w:szCs w:val="21"/>
                <w:lang w:val="en-US" w:eastAsia="zh-CN" w:bidi="ar-SA"/>
              </w:rPr>
              <w:t>圆形，7寸</w:t>
            </w:r>
          </w:p>
        </w:tc>
      </w:tr>
      <w:tr w14:paraId="5FB1B4DF">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22" w:hRule="atLeast"/>
          <w:jc w:val="center"/>
        </w:trPr>
        <w:tc>
          <w:tcPr>
            <w:tcW w:w="525" w:type="pct"/>
            <w:noWrap w:val="0"/>
            <w:vAlign w:val="center"/>
          </w:tcPr>
          <w:p w14:paraId="5A78AF34">
            <w:pPr>
              <w:pStyle w:val="21"/>
              <w:keepNext w:val="0"/>
              <w:keepLines w:val="0"/>
              <w:pageBreakBefore w:val="0"/>
              <w:widowControl w:val="0"/>
              <w:kinsoku/>
              <w:wordWrap/>
              <w:overflowPunct/>
              <w:topLinePunct w:val="0"/>
              <w:bidi w:val="0"/>
              <w:adjustRightInd w:val="0"/>
              <w:snapToGrid w:val="0"/>
              <w:spacing w:line="360" w:lineRule="exact"/>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合计</w:t>
            </w:r>
          </w:p>
        </w:tc>
        <w:tc>
          <w:tcPr>
            <w:tcW w:w="2223" w:type="pct"/>
            <w:gridSpan w:val="2"/>
            <w:noWrap w:val="0"/>
            <w:vAlign w:val="center"/>
          </w:tcPr>
          <w:p w14:paraId="675F3484">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default" w:ascii="Times New Roman" w:hAnsi="Times New Roman" w:eastAsia="宋体" w:cs="Times New Roman"/>
                <w:bCs w:val="0"/>
                <w:sz w:val="21"/>
                <w:szCs w:val="21"/>
                <w:lang w:val="en-US" w:eastAsia="zh-CN"/>
              </w:rPr>
            </w:pPr>
            <w:r>
              <w:rPr>
                <w:rFonts w:hint="default" w:ascii="Times New Roman" w:hAnsi="Times New Roman" w:cs="Times New Roman"/>
                <w:bCs w:val="0"/>
                <w:sz w:val="21"/>
                <w:szCs w:val="21"/>
                <w:lang w:val="en-US" w:eastAsia="zh-CN"/>
              </w:rPr>
              <w:t>年产量</w:t>
            </w:r>
            <w:r>
              <w:rPr>
                <w:rFonts w:hint="eastAsia" w:cs="Times New Roman"/>
                <w:bCs w:val="0"/>
                <w:sz w:val="21"/>
                <w:szCs w:val="21"/>
                <w:lang w:val="en-US" w:eastAsia="zh-CN"/>
              </w:rPr>
              <w:t>300</w:t>
            </w:r>
            <w:r>
              <w:rPr>
                <w:rFonts w:hint="default" w:ascii="Times New Roman" w:hAnsi="Times New Roman" w:cs="Times New Roman"/>
                <w:bCs w:val="0"/>
                <w:sz w:val="21"/>
                <w:szCs w:val="21"/>
                <w:lang w:val="en-US" w:eastAsia="zh-CN"/>
              </w:rPr>
              <w:t>t/a</w:t>
            </w:r>
          </w:p>
        </w:tc>
        <w:tc>
          <w:tcPr>
            <w:tcW w:w="2250" w:type="pct"/>
            <w:noWrap w:val="0"/>
            <w:vAlign w:val="center"/>
          </w:tcPr>
          <w:p w14:paraId="3F679A63">
            <w:pPr>
              <w:pStyle w:val="21"/>
              <w:keepNext w:val="0"/>
              <w:keepLines w:val="0"/>
              <w:pageBreakBefore w:val="0"/>
              <w:widowControl w:val="0"/>
              <w:kinsoku/>
              <w:wordWrap/>
              <w:overflowPunct/>
              <w:topLinePunct w:val="0"/>
              <w:autoSpaceDE w:val="0"/>
              <w:autoSpaceDN w:val="0"/>
              <w:bidi w:val="0"/>
              <w:adjustRightInd w:val="0"/>
              <w:snapToGrid w:val="0"/>
              <w:spacing w:line="360" w:lineRule="exact"/>
              <w:textAlignment w:val="auto"/>
              <w:rPr>
                <w:rFonts w:hint="eastAsia" w:ascii="Times New Roman" w:hAnsi="Times New Roman" w:eastAsia="宋体" w:cs="Times New Roman"/>
                <w:bCs w:val="0"/>
                <w:sz w:val="21"/>
                <w:szCs w:val="21"/>
                <w:lang w:val="en-US" w:eastAsia="zh-CN"/>
              </w:rPr>
            </w:pPr>
            <w:r>
              <w:rPr>
                <w:rFonts w:hint="eastAsia" w:cs="Times New Roman"/>
                <w:bCs w:val="0"/>
                <w:color w:val="000000"/>
                <w:kern w:val="0"/>
                <w:sz w:val="21"/>
                <w:szCs w:val="21"/>
                <w:lang w:val="en-US" w:eastAsia="zh-CN" w:bidi="ar-SA"/>
              </w:rPr>
              <w:t>餐盒装箱打包，成箱售卖</w:t>
            </w:r>
          </w:p>
        </w:tc>
      </w:tr>
    </w:tbl>
    <w:p w14:paraId="1143F089">
      <w:pPr>
        <w:spacing w:line="520" w:lineRule="exact"/>
        <w:ind w:left="0" w:leftChars="0" w:firstLine="560" w:firstLineChars="200"/>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（三）原辅材料用量</w:t>
      </w:r>
    </w:p>
    <w:p w14:paraId="0D9ED56F">
      <w:pPr>
        <w:bidi w:val="0"/>
        <w:rPr>
          <w:rFonts w:hint="default" w:ascii="Times New Roman" w:hAnsi="Times New Roman" w:cs="Times New Roman"/>
        </w:rPr>
      </w:pPr>
      <w:r>
        <w:rPr>
          <w:rFonts w:hint="default" w:ascii="Times New Roman" w:hAnsi="Times New Roman" w:cs="Times New Roman"/>
          <w:lang w:eastAsia="zh-CN"/>
        </w:rPr>
        <w:t>项目涉及的</w:t>
      </w:r>
      <w:r>
        <w:rPr>
          <w:rFonts w:hint="default" w:ascii="Times New Roman" w:hAnsi="Times New Roman" w:cs="Times New Roman"/>
          <w:lang w:val="en-US" w:eastAsia="zh-CN"/>
        </w:rPr>
        <w:t>VOCs类原辅材料主要为</w:t>
      </w:r>
      <w:r>
        <w:rPr>
          <w:rFonts w:hint="eastAsia" w:ascii="Times New Roman" w:hAnsi="Times New Roman" w:cs="Times New Roman"/>
          <w:lang w:val="en-US" w:eastAsia="zh-CN"/>
        </w:rPr>
        <w:t>BOPS片材</w:t>
      </w:r>
      <w:r>
        <w:rPr>
          <w:rFonts w:hint="default" w:ascii="Times New Roman" w:hAnsi="Times New Roman" w:cs="Times New Roman"/>
          <w:lang w:val="en-US" w:eastAsia="zh-CN"/>
        </w:rPr>
        <w:t>。</w:t>
      </w:r>
      <w:r>
        <w:rPr>
          <w:rFonts w:hint="default" w:ascii="Times New Roman" w:hAnsi="Times New Roman" w:cs="Times New Roman"/>
        </w:rPr>
        <w:t>原辅材料的包装、运输、储存方式及消耗情况详见表</w:t>
      </w:r>
      <w:r>
        <w:rPr>
          <w:rFonts w:hint="default" w:ascii="Times New Roman" w:hAnsi="Times New Roman" w:cs="Times New Roman"/>
          <w:lang w:val="en-US" w:eastAsia="zh-CN"/>
        </w:rPr>
        <w:t>4</w:t>
      </w:r>
      <w:r>
        <w:rPr>
          <w:rFonts w:hint="default" w:ascii="Times New Roman" w:hAnsi="Times New Roman" w:cs="Times New Roman"/>
        </w:rPr>
        <w:t>、性质详见表</w:t>
      </w:r>
      <w:r>
        <w:rPr>
          <w:rFonts w:hint="default" w:ascii="Times New Roman" w:hAnsi="Times New Roman" w:cs="Times New Roman"/>
          <w:lang w:val="en-US" w:eastAsia="zh-CN"/>
        </w:rPr>
        <w:t>5</w:t>
      </w:r>
      <w:r>
        <w:rPr>
          <w:rFonts w:hint="default" w:ascii="Times New Roman" w:hAnsi="Times New Roman" w:cs="Times New Roman"/>
        </w:rPr>
        <w:t>。</w:t>
      </w:r>
    </w:p>
    <w:p w14:paraId="03DE964D">
      <w:pPr>
        <w:pStyle w:val="39"/>
        <w:bidi w:val="0"/>
        <w:jc w:val="center"/>
        <w:rPr>
          <w:rFonts w:hint="default" w:ascii="Times New Roman" w:hAnsi="Times New Roman" w:eastAsia="宋体" w:cs="Times New Roman"/>
          <w:b/>
          <w:bCs w:val="0"/>
        </w:rPr>
      </w:pPr>
      <w:r>
        <w:rPr>
          <w:rFonts w:hint="default" w:ascii="Times New Roman" w:hAnsi="Times New Roman" w:eastAsia="宋体" w:cs="Times New Roman"/>
          <w:b/>
          <w:bCs w:val="0"/>
        </w:rPr>
        <w:t>表</w:t>
      </w:r>
      <w:r>
        <w:rPr>
          <w:rFonts w:hint="default" w:ascii="Times New Roman" w:hAnsi="Times New Roman" w:eastAsia="宋体" w:cs="Times New Roman"/>
          <w:b/>
          <w:bCs w:val="0"/>
          <w:lang w:val="en-US" w:eastAsia="zh-CN"/>
        </w:rPr>
        <w:t xml:space="preserve">4   </w:t>
      </w:r>
      <w:r>
        <w:rPr>
          <w:rFonts w:hint="default" w:ascii="Times New Roman" w:hAnsi="Times New Roman" w:eastAsia="宋体" w:cs="Times New Roman"/>
          <w:b/>
          <w:bCs w:val="0"/>
        </w:rPr>
        <w:t>涉VOCs</w:t>
      </w:r>
      <w:r>
        <w:rPr>
          <w:rFonts w:hint="default" w:ascii="Times New Roman" w:hAnsi="Times New Roman" w:eastAsia="宋体" w:cs="Times New Roman"/>
          <w:b/>
          <w:bCs w:val="0"/>
          <w:lang w:eastAsia="zh-CN"/>
        </w:rPr>
        <w:t>原料</w:t>
      </w:r>
      <w:r>
        <w:rPr>
          <w:rFonts w:hint="default" w:ascii="Times New Roman" w:hAnsi="Times New Roman" w:eastAsia="宋体" w:cs="Times New Roman"/>
          <w:b/>
          <w:bCs w:val="0"/>
        </w:rPr>
        <w:t>一览表</w:t>
      </w:r>
    </w:p>
    <w:tbl>
      <w:tblPr>
        <w:tblStyle w:val="16"/>
        <w:tblpPr w:leftFromText="180" w:rightFromText="180" w:vertAnchor="text" w:tblpXSpec="center" w:tblpY="1"/>
        <w:tblOverlap w:val="never"/>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77"/>
        <w:gridCol w:w="735"/>
        <w:gridCol w:w="1469"/>
        <w:gridCol w:w="1126"/>
        <w:gridCol w:w="4792"/>
      </w:tblGrid>
      <w:tr w14:paraId="03CAD1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87" w:type="pct"/>
            <w:tcBorders>
              <w:tl2br w:val="nil"/>
              <w:tr2bl w:val="nil"/>
            </w:tcBorders>
            <w:noWrap w:val="0"/>
            <w:vAlign w:val="center"/>
          </w:tcPr>
          <w:p w14:paraId="7ED58103">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firstLine="0" w:firstLineChars="0"/>
              <w:jc w:val="center"/>
              <w:textAlignment w:val="auto"/>
              <w:rPr>
                <w:rFonts w:hint="default" w:ascii="Times New Roman" w:hAnsi="Times New Roman" w:cs="Times New Roman"/>
                <w:sz w:val="21"/>
                <w:szCs w:val="21"/>
                <w:lang w:val="en-US" w:eastAsia="zh-CN" w:bidi="ar-SA"/>
              </w:rPr>
            </w:pPr>
            <w:r>
              <w:rPr>
                <w:rFonts w:hint="default" w:ascii="Times New Roman" w:hAnsi="Times New Roman" w:cs="Times New Roman"/>
                <w:sz w:val="21"/>
                <w:szCs w:val="21"/>
                <w:lang w:val="en-US" w:eastAsia="zh-CN" w:bidi="ar-SA"/>
              </w:rPr>
              <w:t>性质</w:t>
            </w:r>
          </w:p>
        </w:tc>
        <w:tc>
          <w:tcPr>
            <w:tcW w:w="408" w:type="pct"/>
            <w:tcBorders>
              <w:tl2br w:val="nil"/>
              <w:tr2bl w:val="nil"/>
            </w:tcBorders>
            <w:noWrap w:val="0"/>
            <w:vAlign w:val="center"/>
          </w:tcPr>
          <w:p w14:paraId="293427D6">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firstLine="0" w:firstLineChars="0"/>
              <w:jc w:val="center"/>
              <w:textAlignment w:val="auto"/>
              <w:rPr>
                <w:rFonts w:hint="default" w:ascii="Times New Roman" w:hAnsi="Times New Roman" w:cs="Times New Roman"/>
                <w:sz w:val="21"/>
                <w:szCs w:val="21"/>
                <w:lang w:val="en-US" w:eastAsia="zh-CN" w:bidi="ar-SA"/>
              </w:rPr>
            </w:pPr>
            <w:r>
              <w:rPr>
                <w:rFonts w:hint="default" w:ascii="Times New Roman" w:hAnsi="Times New Roman" w:cs="Times New Roman"/>
                <w:sz w:val="21"/>
                <w:szCs w:val="21"/>
                <w:lang w:val="en-US" w:eastAsia="zh-CN" w:bidi="ar-SA"/>
              </w:rPr>
              <w:t>序号</w:t>
            </w:r>
          </w:p>
        </w:tc>
        <w:tc>
          <w:tcPr>
            <w:tcW w:w="816" w:type="pct"/>
            <w:tcBorders>
              <w:tl2br w:val="nil"/>
              <w:tr2bl w:val="nil"/>
            </w:tcBorders>
            <w:noWrap w:val="0"/>
            <w:vAlign w:val="center"/>
          </w:tcPr>
          <w:p w14:paraId="5556BA88">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firstLine="0" w:firstLineChars="0"/>
              <w:jc w:val="center"/>
              <w:textAlignment w:val="auto"/>
              <w:rPr>
                <w:rFonts w:hint="default" w:ascii="Times New Roman" w:hAnsi="Times New Roman" w:cs="Times New Roman"/>
                <w:sz w:val="21"/>
                <w:szCs w:val="21"/>
                <w:lang w:val="en-US" w:eastAsia="zh-CN" w:bidi="ar-SA"/>
              </w:rPr>
            </w:pPr>
            <w:r>
              <w:rPr>
                <w:rFonts w:hint="default" w:ascii="Times New Roman" w:hAnsi="Times New Roman" w:cs="Times New Roman"/>
                <w:sz w:val="21"/>
                <w:szCs w:val="21"/>
                <w:lang w:val="en-US" w:eastAsia="zh-CN" w:bidi="ar-SA"/>
              </w:rPr>
              <w:t>名称</w:t>
            </w:r>
          </w:p>
        </w:tc>
        <w:tc>
          <w:tcPr>
            <w:tcW w:w="625" w:type="pct"/>
            <w:tcBorders>
              <w:tl2br w:val="nil"/>
              <w:tr2bl w:val="nil"/>
            </w:tcBorders>
            <w:noWrap w:val="0"/>
            <w:vAlign w:val="center"/>
          </w:tcPr>
          <w:p w14:paraId="799A9F29">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firstLine="0" w:firstLineChars="0"/>
              <w:jc w:val="center"/>
              <w:textAlignment w:val="auto"/>
              <w:rPr>
                <w:rFonts w:hint="default" w:ascii="Times New Roman" w:hAnsi="Times New Roman" w:cs="Times New Roman"/>
                <w:color w:val="auto"/>
                <w:sz w:val="21"/>
                <w:szCs w:val="21"/>
                <w:lang w:val="en-US" w:eastAsia="zh-CN" w:bidi="ar-SA"/>
              </w:rPr>
            </w:pPr>
            <w:r>
              <w:rPr>
                <w:rFonts w:hint="default" w:ascii="Times New Roman" w:hAnsi="Times New Roman" w:cs="Times New Roman"/>
                <w:color w:val="auto"/>
                <w:sz w:val="21"/>
                <w:szCs w:val="21"/>
                <w:lang w:val="en-US" w:eastAsia="zh-CN" w:bidi="ar-SA"/>
              </w:rPr>
              <w:t>年消耗量</w:t>
            </w:r>
          </w:p>
        </w:tc>
        <w:tc>
          <w:tcPr>
            <w:tcW w:w="2661" w:type="pct"/>
            <w:tcBorders>
              <w:tl2br w:val="nil"/>
              <w:tr2bl w:val="nil"/>
            </w:tcBorders>
            <w:noWrap w:val="0"/>
            <w:vAlign w:val="center"/>
          </w:tcPr>
          <w:p w14:paraId="468D8ED4">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firstLine="0" w:firstLineChars="0"/>
              <w:jc w:val="center"/>
              <w:textAlignment w:val="auto"/>
              <w:rPr>
                <w:rFonts w:hint="default" w:ascii="Times New Roman" w:hAnsi="Times New Roman" w:cs="Times New Roman"/>
                <w:color w:val="auto"/>
                <w:sz w:val="21"/>
                <w:szCs w:val="21"/>
                <w:lang w:val="en-US" w:eastAsia="zh-CN" w:bidi="ar-SA"/>
              </w:rPr>
            </w:pPr>
            <w:r>
              <w:rPr>
                <w:rFonts w:hint="default" w:ascii="Times New Roman" w:hAnsi="Times New Roman" w:cs="Times New Roman"/>
                <w:color w:val="auto"/>
                <w:sz w:val="21"/>
                <w:szCs w:val="21"/>
                <w:lang w:val="en-US" w:eastAsia="zh-CN" w:bidi="ar-SA"/>
              </w:rPr>
              <w:t>性状及包装形式</w:t>
            </w:r>
          </w:p>
        </w:tc>
      </w:tr>
      <w:tr w14:paraId="243058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2" w:hRule="atLeast"/>
          <w:jc w:val="center"/>
        </w:trPr>
        <w:tc>
          <w:tcPr>
            <w:tcW w:w="487" w:type="pct"/>
            <w:tcBorders>
              <w:tl2br w:val="nil"/>
              <w:tr2bl w:val="nil"/>
            </w:tcBorders>
            <w:noWrap w:val="0"/>
            <w:vAlign w:val="center"/>
          </w:tcPr>
          <w:p w14:paraId="2CAD81B0">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firstLine="0" w:firstLineChars="0"/>
              <w:jc w:val="center"/>
              <w:textAlignment w:val="auto"/>
              <w:rPr>
                <w:rFonts w:hint="default" w:ascii="Times New Roman" w:hAnsi="Times New Roman" w:cs="Times New Roman"/>
                <w:sz w:val="21"/>
                <w:szCs w:val="21"/>
                <w:lang w:val="en-US" w:eastAsia="zh-CN" w:bidi="ar-SA"/>
              </w:rPr>
            </w:pPr>
            <w:r>
              <w:rPr>
                <w:rFonts w:hint="eastAsia" w:ascii="Times New Roman" w:hAnsi="Times New Roman" w:cs="Times New Roman"/>
                <w:sz w:val="21"/>
                <w:szCs w:val="21"/>
                <w:lang w:val="en-US" w:eastAsia="zh-CN" w:bidi="ar-SA"/>
              </w:rPr>
              <w:t>原材料</w:t>
            </w:r>
          </w:p>
        </w:tc>
        <w:tc>
          <w:tcPr>
            <w:tcW w:w="408" w:type="pct"/>
            <w:tcBorders>
              <w:tl2br w:val="nil"/>
              <w:tr2bl w:val="nil"/>
            </w:tcBorders>
            <w:noWrap w:val="0"/>
            <w:vAlign w:val="center"/>
          </w:tcPr>
          <w:p w14:paraId="5B6491F2">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firstLine="0" w:firstLineChars="0"/>
              <w:jc w:val="center"/>
              <w:textAlignment w:val="auto"/>
              <w:rPr>
                <w:rFonts w:hint="default" w:ascii="Times New Roman" w:hAnsi="Times New Roman" w:cs="Times New Roman"/>
                <w:sz w:val="21"/>
                <w:szCs w:val="21"/>
                <w:lang w:val="en-US" w:eastAsia="zh-CN" w:bidi="ar-SA"/>
              </w:rPr>
            </w:pPr>
            <w:r>
              <w:rPr>
                <w:rFonts w:hint="default" w:ascii="Times New Roman" w:hAnsi="Times New Roman" w:cs="Times New Roman"/>
                <w:sz w:val="21"/>
                <w:szCs w:val="21"/>
                <w:lang w:val="en-US" w:eastAsia="zh-CN" w:bidi="ar-SA"/>
              </w:rPr>
              <w:t>1</w:t>
            </w:r>
          </w:p>
        </w:tc>
        <w:tc>
          <w:tcPr>
            <w:tcW w:w="816" w:type="pct"/>
            <w:tcBorders>
              <w:tl2br w:val="nil"/>
              <w:tr2bl w:val="nil"/>
            </w:tcBorders>
            <w:noWrap w:val="0"/>
            <w:vAlign w:val="center"/>
          </w:tcPr>
          <w:p w14:paraId="250DB044">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u w:val="none"/>
                <w:lang w:val="en-US" w:eastAsia="zh-CN" w:bidi="ar-SA"/>
              </w:rPr>
            </w:pPr>
            <w:r>
              <w:rPr>
                <w:rFonts w:hint="eastAsia" w:ascii="Times New Roman" w:hAnsi="Times New Roman" w:eastAsia="宋体" w:cs="Times New Roman"/>
                <w:b w:val="0"/>
                <w:bCs w:val="0"/>
                <w:color w:val="auto"/>
                <w:spacing w:val="0"/>
                <w:kern w:val="2"/>
                <w:sz w:val="21"/>
                <w:szCs w:val="21"/>
                <w:u w:val="none"/>
                <w:lang w:val="en-US" w:eastAsia="zh-CN" w:bidi="ar-SA"/>
              </w:rPr>
              <w:t>BOPS片材</w:t>
            </w:r>
          </w:p>
        </w:tc>
        <w:tc>
          <w:tcPr>
            <w:tcW w:w="625" w:type="pct"/>
            <w:tcBorders>
              <w:tl2br w:val="nil"/>
              <w:tr2bl w:val="nil"/>
            </w:tcBorders>
            <w:noWrap w:val="0"/>
            <w:vAlign w:val="center"/>
          </w:tcPr>
          <w:p w14:paraId="2CA5B3DA">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u w:val="none"/>
                <w:lang w:val="en-US" w:eastAsia="zh-CN" w:bidi="ar-SA"/>
              </w:rPr>
            </w:pPr>
            <w:r>
              <w:rPr>
                <w:rFonts w:hint="eastAsia" w:cs="Times New Roman"/>
                <w:b w:val="0"/>
                <w:bCs w:val="0"/>
                <w:color w:val="auto"/>
                <w:spacing w:val="0"/>
                <w:kern w:val="2"/>
                <w:sz w:val="21"/>
                <w:szCs w:val="21"/>
                <w:u w:val="none"/>
                <w:lang w:val="en-US" w:eastAsia="zh-CN" w:bidi="ar-SA"/>
              </w:rPr>
              <w:t>360t</w:t>
            </w:r>
          </w:p>
        </w:tc>
        <w:tc>
          <w:tcPr>
            <w:tcW w:w="2661" w:type="pct"/>
            <w:tcBorders>
              <w:tl2br w:val="nil"/>
              <w:tr2bl w:val="nil"/>
            </w:tcBorders>
            <w:noWrap w:val="0"/>
            <w:vAlign w:val="center"/>
          </w:tcPr>
          <w:p w14:paraId="21451485">
            <w:pPr>
              <w:pStyle w:val="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default" w:ascii="Times New Roman" w:hAnsi="Times New Roman" w:eastAsia="宋体" w:cs="Times New Roman"/>
                <w:b w:val="0"/>
                <w:bCs w:val="0"/>
                <w:color w:val="auto"/>
                <w:spacing w:val="0"/>
                <w:kern w:val="2"/>
                <w:sz w:val="21"/>
                <w:szCs w:val="21"/>
                <w:u w:val="none"/>
                <w:lang w:val="en-US" w:eastAsia="zh-CN" w:bidi="ar-SA"/>
              </w:rPr>
            </w:pPr>
            <w:r>
              <w:rPr>
                <w:rFonts w:hint="eastAsia" w:ascii="Times New Roman" w:hAnsi="Times New Roman" w:cs="Times New Roman"/>
                <w:sz w:val="21"/>
                <w:szCs w:val="21"/>
                <w:highlight w:val="none"/>
                <w:lang w:val="en-US" w:eastAsia="zh-CN"/>
              </w:rPr>
              <w:t>0.25</w:t>
            </w:r>
            <w:r>
              <w:rPr>
                <w:rFonts w:hint="default" w:ascii="Times New Roman" w:hAnsi="Times New Roman" w:cs="Times New Roman"/>
                <w:sz w:val="21"/>
                <w:szCs w:val="21"/>
                <w:highlight w:val="none"/>
                <w:lang w:val="en-US" w:eastAsia="zh-CN"/>
              </w:rPr>
              <w:t>吨/卷</w:t>
            </w:r>
            <w:r>
              <w:rPr>
                <w:rFonts w:hint="default"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eastAsia="zh-CN"/>
              </w:rPr>
              <w:t>外购</w:t>
            </w:r>
            <w:r>
              <w:rPr>
                <w:rFonts w:hint="default" w:ascii="Times New Roman" w:hAnsi="Times New Roman" w:cs="Times New Roman"/>
                <w:sz w:val="21"/>
                <w:szCs w:val="21"/>
                <w:highlight w:val="none"/>
                <w:lang w:eastAsia="zh-CN"/>
              </w:rPr>
              <w:t>汽运，</w:t>
            </w:r>
            <w:r>
              <w:rPr>
                <w:rFonts w:hint="eastAsia" w:ascii="Times New Roman" w:hAnsi="Times New Roman" w:cs="Times New Roman"/>
                <w:sz w:val="21"/>
                <w:szCs w:val="21"/>
                <w:highlight w:val="none"/>
                <w:lang w:eastAsia="zh-CN"/>
              </w:rPr>
              <w:t>透明，主要成分为聚苯乙烯</w:t>
            </w:r>
          </w:p>
        </w:tc>
      </w:tr>
    </w:tbl>
    <w:p w14:paraId="1C0DB408">
      <w:pPr>
        <w:pStyle w:val="30"/>
        <w:keepNext w:val="0"/>
        <w:keepLines w:val="0"/>
        <w:pageBreakBefore w:val="0"/>
        <w:widowControl w:val="0"/>
        <w:kinsoku/>
        <w:wordWrap/>
        <w:overflowPunct/>
        <w:topLinePunct w:val="0"/>
        <w:autoSpaceDE/>
        <w:autoSpaceDN/>
        <w:bidi w:val="0"/>
        <w:adjustRightInd/>
        <w:snapToGrid/>
        <w:spacing w:before="0" w:beforeLines="0" w:line="520" w:lineRule="exact"/>
        <w:textAlignment w:val="auto"/>
        <w:rPr>
          <w:rFonts w:hint="default" w:ascii="Times New Roman" w:hAnsi="Times New Roman" w:eastAsia="宋体" w:cs="Times New Roman"/>
          <w:b/>
          <w:bCs/>
        </w:rPr>
      </w:pPr>
      <w:r>
        <w:rPr>
          <w:rFonts w:hint="default" w:ascii="Times New Roman" w:hAnsi="Times New Roman" w:eastAsia="宋体" w:cs="Times New Roman"/>
          <w:b/>
          <w:bCs/>
        </w:rPr>
        <w:t>表</w:t>
      </w:r>
      <w:r>
        <w:rPr>
          <w:rFonts w:hint="default" w:ascii="Times New Roman" w:hAnsi="Times New Roman" w:eastAsia="宋体" w:cs="Times New Roman"/>
          <w:b/>
          <w:bCs/>
          <w:lang w:val="en-US" w:eastAsia="zh-CN"/>
        </w:rPr>
        <w:t xml:space="preserve">5   </w:t>
      </w:r>
      <w:r>
        <w:rPr>
          <w:rFonts w:hint="default" w:ascii="Times New Roman" w:hAnsi="Times New Roman" w:eastAsia="宋体" w:cs="Times New Roman"/>
          <w:b/>
          <w:bCs/>
          <w:lang w:eastAsia="zh-CN"/>
        </w:rPr>
        <w:t>涉</w:t>
      </w:r>
      <w:r>
        <w:rPr>
          <w:rFonts w:hint="default" w:ascii="Times New Roman" w:hAnsi="Times New Roman" w:eastAsia="宋体" w:cs="Times New Roman"/>
          <w:b/>
          <w:bCs/>
        </w:rPr>
        <w:t>VOCs</w:t>
      </w:r>
      <w:r>
        <w:rPr>
          <w:rFonts w:hint="default" w:ascii="Times New Roman" w:hAnsi="Times New Roman" w:eastAsia="宋体" w:cs="Times New Roman"/>
          <w:b/>
          <w:bCs/>
          <w:lang w:eastAsia="zh-CN"/>
        </w:rPr>
        <w:t>原料</w:t>
      </w:r>
      <w:r>
        <w:rPr>
          <w:rFonts w:hint="default" w:ascii="Times New Roman" w:hAnsi="Times New Roman" w:eastAsia="宋体" w:cs="Times New Roman"/>
          <w:b/>
          <w:bCs/>
        </w:rPr>
        <w:t>主要成分理化性质一览表</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951"/>
        <w:gridCol w:w="7385"/>
      </w:tblGrid>
      <w:tr w14:paraId="14A4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70" w:type="pct"/>
            <w:noWrap w:val="0"/>
            <w:vAlign w:val="center"/>
          </w:tcPr>
          <w:p w14:paraId="6D9DCD9C">
            <w:pPr>
              <w:pStyle w:val="24"/>
              <w:keepNext w:val="0"/>
              <w:keepLines w:val="0"/>
              <w:pageBreakBefore w:val="0"/>
              <w:widowControl w:val="0"/>
              <w:kinsoku/>
              <w:wordWrap/>
              <w:overflowPunct/>
              <w:topLinePunct w:val="0"/>
              <w:bidi w:val="0"/>
              <w:spacing w:line="360" w:lineRule="exact"/>
              <w:jc w:val="center"/>
              <w:textAlignment w:val="auto"/>
              <w:rPr>
                <w:rFonts w:hint="default" w:ascii="Times New Roman" w:hAnsi="Times New Roman" w:cs="Times New Roman"/>
                <w:b w:val="0"/>
                <w:bCs w:val="0"/>
              </w:rPr>
            </w:pPr>
            <w:r>
              <w:rPr>
                <w:rFonts w:hint="default" w:ascii="Times New Roman" w:hAnsi="Times New Roman" w:cs="Times New Roman"/>
                <w:b w:val="0"/>
                <w:bCs w:val="0"/>
              </w:rPr>
              <w:t>序号</w:t>
            </w:r>
          </w:p>
        </w:tc>
        <w:tc>
          <w:tcPr>
            <w:tcW w:w="528" w:type="pct"/>
            <w:noWrap w:val="0"/>
            <w:vAlign w:val="center"/>
          </w:tcPr>
          <w:p w14:paraId="5B083FAE">
            <w:pPr>
              <w:pStyle w:val="24"/>
              <w:keepNext w:val="0"/>
              <w:keepLines w:val="0"/>
              <w:pageBreakBefore w:val="0"/>
              <w:widowControl w:val="0"/>
              <w:kinsoku/>
              <w:wordWrap/>
              <w:overflowPunct/>
              <w:topLinePunct w:val="0"/>
              <w:bidi w:val="0"/>
              <w:spacing w:line="360" w:lineRule="exact"/>
              <w:jc w:val="center"/>
              <w:textAlignment w:val="auto"/>
              <w:rPr>
                <w:rFonts w:hint="default" w:ascii="Times New Roman" w:hAnsi="Times New Roman" w:cs="Times New Roman"/>
                <w:b w:val="0"/>
                <w:bCs w:val="0"/>
              </w:rPr>
            </w:pPr>
            <w:r>
              <w:rPr>
                <w:rFonts w:hint="default" w:ascii="Times New Roman" w:hAnsi="Times New Roman" w:cs="Times New Roman"/>
                <w:b w:val="0"/>
                <w:bCs w:val="0"/>
              </w:rPr>
              <w:t>名称</w:t>
            </w:r>
          </w:p>
        </w:tc>
        <w:tc>
          <w:tcPr>
            <w:tcW w:w="4100" w:type="pct"/>
            <w:noWrap w:val="0"/>
            <w:vAlign w:val="center"/>
          </w:tcPr>
          <w:p w14:paraId="1F5F0863">
            <w:pPr>
              <w:pStyle w:val="24"/>
              <w:keepNext w:val="0"/>
              <w:keepLines w:val="0"/>
              <w:pageBreakBefore w:val="0"/>
              <w:widowControl w:val="0"/>
              <w:kinsoku/>
              <w:wordWrap/>
              <w:overflowPunct/>
              <w:topLinePunct w:val="0"/>
              <w:bidi w:val="0"/>
              <w:spacing w:line="360" w:lineRule="exact"/>
              <w:jc w:val="center"/>
              <w:textAlignment w:val="auto"/>
              <w:rPr>
                <w:rFonts w:hint="default" w:ascii="Times New Roman" w:hAnsi="Times New Roman" w:cs="Times New Roman"/>
                <w:b w:val="0"/>
                <w:bCs w:val="0"/>
              </w:rPr>
            </w:pPr>
            <w:r>
              <w:rPr>
                <w:rFonts w:hint="default" w:ascii="Times New Roman" w:hAnsi="Times New Roman" w:cs="Times New Roman"/>
                <w:b w:val="0"/>
                <w:bCs w:val="0"/>
              </w:rPr>
              <w:t>理化性质</w:t>
            </w:r>
          </w:p>
        </w:tc>
      </w:tr>
      <w:tr w14:paraId="1F91D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0" w:type="pct"/>
            <w:noWrap w:val="0"/>
            <w:vAlign w:val="center"/>
          </w:tcPr>
          <w:p w14:paraId="2B457CCC">
            <w:pPr>
              <w:pStyle w:val="24"/>
              <w:keepNext w:val="0"/>
              <w:keepLines w:val="0"/>
              <w:pageBreakBefore w:val="0"/>
              <w:widowControl w:val="0"/>
              <w:kinsoku/>
              <w:wordWrap/>
              <w:overflowPunct/>
              <w:topLinePunct w:val="0"/>
              <w:bidi w:val="0"/>
              <w:spacing w:line="360" w:lineRule="exact"/>
              <w:jc w:val="center"/>
              <w:textAlignment w:val="auto"/>
              <w:rPr>
                <w:rFonts w:hint="default" w:ascii="Times New Roman" w:hAnsi="Times New Roman" w:cs="Times New Roman"/>
                <w:b w:val="0"/>
                <w:bCs w:val="0"/>
              </w:rPr>
            </w:pPr>
            <w:r>
              <w:rPr>
                <w:rFonts w:hint="default" w:ascii="Times New Roman" w:hAnsi="Times New Roman" w:cs="Times New Roman"/>
                <w:b w:val="0"/>
                <w:bCs w:val="0"/>
              </w:rPr>
              <w:t>1</w:t>
            </w:r>
          </w:p>
        </w:tc>
        <w:tc>
          <w:tcPr>
            <w:tcW w:w="528" w:type="pct"/>
            <w:noWrap w:val="0"/>
            <w:vAlign w:val="center"/>
          </w:tcPr>
          <w:p w14:paraId="626957F1">
            <w:pPr>
              <w:pStyle w:val="2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val="0"/>
                <w:bCs w:val="0"/>
                <w:color w:val="auto"/>
                <w:spacing w:val="0"/>
                <w:kern w:val="2"/>
                <w:sz w:val="21"/>
                <w:szCs w:val="21"/>
                <w:u w:val="none"/>
                <w:lang w:val="zh-CN" w:eastAsia="zh-CN" w:bidi="ar-SA"/>
              </w:rPr>
            </w:pPr>
            <w:r>
              <w:rPr>
                <w:rFonts w:hint="eastAsia" w:ascii="Times New Roman" w:hAnsi="Times New Roman" w:eastAsia="宋体" w:cs="Times New Roman"/>
                <w:b w:val="0"/>
                <w:bCs w:val="0"/>
                <w:color w:val="auto"/>
                <w:spacing w:val="0"/>
                <w:kern w:val="2"/>
                <w:sz w:val="21"/>
                <w:szCs w:val="21"/>
                <w:u w:val="none"/>
                <w:lang w:val="en-US" w:eastAsia="zh-CN" w:bidi="ar-SA"/>
              </w:rPr>
              <w:t>BOPS片材</w:t>
            </w:r>
          </w:p>
        </w:tc>
        <w:tc>
          <w:tcPr>
            <w:tcW w:w="4100" w:type="pct"/>
            <w:noWrap w:val="0"/>
            <w:vAlign w:val="center"/>
          </w:tcPr>
          <w:p w14:paraId="5EF162C1">
            <w:pPr>
              <w:keepNext w:val="0"/>
              <w:keepLines w:val="0"/>
              <w:pageBreakBefore w:val="0"/>
              <w:widowControl w:val="0"/>
              <w:kinsoku/>
              <w:wordWrap/>
              <w:overflowPunct/>
              <w:topLinePunct w:val="0"/>
              <w:autoSpaceDE/>
              <w:autoSpaceDN/>
              <w:bidi w:val="0"/>
              <w:adjustRightInd/>
              <w:spacing w:line="360" w:lineRule="exact"/>
              <w:ind w:left="0" w:leftChars="0" w:firstLine="0" w:firstLineChars="0"/>
              <w:textAlignment w:val="auto"/>
              <w:rPr>
                <w:rFonts w:hint="default" w:ascii="Times New Roman" w:hAnsi="Times New Roman" w:eastAsia="宋体" w:cs="Times New Roman"/>
                <w:bCs w:val="0"/>
                <w:kern w:val="0"/>
                <w:sz w:val="21"/>
                <w:szCs w:val="18"/>
                <w:lang w:val="zh-CN" w:eastAsia="zh-CN" w:bidi="ar-SA"/>
              </w:rPr>
            </w:pPr>
            <w:r>
              <w:rPr>
                <w:rFonts w:hint="eastAsia" w:cs="Times New Roman"/>
                <w:b w:val="0"/>
                <w:bCs w:val="0"/>
                <w:spacing w:val="8"/>
                <w:kern w:val="0"/>
                <w:sz w:val="21"/>
                <w:szCs w:val="21"/>
                <w:u w:val="none"/>
                <w:lang w:val="en-US" w:eastAsia="zh-CN"/>
              </w:rPr>
              <w:t>BOPS全称“双向拉伸聚苯乙烯”，属于PS（#6），透明材质，无味无臭，食品安全级。高刚性、高强度、高硬度；韧性差，呈脆性，热变形温度低（约70-85</w:t>
            </w:r>
            <w:r>
              <w:rPr>
                <w:rFonts w:hint="eastAsia" w:ascii="Times New Roman" w:hAnsi="Times New Roman" w:eastAsia="宋体" w:cs="Times New Roman"/>
                <w:b w:val="0"/>
                <w:bCs w:val="0"/>
                <w:i w:val="0"/>
                <w:iCs w:val="0"/>
                <w:caps w:val="0"/>
                <w:color w:val="auto"/>
                <w:spacing w:val="0"/>
                <w:kern w:val="0"/>
                <w:sz w:val="21"/>
                <w:szCs w:val="21"/>
                <w:highlight w:val="none"/>
                <w:shd w:val="clear" w:color="auto" w:fill="FFFFFF"/>
                <w:lang w:val="en-US" w:eastAsia="zh-CN" w:bidi="ar"/>
              </w:rPr>
              <w:t>℃</w:t>
            </w:r>
            <w:r>
              <w:rPr>
                <w:rFonts w:hint="eastAsia" w:cs="Times New Roman"/>
                <w:b w:val="0"/>
                <w:bCs w:val="0"/>
                <w:spacing w:val="8"/>
                <w:kern w:val="0"/>
                <w:sz w:val="21"/>
                <w:szCs w:val="21"/>
                <w:u w:val="none"/>
                <w:lang w:val="en-US" w:eastAsia="zh-CN"/>
              </w:rPr>
              <w:t>），具有显著的热收缩性，加热至100</w:t>
            </w:r>
            <w:r>
              <w:rPr>
                <w:rFonts w:hint="eastAsia" w:ascii="Times New Roman" w:hAnsi="Times New Roman" w:eastAsia="宋体" w:cs="Times New Roman"/>
                <w:b w:val="0"/>
                <w:bCs w:val="0"/>
                <w:i w:val="0"/>
                <w:iCs w:val="0"/>
                <w:caps w:val="0"/>
                <w:color w:val="auto"/>
                <w:spacing w:val="0"/>
                <w:kern w:val="0"/>
                <w:sz w:val="21"/>
                <w:szCs w:val="21"/>
                <w:highlight w:val="none"/>
                <w:shd w:val="clear" w:color="auto" w:fill="FFFFFF"/>
                <w:lang w:val="en-US" w:eastAsia="zh-CN" w:bidi="ar"/>
              </w:rPr>
              <w:t>℃</w:t>
            </w:r>
            <w:r>
              <w:rPr>
                <w:rFonts w:hint="eastAsia" w:cs="Times New Roman"/>
                <w:b w:val="0"/>
                <w:bCs w:val="0"/>
                <w:spacing w:val="8"/>
                <w:kern w:val="0"/>
                <w:sz w:val="21"/>
                <w:szCs w:val="21"/>
                <w:u w:val="none"/>
                <w:lang w:val="en-US" w:eastAsia="zh-CN"/>
              </w:rPr>
              <w:t>以上会收缩，密度约1.0-1.05g/cm</w:t>
            </w:r>
            <w:r>
              <w:rPr>
                <w:rFonts w:hint="eastAsia" w:cs="Times New Roman"/>
                <w:b w:val="0"/>
                <w:bCs w:val="0"/>
                <w:spacing w:val="8"/>
                <w:kern w:val="0"/>
                <w:sz w:val="21"/>
                <w:szCs w:val="21"/>
                <w:u w:val="none"/>
                <w:vertAlign w:val="superscript"/>
                <w:lang w:val="en-US" w:eastAsia="zh-CN"/>
              </w:rPr>
              <w:t>3</w:t>
            </w:r>
            <w:r>
              <w:rPr>
                <w:rFonts w:hint="eastAsia" w:cs="Times New Roman"/>
                <w:b w:val="0"/>
                <w:bCs w:val="0"/>
                <w:spacing w:val="8"/>
                <w:kern w:val="0"/>
                <w:sz w:val="21"/>
                <w:szCs w:val="21"/>
                <w:u w:val="none"/>
                <w:lang w:val="en-US" w:eastAsia="zh-CN"/>
              </w:rPr>
              <w:t>。</w:t>
            </w:r>
          </w:p>
        </w:tc>
      </w:tr>
    </w:tbl>
    <w:p w14:paraId="79E52360">
      <w:pPr>
        <w:pStyle w:val="2"/>
        <w:keepLines w:val="0"/>
        <w:pageBreakBefore w:val="0"/>
        <w:widowControl w:val="0"/>
        <w:tabs>
          <w:tab w:val="left" w:pos="540"/>
        </w:tabs>
        <w:kinsoku/>
        <w:wordWrap/>
        <w:overflowPunct/>
        <w:topLinePunct w:val="0"/>
        <w:autoSpaceDE/>
        <w:autoSpaceDN/>
        <w:bidi w:val="0"/>
        <w:adjustRightInd/>
        <w:snapToGrid/>
        <w:spacing w:line="520" w:lineRule="exact"/>
        <w:jc w:val="both"/>
        <w:textAlignment w:val="auto"/>
        <w:rPr>
          <w:rFonts w:hint="default" w:ascii="Times New Roman" w:hAnsi="Times New Roman" w:eastAsia="宋体" w:cs="Times New Roman"/>
          <w:b/>
          <w:bCs w:val="0"/>
          <w:sz w:val="32"/>
          <w:szCs w:val="32"/>
          <w:lang w:eastAsia="zh-CN"/>
        </w:rPr>
      </w:pPr>
      <w:r>
        <w:rPr>
          <w:rFonts w:hint="default" w:ascii="Times New Roman" w:hAnsi="Times New Roman" w:eastAsia="宋体" w:cs="Times New Roman"/>
          <w:b/>
          <w:bCs w:val="0"/>
          <w:sz w:val="32"/>
          <w:szCs w:val="32"/>
        </w:rPr>
        <w:t>三、VOCs产排污环节及</w:t>
      </w:r>
      <w:r>
        <w:rPr>
          <w:rFonts w:hint="default" w:ascii="Times New Roman" w:hAnsi="Times New Roman" w:eastAsia="宋体" w:cs="Times New Roman"/>
          <w:b/>
          <w:bCs w:val="0"/>
          <w:sz w:val="32"/>
          <w:szCs w:val="32"/>
          <w:lang w:eastAsia="zh-CN"/>
        </w:rPr>
        <w:t>治理</w:t>
      </w:r>
      <w:r>
        <w:rPr>
          <w:rFonts w:hint="eastAsia" w:ascii="Times New Roman" w:hAnsi="Times New Roman" w:cs="Times New Roman"/>
          <w:b/>
          <w:bCs w:val="0"/>
          <w:sz w:val="32"/>
          <w:szCs w:val="32"/>
          <w:lang w:eastAsia="zh-CN"/>
        </w:rPr>
        <w:t>措施</w:t>
      </w:r>
    </w:p>
    <w:p w14:paraId="63F33B50">
      <w:pPr>
        <w:pStyle w:val="13"/>
        <w:keepNext w:val="0"/>
        <w:keepLines w:val="0"/>
        <w:pageBreakBefore w:val="0"/>
        <w:kinsoku/>
        <w:wordWrap/>
        <w:overflowPunct/>
        <w:topLinePunct w:val="0"/>
        <w:autoSpaceDE/>
        <w:autoSpaceDN/>
        <w:bidi w:val="0"/>
        <w:adjustRightInd/>
        <w:spacing w:before="0" w:after="0" w:line="520" w:lineRule="exact"/>
        <w:ind w:right="0" w:firstLine="482" w:firstLineChars="200"/>
        <w:jc w:val="left"/>
        <w:textAlignment w:val="auto"/>
        <w:rPr>
          <w:rFonts w:hint="default" w:cs="Times New Roman"/>
          <w:b/>
          <w:bCs w:val="0"/>
          <w:color w:val="000000"/>
          <w:sz w:val="24"/>
          <w:highlight w:val="none"/>
          <w:u w:val="none" w:color="auto"/>
          <w:lang w:val="en-US" w:eastAsia="zh-CN"/>
        </w:rPr>
      </w:pPr>
      <w:r>
        <w:rPr>
          <w:rFonts w:hint="eastAsia" w:cs="Times New Roman"/>
          <w:b/>
          <w:bCs w:val="0"/>
          <w:color w:val="000000"/>
          <w:sz w:val="24"/>
          <w:highlight w:val="none"/>
          <w:u w:val="none" w:color="auto"/>
          <w:lang w:val="en-US" w:eastAsia="zh-CN"/>
        </w:rPr>
        <w:t>（1）加热成型废气</w:t>
      </w:r>
    </w:p>
    <w:p w14:paraId="449AA137">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lang w:val="en-US" w:eastAsia="zh-CN"/>
        </w:rPr>
      </w:pPr>
      <w:r>
        <w:rPr>
          <w:rFonts w:hint="eastAsia" w:cs="Times New Roman"/>
          <w:b w:val="0"/>
          <w:bCs/>
          <w:highlight w:val="none"/>
          <w:u w:val="none" w:color="auto"/>
          <w:lang w:eastAsia="zh-CN"/>
        </w:rPr>
        <w:t>本项目塑料食品餐盒</w:t>
      </w:r>
      <w:r>
        <w:rPr>
          <w:rFonts w:hint="default" w:ascii="Times New Roman" w:hAnsi="Times New Roman" w:cs="Times New Roman"/>
          <w:b w:val="0"/>
          <w:bCs/>
          <w:highlight w:val="none"/>
          <w:u w:val="none" w:color="auto"/>
          <w:lang w:eastAsia="zh-CN"/>
        </w:rPr>
        <w:t>生产过程中</w:t>
      </w:r>
      <w:r>
        <w:rPr>
          <w:rFonts w:hint="eastAsia" w:cs="Times New Roman"/>
          <w:b w:val="0"/>
          <w:bCs/>
          <w:highlight w:val="none"/>
          <w:u w:val="none" w:color="auto"/>
          <w:lang w:eastAsia="zh-CN"/>
        </w:rPr>
        <w:t>加热成型工序产生的有机废气</w:t>
      </w:r>
      <w:r>
        <w:rPr>
          <w:rFonts w:hint="default" w:ascii="Times New Roman" w:hAnsi="Times New Roman" w:cs="Times New Roman"/>
          <w:lang w:eastAsia="zh-CN"/>
        </w:rPr>
        <w:t>具体如下：</w:t>
      </w:r>
    </w:p>
    <w:p w14:paraId="3A83C25B">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cs="Times New Roman"/>
          <w:b w:val="0"/>
          <w:bCs/>
          <w:color w:val="000000"/>
          <w:sz w:val="24"/>
          <w:highlight w:val="none"/>
          <w:u w:val="none" w:color="auto"/>
          <w:lang w:val="en-US" w:eastAsia="zh-CN"/>
        </w:rPr>
      </w:pPr>
      <w:r>
        <w:rPr>
          <w:rFonts w:hint="default" w:cs="Times New Roman"/>
          <w:b w:val="0"/>
          <w:bCs/>
          <w:color w:val="000000"/>
          <w:sz w:val="24"/>
          <w:highlight w:val="none"/>
          <w:u w:val="none" w:color="auto"/>
          <w:lang w:val="en-US" w:eastAsia="zh-CN"/>
        </w:rPr>
        <w:t>本项目设置6台</w:t>
      </w:r>
      <w:r>
        <w:rPr>
          <w:rFonts w:hint="eastAsia" w:cs="Times New Roman"/>
          <w:b w:val="0"/>
          <w:bCs/>
          <w:color w:val="000000"/>
          <w:sz w:val="24"/>
          <w:highlight w:val="none"/>
          <w:u w:val="none" w:color="auto"/>
          <w:lang w:val="en-US" w:eastAsia="zh-CN"/>
        </w:rPr>
        <w:t>成型机</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加热成型过程</w:t>
      </w:r>
      <w:r>
        <w:rPr>
          <w:rFonts w:hint="default" w:cs="Times New Roman"/>
          <w:b w:val="0"/>
          <w:bCs/>
          <w:color w:val="000000"/>
          <w:sz w:val="24"/>
          <w:highlight w:val="none"/>
          <w:u w:val="none" w:color="auto"/>
          <w:lang w:val="en-US" w:eastAsia="zh-CN"/>
        </w:rPr>
        <w:t>温度控制在</w:t>
      </w:r>
      <w:r>
        <w:rPr>
          <w:rFonts w:hint="eastAsia" w:cs="Times New Roman"/>
          <w:b w:val="0"/>
          <w:bCs/>
          <w:color w:val="000000"/>
          <w:sz w:val="24"/>
          <w:highlight w:val="none"/>
          <w:u w:val="none" w:color="auto"/>
          <w:lang w:val="en-US" w:eastAsia="zh-CN"/>
        </w:rPr>
        <w:t>100-130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之间</w:t>
      </w:r>
      <w:r>
        <w:rPr>
          <w:rFonts w:hint="default" w:cs="Times New Roman"/>
          <w:b w:val="0"/>
          <w:bCs/>
          <w:color w:val="000000"/>
          <w:sz w:val="24"/>
          <w:highlight w:val="none"/>
          <w:u w:val="none" w:color="auto"/>
          <w:lang w:val="en-US" w:eastAsia="zh-CN"/>
        </w:rPr>
        <w:t>，本项目所用的</w:t>
      </w:r>
      <w:r>
        <w:rPr>
          <w:rFonts w:hint="eastAsia" w:cs="Times New Roman"/>
          <w:b w:val="0"/>
          <w:bCs/>
          <w:color w:val="000000"/>
          <w:sz w:val="24"/>
          <w:highlight w:val="none"/>
          <w:u w:val="none" w:color="auto"/>
          <w:lang w:val="en-US" w:eastAsia="zh-CN"/>
        </w:rPr>
        <w:t>原料为BOPS片材，主要成分为聚苯乙烯，BOPS片材</w:t>
      </w:r>
      <w:r>
        <w:rPr>
          <w:rFonts w:hint="default" w:cs="Times New Roman"/>
          <w:b w:val="0"/>
          <w:bCs/>
          <w:color w:val="000000"/>
          <w:sz w:val="24"/>
          <w:highlight w:val="none"/>
          <w:u w:val="none" w:color="auto"/>
          <w:lang w:val="en-US" w:eastAsia="zh-CN"/>
        </w:rPr>
        <w:t>原料分解温度在</w:t>
      </w:r>
      <w:r>
        <w:rPr>
          <w:rFonts w:hint="eastAsia" w:cs="Times New Roman"/>
          <w:b w:val="0"/>
          <w:bCs/>
          <w:color w:val="000000"/>
          <w:sz w:val="24"/>
          <w:highlight w:val="none"/>
          <w:u w:val="none" w:color="auto"/>
          <w:lang w:val="en-US" w:eastAsia="zh-CN"/>
        </w:rPr>
        <w:t>300</w:t>
      </w:r>
      <w:r>
        <w:rPr>
          <w:rFonts w:hint="default" w:cs="Times New Roman"/>
          <w:b w:val="0"/>
          <w:bCs/>
          <w:color w:val="000000"/>
          <w:sz w:val="24"/>
          <w:highlight w:val="none"/>
          <w:u w:val="none" w:color="auto"/>
          <w:lang w:val="en-US" w:eastAsia="zh-CN"/>
        </w:rPr>
        <w:t>℃以上，</w:t>
      </w:r>
      <w:r>
        <w:rPr>
          <w:rFonts w:hint="eastAsia" w:cs="Times New Roman"/>
          <w:b w:val="0"/>
          <w:bCs/>
          <w:color w:val="000000"/>
          <w:sz w:val="24"/>
          <w:highlight w:val="none"/>
          <w:u w:val="none" w:color="auto"/>
          <w:lang w:val="en-US" w:eastAsia="zh-CN"/>
        </w:rPr>
        <w:t>加热成型</w:t>
      </w:r>
      <w:r>
        <w:rPr>
          <w:rFonts w:hint="default" w:cs="Times New Roman"/>
          <w:b w:val="0"/>
          <w:bCs/>
          <w:color w:val="000000"/>
          <w:sz w:val="24"/>
          <w:highlight w:val="none"/>
          <w:u w:val="none" w:color="auto"/>
          <w:lang w:val="en-US" w:eastAsia="zh-CN"/>
        </w:rPr>
        <w:t>过程不会产生原料分解，因此</w:t>
      </w:r>
      <w:r>
        <w:rPr>
          <w:rFonts w:hint="eastAsia" w:cs="Times New Roman"/>
          <w:b w:val="0"/>
          <w:bCs/>
          <w:color w:val="000000"/>
          <w:sz w:val="24"/>
          <w:highlight w:val="none"/>
          <w:u w:val="none" w:color="auto"/>
          <w:lang w:val="en-US" w:eastAsia="zh-CN"/>
        </w:rPr>
        <w:t>加热成型</w:t>
      </w:r>
      <w:r>
        <w:rPr>
          <w:rFonts w:hint="default" w:cs="Times New Roman"/>
          <w:b w:val="0"/>
          <w:bCs/>
          <w:color w:val="000000"/>
          <w:sz w:val="24"/>
          <w:highlight w:val="none"/>
          <w:u w:val="none" w:color="auto"/>
          <w:lang w:val="en-US" w:eastAsia="zh-CN"/>
        </w:rPr>
        <w:t>工序废气主要为原料游离</w:t>
      </w:r>
      <w:r>
        <w:rPr>
          <w:rFonts w:hint="eastAsia" w:cs="Times New Roman"/>
          <w:b w:val="0"/>
          <w:bCs/>
          <w:color w:val="000000"/>
          <w:sz w:val="24"/>
          <w:highlight w:val="none"/>
          <w:u w:val="none" w:color="auto"/>
          <w:lang w:val="en-US" w:eastAsia="zh-CN"/>
        </w:rPr>
        <w:t>苯乙烯</w:t>
      </w:r>
      <w:r>
        <w:rPr>
          <w:rFonts w:hint="default" w:cs="Times New Roman"/>
          <w:b w:val="0"/>
          <w:bCs/>
          <w:color w:val="000000"/>
          <w:sz w:val="24"/>
          <w:highlight w:val="none"/>
          <w:u w:val="none" w:color="auto"/>
          <w:lang w:val="en-US" w:eastAsia="zh-CN"/>
        </w:rPr>
        <w:t>单体</w:t>
      </w:r>
      <w:r>
        <w:rPr>
          <w:rFonts w:hint="eastAsia" w:cs="Times New Roman"/>
          <w:b w:val="0"/>
          <w:bCs/>
          <w:color w:val="000000"/>
          <w:sz w:val="24"/>
          <w:highlight w:val="none"/>
          <w:u w:val="none" w:color="auto"/>
          <w:lang w:val="en-US" w:eastAsia="zh-CN"/>
        </w:rPr>
        <w:t>，以及</w:t>
      </w:r>
      <w:r>
        <w:rPr>
          <w:rFonts w:hint="default" w:cs="Times New Roman"/>
          <w:b w:val="0"/>
          <w:bCs/>
          <w:color w:val="000000"/>
          <w:sz w:val="24"/>
          <w:highlight w:val="none"/>
          <w:u w:val="none" w:color="auto"/>
          <w:lang w:val="en-US" w:eastAsia="zh-CN"/>
        </w:rPr>
        <w:t>小分子有机物挥发产生的有机废气，小分子有机物挥发</w:t>
      </w:r>
      <w:r>
        <w:rPr>
          <w:rFonts w:hint="eastAsia" w:cs="Times New Roman"/>
          <w:b w:val="0"/>
          <w:bCs/>
          <w:color w:val="000000"/>
          <w:sz w:val="24"/>
          <w:highlight w:val="none"/>
          <w:u w:val="none" w:color="auto"/>
          <w:lang w:val="en-US" w:eastAsia="zh-CN"/>
        </w:rPr>
        <w:t>废气以</w:t>
      </w:r>
      <w:r>
        <w:rPr>
          <w:rFonts w:hint="default" w:cs="Times New Roman"/>
          <w:b w:val="0"/>
          <w:bCs/>
          <w:color w:val="000000"/>
          <w:sz w:val="24"/>
          <w:highlight w:val="none"/>
          <w:u w:val="none" w:color="auto"/>
          <w:lang w:val="en-US" w:eastAsia="zh-CN"/>
        </w:rPr>
        <w:t>非甲烷总烃计。</w:t>
      </w:r>
    </w:p>
    <w:p w14:paraId="0007032A">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cs="Times New Roman"/>
          <w:b w:val="0"/>
          <w:bCs/>
          <w:color w:val="000000"/>
          <w:sz w:val="24"/>
          <w:highlight w:val="none"/>
          <w:u w:val="none" w:color="auto"/>
          <w:lang w:val="en-US" w:eastAsia="zh-CN"/>
        </w:rPr>
      </w:pPr>
      <w:r>
        <w:rPr>
          <w:rFonts w:hint="eastAsia" w:cs="Times New Roman"/>
          <w:b w:val="0"/>
          <w:bCs/>
          <w:color w:val="000000"/>
          <w:sz w:val="24"/>
          <w:highlight w:val="none"/>
          <w:u w:val="none" w:color="auto"/>
          <w:lang w:val="en-US" w:eastAsia="zh-CN"/>
        </w:rPr>
        <w:t>本项目加热成型工序的产污系数，未按照</w:t>
      </w:r>
      <w:r>
        <w:rPr>
          <w:rFonts w:hint="default" w:cs="Times New Roman"/>
          <w:b w:val="0"/>
          <w:bCs/>
          <w:color w:val="000000"/>
          <w:sz w:val="24"/>
          <w:highlight w:val="none"/>
          <w:u w:val="none" w:color="auto"/>
          <w:lang w:val="en-US" w:eastAsia="zh-CN"/>
        </w:rPr>
        <w:t>《排放源统计调查产排污核算方法和系数手册-292塑料制品行业系数手册》中</w:t>
      </w:r>
      <w:r>
        <w:rPr>
          <w:rFonts w:hint="eastAsia" w:cs="Times New Roman"/>
          <w:b w:val="0"/>
          <w:bCs/>
          <w:color w:val="000000"/>
          <w:sz w:val="24"/>
          <w:highlight w:val="none"/>
          <w:u w:val="none" w:color="auto"/>
          <w:lang w:val="en-US" w:eastAsia="zh-CN"/>
        </w:rPr>
        <w:t>“2927日用塑料制品</w:t>
      </w:r>
      <w:r>
        <w:rPr>
          <w:rFonts w:hint="default" w:cs="Times New Roman"/>
          <w:b w:val="0"/>
          <w:bCs/>
          <w:color w:val="000000"/>
          <w:sz w:val="24"/>
          <w:highlight w:val="none"/>
          <w:u w:val="none" w:color="auto"/>
          <w:lang w:val="en-US" w:eastAsia="zh-CN"/>
        </w:rPr>
        <w:t>制造行业系数表</w:t>
      </w:r>
      <w:r>
        <w:rPr>
          <w:rFonts w:hint="eastAsia" w:cs="Times New Roman"/>
          <w:b w:val="0"/>
          <w:bCs/>
          <w:color w:val="000000"/>
          <w:sz w:val="24"/>
          <w:highlight w:val="none"/>
          <w:u w:val="none" w:color="auto"/>
          <w:lang w:val="en-US" w:eastAsia="zh-CN"/>
        </w:rPr>
        <w:t>”进行产污分析核算，因为日用塑料制造中的工艺名称为配料、混合、挤出、注塑，其中注塑工艺的温度大多为180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以上，是将原材料进行熔融，和本项目将BOPS片材加热软化不太相符；本项目按照</w:t>
      </w:r>
      <w:r>
        <w:rPr>
          <w:rFonts w:hint="default" w:cs="Times New Roman"/>
          <w:b w:val="0"/>
          <w:bCs/>
          <w:color w:val="000000"/>
          <w:sz w:val="24"/>
          <w:highlight w:val="none"/>
          <w:u w:val="none" w:color="auto"/>
          <w:lang w:val="en-US" w:eastAsia="zh-CN"/>
        </w:rPr>
        <w:t>《排放源统计调查产排污核算方法和系数手册-292塑料制品行业系数手册》中</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292</w:t>
      </w:r>
      <w:r>
        <w:rPr>
          <w:rFonts w:hint="eastAsia" w:cs="Times New Roman"/>
          <w:b w:val="0"/>
          <w:bCs/>
          <w:color w:val="000000"/>
          <w:sz w:val="24"/>
          <w:highlight w:val="none"/>
          <w:u w:val="none" w:color="auto"/>
          <w:lang w:val="en-US" w:eastAsia="zh-CN"/>
        </w:rPr>
        <w:t>6</w:t>
      </w:r>
      <w:r>
        <w:rPr>
          <w:rFonts w:hint="default" w:cs="Times New Roman"/>
          <w:b w:val="0"/>
          <w:bCs/>
          <w:color w:val="000000"/>
          <w:sz w:val="24"/>
          <w:highlight w:val="none"/>
          <w:u w:val="none" w:color="auto"/>
          <w:lang w:val="en-US" w:eastAsia="zh-CN"/>
        </w:rPr>
        <w:t>塑料包装箱及容器制造行业系数表</w:t>
      </w:r>
      <w:r>
        <w:rPr>
          <w:rFonts w:hint="eastAsia" w:cs="Times New Roman"/>
          <w:b w:val="0"/>
          <w:bCs/>
          <w:color w:val="000000"/>
          <w:sz w:val="24"/>
          <w:highlight w:val="none"/>
          <w:u w:val="none" w:color="auto"/>
          <w:lang w:val="en-US" w:eastAsia="zh-CN"/>
        </w:rPr>
        <w:t>”进行产污分析核算，因为塑料包装箱及容器制造中的原料名称为塑料片材，与本项目原材料BOPS片材相符合，塑料包装箱及容器制造中的工艺名称为吸塑、裁切，其中吸塑工艺温度大多在90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-150</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左右，是将原材料加热软化，和本项目将BOPS片材加热软化成型相近，因此产污系数选择塑料包装箱及容器制造行业系数。</w:t>
      </w:r>
    </w:p>
    <w:p w14:paraId="5F5A440B">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cs="Times New Roman"/>
          <w:b w:val="0"/>
          <w:bCs/>
          <w:color w:val="000000"/>
          <w:sz w:val="24"/>
          <w:highlight w:val="none"/>
          <w:u w:val="none" w:color="auto"/>
          <w:lang w:val="en-US" w:eastAsia="zh-CN"/>
        </w:rPr>
      </w:pPr>
      <w:r>
        <w:rPr>
          <w:rFonts w:hint="default" w:cs="Times New Roman"/>
          <w:b w:val="0"/>
          <w:bCs/>
          <w:color w:val="000000"/>
          <w:sz w:val="24"/>
          <w:highlight w:val="none"/>
          <w:u w:val="none" w:color="auto"/>
          <w:lang w:val="en-US" w:eastAsia="zh-CN"/>
        </w:rPr>
        <w:t>根据《排放源统计调查产排污核算方法和系数手册-292塑料制品行业系数手册》中</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292</w:t>
      </w:r>
      <w:r>
        <w:rPr>
          <w:rFonts w:hint="eastAsia" w:cs="Times New Roman"/>
          <w:b w:val="0"/>
          <w:bCs/>
          <w:color w:val="000000"/>
          <w:sz w:val="24"/>
          <w:highlight w:val="none"/>
          <w:u w:val="none" w:color="auto"/>
          <w:lang w:val="en-US" w:eastAsia="zh-CN"/>
        </w:rPr>
        <w:t>6</w:t>
      </w:r>
      <w:r>
        <w:rPr>
          <w:rFonts w:hint="default" w:cs="Times New Roman"/>
          <w:b w:val="0"/>
          <w:bCs/>
          <w:color w:val="000000"/>
          <w:sz w:val="24"/>
          <w:highlight w:val="none"/>
          <w:u w:val="none" w:color="auto"/>
          <w:lang w:val="en-US" w:eastAsia="zh-CN"/>
        </w:rPr>
        <w:t>塑料包装箱及容器制造行业系数表</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中塑料包装箱及容器（原料</w:t>
      </w:r>
      <w:r>
        <w:rPr>
          <w:rFonts w:hint="eastAsia" w:cs="Times New Roman"/>
          <w:b w:val="0"/>
          <w:bCs/>
          <w:color w:val="000000"/>
          <w:sz w:val="24"/>
          <w:highlight w:val="none"/>
          <w:u w:val="none" w:color="auto"/>
          <w:lang w:val="en-US" w:eastAsia="zh-CN"/>
        </w:rPr>
        <w:t>为塑料片材</w:t>
      </w:r>
      <w:r>
        <w:rPr>
          <w:rFonts w:hint="default" w:cs="Times New Roman"/>
          <w:b w:val="0"/>
          <w:bCs/>
          <w:color w:val="000000"/>
          <w:sz w:val="24"/>
          <w:highlight w:val="none"/>
          <w:u w:val="none" w:color="auto"/>
          <w:lang w:val="en-US" w:eastAsia="zh-CN"/>
        </w:rPr>
        <w:t>）</w:t>
      </w:r>
      <w:r>
        <w:rPr>
          <w:rFonts w:hint="eastAsia" w:cs="Times New Roman"/>
          <w:b w:val="0"/>
          <w:bCs/>
          <w:color w:val="000000"/>
          <w:sz w:val="24"/>
          <w:highlight w:val="none"/>
          <w:u w:val="none" w:color="auto"/>
          <w:lang w:val="en-US" w:eastAsia="zh-CN"/>
        </w:rPr>
        <w:t>吸塑工艺</w:t>
      </w:r>
      <w:r>
        <w:rPr>
          <w:rFonts w:hint="default" w:cs="Times New Roman"/>
          <w:b w:val="0"/>
          <w:bCs/>
          <w:color w:val="000000"/>
          <w:sz w:val="24"/>
          <w:highlight w:val="none"/>
          <w:u w:val="none" w:color="auto"/>
          <w:lang w:val="en-US" w:eastAsia="zh-CN"/>
        </w:rPr>
        <w:t>挥发性有机物产生量为</w:t>
      </w:r>
      <w:r>
        <w:rPr>
          <w:rFonts w:hint="eastAsia" w:cs="Times New Roman"/>
          <w:b w:val="0"/>
          <w:bCs/>
          <w:color w:val="000000"/>
          <w:sz w:val="24"/>
          <w:highlight w:val="none"/>
          <w:u w:val="none" w:color="auto"/>
          <w:lang w:val="en-US" w:eastAsia="zh-CN"/>
        </w:rPr>
        <w:t>1.9</w:t>
      </w:r>
      <w:r>
        <w:rPr>
          <w:rFonts w:hint="default" w:cs="Times New Roman"/>
          <w:b w:val="0"/>
          <w:bCs/>
          <w:color w:val="000000"/>
          <w:sz w:val="24"/>
          <w:highlight w:val="none"/>
          <w:u w:val="none" w:color="auto"/>
          <w:lang w:val="en-US" w:eastAsia="zh-CN"/>
        </w:rPr>
        <w:t>kg/吨</w:t>
      </w:r>
      <w:r>
        <w:rPr>
          <w:rFonts w:hint="eastAsia" w:cs="Times New Roman"/>
          <w:b w:val="0"/>
          <w:bCs/>
          <w:color w:val="000000"/>
          <w:sz w:val="24"/>
          <w:highlight w:val="none"/>
          <w:u w:val="none" w:color="auto"/>
          <w:lang w:val="en-US" w:eastAsia="zh-CN"/>
        </w:rPr>
        <w:t>-</w:t>
      </w:r>
      <w:r>
        <w:rPr>
          <w:rFonts w:hint="default" w:cs="Times New Roman"/>
          <w:b w:val="0"/>
          <w:bCs/>
          <w:color w:val="000000"/>
          <w:sz w:val="24"/>
          <w:highlight w:val="none"/>
          <w:u w:val="none" w:color="auto"/>
          <w:lang w:val="en-US" w:eastAsia="zh-CN"/>
        </w:rPr>
        <w:t>产品，本项目产品生产规模为</w:t>
      </w:r>
      <w:r>
        <w:rPr>
          <w:rFonts w:hint="eastAsia" w:cs="Times New Roman"/>
          <w:b w:val="0"/>
          <w:bCs/>
          <w:color w:val="000000"/>
          <w:sz w:val="24"/>
          <w:highlight w:val="none"/>
          <w:u w:val="none" w:color="auto"/>
          <w:lang w:val="en-US" w:eastAsia="zh-CN"/>
        </w:rPr>
        <w:t>3</w:t>
      </w:r>
      <w:r>
        <w:rPr>
          <w:rFonts w:hint="default" w:cs="Times New Roman"/>
          <w:b w:val="0"/>
          <w:bCs/>
          <w:color w:val="000000"/>
          <w:sz w:val="24"/>
          <w:highlight w:val="none"/>
          <w:u w:val="none" w:color="auto"/>
          <w:lang w:val="en-US" w:eastAsia="zh-CN"/>
        </w:rPr>
        <w:t>00t/a，则</w:t>
      </w:r>
      <w:r>
        <w:rPr>
          <w:rFonts w:hint="eastAsia" w:cs="Times New Roman"/>
          <w:b w:val="0"/>
          <w:bCs/>
          <w:color w:val="000000"/>
          <w:sz w:val="24"/>
          <w:highlight w:val="none"/>
          <w:u w:val="none" w:color="auto"/>
          <w:lang w:val="en-US" w:eastAsia="zh-CN"/>
        </w:rPr>
        <w:t>加热成型</w:t>
      </w:r>
      <w:r>
        <w:rPr>
          <w:rFonts w:hint="default" w:cs="Times New Roman"/>
          <w:b w:val="0"/>
          <w:bCs/>
          <w:color w:val="000000"/>
          <w:sz w:val="24"/>
          <w:highlight w:val="none"/>
          <w:u w:val="none" w:color="auto"/>
          <w:lang w:val="en-US" w:eastAsia="zh-CN"/>
        </w:rPr>
        <w:t>废气非甲烷总烃产生量为</w:t>
      </w:r>
      <w:r>
        <w:rPr>
          <w:rFonts w:hint="eastAsia" w:cs="Times New Roman"/>
          <w:b w:val="0"/>
          <w:bCs/>
          <w:color w:val="000000"/>
          <w:sz w:val="24"/>
          <w:highlight w:val="none"/>
          <w:u w:val="none" w:color="auto"/>
          <w:lang w:val="en-US" w:eastAsia="zh-CN"/>
        </w:rPr>
        <w:t>0.57</w:t>
      </w:r>
      <w:r>
        <w:rPr>
          <w:rFonts w:hint="default" w:cs="Times New Roman"/>
          <w:b w:val="0"/>
          <w:bCs/>
          <w:color w:val="000000"/>
          <w:sz w:val="24"/>
          <w:highlight w:val="none"/>
          <w:u w:val="none" w:color="auto"/>
          <w:lang w:val="en-US" w:eastAsia="zh-CN"/>
        </w:rPr>
        <w:t>t/a。</w:t>
      </w:r>
      <w:r>
        <w:rPr>
          <w:rFonts w:hint="eastAsia" w:cs="Times New Roman"/>
          <w:b w:val="0"/>
          <w:bCs/>
          <w:color w:val="000000"/>
          <w:sz w:val="24"/>
          <w:highlight w:val="none"/>
          <w:u w:val="none" w:color="auto"/>
          <w:lang w:val="en-US" w:eastAsia="zh-CN"/>
        </w:rPr>
        <w:t>依据《气相色谱法测定聚苯乙烯中残留苯乙烯单体含量》（祖凤华，合成树脂及塑料，2018）中苯乙烯产污系数</w:t>
      </w:r>
      <w:r>
        <w:rPr>
          <w:rFonts w:hint="default" w:cs="Times New Roman"/>
          <w:b w:val="0"/>
          <w:bCs/>
          <w:color w:val="000000"/>
          <w:sz w:val="24"/>
          <w:highlight w:val="none"/>
          <w:u w:val="none" w:color="auto"/>
          <w:lang w:val="en-US" w:eastAsia="zh-CN"/>
        </w:rPr>
        <w:t>为</w:t>
      </w:r>
      <w:r>
        <w:rPr>
          <w:rFonts w:hint="eastAsia" w:cs="Times New Roman"/>
          <w:b w:val="0"/>
          <w:bCs/>
          <w:color w:val="000000"/>
          <w:sz w:val="24"/>
          <w:highlight w:val="none"/>
          <w:u w:val="none" w:color="auto"/>
          <w:lang w:val="en-US" w:eastAsia="zh-CN"/>
        </w:rPr>
        <w:t>0.333</w:t>
      </w:r>
      <w:r>
        <w:rPr>
          <w:rFonts w:hint="default" w:cs="Times New Roman"/>
          <w:b w:val="0"/>
          <w:bCs/>
          <w:color w:val="000000"/>
          <w:sz w:val="24"/>
          <w:highlight w:val="none"/>
          <w:u w:val="none" w:color="auto"/>
          <w:lang w:val="en-US" w:eastAsia="zh-CN"/>
        </w:rPr>
        <w:t>kg/吨</w:t>
      </w:r>
      <w:r>
        <w:rPr>
          <w:rFonts w:hint="eastAsia" w:cs="Times New Roman"/>
          <w:b w:val="0"/>
          <w:bCs/>
          <w:color w:val="000000"/>
          <w:sz w:val="24"/>
          <w:highlight w:val="none"/>
          <w:u w:val="none" w:color="auto"/>
          <w:lang w:val="en-US" w:eastAsia="zh-CN"/>
        </w:rPr>
        <w:t>-产品，</w:t>
      </w:r>
      <w:r>
        <w:rPr>
          <w:rFonts w:hint="default" w:cs="Times New Roman"/>
          <w:b w:val="0"/>
          <w:bCs/>
          <w:color w:val="000000"/>
          <w:sz w:val="24"/>
          <w:highlight w:val="none"/>
          <w:u w:val="none" w:color="auto"/>
          <w:lang w:val="en-US" w:eastAsia="zh-CN"/>
        </w:rPr>
        <w:t>本项目产品生产规模为</w:t>
      </w:r>
      <w:r>
        <w:rPr>
          <w:rFonts w:hint="eastAsia" w:cs="Times New Roman"/>
          <w:b w:val="0"/>
          <w:bCs/>
          <w:color w:val="000000"/>
          <w:sz w:val="24"/>
          <w:highlight w:val="none"/>
          <w:u w:val="none" w:color="auto"/>
          <w:lang w:val="en-US" w:eastAsia="zh-CN"/>
        </w:rPr>
        <w:t>3</w:t>
      </w:r>
      <w:r>
        <w:rPr>
          <w:rFonts w:hint="default" w:cs="Times New Roman"/>
          <w:b w:val="0"/>
          <w:bCs/>
          <w:color w:val="000000"/>
          <w:sz w:val="24"/>
          <w:highlight w:val="none"/>
          <w:u w:val="none" w:color="auto"/>
          <w:lang w:val="en-US" w:eastAsia="zh-CN"/>
        </w:rPr>
        <w:t>00t/a，则</w:t>
      </w:r>
      <w:r>
        <w:rPr>
          <w:rFonts w:hint="eastAsia" w:cs="Times New Roman"/>
          <w:b w:val="0"/>
          <w:bCs/>
          <w:color w:val="000000"/>
          <w:sz w:val="24"/>
          <w:highlight w:val="none"/>
          <w:u w:val="none" w:color="auto"/>
          <w:lang w:val="en-US" w:eastAsia="zh-CN"/>
        </w:rPr>
        <w:t>加热成型工序苯乙烯</w:t>
      </w:r>
      <w:r>
        <w:rPr>
          <w:rFonts w:hint="default" w:cs="Times New Roman"/>
          <w:b w:val="0"/>
          <w:bCs/>
          <w:color w:val="000000"/>
          <w:sz w:val="24"/>
          <w:highlight w:val="none"/>
          <w:u w:val="none" w:color="auto"/>
          <w:lang w:val="en-US" w:eastAsia="zh-CN"/>
        </w:rPr>
        <w:t>产生量</w:t>
      </w:r>
      <w:r>
        <w:rPr>
          <w:rFonts w:hint="eastAsia" w:cs="Times New Roman"/>
          <w:b w:val="0"/>
          <w:bCs/>
          <w:color w:val="000000"/>
          <w:sz w:val="24"/>
          <w:highlight w:val="none"/>
          <w:u w:val="none" w:color="auto"/>
          <w:lang w:val="en-US" w:eastAsia="zh-CN"/>
        </w:rPr>
        <w:t>约</w:t>
      </w:r>
      <w:r>
        <w:rPr>
          <w:rFonts w:hint="default" w:cs="Times New Roman"/>
          <w:b w:val="0"/>
          <w:bCs/>
          <w:color w:val="000000"/>
          <w:sz w:val="24"/>
          <w:highlight w:val="none"/>
          <w:u w:val="none" w:color="auto"/>
          <w:lang w:val="en-US" w:eastAsia="zh-CN"/>
        </w:rPr>
        <w:t>为</w:t>
      </w:r>
      <w:r>
        <w:rPr>
          <w:rFonts w:hint="eastAsia" w:cs="Times New Roman"/>
          <w:b w:val="0"/>
          <w:bCs/>
          <w:color w:val="000000"/>
          <w:sz w:val="24"/>
          <w:highlight w:val="none"/>
          <w:u w:val="none" w:color="auto"/>
          <w:lang w:val="en-US" w:eastAsia="zh-CN"/>
        </w:rPr>
        <w:t>0.1</w:t>
      </w:r>
      <w:r>
        <w:rPr>
          <w:rFonts w:hint="default" w:cs="Times New Roman"/>
          <w:b w:val="0"/>
          <w:bCs/>
          <w:color w:val="000000"/>
          <w:sz w:val="24"/>
          <w:highlight w:val="none"/>
          <w:u w:val="none" w:color="auto"/>
          <w:lang w:val="en-US" w:eastAsia="zh-CN"/>
        </w:rPr>
        <w:t>t/a。</w:t>
      </w:r>
    </w:p>
    <w:p w14:paraId="481CF05F">
      <w:pPr>
        <w:pStyle w:val="13"/>
        <w:keepNext w:val="0"/>
        <w:keepLines w:val="0"/>
        <w:pageBreakBefore w:val="0"/>
        <w:kinsoku/>
        <w:wordWrap/>
        <w:overflowPunct/>
        <w:topLinePunct w:val="0"/>
        <w:autoSpaceDE/>
        <w:autoSpaceDN/>
        <w:bidi w:val="0"/>
        <w:adjustRightInd/>
        <w:spacing w:before="0" w:after="0" w:line="520" w:lineRule="exact"/>
        <w:ind w:right="0" w:firstLine="480" w:firstLineChars="200"/>
        <w:jc w:val="left"/>
        <w:textAlignment w:val="auto"/>
        <w:rPr>
          <w:rFonts w:hint="default" w:ascii="Times New Roman" w:hAnsi="Times New Roman" w:eastAsia="宋体" w:cs="Times New Roman"/>
          <w:b w:val="0"/>
          <w:bCs/>
          <w:color w:val="000000"/>
          <w:kern w:val="2"/>
          <w:sz w:val="24"/>
          <w:szCs w:val="24"/>
          <w:highlight w:val="none"/>
          <w:u w:val="none" w:color="auto"/>
          <w:lang w:val="en-US" w:eastAsia="zh-CN" w:bidi="ar-SA"/>
        </w:rPr>
      </w:pPr>
      <w:r>
        <w:rPr>
          <w:rFonts w:hint="eastAsia" w:cs="Times New Roman"/>
          <w:b w:val="0"/>
          <w:bCs/>
          <w:color w:val="000000"/>
          <w:sz w:val="24"/>
          <w:highlight w:val="none"/>
          <w:u w:val="none" w:color="auto"/>
          <w:lang w:val="en-US" w:eastAsia="zh-CN"/>
        </w:rPr>
        <w:t>评价要求在6台成型机于车间内二次封闭，并在加热工序上方设置集气罩，加热成型工序产生的非甲烷总烃、苯乙烯经集气系统收集后，</w:t>
      </w:r>
      <w:r>
        <w:rPr>
          <w:rFonts w:hint="default" w:cs="Times New Roman"/>
          <w:b w:val="0"/>
          <w:bCs/>
          <w:color w:val="000000"/>
          <w:sz w:val="24"/>
          <w:highlight w:val="none"/>
          <w:u w:val="none" w:color="auto"/>
          <w:lang w:val="en-US" w:eastAsia="zh-CN"/>
        </w:rPr>
        <w:t>引入1套两级活性炭吸附装置进行处理，处理后的废气经</w:t>
      </w:r>
      <w:r>
        <w:rPr>
          <w:rFonts w:hint="eastAsia" w:cs="Times New Roman"/>
          <w:b w:val="0"/>
          <w:bCs/>
          <w:color w:val="000000"/>
          <w:sz w:val="24"/>
          <w:highlight w:val="none"/>
          <w:u w:val="none" w:color="auto"/>
          <w:lang w:val="en-US" w:eastAsia="zh-CN"/>
        </w:rPr>
        <w:t>一根</w:t>
      </w:r>
      <w:r>
        <w:rPr>
          <w:rFonts w:hint="default" w:cs="Times New Roman"/>
          <w:b w:val="0"/>
          <w:bCs/>
          <w:color w:val="000000"/>
          <w:sz w:val="24"/>
          <w:highlight w:val="none"/>
          <w:u w:val="none" w:color="auto"/>
          <w:lang w:val="en-US" w:eastAsia="zh-CN"/>
        </w:rPr>
        <w:t>15m高排气筒（DA001）排放。</w:t>
      </w:r>
      <w:r>
        <w:rPr>
          <w:rFonts w:hint="default" w:ascii="Times New Roman" w:hAnsi="Times New Roman" w:eastAsia="宋体" w:cs="Times New Roman"/>
          <w:b w:val="0"/>
          <w:bCs/>
          <w:color w:val="000000"/>
          <w:kern w:val="2"/>
          <w:sz w:val="24"/>
          <w:szCs w:val="24"/>
          <w:highlight w:val="none"/>
          <w:u w:val="none" w:color="auto"/>
          <w:lang w:val="en-US" w:eastAsia="zh-CN" w:bidi="ar-SA"/>
        </w:rPr>
        <w:t>根据《废气处理工程技术手册》（王纯、张殿印主编）</w:t>
      </w:r>
      <w:r>
        <w:rPr>
          <w:rFonts w:hint="default" w:ascii="Times New Roman" w:hAnsi="Times New Roman" w:eastAsia="宋体" w:cs="Times New Roman"/>
          <w:b w:val="0"/>
          <w:bCs/>
          <w:color w:val="000000"/>
          <w:sz w:val="24"/>
          <w:highlight w:val="none"/>
          <w:u w:val="none" w:color="auto"/>
        </w:rPr>
        <w:t>中的有关公式，工程废气收集系统的控制风速要在0.5m/s以上，以保证收集效果，</w:t>
      </w:r>
      <w:r>
        <w:rPr>
          <w:rFonts w:hint="default" w:ascii="Times New Roman" w:hAnsi="Times New Roman" w:eastAsia="宋体" w:cs="Times New Roman"/>
          <w:b w:val="0"/>
          <w:bCs/>
          <w:color w:val="000000"/>
          <w:kern w:val="2"/>
          <w:sz w:val="24"/>
          <w:szCs w:val="24"/>
          <w:highlight w:val="none"/>
          <w:u w:val="none" w:color="auto"/>
          <w:lang w:val="en-US" w:eastAsia="zh-CN" w:bidi="ar-SA"/>
        </w:rPr>
        <w:t>设置</w:t>
      </w:r>
      <w:r>
        <w:rPr>
          <w:rFonts w:hint="eastAsia" w:ascii="Times New Roman" w:hAnsi="Times New Roman" w:eastAsia="宋体" w:cs="Times New Roman"/>
          <w:b w:val="0"/>
          <w:bCs/>
          <w:color w:val="000000"/>
          <w:kern w:val="2"/>
          <w:sz w:val="24"/>
          <w:szCs w:val="24"/>
          <w:highlight w:val="none"/>
          <w:u w:val="none" w:color="auto"/>
          <w:lang w:val="en-US" w:eastAsia="zh-CN" w:bidi="ar-SA"/>
        </w:rPr>
        <w:t>顶</w:t>
      </w:r>
      <w:r>
        <w:rPr>
          <w:rFonts w:hint="default" w:ascii="Times New Roman" w:hAnsi="Times New Roman" w:eastAsia="宋体" w:cs="Times New Roman"/>
          <w:b w:val="0"/>
          <w:bCs/>
          <w:color w:val="000000"/>
          <w:kern w:val="2"/>
          <w:sz w:val="24"/>
          <w:szCs w:val="24"/>
          <w:highlight w:val="none"/>
          <w:u w:val="none" w:color="auto"/>
          <w:lang w:val="en-US" w:eastAsia="zh-CN" w:bidi="ar-SA"/>
        </w:rPr>
        <w:t>吸式集气罩风量计算公式如下：</w:t>
      </w:r>
    </w:p>
    <w:p w14:paraId="264F1F14">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Q=1.4pHVx×3600</w:t>
      </w:r>
    </w:p>
    <w:p w14:paraId="04C5EEA7">
      <w:pPr>
        <w:keepNext w:val="0"/>
        <w:keepLines w:val="0"/>
        <w:pageBreakBefore w:val="0"/>
        <w:widowControl w:val="0"/>
        <w:kinsoku/>
        <w:wordWrap/>
        <w:overflowPunct/>
        <w:topLinePunct w:val="0"/>
        <w:autoSpaceDE/>
        <w:autoSpaceDN/>
        <w:bidi w:val="0"/>
        <w:adjustRightInd/>
        <w:spacing w:line="520" w:lineRule="exact"/>
        <w:ind w:right="0" w:rightChars="0"/>
        <w:jc w:val="both"/>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式中，Q——</w:t>
      </w:r>
      <w:r>
        <w:rPr>
          <w:rFonts w:hint="eastAsia" w:ascii="Times New Roman" w:hAnsi="Times New Roman" w:eastAsia="宋体" w:cs="Times New Roman"/>
          <w:b w:val="0"/>
          <w:bCs/>
          <w:color w:val="auto"/>
          <w:sz w:val="24"/>
          <w:highlight w:val="none"/>
          <w:u w:val="none" w:color="auto"/>
          <w:lang w:val="en-US" w:eastAsia="zh-CN"/>
        </w:rPr>
        <w:t>顶</w:t>
      </w:r>
      <w:r>
        <w:rPr>
          <w:rFonts w:hint="default" w:ascii="Times New Roman" w:hAnsi="Times New Roman" w:eastAsia="宋体" w:cs="Times New Roman"/>
          <w:b w:val="0"/>
          <w:bCs/>
          <w:color w:val="auto"/>
          <w:sz w:val="24"/>
          <w:highlight w:val="none"/>
          <w:u w:val="none" w:color="auto"/>
          <w:lang w:val="en-US" w:eastAsia="zh-CN"/>
        </w:rPr>
        <w:t>吸罩的计算风量，m</w:t>
      </w:r>
      <w:r>
        <w:rPr>
          <w:rFonts w:hint="default" w:ascii="Times New Roman" w:hAnsi="Times New Roman" w:eastAsia="宋体" w:cs="Times New Roman"/>
          <w:b w:val="0"/>
          <w:bCs/>
          <w:color w:val="auto"/>
          <w:sz w:val="24"/>
          <w:highlight w:val="none"/>
          <w:u w:val="none" w:color="auto"/>
          <w:vertAlign w:val="superscript"/>
          <w:lang w:val="en-US" w:eastAsia="zh-CN"/>
        </w:rPr>
        <w:t>3</w:t>
      </w:r>
      <w:r>
        <w:rPr>
          <w:rFonts w:hint="default" w:ascii="Times New Roman" w:hAnsi="Times New Roman" w:eastAsia="宋体" w:cs="Times New Roman"/>
          <w:b w:val="0"/>
          <w:bCs/>
          <w:color w:val="auto"/>
          <w:sz w:val="24"/>
          <w:highlight w:val="none"/>
          <w:u w:val="none" w:color="auto"/>
          <w:lang w:val="en-US" w:eastAsia="zh-CN"/>
        </w:rPr>
        <w:t>/h；</w:t>
      </w:r>
    </w:p>
    <w:p w14:paraId="3A298A20">
      <w:pPr>
        <w:keepNext w:val="0"/>
        <w:keepLines w:val="0"/>
        <w:pageBreakBefore w:val="0"/>
        <w:widowControl w:val="0"/>
        <w:kinsoku/>
        <w:wordWrap/>
        <w:overflowPunct/>
        <w:topLinePunct w:val="0"/>
        <w:autoSpaceDE/>
        <w:autoSpaceDN/>
        <w:bidi w:val="0"/>
        <w:adjustRightInd/>
        <w:spacing w:line="520" w:lineRule="exact"/>
        <w:ind w:left="0" w:leftChars="0" w:right="0" w:rightChars="0" w:firstLine="1200" w:firstLineChars="500"/>
        <w:jc w:val="both"/>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p——罩口周长；</w:t>
      </w:r>
    </w:p>
    <w:p w14:paraId="4670A5F1">
      <w:pPr>
        <w:keepNext w:val="0"/>
        <w:keepLines w:val="0"/>
        <w:pageBreakBefore w:val="0"/>
        <w:widowControl w:val="0"/>
        <w:kinsoku/>
        <w:wordWrap/>
        <w:overflowPunct/>
        <w:topLinePunct w:val="0"/>
        <w:autoSpaceDE/>
        <w:autoSpaceDN/>
        <w:bidi w:val="0"/>
        <w:adjustRightInd/>
        <w:spacing w:line="520" w:lineRule="exact"/>
        <w:ind w:left="0" w:leftChars="0" w:right="0" w:rightChars="0" w:firstLine="1200" w:firstLineChars="500"/>
        <w:jc w:val="both"/>
        <w:textAlignment w:val="auto"/>
        <w:outlineLvl w:val="9"/>
        <w:rPr>
          <w:rFonts w:hint="default" w:ascii="Times New Roman" w:hAnsi="Times New Roman" w:eastAsia="宋体" w:cs="Times New Roman"/>
          <w:b w:val="0"/>
          <w:bCs/>
          <w:color w:val="auto"/>
          <w:sz w:val="24"/>
          <w:highlight w:val="none"/>
          <w:u w:val="none" w:color="auto"/>
          <w:lang w:val="en-US" w:eastAsia="zh-CN"/>
        </w:rPr>
      </w:pPr>
      <w:r>
        <w:rPr>
          <w:rFonts w:hint="default" w:ascii="Times New Roman" w:hAnsi="Times New Roman" w:eastAsia="宋体" w:cs="Times New Roman"/>
          <w:b w:val="0"/>
          <w:bCs/>
          <w:color w:val="auto"/>
          <w:sz w:val="24"/>
          <w:highlight w:val="none"/>
          <w:u w:val="none" w:color="auto"/>
          <w:lang w:val="en-US" w:eastAsia="zh-CN"/>
        </w:rPr>
        <w:t>H——污染源至罩口距离；</w:t>
      </w:r>
    </w:p>
    <w:p w14:paraId="108381CD">
      <w:pPr>
        <w:keepNext w:val="0"/>
        <w:keepLines w:val="0"/>
        <w:pageBreakBefore w:val="0"/>
        <w:widowControl w:val="0"/>
        <w:kinsoku/>
        <w:wordWrap/>
        <w:overflowPunct/>
        <w:topLinePunct w:val="0"/>
        <w:autoSpaceDE/>
        <w:autoSpaceDN/>
        <w:bidi w:val="0"/>
        <w:adjustRightInd/>
        <w:spacing w:line="520" w:lineRule="exact"/>
        <w:ind w:left="0" w:leftChars="0" w:right="0" w:rightChars="0" w:firstLine="1200" w:firstLineChars="500"/>
        <w:jc w:val="both"/>
        <w:textAlignment w:val="auto"/>
        <w:outlineLvl w:val="9"/>
        <w:rPr>
          <w:rFonts w:hint="default" w:ascii="Times New Roman" w:hAnsi="Times New Roman" w:eastAsia="宋体" w:cs="Times New Roman"/>
          <w:b w:val="0"/>
          <w:bCs/>
          <w:color w:val="000000"/>
          <w:kern w:val="2"/>
          <w:sz w:val="24"/>
          <w:szCs w:val="24"/>
          <w:highlight w:val="none"/>
          <w:u w:val="none" w:color="auto"/>
          <w:lang w:val="en-US" w:eastAsia="zh-CN" w:bidi="ar-SA"/>
        </w:rPr>
      </w:pPr>
      <w:r>
        <w:rPr>
          <w:rFonts w:hint="default" w:ascii="Times New Roman" w:hAnsi="Times New Roman" w:eastAsia="宋体" w:cs="Times New Roman"/>
          <w:b w:val="0"/>
          <w:bCs/>
          <w:color w:val="auto"/>
          <w:sz w:val="24"/>
          <w:highlight w:val="none"/>
          <w:u w:val="none" w:color="auto"/>
          <w:lang w:val="en-US" w:eastAsia="zh-CN"/>
        </w:rPr>
        <w:t>Vx——最小控制风速，本次取0.5m/s；</w:t>
      </w:r>
    </w:p>
    <w:p w14:paraId="61D3363B">
      <w:pPr>
        <w:pStyle w:val="13"/>
        <w:keepNext w:val="0"/>
        <w:keepLines w:val="0"/>
        <w:pageBreakBefore w:val="0"/>
        <w:kinsoku/>
        <w:overflowPunct/>
        <w:topLinePunct w:val="0"/>
        <w:autoSpaceDE/>
        <w:autoSpaceDN/>
        <w:bidi w:val="0"/>
        <w:adjustRightInd/>
        <w:spacing w:before="0" w:after="0" w:line="520" w:lineRule="exact"/>
        <w:ind w:right="0" w:firstLine="480" w:firstLineChars="200"/>
        <w:jc w:val="left"/>
        <w:textAlignment w:val="auto"/>
        <w:rPr>
          <w:rFonts w:hint="default" w:ascii="Times New Roman" w:hAnsi="Times New Roman" w:eastAsia="宋体" w:cs="Times New Roman"/>
          <w:b w:val="0"/>
          <w:bCs/>
          <w:color w:val="000000"/>
          <w:sz w:val="24"/>
          <w:highlight w:val="none"/>
          <w:u w:val="none" w:color="auto"/>
          <w:lang w:eastAsia="zh-CN"/>
        </w:rPr>
      </w:pPr>
      <w:r>
        <w:rPr>
          <w:rFonts w:hint="default" w:ascii="Times New Roman" w:hAnsi="Times New Roman" w:cs="Times New Roman"/>
          <w:b w:val="0"/>
          <w:bCs/>
          <w:kern w:val="0"/>
          <w:sz w:val="24"/>
          <w:szCs w:val="24"/>
          <w:highlight w:val="none"/>
          <w:u w:val="none" w:color="auto"/>
        </w:rPr>
        <w:t>根据集气罩风量计算公式，其中p为罩口周长，集气罩长取值0.</w:t>
      </w:r>
      <w:r>
        <w:rPr>
          <w:rFonts w:hint="eastAsia" w:cs="Times New Roman"/>
          <w:b w:val="0"/>
          <w:bCs/>
          <w:kern w:val="0"/>
          <w:sz w:val="24"/>
          <w:szCs w:val="24"/>
          <w:highlight w:val="none"/>
          <w:u w:val="none" w:color="auto"/>
          <w:lang w:val="en-US" w:eastAsia="zh-CN"/>
        </w:rPr>
        <w:t>4</w:t>
      </w:r>
      <w:r>
        <w:rPr>
          <w:rFonts w:hint="default" w:ascii="Times New Roman" w:hAnsi="Times New Roman" w:cs="Times New Roman"/>
          <w:b w:val="0"/>
          <w:bCs/>
          <w:kern w:val="0"/>
          <w:sz w:val="24"/>
          <w:szCs w:val="24"/>
          <w:highlight w:val="none"/>
          <w:u w:val="none" w:color="auto"/>
        </w:rPr>
        <w:t>m，宽取值0.</w:t>
      </w:r>
      <w:r>
        <w:rPr>
          <w:rFonts w:hint="eastAsia" w:cs="Times New Roman"/>
          <w:b w:val="0"/>
          <w:bCs/>
          <w:kern w:val="0"/>
          <w:sz w:val="24"/>
          <w:szCs w:val="24"/>
          <w:highlight w:val="none"/>
          <w:u w:val="none" w:color="auto"/>
          <w:lang w:val="en-US" w:eastAsia="zh-CN"/>
        </w:rPr>
        <w:t>3</w:t>
      </w:r>
      <w:r>
        <w:rPr>
          <w:rFonts w:hint="default" w:ascii="Times New Roman" w:hAnsi="Times New Roman" w:cs="Times New Roman"/>
          <w:b w:val="0"/>
          <w:bCs/>
          <w:kern w:val="0"/>
          <w:sz w:val="24"/>
          <w:szCs w:val="24"/>
          <w:highlight w:val="none"/>
          <w:u w:val="none" w:color="auto"/>
        </w:rPr>
        <w:t>m，则p=</w:t>
      </w:r>
      <w:r>
        <w:rPr>
          <w:rFonts w:hint="eastAsia" w:cs="Times New Roman"/>
          <w:b w:val="0"/>
          <w:bCs/>
          <w:kern w:val="0"/>
          <w:sz w:val="24"/>
          <w:szCs w:val="24"/>
          <w:highlight w:val="none"/>
          <w:u w:val="none" w:color="auto"/>
          <w:lang w:val="en-US" w:eastAsia="zh-CN"/>
        </w:rPr>
        <w:t>1.4</w:t>
      </w:r>
      <w:r>
        <w:rPr>
          <w:rFonts w:hint="default" w:ascii="Times New Roman" w:hAnsi="Times New Roman" w:cs="Times New Roman"/>
          <w:b w:val="0"/>
          <w:bCs/>
          <w:kern w:val="0"/>
          <w:sz w:val="24"/>
          <w:szCs w:val="24"/>
          <w:highlight w:val="none"/>
          <w:u w:val="none" w:color="auto"/>
        </w:rPr>
        <w:t>m。H为罩口至污染源的距离，取0.</w:t>
      </w:r>
      <w:r>
        <w:rPr>
          <w:rFonts w:hint="eastAsia" w:cs="Times New Roman"/>
          <w:b w:val="0"/>
          <w:bCs/>
          <w:kern w:val="0"/>
          <w:sz w:val="24"/>
          <w:szCs w:val="24"/>
          <w:highlight w:val="none"/>
          <w:u w:val="none" w:color="auto"/>
          <w:lang w:val="en-US" w:eastAsia="zh-CN"/>
        </w:rPr>
        <w:t>3</w:t>
      </w:r>
      <w:r>
        <w:rPr>
          <w:rFonts w:hint="default" w:ascii="Times New Roman" w:hAnsi="Times New Roman" w:cs="Times New Roman"/>
          <w:b w:val="0"/>
          <w:bCs/>
          <w:kern w:val="0"/>
          <w:sz w:val="24"/>
          <w:szCs w:val="24"/>
          <w:highlight w:val="none"/>
          <w:u w:val="none" w:color="auto"/>
        </w:rPr>
        <w:t>m；Vx取0.5m/s，</w:t>
      </w:r>
      <w:r>
        <w:rPr>
          <w:rFonts w:hint="eastAsia" w:cs="Times New Roman"/>
          <w:b w:val="0"/>
          <w:bCs/>
          <w:kern w:val="0"/>
          <w:sz w:val="24"/>
          <w:szCs w:val="24"/>
          <w:highlight w:val="none"/>
          <w:u w:val="none" w:color="auto"/>
          <w:lang w:eastAsia="zh-CN"/>
        </w:rPr>
        <w:t>经</w:t>
      </w:r>
      <w:r>
        <w:rPr>
          <w:rFonts w:hint="default" w:ascii="Times New Roman" w:hAnsi="Times New Roman" w:cs="Times New Roman"/>
          <w:b w:val="0"/>
          <w:bCs/>
          <w:kern w:val="0"/>
          <w:sz w:val="24"/>
          <w:szCs w:val="24"/>
          <w:highlight w:val="none"/>
          <w:u w:val="none" w:color="auto"/>
        </w:rPr>
        <w:t>计算得到单个集气罩风量为</w:t>
      </w:r>
      <w:r>
        <w:rPr>
          <w:rFonts w:hint="eastAsia" w:cs="Times New Roman"/>
          <w:b w:val="0"/>
          <w:bCs/>
          <w:kern w:val="0"/>
          <w:sz w:val="24"/>
          <w:szCs w:val="24"/>
          <w:highlight w:val="none"/>
          <w:u w:val="none" w:color="auto"/>
          <w:lang w:val="en-US" w:eastAsia="zh-CN"/>
        </w:rPr>
        <w:t>1058.4</w:t>
      </w:r>
      <w:r>
        <w:rPr>
          <w:rFonts w:hint="default" w:ascii="Times New Roman" w:hAnsi="Times New Roman" w:cs="Times New Roman"/>
          <w:b w:val="0"/>
          <w:bCs/>
          <w:kern w:val="0"/>
          <w:sz w:val="24"/>
          <w:szCs w:val="24"/>
          <w:highlight w:val="none"/>
          <w:u w:val="none" w:color="auto"/>
        </w:rPr>
        <w:t>m</w:t>
      </w:r>
      <w:r>
        <w:rPr>
          <w:rFonts w:hint="default" w:ascii="Times New Roman" w:hAnsi="Times New Roman" w:cs="Times New Roman"/>
          <w:b w:val="0"/>
          <w:bCs/>
          <w:kern w:val="0"/>
          <w:sz w:val="24"/>
          <w:szCs w:val="24"/>
          <w:highlight w:val="none"/>
          <w:u w:val="none" w:color="auto"/>
          <w:vertAlign w:val="superscript"/>
        </w:rPr>
        <w:t>3</w:t>
      </w:r>
      <w:r>
        <w:rPr>
          <w:rFonts w:hint="default" w:ascii="Times New Roman" w:hAnsi="Times New Roman" w:cs="Times New Roman"/>
          <w:b w:val="0"/>
          <w:bCs/>
          <w:kern w:val="0"/>
          <w:sz w:val="24"/>
          <w:szCs w:val="24"/>
          <w:highlight w:val="none"/>
          <w:u w:val="none" w:color="auto"/>
        </w:rPr>
        <w:t>/h</w:t>
      </w:r>
      <w:r>
        <w:rPr>
          <w:rFonts w:hint="eastAsia" w:cs="Times New Roman"/>
          <w:b w:val="0"/>
          <w:bCs/>
          <w:kern w:val="0"/>
          <w:sz w:val="24"/>
          <w:szCs w:val="24"/>
          <w:highlight w:val="none"/>
          <w:u w:val="none" w:color="auto"/>
          <w:lang w:eastAsia="zh-CN"/>
        </w:rPr>
        <w:t>，本项目有</w:t>
      </w:r>
      <w:r>
        <w:rPr>
          <w:rFonts w:hint="eastAsia" w:cs="Times New Roman"/>
          <w:b w:val="0"/>
          <w:bCs/>
          <w:kern w:val="0"/>
          <w:sz w:val="24"/>
          <w:szCs w:val="24"/>
          <w:highlight w:val="none"/>
          <w:u w:val="none" w:color="auto"/>
          <w:lang w:val="en-US" w:eastAsia="zh-CN"/>
        </w:rPr>
        <w:t>6台成型机，</w:t>
      </w:r>
      <w:r>
        <w:rPr>
          <w:rFonts w:hint="default" w:ascii="Times New Roman" w:hAnsi="Times New Roman" w:cs="Times New Roman"/>
          <w:b w:val="0"/>
          <w:bCs/>
          <w:color w:val="000000"/>
          <w:sz w:val="24"/>
          <w:highlight w:val="none"/>
          <w:u w:val="none" w:color="auto"/>
          <w:lang w:val="en-US" w:eastAsia="zh-CN"/>
        </w:rPr>
        <w:t>共</w:t>
      </w:r>
      <w:r>
        <w:rPr>
          <w:rFonts w:hint="eastAsia" w:ascii="Times New Roman" w:hAnsi="Times New Roman" w:cs="Times New Roman"/>
          <w:b w:val="0"/>
          <w:bCs/>
          <w:color w:val="000000"/>
          <w:sz w:val="24"/>
          <w:highlight w:val="none"/>
          <w:u w:val="none" w:color="auto"/>
          <w:lang w:val="en-US" w:eastAsia="zh-CN"/>
        </w:rPr>
        <w:t>6</w:t>
      </w:r>
      <w:r>
        <w:rPr>
          <w:rFonts w:hint="default" w:ascii="Times New Roman" w:hAnsi="Times New Roman" w:cs="Times New Roman"/>
          <w:b w:val="0"/>
          <w:bCs/>
          <w:color w:val="000000"/>
          <w:sz w:val="24"/>
          <w:highlight w:val="none"/>
          <w:u w:val="none" w:color="auto"/>
          <w:lang w:val="en-US" w:eastAsia="zh-CN"/>
        </w:rPr>
        <w:t>个集气罩</w:t>
      </w:r>
      <w:r>
        <w:rPr>
          <w:rFonts w:hint="eastAsia" w:ascii="Times New Roman" w:hAnsi="Times New Roman" w:cs="Times New Roman"/>
          <w:b w:val="0"/>
          <w:bCs/>
          <w:color w:val="000000"/>
          <w:sz w:val="24"/>
          <w:highlight w:val="none"/>
          <w:u w:val="none" w:color="auto"/>
          <w:lang w:val="en-US" w:eastAsia="zh-CN"/>
        </w:rPr>
        <w:t>，</w:t>
      </w:r>
      <w:r>
        <w:rPr>
          <w:rFonts w:hint="default" w:ascii="Times New Roman" w:hAnsi="Times New Roman" w:eastAsia="宋体" w:cs="Times New Roman"/>
          <w:b w:val="0"/>
          <w:bCs/>
          <w:color w:val="000000"/>
          <w:sz w:val="24"/>
          <w:highlight w:val="none"/>
          <w:u w:val="none" w:color="auto"/>
          <w:lang w:val="en-US" w:eastAsia="zh-CN"/>
        </w:rPr>
        <w:t>则总风量约</w:t>
      </w:r>
      <w:r>
        <w:rPr>
          <w:rFonts w:hint="eastAsia" w:ascii="Times New Roman" w:hAnsi="Times New Roman" w:eastAsia="宋体" w:cs="Times New Roman"/>
          <w:b w:val="0"/>
          <w:bCs/>
          <w:color w:val="000000"/>
          <w:sz w:val="24"/>
          <w:highlight w:val="none"/>
          <w:u w:val="none" w:color="auto"/>
          <w:lang w:val="en-US" w:eastAsia="zh-CN"/>
        </w:rPr>
        <w:t>6350.4</w:t>
      </w:r>
      <w:r>
        <w:rPr>
          <w:rFonts w:hint="default" w:ascii="Times New Roman" w:hAnsi="Times New Roman" w:eastAsia="宋体" w:cs="Times New Roman"/>
          <w:b w:val="0"/>
          <w:bCs/>
          <w:color w:val="000000"/>
          <w:sz w:val="24"/>
          <w:highlight w:val="none"/>
          <w:u w:val="none" w:color="auto"/>
          <w:lang w:val="en-US" w:eastAsia="zh-CN"/>
        </w:rPr>
        <w:t>m</w:t>
      </w:r>
      <w:r>
        <w:rPr>
          <w:rFonts w:hint="default" w:ascii="Times New Roman" w:hAnsi="Times New Roman" w:eastAsia="宋体" w:cs="Times New Roman"/>
          <w:b w:val="0"/>
          <w:bCs/>
          <w:color w:val="000000"/>
          <w:sz w:val="24"/>
          <w:highlight w:val="none"/>
          <w:u w:val="none" w:color="auto"/>
          <w:vertAlign w:val="superscript"/>
          <w:lang w:val="en-US" w:eastAsia="zh-CN"/>
        </w:rPr>
        <w:t>3</w:t>
      </w:r>
      <w:r>
        <w:rPr>
          <w:rFonts w:hint="default" w:ascii="Times New Roman" w:hAnsi="Times New Roman" w:eastAsia="宋体" w:cs="Times New Roman"/>
          <w:b w:val="0"/>
          <w:bCs/>
          <w:color w:val="000000"/>
          <w:sz w:val="24"/>
          <w:highlight w:val="none"/>
          <w:u w:val="none" w:color="auto"/>
          <w:lang w:val="en-US" w:eastAsia="zh-CN"/>
        </w:rPr>
        <w:t>/h计</w:t>
      </w:r>
      <w:r>
        <w:rPr>
          <w:rFonts w:hint="default" w:ascii="Times New Roman" w:hAnsi="Times New Roman" w:cs="Times New Roman"/>
          <w:b w:val="0"/>
          <w:bCs/>
          <w:kern w:val="0"/>
          <w:sz w:val="24"/>
          <w:szCs w:val="24"/>
          <w:highlight w:val="none"/>
          <w:u w:val="none" w:color="auto"/>
        </w:rPr>
        <w:t>。</w:t>
      </w:r>
      <w:r>
        <w:rPr>
          <w:rFonts w:hint="default" w:ascii="Times New Roman" w:hAnsi="Times New Roman" w:eastAsia="宋体" w:cs="Times New Roman"/>
          <w:b w:val="0"/>
          <w:bCs/>
          <w:color w:val="000000"/>
          <w:sz w:val="24"/>
          <w:highlight w:val="none"/>
          <w:u w:val="none" w:color="auto"/>
        </w:rPr>
        <w:t>为了提高风机处理量的富余能力，本项目风机风量富余值按上述计算所需风机总风量的</w:t>
      </w:r>
      <w:r>
        <w:rPr>
          <w:rFonts w:hint="default" w:ascii="Times New Roman" w:hAnsi="Times New Roman" w:eastAsia="宋体" w:cs="Times New Roman"/>
          <w:b w:val="0"/>
          <w:bCs/>
          <w:color w:val="000000"/>
          <w:sz w:val="24"/>
          <w:highlight w:val="none"/>
          <w:u w:val="none" w:color="auto"/>
          <w:lang w:val="en-US" w:eastAsia="zh-CN"/>
        </w:rPr>
        <w:t>10</w:t>
      </w:r>
      <w:r>
        <w:rPr>
          <w:rFonts w:hint="default" w:ascii="Times New Roman" w:hAnsi="Times New Roman" w:eastAsia="宋体" w:cs="Times New Roman"/>
          <w:b w:val="0"/>
          <w:bCs/>
          <w:color w:val="000000"/>
          <w:sz w:val="24"/>
          <w:highlight w:val="none"/>
          <w:u w:val="none" w:color="auto"/>
        </w:rPr>
        <w:t>%</w:t>
      </w:r>
      <w:r>
        <w:rPr>
          <w:rFonts w:hint="default" w:ascii="Times New Roman" w:hAnsi="Times New Roman" w:eastAsia="宋体" w:cs="Times New Roman"/>
          <w:b w:val="0"/>
          <w:bCs/>
          <w:color w:val="000000"/>
          <w:sz w:val="24"/>
          <w:highlight w:val="none"/>
          <w:u w:val="none" w:color="auto"/>
          <w:lang w:eastAsia="zh-CN"/>
        </w:rPr>
        <w:t>左右</w:t>
      </w:r>
      <w:r>
        <w:rPr>
          <w:rFonts w:hint="default" w:ascii="Times New Roman" w:hAnsi="Times New Roman" w:eastAsia="宋体" w:cs="Times New Roman"/>
          <w:b w:val="0"/>
          <w:bCs/>
          <w:color w:val="000000"/>
          <w:sz w:val="24"/>
          <w:highlight w:val="none"/>
          <w:u w:val="none" w:color="auto"/>
        </w:rPr>
        <w:t>计算，</w:t>
      </w:r>
      <w:r>
        <w:rPr>
          <w:rFonts w:hint="default" w:ascii="Times New Roman" w:hAnsi="Times New Roman" w:eastAsia="宋体" w:cs="Times New Roman"/>
          <w:b w:val="0"/>
          <w:bCs/>
          <w:color w:val="000000"/>
          <w:sz w:val="24"/>
          <w:highlight w:val="none"/>
          <w:u w:val="none" w:color="auto"/>
          <w:lang w:eastAsia="zh-CN"/>
        </w:rPr>
        <w:t>则废气总量按</w:t>
      </w:r>
      <w:r>
        <w:rPr>
          <w:rFonts w:hint="eastAsia" w:cs="Times New Roman"/>
          <w:b w:val="0"/>
          <w:bCs/>
          <w:color w:val="000000"/>
          <w:sz w:val="24"/>
          <w:highlight w:val="none"/>
          <w:u w:val="none" w:color="auto"/>
          <w:lang w:val="en-US" w:eastAsia="zh-CN"/>
        </w:rPr>
        <w:t>7000</w:t>
      </w:r>
      <w:r>
        <w:rPr>
          <w:rFonts w:hint="default" w:ascii="Times New Roman" w:hAnsi="Times New Roman" w:eastAsia="宋体" w:cs="Times New Roman"/>
          <w:b w:val="0"/>
          <w:bCs/>
          <w:color w:val="000000"/>
          <w:sz w:val="24"/>
          <w:highlight w:val="none"/>
          <w:u w:val="none" w:color="auto"/>
        </w:rPr>
        <w:t>m</w:t>
      </w:r>
      <w:r>
        <w:rPr>
          <w:rFonts w:hint="default" w:ascii="Times New Roman" w:hAnsi="Times New Roman" w:eastAsia="宋体" w:cs="Times New Roman"/>
          <w:b w:val="0"/>
          <w:bCs/>
          <w:color w:val="000000"/>
          <w:sz w:val="24"/>
          <w:highlight w:val="none"/>
          <w:u w:val="none" w:color="auto"/>
          <w:vertAlign w:val="superscript"/>
        </w:rPr>
        <w:t>3</w:t>
      </w:r>
      <w:r>
        <w:rPr>
          <w:rFonts w:hint="default" w:ascii="Times New Roman" w:hAnsi="Times New Roman" w:eastAsia="宋体" w:cs="Times New Roman"/>
          <w:b w:val="0"/>
          <w:bCs/>
          <w:color w:val="000000"/>
          <w:sz w:val="24"/>
          <w:highlight w:val="none"/>
          <w:u w:val="none" w:color="auto"/>
        </w:rPr>
        <w:t>/h</w:t>
      </w:r>
      <w:r>
        <w:rPr>
          <w:rFonts w:hint="default" w:ascii="Times New Roman" w:hAnsi="Times New Roman" w:eastAsia="宋体" w:cs="Times New Roman"/>
          <w:b w:val="0"/>
          <w:bCs/>
          <w:color w:val="000000"/>
          <w:sz w:val="24"/>
          <w:highlight w:val="none"/>
          <w:u w:val="none" w:color="auto"/>
          <w:lang w:eastAsia="zh-CN"/>
        </w:rPr>
        <w:t>计。</w:t>
      </w:r>
    </w:p>
    <w:p w14:paraId="3354AA89">
      <w:pPr>
        <w:keepNext w:val="0"/>
        <w:keepLines w:val="0"/>
        <w:pageBreakBefore w:val="0"/>
        <w:widowControl w:val="0"/>
        <w:kinsoku/>
        <w:wordWrap w:val="0"/>
        <w:overflowPunct/>
        <w:topLinePunct w:val="0"/>
        <w:autoSpaceDE/>
        <w:autoSpaceDN/>
        <w:bidi w:val="0"/>
        <w:adjustRightInd/>
        <w:snapToGrid/>
        <w:spacing w:line="520" w:lineRule="exact"/>
        <w:textAlignment w:val="auto"/>
        <w:rPr>
          <w:rFonts w:hint="default" w:ascii="Times New Roman" w:hAnsi="Times New Roman" w:eastAsia="宋体" w:cs="Times New Roman"/>
          <w:highlight w:val="none"/>
          <w:lang w:val="en-US" w:eastAsia="zh-CN"/>
        </w:rPr>
      </w:pPr>
      <w:r>
        <w:rPr>
          <w:rFonts w:hint="eastAsia" w:cs="Times New Roman"/>
          <w:highlight w:val="none"/>
          <w:lang w:val="en-US" w:eastAsia="zh-CN"/>
        </w:rPr>
        <w:t>集气系统对非甲烷总烃、苯乙烯</w:t>
      </w:r>
      <w:r>
        <w:rPr>
          <w:rFonts w:hint="default" w:ascii="Times New Roman" w:hAnsi="Times New Roman" w:eastAsia="宋体" w:cs="Times New Roman"/>
          <w:highlight w:val="none"/>
          <w:lang w:val="en-US" w:eastAsia="zh-CN"/>
        </w:rPr>
        <w:t>的收集效率</w:t>
      </w:r>
      <w:r>
        <w:rPr>
          <w:rFonts w:hint="eastAsia" w:cs="Times New Roman"/>
          <w:highlight w:val="none"/>
          <w:lang w:val="en-US" w:eastAsia="zh-CN"/>
        </w:rPr>
        <w:t>均按</w:t>
      </w:r>
      <w:r>
        <w:rPr>
          <w:rFonts w:hint="default" w:ascii="Times New Roman" w:hAnsi="Times New Roman" w:eastAsia="宋体" w:cs="Times New Roman"/>
          <w:highlight w:val="none"/>
          <w:lang w:val="en-US" w:eastAsia="zh-CN"/>
        </w:rPr>
        <w:t>9</w:t>
      </w:r>
      <w:r>
        <w:rPr>
          <w:rFonts w:hint="eastAsia" w:cs="Times New Roman"/>
          <w:highlight w:val="none"/>
          <w:lang w:val="en-US" w:eastAsia="zh-CN"/>
        </w:rPr>
        <w:t>5</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计</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加热成型</w:t>
      </w:r>
      <w:r>
        <w:rPr>
          <w:rFonts w:hint="default" w:ascii="Times New Roman" w:hAnsi="Times New Roman" w:eastAsia="宋体" w:cs="Times New Roman"/>
          <w:highlight w:val="none"/>
          <w:lang w:val="en-US" w:eastAsia="zh-CN"/>
        </w:rPr>
        <w:t>工序</w:t>
      </w:r>
      <w:r>
        <w:rPr>
          <w:rFonts w:hint="eastAsia" w:eastAsia="宋体" w:cs="Times New Roman"/>
          <w:highlight w:val="none"/>
          <w:lang w:val="en-US" w:eastAsia="zh-CN"/>
        </w:rPr>
        <w:t>生产时间为</w:t>
      </w:r>
      <w:r>
        <w:rPr>
          <w:rFonts w:hint="eastAsia" w:cs="Times New Roman"/>
          <w:highlight w:val="none"/>
          <w:lang w:val="en-US" w:eastAsia="zh-CN"/>
        </w:rPr>
        <w:t>24</w:t>
      </w:r>
      <w:r>
        <w:rPr>
          <w:rFonts w:hint="default" w:ascii="Times New Roman" w:hAnsi="Times New Roman" w:eastAsia="宋体" w:cs="Times New Roman"/>
          <w:highlight w:val="none"/>
          <w:lang w:val="en-US" w:eastAsia="zh-CN"/>
        </w:rPr>
        <w:t>00h/a，非甲烷总烃有组织产生量为</w:t>
      </w:r>
      <w:r>
        <w:rPr>
          <w:rFonts w:hint="eastAsia" w:cs="Times New Roman"/>
          <w:highlight w:val="none"/>
          <w:lang w:val="en-US" w:eastAsia="zh-CN"/>
        </w:rPr>
        <w:t>0.5415</w:t>
      </w:r>
      <w:r>
        <w:rPr>
          <w:rFonts w:hint="default" w:ascii="Times New Roman" w:hAnsi="Times New Roman" w:eastAsia="宋体" w:cs="Times New Roman"/>
          <w:highlight w:val="none"/>
          <w:lang w:val="en-US" w:eastAsia="zh-CN"/>
        </w:rPr>
        <w:t>t/a，产生速率为</w:t>
      </w:r>
      <w:r>
        <w:rPr>
          <w:rFonts w:hint="eastAsia" w:cs="Times New Roman"/>
          <w:highlight w:val="none"/>
          <w:lang w:val="en-US" w:eastAsia="zh-CN"/>
        </w:rPr>
        <w:t>0.2256</w:t>
      </w:r>
      <w:r>
        <w:rPr>
          <w:rFonts w:hint="default" w:ascii="Times New Roman" w:hAnsi="Times New Roman" w:eastAsia="宋体" w:cs="Times New Roman"/>
          <w:highlight w:val="none"/>
          <w:lang w:val="en-US" w:eastAsia="zh-CN"/>
        </w:rPr>
        <w:t>kg/h，产生浓度为</w:t>
      </w:r>
      <w:r>
        <w:rPr>
          <w:rFonts w:hint="eastAsia" w:cs="Times New Roman"/>
          <w:highlight w:val="none"/>
          <w:lang w:val="en-US" w:eastAsia="zh-CN"/>
        </w:rPr>
        <w:t>32.23</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，苯乙烯</w:t>
      </w:r>
      <w:r>
        <w:rPr>
          <w:rFonts w:hint="default" w:ascii="Times New Roman" w:hAnsi="Times New Roman" w:eastAsia="宋体" w:cs="Times New Roman"/>
          <w:highlight w:val="none"/>
          <w:lang w:val="en-US" w:eastAsia="zh-CN"/>
        </w:rPr>
        <w:t>有组织产生量为</w:t>
      </w:r>
      <w:r>
        <w:rPr>
          <w:rFonts w:hint="eastAsia" w:cs="Times New Roman"/>
          <w:highlight w:val="none"/>
          <w:lang w:val="en-US" w:eastAsia="zh-CN"/>
        </w:rPr>
        <w:t>0.095</w:t>
      </w:r>
      <w:r>
        <w:rPr>
          <w:rFonts w:hint="default" w:ascii="Times New Roman" w:hAnsi="Times New Roman" w:eastAsia="宋体" w:cs="Times New Roman"/>
          <w:highlight w:val="none"/>
          <w:lang w:val="en-US" w:eastAsia="zh-CN"/>
        </w:rPr>
        <w:t>t/a，产生速率为</w:t>
      </w:r>
      <w:r>
        <w:rPr>
          <w:rFonts w:hint="eastAsia" w:cs="Times New Roman"/>
          <w:highlight w:val="none"/>
          <w:lang w:val="en-US" w:eastAsia="zh-CN"/>
        </w:rPr>
        <w:t>0.0396</w:t>
      </w:r>
      <w:r>
        <w:rPr>
          <w:rFonts w:hint="default" w:ascii="Times New Roman" w:hAnsi="Times New Roman" w:eastAsia="宋体" w:cs="Times New Roman"/>
          <w:highlight w:val="none"/>
          <w:lang w:val="en-US" w:eastAsia="zh-CN"/>
        </w:rPr>
        <w:t>kg/h，产生浓度为</w:t>
      </w:r>
      <w:r>
        <w:rPr>
          <w:rFonts w:hint="eastAsia" w:cs="Times New Roman"/>
          <w:highlight w:val="none"/>
          <w:lang w:val="en-US" w:eastAsia="zh-CN"/>
        </w:rPr>
        <w:t>5.65</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；本次评价两级活性炭吸附装置对非甲烷总烃</w:t>
      </w:r>
      <w:r>
        <w:rPr>
          <w:rFonts w:hint="eastAsia" w:cs="Times New Roman"/>
          <w:highlight w:val="none"/>
          <w:lang w:val="en-US" w:eastAsia="zh-CN"/>
        </w:rPr>
        <w:t>、苯乙烯</w:t>
      </w:r>
      <w:r>
        <w:rPr>
          <w:rFonts w:hint="default" w:ascii="Times New Roman" w:hAnsi="Times New Roman" w:eastAsia="宋体" w:cs="Times New Roman"/>
          <w:highlight w:val="none"/>
          <w:lang w:val="en-US" w:eastAsia="zh-CN"/>
        </w:rPr>
        <w:t>的处理效率</w:t>
      </w:r>
      <w:r>
        <w:rPr>
          <w:rFonts w:hint="eastAsia" w:cs="Times New Roman"/>
          <w:highlight w:val="none"/>
          <w:lang w:val="en-US" w:eastAsia="zh-CN"/>
        </w:rPr>
        <w:t>均按</w:t>
      </w:r>
      <w:r>
        <w:rPr>
          <w:rFonts w:hint="default" w:ascii="Times New Roman" w:hAnsi="Times New Roman" w:eastAsia="宋体" w:cs="Times New Roman"/>
          <w:highlight w:val="none"/>
          <w:lang w:val="en-US" w:eastAsia="zh-CN"/>
        </w:rPr>
        <w:t>80%计，则非甲烷总烃有组织排放量为0.</w:t>
      </w:r>
      <w:r>
        <w:rPr>
          <w:rFonts w:hint="eastAsia" w:cs="Times New Roman"/>
          <w:highlight w:val="none"/>
          <w:lang w:val="en-US" w:eastAsia="zh-CN"/>
        </w:rPr>
        <w:t>1083</w:t>
      </w:r>
      <w:r>
        <w:rPr>
          <w:rFonts w:hint="default" w:ascii="Times New Roman" w:hAnsi="Times New Roman" w:eastAsia="宋体" w:cs="Times New Roman"/>
          <w:highlight w:val="none"/>
          <w:lang w:val="en-US" w:eastAsia="zh-CN"/>
        </w:rPr>
        <w:t>t/a，排放速率为0.</w:t>
      </w:r>
      <w:r>
        <w:rPr>
          <w:rFonts w:hint="eastAsia" w:cs="Times New Roman"/>
          <w:highlight w:val="none"/>
          <w:lang w:val="en-US" w:eastAsia="zh-CN"/>
        </w:rPr>
        <w:t>0451</w:t>
      </w:r>
      <w:r>
        <w:rPr>
          <w:rFonts w:hint="default" w:ascii="Times New Roman" w:hAnsi="Times New Roman" w:eastAsia="宋体" w:cs="Times New Roman"/>
          <w:highlight w:val="none"/>
          <w:lang w:val="en-US" w:eastAsia="zh-CN"/>
        </w:rPr>
        <w:t>kg/h，排放浓度为</w:t>
      </w:r>
      <w:r>
        <w:rPr>
          <w:rFonts w:hint="eastAsia" w:cs="Times New Roman"/>
          <w:highlight w:val="none"/>
          <w:lang w:val="en-US" w:eastAsia="zh-CN"/>
        </w:rPr>
        <w:t>6.45</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，苯乙烯</w:t>
      </w:r>
      <w:r>
        <w:rPr>
          <w:rFonts w:hint="default" w:ascii="Times New Roman" w:hAnsi="Times New Roman" w:eastAsia="宋体" w:cs="Times New Roman"/>
          <w:highlight w:val="none"/>
          <w:lang w:val="en-US" w:eastAsia="zh-CN"/>
        </w:rPr>
        <w:t>有组织排放量为0.</w:t>
      </w:r>
      <w:r>
        <w:rPr>
          <w:rFonts w:hint="eastAsia" w:cs="Times New Roman"/>
          <w:highlight w:val="none"/>
          <w:lang w:val="en-US" w:eastAsia="zh-CN"/>
        </w:rPr>
        <w:t>019</w:t>
      </w:r>
      <w:r>
        <w:rPr>
          <w:rFonts w:hint="default" w:ascii="Times New Roman" w:hAnsi="Times New Roman" w:eastAsia="宋体" w:cs="Times New Roman"/>
          <w:highlight w:val="none"/>
          <w:lang w:val="en-US" w:eastAsia="zh-CN"/>
        </w:rPr>
        <w:t>t/a，排放速率为0.</w:t>
      </w:r>
      <w:r>
        <w:rPr>
          <w:rFonts w:hint="eastAsia" w:ascii="Times New Roman" w:hAnsi="Times New Roman" w:eastAsia="宋体" w:cs="Times New Roman"/>
          <w:highlight w:val="none"/>
          <w:lang w:val="en-US" w:eastAsia="zh-CN"/>
        </w:rPr>
        <w:t>00</w:t>
      </w:r>
      <w:r>
        <w:rPr>
          <w:rFonts w:hint="eastAsia" w:cs="Times New Roman"/>
          <w:highlight w:val="none"/>
          <w:lang w:val="en-US" w:eastAsia="zh-CN"/>
        </w:rPr>
        <w:t>79</w:t>
      </w:r>
      <w:r>
        <w:rPr>
          <w:rFonts w:hint="default" w:ascii="Times New Roman" w:hAnsi="Times New Roman" w:eastAsia="宋体" w:cs="Times New Roman"/>
          <w:highlight w:val="none"/>
          <w:lang w:val="en-US" w:eastAsia="zh-CN"/>
        </w:rPr>
        <w:t>kg/h，排放浓度为</w:t>
      </w:r>
      <w:r>
        <w:rPr>
          <w:rFonts w:hint="eastAsia" w:cs="Times New Roman"/>
          <w:highlight w:val="none"/>
          <w:lang w:val="en-US" w:eastAsia="zh-CN"/>
        </w:rPr>
        <w:t>1.13</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ascii="Times New Roman" w:hAnsi="Times New Roman" w:eastAsia="宋体" w:cs="Times New Roman"/>
          <w:highlight w:val="none"/>
          <w:vertAlign w:val="baseline"/>
          <w:lang w:val="en-US" w:eastAsia="zh-CN"/>
        </w:rPr>
        <w:t>。</w:t>
      </w:r>
      <w:r>
        <w:rPr>
          <w:rFonts w:hint="default" w:ascii="Times New Roman" w:hAnsi="Times New Roman" w:eastAsia="宋体" w:cs="Times New Roman"/>
          <w:highlight w:val="none"/>
          <w:lang w:val="en-US" w:eastAsia="zh-CN"/>
        </w:rPr>
        <w:t>非甲烷总烃排放满足《合成树脂工业污染物排放标准》（GB 31572-2015，含2024年修改单）（</w:t>
      </w:r>
      <w:r>
        <w:rPr>
          <w:rFonts w:hint="eastAsia" w:cs="Times New Roman"/>
          <w:highlight w:val="none"/>
          <w:lang w:val="en-US" w:eastAsia="zh-CN"/>
        </w:rPr>
        <w:t>非甲烷总烃：6</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w:t>
      </w:r>
      <w:r>
        <w:rPr>
          <w:rFonts w:hint="eastAsia" w:cs="Times New Roman"/>
          <w:highlight w:val="none"/>
          <w:lang w:val="en-US" w:eastAsia="zh-CN"/>
        </w:rPr>
        <w:t>《河南省重污染天气重点行业应急减排措施制定技术指南》（2024年修订版）“塑料制品企业绩效分级指标”的限值要求</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非甲烷总烃：2</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，苯乙烯排放满足</w:t>
      </w:r>
      <w:r>
        <w:rPr>
          <w:rFonts w:hint="default" w:ascii="Times New Roman" w:hAnsi="Times New Roman" w:eastAsia="宋体" w:cs="Times New Roman"/>
          <w:highlight w:val="none"/>
          <w:lang w:val="en-US" w:eastAsia="zh-CN"/>
        </w:rPr>
        <w:t>《合成树脂工业污染物排放标准》（GB 31572-2015，含2024年修改单）</w:t>
      </w:r>
      <w:r>
        <w:rPr>
          <w:rFonts w:hint="eastAsia" w:cs="Times New Roman"/>
          <w:highlight w:val="none"/>
          <w:lang w:val="en-US" w:eastAsia="zh-CN"/>
        </w:rPr>
        <w:t>的限值要求</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苯乙烯：</w:t>
      </w:r>
      <w:r>
        <w:rPr>
          <w:rFonts w:hint="eastAsia" w:cs="Times New Roman"/>
          <w:highlight w:val="none"/>
          <w:lang w:val="en-US" w:eastAsia="zh-CN"/>
        </w:rPr>
        <w:t>2</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和</w:t>
      </w:r>
      <w:r>
        <w:rPr>
          <w:rFonts w:hint="eastAsia" w:cs="Times New Roman"/>
          <w:highlight w:val="none"/>
          <w:lang w:val="en-US" w:eastAsia="zh-CN"/>
        </w:rPr>
        <w:t>《恶臭污染物排放标准》（GB 14554-93）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苯乙烯：</w:t>
      </w:r>
      <w:r>
        <w:rPr>
          <w:rFonts w:hint="eastAsia" w:cs="Times New Roman"/>
          <w:highlight w:val="none"/>
          <w:lang w:val="en-US" w:eastAsia="zh-CN"/>
        </w:rPr>
        <w:t>6.5</w:t>
      </w:r>
      <w:r>
        <w:rPr>
          <w:rFonts w:hint="default" w:ascii="Times New Roman" w:hAnsi="Times New Roman" w:eastAsia="宋体" w:cs="Times New Roman"/>
          <w:highlight w:val="none"/>
          <w:lang w:val="en-US" w:eastAsia="zh-CN"/>
        </w:rPr>
        <w:t>kg/h）</w:t>
      </w:r>
      <w:r>
        <w:rPr>
          <w:rFonts w:hint="eastAsia" w:cs="Times New Roman"/>
          <w:highlight w:val="none"/>
          <w:lang w:val="en-US" w:eastAsia="zh-CN"/>
        </w:rPr>
        <w:t>的限值要求</w:t>
      </w:r>
      <w:r>
        <w:rPr>
          <w:rFonts w:hint="default" w:ascii="Times New Roman" w:hAnsi="Times New Roman" w:eastAsia="宋体" w:cs="Times New Roman"/>
          <w:highlight w:val="none"/>
          <w:lang w:val="en-US" w:eastAsia="zh-CN"/>
        </w:rPr>
        <w:t>。</w:t>
      </w:r>
    </w:p>
    <w:p w14:paraId="6AB8471D">
      <w:pPr>
        <w:keepNext w:val="0"/>
        <w:keepLines w:val="0"/>
        <w:pageBreakBefore w:val="0"/>
        <w:widowControl/>
        <w:kinsoku/>
        <w:wordWrap/>
        <w:overflowPunct/>
        <w:topLinePunct w:val="0"/>
        <w:autoSpaceDE/>
        <w:autoSpaceDN/>
        <w:bidi w:val="0"/>
        <w:snapToGrid/>
        <w:spacing w:line="520" w:lineRule="exact"/>
        <w:ind w:firstLine="482" w:firstLineChars="200"/>
        <w:textAlignment w:val="auto"/>
        <w:rPr>
          <w:rFonts w:hint="default" w:ascii="Times New Roman" w:hAnsi="Times New Roman" w:cs="Times New Roman"/>
          <w:b/>
          <w:kern w:val="0"/>
          <w:sz w:val="24"/>
          <w:szCs w:val="20"/>
          <w:highlight w:val="none"/>
          <w:lang w:val="en-US" w:eastAsia="zh-CN"/>
        </w:rPr>
      </w:pPr>
      <w:r>
        <w:rPr>
          <w:rFonts w:hint="default" w:ascii="Times New Roman" w:hAnsi="Times New Roman" w:cs="Times New Roman"/>
          <w:b/>
          <w:kern w:val="0"/>
          <w:sz w:val="24"/>
          <w:szCs w:val="20"/>
          <w:highlight w:val="none"/>
          <w:lang w:val="en-US" w:eastAsia="zh-CN"/>
        </w:rPr>
        <w:t>（</w:t>
      </w:r>
      <w:r>
        <w:rPr>
          <w:rFonts w:hint="eastAsia" w:cs="Times New Roman"/>
          <w:b/>
          <w:kern w:val="0"/>
          <w:sz w:val="24"/>
          <w:szCs w:val="20"/>
          <w:highlight w:val="none"/>
          <w:lang w:val="en-US" w:eastAsia="zh-CN"/>
        </w:rPr>
        <w:t>2</w:t>
      </w:r>
      <w:r>
        <w:rPr>
          <w:rFonts w:hint="default" w:ascii="Times New Roman" w:hAnsi="Times New Roman" w:cs="Times New Roman"/>
          <w:b/>
          <w:kern w:val="0"/>
          <w:sz w:val="24"/>
          <w:szCs w:val="20"/>
          <w:highlight w:val="none"/>
          <w:lang w:val="en-US" w:eastAsia="zh-CN"/>
        </w:rPr>
        <w:t>）危废间废气</w:t>
      </w:r>
    </w:p>
    <w:p w14:paraId="13132C61">
      <w:pPr>
        <w:keepNext w:val="0"/>
        <w:keepLines w:val="0"/>
        <w:pageBreakBefore w:val="0"/>
        <w:widowControl/>
        <w:kinsoku/>
        <w:wordWrap/>
        <w:overflowPunct/>
        <w:topLinePunct w:val="0"/>
        <w:autoSpaceDE/>
        <w:autoSpaceDN/>
        <w:bidi w:val="0"/>
        <w:snapToGrid/>
        <w:spacing w:line="520" w:lineRule="exact"/>
        <w:ind w:firstLine="480" w:firstLineChars="200"/>
        <w:textAlignment w:val="auto"/>
        <w:rPr>
          <w:rFonts w:hint="default" w:ascii="Times New Roman" w:hAnsi="Times New Roman" w:cs="Times New Roman"/>
          <w:b w:val="0"/>
          <w:bCs/>
          <w:kern w:val="0"/>
          <w:sz w:val="24"/>
          <w:szCs w:val="20"/>
          <w:highlight w:val="none"/>
          <w:lang w:val="en-US" w:eastAsia="zh-CN"/>
        </w:rPr>
      </w:pPr>
      <w:r>
        <w:rPr>
          <w:rFonts w:hint="eastAsia" w:cs="Times New Roman"/>
          <w:b w:val="0"/>
          <w:bCs/>
          <w:kern w:val="0"/>
          <w:sz w:val="24"/>
          <w:szCs w:val="20"/>
          <w:highlight w:val="none"/>
          <w:lang w:val="en-US" w:eastAsia="zh-CN"/>
        </w:rPr>
        <w:t>本项目建成后</w:t>
      </w:r>
      <w:r>
        <w:rPr>
          <w:rFonts w:hint="default" w:ascii="Times New Roman" w:hAnsi="Times New Roman" w:cs="Times New Roman"/>
          <w:b w:val="0"/>
          <w:bCs/>
          <w:kern w:val="0"/>
          <w:sz w:val="24"/>
          <w:szCs w:val="20"/>
          <w:highlight w:val="none"/>
          <w:lang w:val="en-US" w:eastAsia="zh-CN"/>
        </w:rPr>
        <w:t>全厂</w:t>
      </w:r>
      <w:r>
        <w:rPr>
          <w:rFonts w:hint="eastAsia" w:cs="Times New Roman"/>
          <w:b w:val="0"/>
          <w:bCs/>
          <w:kern w:val="0"/>
          <w:sz w:val="24"/>
          <w:szCs w:val="20"/>
          <w:highlight w:val="none"/>
          <w:lang w:val="en-US" w:eastAsia="zh-CN"/>
        </w:rPr>
        <w:t>的危险废物</w:t>
      </w:r>
      <w:r>
        <w:rPr>
          <w:rFonts w:hint="default" w:ascii="Times New Roman" w:hAnsi="Times New Roman" w:cs="Times New Roman"/>
          <w:b w:val="0"/>
          <w:bCs/>
          <w:kern w:val="0"/>
          <w:sz w:val="24"/>
          <w:szCs w:val="20"/>
          <w:highlight w:val="none"/>
          <w:lang w:val="en-US" w:eastAsia="zh-CN"/>
        </w:rPr>
        <w:t>于危废间内暂存，危险废物暂存期间会有少量有机废气解析逸散废气产生。参照美国环保局网站AP-42空气排放因子汇编中</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废物处置</w:t>
      </w:r>
      <w:r>
        <w:rPr>
          <w:rFonts w:hint="eastAsia" w:ascii="Times New Roman" w:hAnsi="Times New Roman"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工业固废处置-储存</w:t>
      </w:r>
      <w:r>
        <w:rPr>
          <w:rFonts w:hint="eastAsia" w:ascii="Times New Roman" w:hAnsi="Times New Roman"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容器逃逸排放</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工序中的VOCs产生因子2.22×10</w:t>
      </w:r>
      <w:r>
        <w:rPr>
          <w:rFonts w:hint="default" w:ascii="Times New Roman" w:hAnsi="Times New Roman" w:cs="Times New Roman"/>
          <w:b w:val="0"/>
          <w:bCs/>
          <w:kern w:val="0"/>
          <w:sz w:val="24"/>
          <w:szCs w:val="20"/>
          <w:highlight w:val="none"/>
          <w:vertAlign w:val="superscript"/>
          <w:lang w:val="en-US" w:eastAsia="zh-CN"/>
        </w:rPr>
        <w:t>2</w:t>
      </w:r>
      <w:r>
        <w:rPr>
          <w:rFonts w:hint="default" w:ascii="Times New Roman" w:hAnsi="Times New Roman" w:cs="Times New Roman"/>
          <w:b w:val="0"/>
          <w:bCs/>
          <w:kern w:val="0"/>
          <w:sz w:val="24"/>
          <w:szCs w:val="20"/>
          <w:highlight w:val="none"/>
          <w:lang w:val="en-US" w:eastAsia="zh-CN"/>
        </w:rPr>
        <w:t>磅/1000个55加仑容器</w:t>
      </w:r>
      <w:r>
        <w:rPr>
          <w:rFonts w:hint="eastAsia" w:cs="Times New Roman"/>
          <w:b w:val="0"/>
          <w:bCs/>
          <w:kern w:val="0"/>
          <w:sz w:val="24"/>
          <w:szCs w:val="20"/>
          <w:highlight w:val="none"/>
          <w:lang w:val="en-US" w:eastAsia="zh-CN"/>
        </w:rPr>
        <w:t xml:space="preserve"> </w:t>
      </w:r>
      <w:r>
        <w:rPr>
          <w:rFonts w:hint="default" w:ascii="Times New Roman" w:hAnsi="Times New Roman" w:cs="Times New Roman"/>
          <w:b w:val="0"/>
          <w:bCs/>
          <w:kern w:val="0"/>
          <w:sz w:val="24"/>
          <w:szCs w:val="20"/>
          <w:highlight w:val="none"/>
          <w:lang w:val="en-US" w:eastAsia="zh-CN"/>
        </w:rPr>
        <w:t>年，折算成VOCs排放系数为100.7kg/200t固废</w:t>
      </w:r>
      <w:r>
        <w:rPr>
          <w:rFonts w:hint="eastAsia" w:cs="Times New Roman"/>
          <w:b w:val="0"/>
          <w:bCs/>
          <w:kern w:val="0"/>
          <w:sz w:val="24"/>
          <w:szCs w:val="20"/>
          <w:highlight w:val="none"/>
          <w:lang w:val="en-US" w:eastAsia="zh-CN"/>
        </w:rPr>
        <w:t xml:space="preserve"> </w:t>
      </w:r>
      <w:r>
        <w:rPr>
          <w:rFonts w:hint="default" w:ascii="Times New Roman" w:hAnsi="Times New Roman" w:cs="Times New Roman"/>
          <w:b w:val="0"/>
          <w:bCs/>
          <w:kern w:val="0"/>
          <w:sz w:val="24"/>
          <w:szCs w:val="20"/>
          <w:highlight w:val="none"/>
          <w:lang w:val="en-US" w:eastAsia="zh-CN"/>
        </w:rPr>
        <w:t>年，即0.5035kg/t</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固废，本项目建成后</w:t>
      </w:r>
      <w:r>
        <w:rPr>
          <w:rFonts w:hint="eastAsia" w:cs="Times New Roman"/>
          <w:b w:val="0"/>
          <w:bCs/>
          <w:kern w:val="0"/>
          <w:sz w:val="24"/>
          <w:szCs w:val="20"/>
          <w:highlight w:val="none"/>
          <w:lang w:val="en-US" w:eastAsia="zh-CN"/>
        </w:rPr>
        <w:t>废活性炭的</w:t>
      </w:r>
      <w:r>
        <w:rPr>
          <w:rFonts w:hint="default" w:ascii="Times New Roman" w:hAnsi="Times New Roman" w:cs="Times New Roman"/>
          <w:b w:val="0"/>
          <w:bCs/>
          <w:kern w:val="0"/>
          <w:sz w:val="24"/>
          <w:szCs w:val="20"/>
          <w:highlight w:val="none"/>
          <w:lang w:val="en-US" w:eastAsia="zh-CN"/>
        </w:rPr>
        <w:t>危废量为</w:t>
      </w:r>
      <w:r>
        <w:rPr>
          <w:rFonts w:hint="eastAsia" w:cs="Times New Roman"/>
          <w:b w:val="0"/>
          <w:bCs/>
          <w:kern w:val="0"/>
          <w:sz w:val="24"/>
          <w:szCs w:val="20"/>
          <w:highlight w:val="none"/>
          <w:lang w:val="en-US" w:eastAsia="zh-CN"/>
        </w:rPr>
        <w:t>8.3742</w:t>
      </w:r>
      <w:r>
        <w:rPr>
          <w:rFonts w:hint="default" w:ascii="Times New Roman" w:hAnsi="Times New Roman" w:cs="Times New Roman"/>
          <w:b w:val="0"/>
          <w:bCs/>
          <w:kern w:val="0"/>
          <w:sz w:val="24"/>
          <w:szCs w:val="20"/>
          <w:highlight w:val="none"/>
          <w:lang w:val="en-US" w:eastAsia="zh-CN"/>
        </w:rPr>
        <w:t>t/a，则VOCs产生量为0.00</w:t>
      </w:r>
      <w:r>
        <w:rPr>
          <w:rFonts w:hint="eastAsia" w:cs="Times New Roman"/>
          <w:b w:val="0"/>
          <w:bCs/>
          <w:kern w:val="0"/>
          <w:sz w:val="24"/>
          <w:szCs w:val="20"/>
          <w:highlight w:val="none"/>
          <w:lang w:val="en-US" w:eastAsia="zh-CN"/>
        </w:rPr>
        <w:t>42</w:t>
      </w:r>
      <w:r>
        <w:rPr>
          <w:rFonts w:hint="default" w:ascii="Times New Roman" w:hAnsi="Times New Roman" w:cs="Times New Roman"/>
          <w:b w:val="0"/>
          <w:bCs/>
          <w:kern w:val="0"/>
          <w:sz w:val="24"/>
          <w:szCs w:val="20"/>
          <w:highlight w:val="none"/>
          <w:lang w:val="en-US" w:eastAsia="zh-CN"/>
        </w:rPr>
        <w:t>ta。</w:t>
      </w:r>
    </w:p>
    <w:p w14:paraId="32CC3C0C">
      <w:pPr>
        <w:keepNext w:val="0"/>
        <w:keepLines w:val="0"/>
        <w:pageBreakBefore w:val="0"/>
        <w:widowControl/>
        <w:kinsoku/>
        <w:wordWrap/>
        <w:overflowPunct/>
        <w:topLinePunct w:val="0"/>
        <w:autoSpaceDE/>
        <w:autoSpaceDN/>
        <w:bidi w:val="0"/>
        <w:snapToGrid/>
        <w:spacing w:line="520" w:lineRule="exact"/>
        <w:ind w:firstLine="480" w:firstLineChars="200"/>
        <w:textAlignment w:val="auto"/>
        <w:rPr>
          <w:rFonts w:hint="default" w:ascii="Times New Roman" w:hAnsi="Times New Roman" w:cs="Times New Roman"/>
          <w:b/>
          <w:kern w:val="0"/>
          <w:sz w:val="24"/>
          <w:szCs w:val="20"/>
          <w:highlight w:val="none"/>
          <w:lang w:val="en-US" w:eastAsia="zh-CN"/>
        </w:rPr>
      </w:pPr>
      <w:r>
        <w:rPr>
          <w:rFonts w:hint="default" w:ascii="Times New Roman" w:hAnsi="Times New Roman" w:cs="Times New Roman"/>
          <w:b w:val="0"/>
          <w:bCs/>
          <w:kern w:val="0"/>
          <w:sz w:val="24"/>
          <w:szCs w:val="20"/>
          <w:highlight w:val="none"/>
          <w:lang w:val="en-US" w:eastAsia="zh-CN"/>
        </w:rPr>
        <w:t>评价要求针对密闭危废间</w:t>
      </w:r>
      <w:r>
        <w:rPr>
          <w:rFonts w:hint="eastAsia" w:cs="Times New Roman"/>
          <w:b w:val="0"/>
          <w:bCs/>
          <w:kern w:val="0"/>
          <w:sz w:val="24"/>
          <w:szCs w:val="20"/>
          <w:highlight w:val="none"/>
          <w:lang w:val="en-US" w:eastAsia="zh-CN"/>
        </w:rPr>
        <w:t>的废气，</w:t>
      </w:r>
      <w:r>
        <w:rPr>
          <w:rFonts w:hint="default" w:ascii="Times New Roman" w:hAnsi="Times New Roman" w:cs="Times New Roman"/>
          <w:b w:val="0"/>
          <w:bCs/>
          <w:kern w:val="0"/>
          <w:sz w:val="24"/>
          <w:szCs w:val="20"/>
          <w:highlight w:val="none"/>
          <w:lang w:val="en-US" w:eastAsia="zh-CN"/>
        </w:rPr>
        <w:t>设置</w:t>
      </w:r>
      <w:r>
        <w:rPr>
          <w:rFonts w:hint="eastAsia" w:cs="Times New Roman"/>
          <w:b w:val="0"/>
          <w:bCs/>
          <w:kern w:val="0"/>
          <w:sz w:val="24"/>
          <w:szCs w:val="20"/>
          <w:highlight w:val="none"/>
          <w:lang w:val="en-US" w:eastAsia="zh-CN"/>
        </w:rPr>
        <w:t>集气风管</w:t>
      </w:r>
      <w:r>
        <w:rPr>
          <w:rFonts w:hint="default" w:ascii="Times New Roman" w:hAnsi="Times New Roman" w:cs="Times New Roman"/>
          <w:b w:val="0"/>
          <w:bCs/>
          <w:kern w:val="0"/>
          <w:sz w:val="24"/>
          <w:szCs w:val="20"/>
          <w:highlight w:val="none"/>
          <w:lang w:val="en-US" w:eastAsia="zh-CN"/>
        </w:rPr>
        <w:t>进行</w:t>
      </w:r>
      <w:r>
        <w:rPr>
          <w:rFonts w:hint="eastAsia" w:cs="Times New Roman"/>
          <w:b w:val="0"/>
          <w:bCs/>
          <w:kern w:val="0"/>
          <w:sz w:val="24"/>
          <w:szCs w:val="20"/>
          <w:highlight w:val="none"/>
          <w:lang w:val="en-US" w:eastAsia="zh-CN"/>
        </w:rPr>
        <w:t>收集</w:t>
      </w:r>
      <w:r>
        <w:rPr>
          <w:rFonts w:hint="default" w:ascii="Times New Roman" w:hAnsi="Times New Roman" w:cs="Times New Roman"/>
          <w:b w:val="0"/>
          <w:bCs/>
          <w:kern w:val="0"/>
          <w:sz w:val="24"/>
          <w:szCs w:val="20"/>
          <w:highlight w:val="none"/>
          <w:lang w:val="en-US" w:eastAsia="zh-CN"/>
        </w:rPr>
        <w:t>，</w:t>
      </w:r>
      <w:r>
        <w:rPr>
          <w:rFonts w:hint="eastAsia" w:cs="Times New Roman"/>
          <w:b w:val="0"/>
          <w:bCs/>
          <w:kern w:val="0"/>
          <w:sz w:val="24"/>
          <w:szCs w:val="20"/>
          <w:highlight w:val="none"/>
          <w:lang w:val="en-US" w:eastAsia="zh-CN"/>
        </w:rPr>
        <w:t>收集到的有机废气与加热成型工序的有机废气，共同</w:t>
      </w:r>
      <w:r>
        <w:rPr>
          <w:rFonts w:hint="default" w:cs="Times New Roman"/>
          <w:b w:val="0"/>
          <w:bCs/>
          <w:color w:val="000000"/>
          <w:sz w:val="24"/>
          <w:highlight w:val="none"/>
          <w:u w:val="none" w:color="auto"/>
          <w:lang w:val="en-US" w:eastAsia="zh-CN"/>
        </w:rPr>
        <w:t>引入1套两级活性炭吸附装置进行处理，处理后的废气经</w:t>
      </w:r>
      <w:r>
        <w:rPr>
          <w:rFonts w:hint="eastAsia" w:cs="Times New Roman"/>
          <w:b w:val="0"/>
          <w:bCs/>
          <w:color w:val="000000"/>
          <w:sz w:val="24"/>
          <w:highlight w:val="none"/>
          <w:u w:val="none" w:color="auto"/>
          <w:lang w:val="en-US" w:eastAsia="zh-CN"/>
        </w:rPr>
        <w:t>一根</w:t>
      </w:r>
      <w:r>
        <w:rPr>
          <w:rFonts w:hint="default" w:cs="Times New Roman"/>
          <w:b w:val="0"/>
          <w:bCs/>
          <w:color w:val="000000"/>
          <w:sz w:val="24"/>
          <w:highlight w:val="none"/>
          <w:u w:val="none" w:color="auto"/>
          <w:lang w:val="en-US" w:eastAsia="zh-CN"/>
        </w:rPr>
        <w:t>15m高排气筒（DA001）</w:t>
      </w:r>
      <w:r>
        <w:rPr>
          <w:rFonts w:hint="eastAsia" w:cs="Times New Roman"/>
          <w:b w:val="0"/>
          <w:bCs/>
          <w:color w:val="000000"/>
          <w:sz w:val="24"/>
          <w:highlight w:val="none"/>
          <w:u w:val="none" w:color="auto"/>
          <w:lang w:val="en-US" w:eastAsia="zh-CN"/>
        </w:rPr>
        <w:t>达标</w:t>
      </w:r>
      <w:r>
        <w:rPr>
          <w:rFonts w:hint="default" w:cs="Times New Roman"/>
          <w:b w:val="0"/>
          <w:bCs/>
          <w:color w:val="000000"/>
          <w:sz w:val="24"/>
          <w:highlight w:val="none"/>
          <w:u w:val="none" w:color="auto"/>
          <w:lang w:val="en-US" w:eastAsia="zh-CN"/>
        </w:rPr>
        <w:t>排放。</w:t>
      </w:r>
      <w:r>
        <w:rPr>
          <w:rFonts w:hint="default" w:ascii="Times New Roman" w:hAnsi="Times New Roman" w:cs="Times New Roman"/>
          <w:b w:val="0"/>
          <w:bCs/>
          <w:kern w:val="0"/>
          <w:sz w:val="24"/>
          <w:szCs w:val="20"/>
          <w:highlight w:val="none"/>
          <w:lang w:val="en-US" w:eastAsia="zh-CN"/>
        </w:rPr>
        <w:t>根据《挥发性有机物治理实用手册</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第一版</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》，对于整体车间换风次数原则上不少于8次/1小时，且应保持微负压。厂区危废间体积为</w:t>
      </w:r>
      <w:r>
        <w:rPr>
          <w:rFonts w:hint="eastAsia" w:cs="Times New Roman"/>
          <w:b w:val="0"/>
          <w:bCs/>
          <w:kern w:val="0"/>
          <w:sz w:val="24"/>
          <w:szCs w:val="20"/>
          <w:highlight w:val="none"/>
          <w:lang w:val="en-US" w:eastAsia="zh-CN"/>
        </w:rPr>
        <w:t>5</w:t>
      </w:r>
      <w:r>
        <w:rPr>
          <w:rFonts w:hint="default" w:ascii="Times New Roman" w:hAnsi="Times New Roman" w:cs="Times New Roman"/>
          <w:b w:val="0"/>
          <w:bCs/>
          <w:kern w:val="0"/>
          <w:sz w:val="24"/>
          <w:szCs w:val="20"/>
          <w:highlight w:val="none"/>
          <w:lang w:val="en-US" w:eastAsia="zh-CN"/>
        </w:rPr>
        <w:t>m</w:t>
      </w:r>
      <w:r>
        <w:rPr>
          <w:rFonts w:hint="default" w:ascii="Times New Roman" w:hAnsi="Times New Roman" w:cs="Times New Roman"/>
          <w:b w:val="0"/>
          <w:bCs/>
          <w:kern w:val="0"/>
          <w:sz w:val="24"/>
          <w:szCs w:val="20"/>
          <w:highlight w:val="none"/>
          <w:vertAlign w:val="superscript"/>
          <w:lang w:val="en-US" w:eastAsia="zh-CN"/>
        </w:rPr>
        <w:t>2</w:t>
      </w:r>
      <w:r>
        <w:rPr>
          <w:rFonts w:hint="default" w:ascii="Times New Roman" w:hAnsi="Times New Roman" w:cs="Times New Roman"/>
          <w:b w:val="0"/>
          <w:bCs/>
          <w:kern w:val="0"/>
          <w:sz w:val="24"/>
          <w:szCs w:val="20"/>
          <w:highlight w:val="none"/>
          <w:lang w:val="en-US" w:eastAsia="zh-CN"/>
        </w:rPr>
        <w:t>×3m，则废气量为</w:t>
      </w:r>
      <w:r>
        <w:rPr>
          <w:rFonts w:hint="eastAsia" w:cs="Times New Roman"/>
          <w:b w:val="0"/>
          <w:bCs/>
          <w:kern w:val="0"/>
          <w:sz w:val="24"/>
          <w:szCs w:val="20"/>
          <w:highlight w:val="none"/>
          <w:lang w:val="en-US" w:eastAsia="zh-CN"/>
        </w:rPr>
        <w:t>120</w:t>
      </w:r>
      <w:r>
        <w:rPr>
          <w:rFonts w:hint="default" w:ascii="Times New Roman" w:hAnsi="Times New Roman" w:cs="Times New Roman"/>
          <w:b w:val="0"/>
          <w:bCs/>
          <w:kern w:val="0"/>
          <w:sz w:val="24"/>
          <w:szCs w:val="20"/>
          <w:highlight w:val="none"/>
          <w:lang w:val="en-US" w:eastAsia="zh-CN"/>
        </w:rPr>
        <w:t>m</w:t>
      </w:r>
      <w:r>
        <w:rPr>
          <w:rFonts w:hint="default" w:ascii="Times New Roman" w:hAnsi="Times New Roman" w:cs="Times New Roman"/>
          <w:b w:val="0"/>
          <w:bCs/>
          <w:kern w:val="0"/>
          <w:sz w:val="24"/>
          <w:szCs w:val="20"/>
          <w:highlight w:val="none"/>
          <w:vertAlign w:val="superscript"/>
          <w:lang w:val="en-US" w:eastAsia="zh-CN"/>
        </w:rPr>
        <w:t>3</w:t>
      </w:r>
      <w:r>
        <w:rPr>
          <w:rFonts w:hint="default" w:ascii="Times New Roman" w:hAnsi="Times New Roman" w:cs="Times New Roman"/>
          <w:b w:val="0"/>
          <w:bCs/>
          <w:kern w:val="0"/>
          <w:sz w:val="24"/>
          <w:szCs w:val="20"/>
          <w:highlight w:val="none"/>
          <w:lang w:val="en-US" w:eastAsia="zh-CN"/>
        </w:rPr>
        <w:t>/h</w:t>
      </w:r>
      <w:r>
        <w:rPr>
          <w:rFonts w:hint="eastAsia" w:cs="Times New Roman"/>
          <w:b w:val="0"/>
          <w:bCs/>
          <w:kern w:val="0"/>
          <w:sz w:val="24"/>
          <w:szCs w:val="20"/>
          <w:highlight w:val="none"/>
          <w:lang w:val="en-US" w:eastAsia="zh-CN"/>
        </w:rPr>
        <w:t>，</w:t>
      </w:r>
      <w:r>
        <w:rPr>
          <w:rFonts w:hint="eastAsia" w:eastAsia="宋体" w:cs="Times New Roman"/>
          <w:highlight w:val="none"/>
          <w:lang w:val="en-US" w:eastAsia="zh-CN"/>
        </w:rPr>
        <w:t>时间为</w:t>
      </w:r>
      <w:r>
        <w:rPr>
          <w:rFonts w:hint="eastAsia" w:cs="Times New Roman"/>
          <w:highlight w:val="none"/>
          <w:lang w:val="en-US" w:eastAsia="zh-CN"/>
        </w:rPr>
        <w:t>24</w:t>
      </w:r>
      <w:r>
        <w:rPr>
          <w:rFonts w:hint="default" w:ascii="Times New Roman" w:hAnsi="Times New Roman" w:eastAsia="宋体" w:cs="Times New Roman"/>
          <w:highlight w:val="none"/>
          <w:lang w:val="en-US" w:eastAsia="zh-CN"/>
        </w:rPr>
        <w:t>00h/a</w:t>
      </w:r>
      <w:r>
        <w:rPr>
          <w:rFonts w:hint="eastAsia" w:cs="Times New Roman"/>
          <w:b w:val="0"/>
          <w:bCs/>
          <w:kern w:val="0"/>
          <w:sz w:val="24"/>
          <w:szCs w:val="20"/>
          <w:highlight w:val="none"/>
          <w:lang w:val="en-US" w:eastAsia="zh-CN"/>
        </w:rPr>
        <w:t>。</w:t>
      </w:r>
      <w:r>
        <w:rPr>
          <w:rFonts w:hint="default" w:ascii="Times New Roman" w:hAnsi="Times New Roman" w:cs="Times New Roman"/>
          <w:b w:val="0"/>
          <w:bCs/>
          <w:kern w:val="0"/>
          <w:sz w:val="24"/>
          <w:szCs w:val="20"/>
          <w:highlight w:val="none"/>
          <w:lang w:val="en-US" w:eastAsia="zh-CN"/>
        </w:rPr>
        <w:t>VOCs</w:t>
      </w:r>
      <w:r>
        <w:rPr>
          <w:rFonts w:hint="default" w:ascii="Times New Roman" w:hAnsi="Times New Roman" w:eastAsia="宋体" w:cs="Times New Roman"/>
          <w:highlight w:val="none"/>
          <w:lang w:val="en-US" w:eastAsia="zh-CN"/>
        </w:rPr>
        <w:t>有组织产生量为</w:t>
      </w:r>
      <w:r>
        <w:rPr>
          <w:rFonts w:hint="eastAsia" w:cs="Times New Roman"/>
          <w:highlight w:val="none"/>
          <w:lang w:val="en-US" w:eastAsia="zh-CN"/>
        </w:rPr>
        <w:t>0.0042</w:t>
      </w:r>
      <w:r>
        <w:rPr>
          <w:rFonts w:hint="default" w:ascii="Times New Roman" w:hAnsi="Times New Roman" w:eastAsia="宋体" w:cs="Times New Roman"/>
          <w:highlight w:val="none"/>
          <w:lang w:val="en-US" w:eastAsia="zh-CN"/>
        </w:rPr>
        <w:t>t/a，产生速率为</w:t>
      </w:r>
      <w:r>
        <w:rPr>
          <w:rFonts w:hint="eastAsia" w:cs="Times New Roman"/>
          <w:highlight w:val="none"/>
          <w:lang w:val="en-US" w:eastAsia="zh-CN"/>
        </w:rPr>
        <w:t>0.0018</w:t>
      </w:r>
      <w:r>
        <w:rPr>
          <w:rFonts w:hint="default" w:ascii="Times New Roman" w:hAnsi="Times New Roman" w:eastAsia="宋体" w:cs="Times New Roman"/>
          <w:highlight w:val="none"/>
          <w:lang w:val="en-US" w:eastAsia="zh-CN"/>
        </w:rPr>
        <w:t>kg/h，产生浓度为</w:t>
      </w:r>
      <w:r>
        <w:rPr>
          <w:rFonts w:hint="eastAsia" w:cs="Times New Roman"/>
          <w:highlight w:val="none"/>
          <w:lang w:val="en-US" w:eastAsia="zh-CN"/>
        </w:rPr>
        <w:t>14.58</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w:t>
      </w:r>
      <w:r>
        <w:rPr>
          <w:rFonts w:hint="default" w:ascii="Times New Roman" w:hAnsi="Times New Roman" w:eastAsia="宋体" w:cs="Times New Roman"/>
          <w:highlight w:val="none"/>
          <w:lang w:val="en-US" w:eastAsia="zh-CN"/>
        </w:rPr>
        <w:t>本次评价两级活性炭吸附装置对</w:t>
      </w:r>
      <w:r>
        <w:rPr>
          <w:rFonts w:hint="eastAsia" w:ascii="Times New Roman" w:hAnsi="Times New Roman" w:eastAsia="宋体" w:cs="Times New Roman"/>
          <w:highlight w:val="none"/>
          <w:lang w:val="en-US" w:eastAsia="zh-CN"/>
        </w:rPr>
        <w:t>有机废气</w:t>
      </w:r>
      <w:r>
        <w:rPr>
          <w:rFonts w:hint="default" w:ascii="Times New Roman" w:hAnsi="Times New Roman" w:eastAsia="宋体" w:cs="Times New Roman"/>
          <w:highlight w:val="none"/>
          <w:lang w:val="en-US" w:eastAsia="zh-CN"/>
        </w:rPr>
        <w:t>的处理效率</w:t>
      </w:r>
      <w:r>
        <w:rPr>
          <w:rFonts w:hint="eastAsia" w:ascii="Times New Roman" w:hAnsi="Times New Roman" w:eastAsia="宋体" w:cs="Times New Roman"/>
          <w:highlight w:val="none"/>
          <w:lang w:val="en-US" w:eastAsia="zh-CN"/>
        </w:rPr>
        <w:t>均按照</w:t>
      </w:r>
      <w:r>
        <w:rPr>
          <w:rFonts w:hint="default" w:ascii="Times New Roman" w:hAnsi="Times New Roman" w:eastAsia="宋体" w:cs="Times New Roman"/>
          <w:highlight w:val="none"/>
          <w:lang w:val="en-US" w:eastAsia="zh-CN"/>
        </w:rPr>
        <w:t>80%计</w:t>
      </w:r>
      <w:r>
        <w:rPr>
          <w:rFonts w:hint="eastAsia"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eastAsia="zh-CN"/>
        </w:rPr>
        <w:t>则</w:t>
      </w:r>
      <w:r>
        <w:rPr>
          <w:rFonts w:hint="default" w:ascii="Times New Roman" w:hAnsi="Times New Roman" w:cs="Times New Roman"/>
          <w:b w:val="0"/>
          <w:bCs/>
          <w:kern w:val="0"/>
          <w:sz w:val="24"/>
          <w:szCs w:val="20"/>
          <w:highlight w:val="none"/>
          <w:lang w:val="en-US" w:eastAsia="zh-CN"/>
        </w:rPr>
        <w:t>VOCs</w:t>
      </w:r>
      <w:r>
        <w:rPr>
          <w:rFonts w:hint="default" w:ascii="Times New Roman" w:hAnsi="Times New Roman" w:eastAsia="宋体" w:cs="Times New Roman"/>
          <w:highlight w:val="none"/>
          <w:lang w:val="en-US" w:eastAsia="zh-CN"/>
        </w:rPr>
        <w:t>有组织排放量为0.</w:t>
      </w:r>
      <w:r>
        <w:rPr>
          <w:rFonts w:hint="eastAsia" w:ascii="Times New Roman" w:hAnsi="Times New Roman" w:eastAsia="宋体" w:cs="Times New Roman"/>
          <w:highlight w:val="none"/>
          <w:lang w:val="en-US" w:eastAsia="zh-CN"/>
        </w:rPr>
        <w:t>0008</w:t>
      </w:r>
      <w:r>
        <w:rPr>
          <w:rFonts w:hint="default" w:ascii="Times New Roman" w:hAnsi="Times New Roman" w:eastAsia="宋体" w:cs="Times New Roman"/>
          <w:highlight w:val="none"/>
          <w:lang w:val="en-US" w:eastAsia="zh-CN"/>
        </w:rPr>
        <w:t>t/a，排放速率为0.</w:t>
      </w:r>
      <w:r>
        <w:rPr>
          <w:rFonts w:hint="eastAsia" w:cs="Times New Roman"/>
          <w:highlight w:val="none"/>
          <w:lang w:val="en-US" w:eastAsia="zh-CN"/>
        </w:rPr>
        <w:t>0003</w:t>
      </w:r>
      <w:r>
        <w:rPr>
          <w:rFonts w:hint="default" w:ascii="Times New Roman" w:hAnsi="Times New Roman" w:eastAsia="宋体" w:cs="Times New Roman"/>
          <w:highlight w:val="none"/>
          <w:lang w:val="en-US" w:eastAsia="zh-CN"/>
        </w:rPr>
        <w:t>kg/h，排放浓度为</w:t>
      </w:r>
      <w:r>
        <w:rPr>
          <w:rFonts w:hint="eastAsia" w:cs="Times New Roman"/>
          <w:highlight w:val="none"/>
          <w:lang w:val="en-US" w:eastAsia="zh-CN"/>
        </w:rPr>
        <w:t>2.78</w:t>
      </w:r>
      <w:r>
        <w:rPr>
          <w:rFonts w:hint="default" w:ascii="Times New Roman" w:hAnsi="Times New Roman" w:eastAsia="宋体" w:cs="Times New Roman"/>
          <w:highlight w:val="none"/>
          <w:lang w:val="en-US" w:eastAsia="zh-CN"/>
        </w:rPr>
        <w:t>mg/m</w:t>
      </w:r>
      <w:r>
        <w:rPr>
          <w:rFonts w:hint="default" w:ascii="Times New Roman" w:hAnsi="Times New Roman" w:eastAsia="宋体" w:cs="Times New Roman"/>
          <w:highlight w:val="none"/>
          <w:vertAlign w:val="superscript"/>
          <w:lang w:val="en-US" w:eastAsia="zh-CN"/>
        </w:rPr>
        <w:t>3</w:t>
      </w:r>
      <w:r>
        <w:rPr>
          <w:rFonts w:hint="eastAsia" w:cs="Times New Roman"/>
          <w:highlight w:val="none"/>
          <w:lang w:val="en-US" w:eastAsia="zh-CN"/>
        </w:rPr>
        <w:t>。</w:t>
      </w:r>
      <w:r>
        <w:rPr>
          <w:rFonts w:hint="default" w:ascii="Times New Roman" w:hAnsi="Times New Roman" w:cs="Times New Roman"/>
          <w:b w:val="0"/>
          <w:bCs/>
          <w:kern w:val="0"/>
          <w:sz w:val="24"/>
          <w:szCs w:val="20"/>
          <w:highlight w:val="none"/>
          <w:lang w:val="en-US" w:eastAsia="zh-CN"/>
        </w:rPr>
        <w:t>VOCs</w:t>
      </w:r>
      <w:r>
        <w:rPr>
          <w:rFonts w:hint="eastAsia" w:ascii="Times New Roman" w:hAnsi="Times New Roman" w:cs="Times New Roman"/>
          <w:b w:val="0"/>
          <w:bCs/>
          <w:kern w:val="0"/>
          <w:sz w:val="24"/>
          <w:szCs w:val="20"/>
          <w:highlight w:val="none"/>
          <w:lang w:val="en-US" w:eastAsia="zh-CN"/>
        </w:rPr>
        <w:t>废气</w:t>
      </w:r>
      <w:r>
        <w:rPr>
          <w:rFonts w:hint="default" w:ascii="Times New Roman" w:hAnsi="Times New Roman" w:eastAsia="宋体" w:cs="Times New Roman"/>
          <w:highlight w:val="none"/>
          <w:lang w:val="en-US" w:eastAsia="zh-CN"/>
        </w:rPr>
        <w:t>排放满足《合成树脂工业污染物排放标准》（GB 31572-2015，含2024年修改单）（</w:t>
      </w:r>
      <w:r>
        <w:rPr>
          <w:rFonts w:hint="eastAsia" w:cs="Times New Roman"/>
          <w:highlight w:val="none"/>
          <w:lang w:val="en-US" w:eastAsia="zh-CN"/>
        </w:rPr>
        <w:t>非甲烷总烃：6</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w:t>
      </w:r>
      <w:r>
        <w:rPr>
          <w:rFonts w:hint="eastAsia" w:cs="Times New Roman"/>
          <w:highlight w:val="none"/>
          <w:lang w:val="en-US" w:eastAsia="zh-CN"/>
        </w:rPr>
        <w:t>《河南省重污染天气重点行业应急减排措施制定技术指南》（2024年修订版）“塑料制品企业绩效分级指标”的限值要求</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非甲烷总烃：2</w:t>
      </w:r>
      <w:r>
        <w:rPr>
          <w:rFonts w:hint="default" w:ascii="Times New Roman" w:hAnsi="Times New Roman" w:eastAsia="宋体" w:cs="Times New Roman"/>
          <w:highlight w:val="none"/>
          <w:lang w:val="en-US" w:eastAsia="zh-CN"/>
        </w:rPr>
        <w:t>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r>
        <w:rPr>
          <w:rFonts w:hint="eastAsia" w:cs="Times New Roman"/>
          <w:highlight w:val="none"/>
          <w:lang w:val="en-US" w:eastAsia="zh-CN"/>
        </w:rPr>
        <w:t>的限值要求</w:t>
      </w:r>
      <w:r>
        <w:rPr>
          <w:rFonts w:hint="default" w:ascii="Times New Roman" w:hAnsi="Times New Roman" w:eastAsia="宋体" w:cs="Times New Roman"/>
          <w:highlight w:val="none"/>
          <w:lang w:val="en-US" w:eastAsia="zh-CN"/>
        </w:rPr>
        <w:t>。</w:t>
      </w:r>
    </w:p>
    <w:p w14:paraId="4B6F63D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highlight w:val="none"/>
          <w:lang w:eastAsia="zh-CN"/>
        </w:rPr>
      </w:pPr>
    </w:p>
    <w:p w14:paraId="7F535D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highlight w:val="none"/>
          <w:lang w:eastAsia="zh-CN"/>
        </w:rPr>
      </w:pPr>
    </w:p>
    <w:p w14:paraId="1AAED92A">
      <w:pPr>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lang w:val="en-US" w:eastAsia="zh-CN"/>
        </w:rPr>
      </w:pPr>
    </w:p>
    <w:p w14:paraId="333CF30D">
      <w:pPr>
        <w:bidi w:val="0"/>
        <w:ind w:left="0" w:leftChars="0" w:firstLine="0" w:firstLineChars="0"/>
        <w:rPr>
          <w:rFonts w:hint="default" w:ascii="Times New Roman" w:hAnsi="Times New Roman" w:cs="Times New Roman"/>
          <w:lang w:eastAsia="zh-CN"/>
        </w:rPr>
        <w:sectPr>
          <w:footerReference r:id="rId9" w:type="default"/>
          <w:pgSz w:w="11906" w:h="16838"/>
          <w:pgMar w:top="1417" w:right="1417" w:bottom="1701" w:left="1701"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EE52E78">
      <w:pPr>
        <w:pStyle w:val="2"/>
        <w:keepLines w:val="0"/>
        <w:pageBreakBefore w:val="0"/>
        <w:widowControl w:val="0"/>
        <w:tabs>
          <w:tab w:val="left" w:pos="540"/>
        </w:tabs>
        <w:kinsoku/>
        <w:wordWrap/>
        <w:overflowPunct/>
        <w:topLinePunct w:val="0"/>
        <w:autoSpaceDE/>
        <w:autoSpaceDN/>
        <w:bidi w:val="0"/>
        <w:adjustRightInd/>
        <w:snapToGrid/>
        <w:jc w:val="both"/>
        <w:textAlignment w:val="auto"/>
        <w:rPr>
          <w:rFonts w:hint="default" w:ascii="Times New Roman" w:hAnsi="Times New Roman" w:eastAsia="宋体" w:cs="Times New Roman"/>
          <w:b/>
          <w:bCs w:val="0"/>
          <w:sz w:val="32"/>
          <w:szCs w:val="32"/>
        </w:rPr>
      </w:pPr>
      <w:r>
        <w:rPr>
          <w:rFonts w:hint="default" w:ascii="Times New Roman" w:hAnsi="Times New Roman" w:eastAsia="宋体" w:cs="Times New Roman"/>
          <w:b/>
          <w:bCs w:val="0"/>
          <w:sz w:val="32"/>
          <w:szCs w:val="32"/>
        </w:rPr>
        <w:t>四、VOCs排放量核算</w:t>
      </w:r>
    </w:p>
    <w:p w14:paraId="661050B8">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0"/>
        <w:rPr>
          <w:rFonts w:hint="default" w:ascii="Times New Roman" w:hAnsi="Times New Roman" w:cs="Times New Roman"/>
          <w:b/>
          <w:color w:val="000000"/>
          <w:sz w:val="24"/>
          <w:highlight w:val="none"/>
          <w:u w:val="none"/>
        </w:rPr>
      </w:pPr>
      <w:r>
        <w:rPr>
          <w:rFonts w:hint="default" w:ascii="Times New Roman" w:hAnsi="Times New Roman" w:cs="Times New Roman"/>
          <w:b/>
          <w:color w:val="000000"/>
          <w:sz w:val="24"/>
          <w:highlight w:val="none"/>
          <w:u w:val="none"/>
          <w:lang w:eastAsia="zh-CN"/>
        </w:rPr>
        <w:t>表</w:t>
      </w:r>
      <w:r>
        <w:rPr>
          <w:rFonts w:hint="default" w:ascii="Times New Roman" w:hAnsi="Times New Roman" w:cs="Times New Roman"/>
          <w:b/>
          <w:color w:val="000000"/>
          <w:sz w:val="24"/>
          <w:highlight w:val="none"/>
          <w:u w:val="none"/>
          <w:lang w:val="en-US" w:eastAsia="zh-CN"/>
        </w:rPr>
        <w:t>6   本项目涉VOCs</w:t>
      </w:r>
      <w:r>
        <w:rPr>
          <w:rFonts w:hint="default" w:ascii="Times New Roman" w:hAnsi="Times New Roman" w:cs="Times New Roman"/>
          <w:b/>
          <w:color w:val="000000"/>
          <w:sz w:val="24"/>
          <w:highlight w:val="none"/>
          <w:u w:val="none"/>
        </w:rPr>
        <w:t>废气产排情况一览表</w:t>
      </w:r>
    </w:p>
    <w:tbl>
      <w:tblPr>
        <w:tblStyle w:val="15"/>
        <w:tblW w:w="51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0"/>
        <w:gridCol w:w="1117"/>
        <w:gridCol w:w="767"/>
        <w:gridCol w:w="1047"/>
        <w:gridCol w:w="917"/>
        <w:gridCol w:w="950"/>
        <w:gridCol w:w="853"/>
        <w:gridCol w:w="1385"/>
        <w:gridCol w:w="1385"/>
        <w:gridCol w:w="997"/>
        <w:gridCol w:w="852"/>
        <w:gridCol w:w="941"/>
        <w:gridCol w:w="926"/>
        <w:gridCol w:w="1004"/>
        <w:gridCol w:w="1032"/>
      </w:tblGrid>
      <w:tr w14:paraId="6F464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jc w:val="center"/>
        </w:trPr>
        <w:tc>
          <w:tcPr>
            <w:tcW w:w="654" w:type="pct"/>
            <w:gridSpan w:val="2"/>
            <w:vMerge w:val="restart"/>
            <w:noWrap w:val="0"/>
            <w:vAlign w:val="center"/>
          </w:tcPr>
          <w:p w14:paraId="7FD900A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污染源名称</w:t>
            </w:r>
          </w:p>
        </w:tc>
        <w:tc>
          <w:tcPr>
            <w:tcW w:w="255" w:type="pct"/>
            <w:vMerge w:val="restart"/>
            <w:noWrap w:val="0"/>
            <w:vAlign w:val="center"/>
          </w:tcPr>
          <w:p w14:paraId="4606F66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废气量</w:t>
            </w:r>
          </w:p>
          <w:p w14:paraId="314E01B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w:t>
            </w:r>
            <w:r>
              <w:rPr>
                <w:rFonts w:ascii="Times New Roman" w:hAnsi="Times New Roman" w:eastAsia="宋体" w:cs="Times New Roman"/>
                <w:b w:val="0"/>
                <w:bCs/>
                <w:i w:val="0"/>
                <w:color w:val="auto"/>
                <w:kern w:val="0"/>
                <w:sz w:val="21"/>
                <w:szCs w:val="21"/>
                <w:u w:val="none" w:color="auto"/>
                <w:lang w:val="en-US" w:eastAsia="en-US" w:bidi="ar-SA"/>
              </w:rPr>
              <w:t>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r>
              <w:rPr>
                <w:rFonts w:ascii="Times New Roman" w:hAnsi="Times New Roman" w:eastAsia="宋体" w:cs="Times New Roman"/>
                <w:b w:val="0"/>
                <w:bCs/>
                <w:i w:val="0"/>
                <w:color w:val="auto"/>
                <w:kern w:val="0"/>
                <w:sz w:val="21"/>
                <w:szCs w:val="21"/>
                <w:u w:val="none" w:color="auto"/>
                <w:lang w:val="en-US" w:eastAsia="en-US" w:bidi="ar-SA"/>
              </w:rPr>
              <w:t>/h</w:t>
            </w: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348" w:type="pct"/>
            <w:vMerge w:val="restart"/>
            <w:noWrap w:val="0"/>
            <w:vAlign w:val="center"/>
          </w:tcPr>
          <w:p w14:paraId="1B2C6FE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污染因子</w:t>
            </w:r>
          </w:p>
        </w:tc>
        <w:tc>
          <w:tcPr>
            <w:tcW w:w="905" w:type="pct"/>
            <w:gridSpan w:val="3"/>
            <w:noWrap w:val="0"/>
            <w:vAlign w:val="center"/>
          </w:tcPr>
          <w:p w14:paraId="27C263D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产生情况</w:t>
            </w:r>
          </w:p>
        </w:tc>
        <w:tc>
          <w:tcPr>
            <w:tcW w:w="921" w:type="pct"/>
            <w:gridSpan w:val="2"/>
            <w:vMerge w:val="restart"/>
            <w:noWrap w:val="0"/>
            <w:vAlign w:val="center"/>
          </w:tcPr>
          <w:p w14:paraId="343E2C7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治理措施</w:t>
            </w:r>
          </w:p>
        </w:tc>
        <w:tc>
          <w:tcPr>
            <w:tcW w:w="331" w:type="pct"/>
            <w:vMerge w:val="restart"/>
            <w:noWrap w:val="0"/>
            <w:vAlign w:val="center"/>
          </w:tcPr>
          <w:p w14:paraId="22FCFEA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净化效率</w:t>
            </w:r>
          </w:p>
          <w:p w14:paraId="53865D7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eastAsia="zh-CN"/>
              </w:rPr>
            </w:pPr>
            <w:r>
              <w:rPr>
                <w:rFonts w:ascii="Times New Roman" w:hAnsi="Times New Roman" w:eastAsia="宋体" w:cs="Times New Roman"/>
                <w:b w:val="0"/>
                <w:bCs/>
                <w:i w:val="0"/>
                <w:color w:val="auto"/>
                <w:kern w:val="0"/>
                <w:sz w:val="21"/>
                <w:szCs w:val="21"/>
                <w:u w:val="none" w:color="auto"/>
                <w:lang w:val="en-US" w:eastAsia="zh-CN" w:bidi="ar-SA"/>
              </w:rPr>
              <w:t>（</w:t>
            </w:r>
            <w:r>
              <w:rPr>
                <w:rFonts w:ascii="Times New Roman" w:hAnsi="Times New Roman" w:eastAsia="宋体" w:cs="Times New Roman"/>
                <w:b w:val="0"/>
                <w:bCs/>
                <w:i w:val="0"/>
                <w:color w:val="auto"/>
                <w:kern w:val="0"/>
                <w:sz w:val="21"/>
                <w:szCs w:val="21"/>
                <w:u w:val="none" w:color="auto"/>
                <w:lang w:val="en-US" w:eastAsia="en-US" w:bidi="ar-SA"/>
              </w:rPr>
              <w:t>%</w:t>
            </w: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283" w:type="pct"/>
            <w:vMerge w:val="restart"/>
            <w:noWrap w:val="0"/>
            <w:vAlign w:val="center"/>
          </w:tcPr>
          <w:p w14:paraId="33AA6E9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eastAsia="zh-CN"/>
              </w:rPr>
            </w:pPr>
            <w:r>
              <w:rPr>
                <w:rFonts w:ascii="Times New Roman" w:hAnsi="Times New Roman" w:eastAsia="宋体" w:cs="Times New Roman"/>
                <w:b w:val="0"/>
                <w:bCs/>
                <w:i w:val="0"/>
                <w:color w:val="auto"/>
                <w:kern w:val="0"/>
                <w:sz w:val="21"/>
                <w:szCs w:val="21"/>
                <w:u w:val="none" w:color="auto"/>
                <w:lang w:val="en-US" w:eastAsia="zh-CN" w:bidi="ar-SA"/>
              </w:rPr>
              <w:t>运行时间（</w:t>
            </w:r>
            <w:r>
              <w:rPr>
                <w:rFonts w:ascii="Times New Roman" w:hAnsi="Times New Roman" w:eastAsia="宋体" w:cs="Times New Roman"/>
                <w:b w:val="0"/>
                <w:bCs/>
                <w:i w:val="0"/>
                <w:color w:val="auto"/>
                <w:kern w:val="0"/>
                <w:sz w:val="21"/>
                <w:szCs w:val="21"/>
                <w:u w:val="none" w:color="auto"/>
                <w:lang w:val="en-US" w:eastAsia="en-US" w:bidi="ar-SA"/>
              </w:rPr>
              <w:t>h</w:t>
            </w: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955" w:type="pct"/>
            <w:gridSpan w:val="3"/>
            <w:noWrap w:val="0"/>
            <w:vAlign w:val="center"/>
          </w:tcPr>
          <w:p w14:paraId="6495AA3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排放情况</w:t>
            </w:r>
          </w:p>
        </w:tc>
        <w:tc>
          <w:tcPr>
            <w:tcW w:w="343" w:type="pct"/>
            <w:noWrap w:val="0"/>
            <w:vAlign w:val="center"/>
          </w:tcPr>
          <w:p w14:paraId="3933042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标准限值</w:t>
            </w:r>
          </w:p>
        </w:tc>
      </w:tr>
      <w:tr w14:paraId="3A619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jc w:val="center"/>
        </w:trPr>
        <w:tc>
          <w:tcPr>
            <w:tcW w:w="654" w:type="pct"/>
            <w:gridSpan w:val="2"/>
            <w:vMerge w:val="continue"/>
            <w:noWrap w:val="0"/>
            <w:vAlign w:val="center"/>
          </w:tcPr>
          <w:p w14:paraId="12156C04">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Times New Roman" w:hAnsi="Times New Roman" w:eastAsia="宋体" w:cs="Times New Roman"/>
                <w:b w:val="0"/>
                <w:bCs/>
                <w:i w:val="0"/>
                <w:color w:val="auto"/>
                <w:sz w:val="21"/>
                <w:szCs w:val="21"/>
                <w:u w:val="none" w:color="auto"/>
              </w:rPr>
            </w:pPr>
          </w:p>
        </w:tc>
        <w:tc>
          <w:tcPr>
            <w:tcW w:w="255" w:type="pct"/>
            <w:vMerge w:val="continue"/>
            <w:noWrap w:val="0"/>
            <w:vAlign w:val="center"/>
          </w:tcPr>
          <w:p w14:paraId="6ABAE987">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both"/>
              <w:outlineLvl w:val="9"/>
              <w:rPr>
                <w:rFonts w:hint="eastAsia" w:ascii="Times New Roman" w:hAnsi="Times New Roman" w:eastAsia="宋体" w:cs="Times New Roman"/>
                <w:b w:val="0"/>
                <w:bCs/>
                <w:i w:val="0"/>
                <w:color w:val="auto"/>
                <w:sz w:val="21"/>
                <w:szCs w:val="21"/>
                <w:u w:val="none" w:color="auto"/>
              </w:rPr>
            </w:pPr>
          </w:p>
        </w:tc>
        <w:tc>
          <w:tcPr>
            <w:tcW w:w="348" w:type="pct"/>
            <w:vMerge w:val="continue"/>
            <w:noWrap w:val="0"/>
            <w:vAlign w:val="center"/>
          </w:tcPr>
          <w:p w14:paraId="7C6A090E">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Times New Roman" w:hAnsi="Times New Roman" w:eastAsia="宋体" w:cs="Times New Roman"/>
                <w:b w:val="0"/>
                <w:bCs/>
                <w:i w:val="0"/>
                <w:color w:val="auto"/>
                <w:sz w:val="21"/>
                <w:szCs w:val="21"/>
                <w:u w:val="none" w:color="auto"/>
              </w:rPr>
            </w:pPr>
          </w:p>
        </w:tc>
        <w:tc>
          <w:tcPr>
            <w:tcW w:w="305" w:type="pct"/>
            <w:noWrap w:val="0"/>
            <w:vAlign w:val="center"/>
          </w:tcPr>
          <w:p w14:paraId="2AB28D2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c>
          <w:tcPr>
            <w:tcW w:w="316" w:type="pct"/>
            <w:noWrap w:val="0"/>
            <w:vAlign w:val="center"/>
          </w:tcPr>
          <w:p w14:paraId="015554A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kg/h</w:t>
            </w:r>
          </w:p>
        </w:tc>
        <w:tc>
          <w:tcPr>
            <w:tcW w:w="283" w:type="pct"/>
            <w:noWrap w:val="0"/>
            <w:vAlign w:val="center"/>
          </w:tcPr>
          <w:p w14:paraId="73D6E5C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t/a</w:t>
            </w:r>
          </w:p>
        </w:tc>
        <w:tc>
          <w:tcPr>
            <w:tcW w:w="921" w:type="pct"/>
            <w:gridSpan w:val="2"/>
            <w:vMerge w:val="continue"/>
            <w:noWrap w:val="0"/>
            <w:vAlign w:val="center"/>
          </w:tcPr>
          <w:p w14:paraId="2BDE91B1">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Times New Roman" w:hAnsi="Times New Roman" w:eastAsia="宋体" w:cs="Times New Roman"/>
                <w:b w:val="0"/>
                <w:bCs/>
                <w:i w:val="0"/>
                <w:color w:val="auto"/>
                <w:sz w:val="21"/>
                <w:szCs w:val="21"/>
                <w:u w:val="none" w:color="auto"/>
              </w:rPr>
            </w:pPr>
          </w:p>
        </w:tc>
        <w:tc>
          <w:tcPr>
            <w:tcW w:w="331" w:type="pct"/>
            <w:vMerge w:val="continue"/>
            <w:noWrap w:val="0"/>
            <w:vAlign w:val="center"/>
          </w:tcPr>
          <w:p w14:paraId="37C3D45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p>
        </w:tc>
        <w:tc>
          <w:tcPr>
            <w:tcW w:w="283" w:type="pct"/>
            <w:vMerge w:val="continue"/>
            <w:noWrap w:val="0"/>
            <w:vAlign w:val="center"/>
          </w:tcPr>
          <w:p w14:paraId="6DF693D0">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Times New Roman" w:hAnsi="Times New Roman" w:eastAsia="宋体" w:cs="Times New Roman"/>
                <w:b w:val="0"/>
                <w:bCs/>
                <w:i w:val="0"/>
                <w:color w:val="auto"/>
                <w:sz w:val="21"/>
                <w:szCs w:val="21"/>
                <w:u w:val="none" w:color="auto"/>
              </w:rPr>
            </w:pPr>
          </w:p>
        </w:tc>
        <w:tc>
          <w:tcPr>
            <w:tcW w:w="313" w:type="pct"/>
            <w:noWrap w:val="0"/>
            <w:vAlign w:val="center"/>
          </w:tcPr>
          <w:p w14:paraId="41E2CA6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c>
          <w:tcPr>
            <w:tcW w:w="308" w:type="pct"/>
            <w:noWrap w:val="0"/>
            <w:vAlign w:val="center"/>
          </w:tcPr>
          <w:p w14:paraId="096C34B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kg/h</w:t>
            </w:r>
          </w:p>
        </w:tc>
        <w:tc>
          <w:tcPr>
            <w:tcW w:w="334" w:type="pct"/>
            <w:noWrap w:val="0"/>
            <w:vAlign w:val="center"/>
          </w:tcPr>
          <w:p w14:paraId="0694988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t/a</w:t>
            </w:r>
          </w:p>
        </w:tc>
        <w:tc>
          <w:tcPr>
            <w:tcW w:w="343" w:type="pct"/>
            <w:noWrap w:val="0"/>
            <w:vAlign w:val="center"/>
          </w:tcPr>
          <w:p w14:paraId="41FC0A6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r>
      <w:tr w14:paraId="3307B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2" w:hRule="atLeast"/>
          <w:jc w:val="center"/>
        </w:trPr>
        <w:tc>
          <w:tcPr>
            <w:tcW w:w="282" w:type="pct"/>
            <w:vMerge w:val="restart"/>
            <w:noWrap w:val="0"/>
            <w:vAlign w:val="center"/>
          </w:tcPr>
          <w:p w14:paraId="78AA2C9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有组织</w:t>
            </w:r>
          </w:p>
        </w:tc>
        <w:tc>
          <w:tcPr>
            <w:tcW w:w="371" w:type="pct"/>
            <w:vMerge w:val="restart"/>
            <w:noWrap w:val="0"/>
            <w:vAlign w:val="center"/>
          </w:tcPr>
          <w:p w14:paraId="0A27FE4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加热成型</w:t>
            </w:r>
          </w:p>
          <w:p w14:paraId="5B829BE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废气</w:t>
            </w:r>
          </w:p>
        </w:tc>
        <w:tc>
          <w:tcPr>
            <w:tcW w:w="255" w:type="pct"/>
            <w:vMerge w:val="restart"/>
            <w:noWrap w:val="0"/>
            <w:vAlign w:val="center"/>
          </w:tcPr>
          <w:p w14:paraId="1624BBC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7000</w:t>
            </w:r>
          </w:p>
        </w:tc>
        <w:tc>
          <w:tcPr>
            <w:tcW w:w="348" w:type="pct"/>
            <w:noWrap w:val="0"/>
            <w:vAlign w:val="center"/>
          </w:tcPr>
          <w:p w14:paraId="1935A4F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非甲烷</w:t>
            </w:r>
          </w:p>
          <w:p w14:paraId="38B5345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总烃</w:t>
            </w:r>
          </w:p>
        </w:tc>
        <w:tc>
          <w:tcPr>
            <w:tcW w:w="305" w:type="pct"/>
            <w:noWrap w:val="0"/>
            <w:vAlign w:val="center"/>
          </w:tcPr>
          <w:p w14:paraId="6CC1B13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32.23</w:t>
            </w:r>
          </w:p>
        </w:tc>
        <w:tc>
          <w:tcPr>
            <w:tcW w:w="316" w:type="pct"/>
            <w:noWrap w:val="0"/>
            <w:vAlign w:val="center"/>
          </w:tcPr>
          <w:p w14:paraId="20F25F6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0.2256</w:t>
            </w:r>
          </w:p>
        </w:tc>
        <w:tc>
          <w:tcPr>
            <w:tcW w:w="283" w:type="pct"/>
            <w:noWrap w:val="0"/>
            <w:vAlign w:val="center"/>
          </w:tcPr>
          <w:p w14:paraId="4D2E5F0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0.5415</w:t>
            </w:r>
          </w:p>
        </w:tc>
        <w:tc>
          <w:tcPr>
            <w:tcW w:w="460" w:type="pct"/>
            <w:vMerge w:val="restart"/>
            <w:noWrap w:val="0"/>
            <w:vAlign w:val="center"/>
          </w:tcPr>
          <w:p w14:paraId="7F63FEC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highlight w:val="green"/>
                <w:u w:val="none" w:color="auto"/>
                <w:lang w:val="en-US" w:eastAsia="zh-CN"/>
              </w:rPr>
            </w:pPr>
            <w:r>
              <w:rPr>
                <w:rFonts w:hint="eastAsia" w:cs="Times New Roman"/>
                <w:b w:val="0"/>
                <w:bCs/>
                <w:i w:val="0"/>
                <w:color w:val="auto"/>
                <w:sz w:val="21"/>
                <w:szCs w:val="21"/>
                <w:highlight w:val="none"/>
                <w:u w:val="none" w:color="auto"/>
                <w:lang w:val="en-US" w:eastAsia="zh-CN"/>
              </w:rPr>
              <w:t>成型机二次封闭+</w:t>
            </w:r>
            <w:r>
              <w:rPr>
                <w:rFonts w:hint="eastAsia" w:ascii="Times New Roman" w:hAnsi="Times New Roman" w:eastAsia="宋体" w:cs="Times New Roman"/>
                <w:b w:val="0"/>
                <w:bCs/>
                <w:i w:val="0"/>
                <w:color w:val="auto"/>
                <w:sz w:val="21"/>
                <w:szCs w:val="21"/>
                <w:highlight w:val="none"/>
                <w:u w:val="none" w:color="auto"/>
                <w:lang w:val="en-US" w:eastAsia="zh-CN"/>
              </w:rPr>
              <w:t>集气罩</w:t>
            </w:r>
          </w:p>
        </w:tc>
        <w:tc>
          <w:tcPr>
            <w:tcW w:w="460" w:type="pct"/>
            <w:vMerge w:val="restart"/>
            <w:noWrap w:val="0"/>
            <w:vAlign w:val="center"/>
          </w:tcPr>
          <w:p w14:paraId="5AFE0B7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highlight w:val="none"/>
                <w:u w:val="none" w:color="auto"/>
                <w:lang w:val="en-US" w:eastAsia="zh-CN"/>
              </w:rPr>
            </w:pPr>
            <w:r>
              <w:rPr>
                <w:rFonts w:hint="eastAsia" w:ascii="Times New Roman" w:hAnsi="Times New Roman" w:eastAsia="宋体" w:cs="Times New Roman"/>
                <w:b w:val="0"/>
                <w:bCs/>
                <w:i w:val="0"/>
                <w:color w:val="auto"/>
                <w:sz w:val="21"/>
                <w:szCs w:val="21"/>
                <w:highlight w:val="none"/>
                <w:u w:val="none" w:color="auto"/>
                <w:lang w:val="en-US" w:eastAsia="zh-CN"/>
              </w:rPr>
              <w:t>两级活性炭吸附+15m高排气筒DA001</w:t>
            </w:r>
          </w:p>
        </w:tc>
        <w:tc>
          <w:tcPr>
            <w:tcW w:w="331" w:type="pct"/>
            <w:vMerge w:val="restart"/>
            <w:noWrap w:val="0"/>
            <w:vAlign w:val="center"/>
          </w:tcPr>
          <w:p w14:paraId="3B83545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80</w:t>
            </w:r>
          </w:p>
        </w:tc>
        <w:tc>
          <w:tcPr>
            <w:tcW w:w="283" w:type="pct"/>
            <w:vMerge w:val="restart"/>
            <w:noWrap w:val="0"/>
            <w:vAlign w:val="center"/>
          </w:tcPr>
          <w:p w14:paraId="5ABFB35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2400</w:t>
            </w:r>
          </w:p>
        </w:tc>
        <w:tc>
          <w:tcPr>
            <w:tcW w:w="313" w:type="pct"/>
            <w:noWrap w:val="0"/>
            <w:vAlign w:val="center"/>
          </w:tcPr>
          <w:p w14:paraId="46EF856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6.</w:t>
            </w:r>
            <w:r>
              <w:rPr>
                <w:rFonts w:hint="eastAsia" w:cs="Times New Roman"/>
                <w:b w:val="0"/>
                <w:bCs/>
                <w:i w:val="0"/>
                <w:color w:val="auto"/>
                <w:sz w:val="21"/>
                <w:szCs w:val="21"/>
                <w:u w:val="none" w:color="auto"/>
                <w:lang w:val="en-US" w:eastAsia="zh-CN"/>
              </w:rPr>
              <w:t>45</w:t>
            </w:r>
          </w:p>
        </w:tc>
        <w:tc>
          <w:tcPr>
            <w:tcW w:w="308" w:type="pct"/>
            <w:noWrap w:val="0"/>
            <w:vAlign w:val="center"/>
          </w:tcPr>
          <w:p w14:paraId="7E0006C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0.0451</w:t>
            </w:r>
          </w:p>
        </w:tc>
        <w:tc>
          <w:tcPr>
            <w:tcW w:w="334" w:type="pct"/>
            <w:noWrap w:val="0"/>
            <w:vAlign w:val="center"/>
          </w:tcPr>
          <w:p w14:paraId="75016A2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0.1083</w:t>
            </w:r>
          </w:p>
        </w:tc>
        <w:tc>
          <w:tcPr>
            <w:tcW w:w="343" w:type="pct"/>
            <w:noWrap w:val="0"/>
            <w:vAlign w:val="center"/>
          </w:tcPr>
          <w:p w14:paraId="2669D0A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highlight w:val="none"/>
                <w:u w:val="none" w:color="auto"/>
                <w:lang w:val="en-US"/>
              </w:rPr>
            </w:pPr>
            <w:r>
              <w:rPr>
                <w:rFonts w:hint="eastAsia" w:ascii="Times New Roman" w:hAnsi="Times New Roman" w:eastAsia="宋体" w:cs="Times New Roman"/>
                <w:b w:val="0"/>
                <w:bCs/>
                <w:i w:val="0"/>
                <w:color w:val="auto"/>
                <w:kern w:val="0"/>
                <w:sz w:val="21"/>
                <w:szCs w:val="21"/>
                <w:highlight w:val="none"/>
                <w:u w:val="none" w:color="auto"/>
                <w:lang w:val="en-US" w:eastAsia="zh-CN" w:bidi="ar-SA"/>
              </w:rPr>
              <w:t>20</w:t>
            </w:r>
          </w:p>
        </w:tc>
      </w:tr>
      <w:tr w14:paraId="3CA6B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7" w:hRule="atLeast"/>
          <w:jc w:val="center"/>
        </w:trPr>
        <w:tc>
          <w:tcPr>
            <w:tcW w:w="282" w:type="pct"/>
            <w:vMerge w:val="continue"/>
            <w:noWrap w:val="0"/>
            <w:vAlign w:val="center"/>
          </w:tcPr>
          <w:p w14:paraId="7AB8DCB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371" w:type="pct"/>
            <w:vMerge w:val="continue"/>
            <w:noWrap w:val="0"/>
            <w:vAlign w:val="center"/>
          </w:tcPr>
          <w:p w14:paraId="4F83E28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55" w:type="pct"/>
            <w:vMerge w:val="continue"/>
            <w:noWrap w:val="0"/>
            <w:vAlign w:val="center"/>
          </w:tcPr>
          <w:p w14:paraId="65348D5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48" w:type="pct"/>
            <w:noWrap w:val="0"/>
            <w:vAlign w:val="center"/>
          </w:tcPr>
          <w:p w14:paraId="026E7D9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苯乙烯</w:t>
            </w:r>
          </w:p>
        </w:tc>
        <w:tc>
          <w:tcPr>
            <w:tcW w:w="305" w:type="pct"/>
            <w:noWrap w:val="0"/>
            <w:vAlign w:val="center"/>
          </w:tcPr>
          <w:p w14:paraId="3BFC61F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5.65</w:t>
            </w:r>
          </w:p>
        </w:tc>
        <w:tc>
          <w:tcPr>
            <w:tcW w:w="316" w:type="pct"/>
            <w:noWrap w:val="0"/>
            <w:vAlign w:val="center"/>
          </w:tcPr>
          <w:p w14:paraId="091DB7D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0.0396</w:t>
            </w:r>
          </w:p>
        </w:tc>
        <w:tc>
          <w:tcPr>
            <w:tcW w:w="283" w:type="pct"/>
            <w:noWrap w:val="0"/>
            <w:vAlign w:val="center"/>
          </w:tcPr>
          <w:p w14:paraId="1C7565D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0.095</w:t>
            </w:r>
          </w:p>
        </w:tc>
        <w:tc>
          <w:tcPr>
            <w:tcW w:w="460" w:type="pct"/>
            <w:vMerge w:val="continue"/>
            <w:noWrap w:val="0"/>
            <w:vAlign w:val="center"/>
          </w:tcPr>
          <w:p w14:paraId="535A2DC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460" w:type="pct"/>
            <w:vMerge w:val="continue"/>
            <w:noWrap w:val="0"/>
            <w:vAlign w:val="center"/>
          </w:tcPr>
          <w:p w14:paraId="01DCEE1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331" w:type="pct"/>
            <w:vMerge w:val="continue"/>
            <w:noWrap w:val="0"/>
            <w:vAlign w:val="center"/>
          </w:tcPr>
          <w:p w14:paraId="3CEF4E4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283" w:type="pct"/>
            <w:vMerge w:val="continue"/>
            <w:noWrap w:val="0"/>
            <w:vAlign w:val="center"/>
          </w:tcPr>
          <w:p w14:paraId="144A00B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313" w:type="pct"/>
            <w:noWrap w:val="0"/>
            <w:vAlign w:val="center"/>
          </w:tcPr>
          <w:p w14:paraId="6F146F3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1.13</w:t>
            </w:r>
          </w:p>
        </w:tc>
        <w:tc>
          <w:tcPr>
            <w:tcW w:w="308" w:type="pct"/>
            <w:noWrap w:val="0"/>
            <w:vAlign w:val="center"/>
          </w:tcPr>
          <w:p w14:paraId="3F5F805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0.0079</w:t>
            </w:r>
          </w:p>
        </w:tc>
        <w:tc>
          <w:tcPr>
            <w:tcW w:w="334" w:type="pct"/>
            <w:noWrap w:val="0"/>
            <w:vAlign w:val="center"/>
          </w:tcPr>
          <w:p w14:paraId="6B3A04D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0.019</w:t>
            </w:r>
          </w:p>
        </w:tc>
        <w:tc>
          <w:tcPr>
            <w:tcW w:w="343" w:type="pct"/>
            <w:noWrap w:val="0"/>
            <w:vAlign w:val="center"/>
          </w:tcPr>
          <w:p w14:paraId="611124B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20</w:t>
            </w:r>
          </w:p>
        </w:tc>
      </w:tr>
      <w:tr w14:paraId="60CCE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2" w:hRule="atLeast"/>
          <w:jc w:val="center"/>
        </w:trPr>
        <w:tc>
          <w:tcPr>
            <w:tcW w:w="282" w:type="pct"/>
            <w:vMerge w:val="continue"/>
            <w:noWrap w:val="0"/>
            <w:vAlign w:val="center"/>
          </w:tcPr>
          <w:p w14:paraId="06AA967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371" w:type="pct"/>
            <w:noWrap w:val="0"/>
            <w:vAlign w:val="center"/>
          </w:tcPr>
          <w:p w14:paraId="6590E25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eastAsia="宋体"/>
                <w:sz w:val="21"/>
                <w:szCs w:val="21"/>
                <w:highlight w:val="none"/>
                <w:lang w:eastAsia="zh-CN"/>
              </w:rPr>
            </w:pPr>
            <w:r>
              <w:rPr>
                <w:rFonts w:hint="eastAsia"/>
                <w:sz w:val="21"/>
                <w:szCs w:val="21"/>
                <w:highlight w:val="none"/>
                <w:lang w:eastAsia="zh-CN"/>
              </w:rPr>
              <w:t>危废间废气</w:t>
            </w:r>
          </w:p>
        </w:tc>
        <w:tc>
          <w:tcPr>
            <w:tcW w:w="255" w:type="pct"/>
            <w:noWrap w:val="0"/>
            <w:vAlign w:val="center"/>
          </w:tcPr>
          <w:p w14:paraId="046AD9F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eastAsia="宋体"/>
                <w:sz w:val="21"/>
                <w:szCs w:val="21"/>
                <w:lang w:val="en-US" w:eastAsia="zh-CN"/>
              </w:rPr>
            </w:pPr>
            <w:r>
              <w:rPr>
                <w:rFonts w:hint="eastAsia"/>
                <w:sz w:val="21"/>
                <w:szCs w:val="21"/>
                <w:lang w:val="en-US" w:eastAsia="zh-CN"/>
              </w:rPr>
              <w:t>120</w:t>
            </w:r>
          </w:p>
        </w:tc>
        <w:tc>
          <w:tcPr>
            <w:tcW w:w="348" w:type="pct"/>
            <w:noWrap w:val="0"/>
            <w:vAlign w:val="center"/>
          </w:tcPr>
          <w:p w14:paraId="6B28A28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cs="Times New Roman"/>
                <w:b w:val="0"/>
                <w:bCs/>
                <w:i w:val="0"/>
                <w:color w:val="auto"/>
                <w:sz w:val="21"/>
                <w:szCs w:val="21"/>
                <w:u w:val="none" w:color="auto"/>
                <w:lang w:val="en-US" w:eastAsia="zh-CN"/>
              </w:rPr>
            </w:pPr>
            <w:r>
              <w:rPr>
                <w:rFonts w:hint="default" w:ascii="Times New Roman" w:hAnsi="Times New Roman" w:cs="Times New Roman"/>
                <w:b w:val="0"/>
                <w:bCs/>
                <w:kern w:val="0"/>
                <w:sz w:val="21"/>
                <w:szCs w:val="21"/>
                <w:highlight w:val="none"/>
                <w:lang w:val="en-US" w:eastAsia="zh-CN"/>
              </w:rPr>
              <w:t>VOCs</w:t>
            </w:r>
          </w:p>
        </w:tc>
        <w:tc>
          <w:tcPr>
            <w:tcW w:w="305" w:type="pct"/>
            <w:noWrap w:val="0"/>
            <w:vAlign w:val="center"/>
          </w:tcPr>
          <w:p w14:paraId="16BBD5B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14.58</w:t>
            </w:r>
          </w:p>
        </w:tc>
        <w:tc>
          <w:tcPr>
            <w:tcW w:w="316" w:type="pct"/>
            <w:noWrap w:val="0"/>
            <w:vAlign w:val="center"/>
          </w:tcPr>
          <w:p w14:paraId="6AEE24C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0.0018</w:t>
            </w:r>
          </w:p>
        </w:tc>
        <w:tc>
          <w:tcPr>
            <w:tcW w:w="283" w:type="pct"/>
            <w:noWrap w:val="0"/>
            <w:vAlign w:val="center"/>
          </w:tcPr>
          <w:p w14:paraId="7C6C364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0.0042</w:t>
            </w:r>
          </w:p>
        </w:tc>
        <w:tc>
          <w:tcPr>
            <w:tcW w:w="460" w:type="pct"/>
            <w:noWrap w:val="0"/>
            <w:vAlign w:val="center"/>
          </w:tcPr>
          <w:p w14:paraId="5ED0D02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highlight w:val="none"/>
                <w:u w:val="none" w:color="auto"/>
                <w:lang w:val="en-US" w:eastAsia="zh-CN"/>
              </w:rPr>
              <w:t>危废间上方加装</w:t>
            </w:r>
            <w:r>
              <w:rPr>
                <w:rFonts w:hint="eastAsia" w:cs="Times New Roman"/>
                <w:b w:val="0"/>
                <w:bCs/>
                <w:i w:val="0"/>
                <w:color w:val="auto"/>
                <w:sz w:val="21"/>
                <w:szCs w:val="21"/>
                <w:u w:val="none" w:color="auto"/>
                <w:lang w:val="en-US" w:eastAsia="zh-CN"/>
              </w:rPr>
              <w:t>集气风管</w:t>
            </w:r>
          </w:p>
        </w:tc>
        <w:tc>
          <w:tcPr>
            <w:tcW w:w="460" w:type="pct"/>
            <w:vMerge w:val="continue"/>
            <w:noWrap w:val="0"/>
            <w:vAlign w:val="center"/>
          </w:tcPr>
          <w:p w14:paraId="797DA7E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p>
        </w:tc>
        <w:tc>
          <w:tcPr>
            <w:tcW w:w="331" w:type="pct"/>
            <w:vMerge w:val="continue"/>
            <w:noWrap w:val="0"/>
            <w:vAlign w:val="center"/>
          </w:tcPr>
          <w:p w14:paraId="49C4ABA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p>
        </w:tc>
        <w:tc>
          <w:tcPr>
            <w:tcW w:w="283" w:type="pct"/>
            <w:vMerge w:val="continue"/>
            <w:noWrap w:val="0"/>
            <w:vAlign w:val="center"/>
          </w:tcPr>
          <w:p w14:paraId="4509CB2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p>
        </w:tc>
        <w:tc>
          <w:tcPr>
            <w:tcW w:w="313" w:type="pct"/>
            <w:noWrap w:val="0"/>
            <w:vAlign w:val="center"/>
          </w:tcPr>
          <w:p w14:paraId="4CAB9C2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2.78</w:t>
            </w:r>
          </w:p>
        </w:tc>
        <w:tc>
          <w:tcPr>
            <w:tcW w:w="308" w:type="pct"/>
            <w:noWrap w:val="0"/>
            <w:vAlign w:val="center"/>
          </w:tcPr>
          <w:p w14:paraId="6D2E828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0.0003</w:t>
            </w:r>
          </w:p>
        </w:tc>
        <w:tc>
          <w:tcPr>
            <w:tcW w:w="334" w:type="pct"/>
            <w:noWrap w:val="0"/>
            <w:vAlign w:val="center"/>
          </w:tcPr>
          <w:p w14:paraId="3972536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0.0008</w:t>
            </w:r>
          </w:p>
        </w:tc>
        <w:tc>
          <w:tcPr>
            <w:tcW w:w="343" w:type="pct"/>
            <w:noWrap w:val="0"/>
            <w:vAlign w:val="center"/>
          </w:tcPr>
          <w:p w14:paraId="621372B5">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20</w:t>
            </w:r>
          </w:p>
        </w:tc>
      </w:tr>
      <w:tr w14:paraId="2F33C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75" w:hRule="atLeast"/>
          <w:jc w:val="center"/>
        </w:trPr>
        <w:tc>
          <w:tcPr>
            <w:tcW w:w="282" w:type="pct"/>
            <w:vMerge w:val="continue"/>
            <w:noWrap w:val="0"/>
            <w:vAlign w:val="center"/>
          </w:tcPr>
          <w:p w14:paraId="4D7984E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371" w:type="pct"/>
            <w:noWrap w:val="0"/>
            <w:vAlign w:val="center"/>
          </w:tcPr>
          <w:p w14:paraId="53B66A6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sz w:val="21"/>
                <w:szCs w:val="21"/>
                <w:highlight w:val="none"/>
                <w:lang w:val="en-US" w:eastAsia="zh-CN"/>
              </w:rPr>
            </w:pPr>
            <w:r>
              <w:rPr>
                <w:rFonts w:hint="eastAsia"/>
                <w:sz w:val="21"/>
                <w:szCs w:val="21"/>
                <w:highlight w:val="none"/>
                <w:lang w:val="en-US" w:eastAsia="zh-CN"/>
              </w:rPr>
              <w:t>DA001</w:t>
            </w:r>
          </w:p>
        </w:tc>
        <w:tc>
          <w:tcPr>
            <w:tcW w:w="255" w:type="pct"/>
            <w:noWrap w:val="0"/>
            <w:vAlign w:val="center"/>
          </w:tcPr>
          <w:p w14:paraId="33C8C2F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lang w:val="en-US" w:eastAsia="zh-CN"/>
              </w:rPr>
            </w:pPr>
            <w:r>
              <w:rPr>
                <w:rFonts w:hint="eastAsia"/>
                <w:sz w:val="21"/>
                <w:szCs w:val="21"/>
                <w:lang w:val="en-US" w:eastAsia="zh-CN"/>
              </w:rPr>
              <w:t>7120</w:t>
            </w:r>
          </w:p>
        </w:tc>
        <w:tc>
          <w:tcPr>
            <w:tcW w:w="348" w:type="pct"/>
            <w:noWrap w:val="0"/>
            <w:vAlign w:val="center"/>
          </w:tcPr>
          <w:p w14:paraId="73C28AD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cs="Times New Roman"/>
                <w:b w:val="0"/>
                <w:bCs/>
                <w:kern w:val="0"/>
                <w:sz w:val="24"/>
                <w:szCs w:val="20"/>
                <w:highlight w:val="none"/>
                <w:lang w:val="en-US" w:eastAsia="zh-CN"/>
              </w:rPr>
            </w:pPr>
            <w:r>
              <w:rPr>
                <w:rFonts w:hint="default" w:ascii="Times New Roman" w:hAnsi="Times New Roman" w:cs="Times New Roman"/>
                <w:b w:val="0"/>
                <w:bCs/>
                <w:kern w:val="0"/>
                <w:sz w:val="21"/>
                <w:szCs w:val="21"/>
                <w:highlight w:val="none"/>
                <w:lang w:val="en-US" w:eastAsia="zh-CN"/>
              </w:rPr>
              <w:t>VOCs</w:t>
            </w:r>
          </w:p>
        </w:tc>
        <w:tc>
          <w:tcPr>
            <w:tcW w:w="305" w:type="pct"/>
            <w:noWrap w:val="0"/>
            <w:vAlign w:val="center"/>
          </w:tcPr>
          <w:p w14:paraId="6912F6B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37.49</w:t>
            </w:r>
          </w:p>
        </w:tc>
        <w:tc>
          <w:tcPr>
            <w:tcW w:w="316" w:type="pct"/>
            <w:noWrap w:val="0"/>
            <w:vAlign w:val="center"/>
          </w:tcPr>
          <w:p w14:paraId="53C33F5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0.267</w:t>
            </w:r>
          </w:p>
        </w:tc>
        <w:tc>
          <w:tcPr>
            <w:tcW w:w="283" w:type="pct"/>
            <w:noWrap w:val="0"/>
            <w:vAlign w:val="center"/>
          </w:tcPr>
          <w:p w14:paraId="2B359CB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0.6407</w:t>
            </w:r>
          </w:p>
        </w:tc>
        <w:tc>
          <w:tcPr>
            <w:tcW w:w="921" w:type="pct"/>
            <w:gridSpan w:val="2"/>
            <w:noWrap w:val="0"/>
            <w:vAlign w:val="center"/>
          </w:tcPr>
          <w:p w14:paraId="1F2E8C9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highlight w:val="none"/>
                <w:u w:val="none" w:color="auto"/>
                <w:lang w:val="en-US" w:eastAsia="zh-CN"/>
              </w:rPr>
            </w:pPr>
            <w:r>
              <w:rPr>
                <w:rFonts w:hint="eastAsia" w:cs="Times New Roman"/>
                <w:b w:val="0"/>
                <w:bCs/>
                <w:i w:val="0"/>
                <w:color w:val="auto"/>
                <w:sz w:val="21"/>
                <w:szCs w:val="21"/>
                <w:highlight w:val="none"/>
                <w:u w:val="none" w:color="auto"/>
                <w:lang w:val="en-US" w:eastAsia="zh-CN"/>
              </w:rPr>
              <w:t>成型机二次封闭+</w:t>
            </w:r>
            <w:r>
              <w:rPr>
                <w:rFonts w:hint="eastAsia" w:ascii="Times New Roman" w:hAnsi="Times New Roman" w:eastAsia="宋体" w:cs="Times New Roman"/>
                <w:b w:val="0"/>
                <w:bCs/>
                <w:i w:val="0"/>
                <w:color w:val="auto"/>
                <w:sz w:val="21"/>
                <w:szCs w:val="21"/>
                <w:highlight w:val="none"/>
                <w:u w:val="none" w:color="auto"/>
                <w:lang w:val="en-US" w:eastAsia="zh-CN"/>
              </w:rPr>
              <w:t>集气罩；危废间上方加装集气风管+两级活性炭吸附+15m</w:t>
            </w:r>
          </w:p>
          <w:p w14:paraId="099F311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highlight w:val="none"/>
                <w:u w:val="none" w:color="auto"/>
                <w:lang w:val="en-US" w:eastAsia="zh-CN"/>
              </w:rPr>
              <w:t>高排气筒DA001</w:t>
            </w:r>
          </w:p>
        </w:tc>
        <w:tc>
          <w:tcPr>
            <w:tcW w:w="331" w:type="pct"/>
            <w:noWrap w:val="0"/>
            <w:vAlign w:val="center"/>
          </w:tcPr>
          <w:p w14:paraId="31CC9E1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80</w:t>
            </w:r>
          </w:p>
        </w:tc>
        <w:tc>
          <w:tcPr>
            <w:tcW w:w="283" w:type="pct"/>
            <w:noWrap w:val="0"/>
            <w:vAlign w:val="center"/>
          </w:tcPr>
          <w:p w14:paraId="4A4DB59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2400</w:t>
            </w:r>
          </w:p>
        </w:tc>
        <w:tc>
          <w:tcPr>
            <w:tcW w:w="313" w:type="pct"/>
            <w:noWrap w:val="0"/>
            <w:vAlign w:val="center"/>
          </w:tcPr>
          <w:p w14:paraId="2EF9601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7.50</w:t>
            </w:r>
          </w:p>
        </w:tc>
        <w:tc>
          <w:tcPr>
            <w:tcW w:w="308" w:type="pct"/>
            <w:noWrap w:val="0"/>
            <w:vAlign w:val="center"/>
          </w:tcPr>
          <w:p w14:paraId="04DCF276">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0.0534</w:t>
            </w:r>
          </w:p>
        </w:tc>
        <w:tc>
          <w:tcPr>
            <w:tcW w:w="334" w:type="pct"/>
            <w:noWrap w:val="0"/>
            <w:vAlign w:val="center"/>
          </w:tcPr>
          <w:p w14:paraId="4CA6437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0.1281</w:t>
            </w:r>
          </w:p>
        </w:tc>
        <w:tc>
          <w:tcPr>
            <w:tcW w:w="343" w:type="pct"/>
            <w:noWrap w:val="0"/>
            <w:vAlign w:val="center"/>
          </w:tcPr>
          <w:p w14:paraId="7CC8819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cs="Times New Roman"/>
                <w:b w:val="0"/>
                <w:bCs/>
                <w:i w:val="0"/>
                <w:color w:val="auto"/>
                <w:sz w:val="21"/>
                <w:szCs w:val="21"/>
                <w:u w:val="none" w:color="auto"/>
                <w:lang w:val="en-US" w:eastAsia="zh-CN"/>
              </w:rPr>
            </w:pPr>
            <w:r>
              <w:rPr>
                <w:rFonts w:hint="eastAsia" w:cs="Times New Roman"/>
                <w:b w:val="0"/>
                <w:bCs/>
                <w:i w:val="0"/>
                <w:color w:val="auto"/>
                <w:sz w:val="21"/>
                <w:szCs w:val="21"/>
                <w:u w:val="none" w:color="auto"/>
                <w:lang w:val="en-US" w:eastAsia="zh-CN"/>
              </w:rPr>
              <w:t>20</w:t>
            </w:r>
          </w:p>
        </w:tc>
      </w:tr>
      <w:tr w14:paraId="1C815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46" w:hRule="atLeast"/>
          <w:jc w:val="center"/>
        </w:trPr>
        <w:tc>
          <w:tcPr>
            <w:tcW w:w="282" w:type="pct"/>
            <w:vMerge w:val="restart"/>
            <w:noWrap w:val="0"/>
            <w:vAlign w:val="center"/>
          </w:tcPr>
          <w:p w14:paraId="0CC5423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sz w:val="21"/>
                <w:szCs w:val="21"/>
                <w:u w:val="none" w:color="auto"/>
              </w:rPr>
            </w:pPr>
            <w:r>
              <w:rPr>
                <w:rFonts w:ascii="Times New Roman" w:hAnsi="Times New Roman" w:eastAsia="宋体" w:cs="Times New Roman"/>
                <w:b w:val="0"/>
                <w:bCs/>
                <w:i w:val="0"/>
                <w:color w:val="auto"/>
                <w:kern w:val="0"/>
                <w:sz w:val="21"/>
                <w:szCs w:val="21"/>
                <w:u w:val="none" w:color="auto"/>
                <w:lang w:val="en-US" w:eastAsia="zh-CN" w:bidi="ar-SA"/>
              </w:rPr>
              <w:t>无组织排放废气</w:t>
            </w:r>
          </w:p>
        </w:tc>
        <w:tc>
          <w:tcPr>
            <w:tcW w:w="371" w:type="pct"/>
            <w:vMerge w:val="restart"/>
            <w:noWrap w:val="0"/>
            <w:vAlign w:val="center"/>
          </w:tcPr>
          <w:p w14:paraId="52E633E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ascii="Times New Roman" w:hAnsi="Times New Roman" w:eastAsia="宋体" w:cs="Times New Roman"/>
                <w:b w:val="0"/>
                <w:bCs/>
                <w:i w:val="0"/>
                <w:color w:val="auto"/>
                <w:kern w:val="0"/>
                <w:sz w:val="21"/>
                <w:szCs w:val="21"/>
                <w:u w:val="none" w:color="auto"/>
                <w:lang w:val="en-US" w:eastAsia="zh-CN" w:bidi="ar-SA"/>
              </w:rPr>
            </w:pPr>
            <w:r>
              <w:rPr>
                <w:rFonts w:ascii="Times New Roman" w:hAnsi="Times New Roman" w:eastAsia="宋体" w:cs="Times New Roman"/>
                <w:b w:val="0"/>
                <w:bCs/>
                <w:i w:val="0"/>
                <w:color w:val="auto"/>
                <w:kern w:val="0"/>
                <w:sz w:val="21"/>
                <w:szCs w:val="21"/>
                <w:u w:val="none" w:color="auto"/>
                <w:lang w:val="en-US" w:eastAsia="zh-CN" w:bidi="ar-SA"/>
              </w:rPr>
              <w:t>集气系统未收集</w:t>
            </w:r>
            <w:r>
              <w:rPr>
                <w:rFonts w:hint="eastAsia" w:ascii="Times New Roman" w:hAnsi="Times New Roman" w:eastAsia="宋体" w:cs="Times New Roman"/>
                <w:b w:val="0"/>
                <w:bCs/>
                <w:i w:val="0"/>
                <w:color w:val="auto"/>
                <w:kern w:val="0"/>
                <w:sz w:val="21"/>
                <w:szCs w:val="21"/>
                <w:u w:val="none" w:color="auto"/>
                <w:lang w:val="en-US" w:eastAsia="zh-CN" w:bidi="ar-SA"/>
              </w:rPr>
              <w:t>废气</w:t>
            </w:r>
          </w:p>
        </w:tc>
        <w:tc>
          <w:tcPr>
            <w:tcW w:w="255" w:type="pct"/>
            <w:vMerge w:val="restart"/>
            <w:noWrap w:val="0"/>
            <w:vAlign w:val="center"/>
          </w:tcPr>
          <w:p w14:paraId="356AABAC">
            <w:pPr>
              <w:keepNext w:val="0"/>
              <w:keepLines w:val="0"/>
              <w:widowControl/>
              <w:suppressLineNumbers w:val="0"/>
              <w:jc w:val="both"/>
              <w:textAlignment w:val="center"/>
              <w:rPr>
                <w:rFonts w:hint="default" w:ascii="Times New Roman" w:hAnsi="Times New Roman" w:eastAsia="宋体" w:cs="Times New Roman"/>
                <w:b w:val="0"/>
                <w:bCs/>
                <w:i w:val="0"/>
                <w:color w:val="auto"/>
                <w:kern w:val="0"/>
                <w:sz w:val="21"/>
                <w:szCs w:val="21"/>
                <w:u w:val="none" w:color="auto"/>
                <w:lang w:val="en-US" w:eastAsia="zh-CN" w:bidi="ar-SA"/>
              </w:rPr>
            </w:pP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348" w:type="pct"/>
            <w:noWrap w:val="0"/>
            <w:vAlign w:val="center"/>
          </w:tcPr>
          <w:p w14:paraId="4C64BDA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非甲烷</w:t>
            </w:r>
          </w:p>
          <w:p w14:paraId="559E494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2"/>
                <w:sz w:val="21"/>
                <w:szCs w:val="21"/>
                <w:u w:val="none" w:color="auto"/>
                <w:lang w:val="en-US" w:eastAsia="zh-CN" w:bidi="ar-SA"/>
              </w:rPr>
            </w:pPr>
            <w:r>
              <w:rPr>
                <w:rFonts w:hint="eastAsia" w:ascii="Times New Roman" w:hAnsi="Times New Roman" w:eastAsia="宋体" w:cs="Times New Roman"/>
                <w:b w:val="0"/>
                <w:bCs/>
                <w:i w:val="0"/>
                <w:color w:val="auto"/>
                <w:sz w:val="21"/>
                <w:szCs w:val="21"/>
                <w:u w:val="none" w:color="auto"/>
                <w:lang w:val="en-US" w:eastAsia="zh-CN"/>
              </w:rPr>
              <w:t>总烃</w:t>
            </w:r>
          </w:p>
        </w:tc>
        <w:tc>
          <w:tcPr>
            <w:tcW w:w="305" w:type="pct"/>
            <w:vMerge w:val="restart"/>
            <w:noWrap w:val="0"/>
            <w:vAlign w:val="center"/>
          </w:tcPr>
          <w:p w14:paraId="76FED10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kern w:val="2"/>
                <w:sz w:val="21"/>
                <w:szCs w:val="21"/>
                <w:u w:val="none" w:color="auto"/>
                <w:lang w:val="en-US" w:eastAsia="zh-CN" w:bidi="ar-SA"/>
              </w:rPr>
            </w:pPr>
            <w:r>
              <w:rPr>
                <w:rFonts w:hint="eastAsia" w:ascii="Times New Roman" w:hAnsi="Times New Roman" w:eastAsia="宋体" w:cs="Times New Roman"/>
                <w:b w:val="0"/>
                <w:bCs/>
                <w:i w:val="0"/>
                <w:color w:val="auto"/>
                <w:kern w:val="2"/>
                <w:sz w:val="21"/>
                <w:szCs w:val="21"/>
                <w:u w:val="none" w:color="auto"/>
                <w:lang w:val="en-US" w:eastAsia="zh-CN" w:bidi="ar-SA"/>
              </w:rPr>
              <w:t>/</w:t>
            </w:r>
          </w:p>
        </w:tc>
        <w:tc>
          <w:tcPr>
            <w:tcW w:w="316" w:type="pct"/>
            <w:vMerge w:val="restart"/>
            <w:noWrap w:val="0"/>
            <w:vAlign w:val="center"/>
          </w:tcPr>
          <w:p w14:paraId="367BB2FC">
            <w:pPr>
              <w:keepNext w:val="0"/>
              <w:keepLines w:val="0"/>
              <w:widowControl/>
              <w:suppressLineNumbers w:val="0"/>
              <w:jc w:val="both"/>
              <w:textAlignment w:val="center"/>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283" w:type="pct"/>
            <w:noWrap w:val="0"/>
            <w:vAlign w:val="center"/>
          </w:tcPr>
          <w:p w14:paraId="0DAAB9C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0.0285</w:t>
            </w:r>
          </w:p>
        </w:tc>
        <w:tc>
          <w:tcPr>
            <w:tcW w:w="921" w:type="pct"/>
            <w:gridSpan w:val="2"/>
            <w:vMerge w:val="restart"/>
            <w:noWrap w:val="0"/>
            <w:vAlign w:val="center"/>
          </w:tcPr>
          <w:p w14:paraId="77A57A4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default" w:ascii="Times New Roman" w:hAnsi="Times New Roman" w:eastAsia="宋体" w:cs="Times New Roman"/>
                <w:b w:val="0"/>
                <w:bCs/>
                <w:i w:val="0"/>
                <w:color w:val="auto"/>
                <w:sz w:val="21"/>
                <w:szCs w:val="21"/>
                <w:u w:val="none" w:color="auto"/>
                <w:lang w:val="en-US" w:eastAsia="zh-CN"/>
              </w:rPr>
              <w:t>加强废气处理设施</w:t>
            </w:r>
            <w:r>
              <w:rPr>
                <w:rFonts w:hint="eastAsia" w:ascii="Times New Roman" w:hAnsi="Times New Roman" w:eastAsia="宋体" w:cs="Times New Roman"/>
                <w:b w:val="0"/>
                <w:bCs/>
                <w:i w:val="0"/>
                <w:color w:val="auto"/>
                <w:sz w:val="21"/>
                <w:szCs w:val="21"/>
                <w:u w:val="none" w:color="auto"/>
                <w:lang w:val="en-US" w:eastAsia="zh-CN"/>
              </w:rPr>
              <w:t>和生产设备</w:t>
            </w:r>
            <w:r>
              <w:rPr>
                <w:rFonts w:hint="default" w:ascii="Times New Roman" w:hAnsi="Times New Roman" w:eastAsia="宋体" w:cs="Times New Roman"/>
                <w:b w:val="0"/>
                <w:bCs/>
                <w:i w:val="0"/>
                <w:color w:val="auto"/>
                <w:sz w:val="21"/>
                <w:szCs w:val="21"/>
                <w:u w:val="none" w:color="auto"/>
                <w:lang w:val="en-US" w:eastAsia="zh-CN"/>
              </w:rPr>
              <w:t>的</w:t>
            </w:r>
            <w:r>
              <w:rPr>
                <w:rFonts w:hint="eastAsia" w:ascii="Times New Roman" w:hAnsi="Times New Roman" w:eastAsia="宋体" w:cs="Times New Roman"/>
                <w:b w:val="0"/>
                <w:bCs/>
                <w:i w:val="0"/>
                <w:color w:val="auto"/>
                <w:sz w:val="21"/>
                <w:szCs w:val="21"/>
                <w:u w:val="none" w:color="auto"/>
                <w:lang w:val="en-US" w:eastAsia="zh-CN"/>
              </w:rPr>
              <w:t>检查和</w:t>
            </w:r>
            <w:r>
              <w:rPr>
                <w:rFonts w:hint="default" w:ascii="Times New Roman" w:hAnsi="Times New Roman" w:eastAsia="宋体" w:cs="Times New Roman"/>
                <w:b w:val="0"/>
                <w:bCs/>
                <w:i w:val="0"/>
                <w:color w:val="auto"/>
                <w:sz w:val="21"/>
                <w:szCs w:val="21"/>
                <w:u w:val="none" w:color="auto"/>
                <w:lang w:val="en-US" w:eastAsia="zh-CN"/>
              </w:rPr>
              <w:t>维护，提高集气效率；</w:t>
            </w:r>
            <w:r>
              <w:rPr>
                <w:rFonts w:hint="eastAsia" w:ascii="Times New Roman" w:hAnsi="Times New Roman" w:eastAsia="宋体" w:cs="Times New Roman"/>
                <w:b w:val="0"/>
                <w:bCs/>
                <w:i w:val="0"/>
                <w:color w:val="auto"/>
                <w:sz w:val="21"/>
                <w:szCs w:val="21"/>
                <w:u w:val="none" w:color="auto"/>
                <w:lang w:val="en-US" w:eastAsia="zh-CN"/>
              </w:rPr>
              <w:t>加强车间密闭，</w:t>
            </w:r>
            <w:r>
              <w:rPr>
                <w:rFonts w:hint="default" w:ascii="Times New Roman" w:hAnsi="Times New Roman" w:eastAsia="宋体" w:cs="Times New Roman"/>
                <w:b w:val="0"/>
                <w:bCs/>
                <w:i w:val="0"/>
                <w:color w:val="auto"/>
                <w:sz w:val="21"/>
                <w:szCs w:val="21"/>
                <w:u w:val="none" w:color="auto"/>
                <w:lang w:val="en-US" w:eastAsia="zh-CN"/>
              </w:rPr>
              <w:t>安装视频监控，设置台账记录</w:t>
            </w:r>
          </w:p>
        </w:tc>
        <w:tc>
          <w:tcPr>
            <w:tcW w:w="331" w:type="pct"/>
            <w:vMerge w:val="restart"/>
            <w:noWrap w:val="0"/>
            <w:vAlign w:val="center"/>
          </w:tcPr>
          <w:p w14:paraId="771670CC">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283" w:type="pct"/>
            <w:vMerge w:val="restart"/>
            <w:noWrap w:val="0"/>
            <w:vAlign w:val="center"/>
          </w:tcPr>
          <w:p w14:paraId="3EE4530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rPr>
            </w:pPr>
            <w:r>
              <w:rPr>
                <w:rFonts w:hint="eastAsia" w:ascii="Times New Roman" w:hAnsi="Times New Roman" w:eastAsia="宋体" w:cs="Times New Roman"/>
                <w:b w:val="0"/>
                <w:bCs/>
                <w:i w:val="0"/>
                <w:color w:val="auto"/>
                <w:kern w:val="0"/>
                <w:sz w:val="21"/>
                <w:szCs w:val="21"/>
                <w:u w:val="none" w:color="auto"/>
                <w:lang w:val="en-US" w:eastAsia="zh-CN" w:bidi="ar-SA"/>
              </w:rPr>
              <w:t>/</w:t>
            </w:r>
          </w:p>
        </w:tc>
        <w:tc>
          <w:tcPr>
            <w:tcW w:w="313" w:type="pct"/>
            <w:vMerge w:val="restart"/>
            <w:noWrap w:val="0"/>
            <w:vAlign w:val="center"/>
          </w:tcPr>
          <w:p w14:paraId="5A3016F8">
            <w:pPr>
              <w:keepNext w:val="0"/>
              <w:keepLines w:val="0"/>
              <w:widowControl/>
              <w:suppressLineNumbers w:val="0"/>
              <w:jc w:val="both"/>
              <w:textAlignment w:val="center"/>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308" w:type="pct"/>
            <w:vMerge w:val="restart"/>
            <w:noWrap w:val="0"/>
            <w:vAlign w:val="center"/>
          </w:tcPr>
          <w:p w14:paraId="3DA2299D">
            <w:pPr>
              <w:keepNext w:val="0"/>
              <w:keepLines w:val="0"/>
              <w:widowControl/>
              <w:suppressLineNumbers w:val="0"/>
              <w:jc w:val="both"/>
              <w:textAlignment w:val="center"/>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w:t>
            </w:r>
          </w:p>
        </w:tc>
        <w:tc>
          <w:tcPr>
            <w:tcW w:w="334" w:type="pct"/>
            <w:noWrap w:val="0"/>
            <w:vAlign w:val="center"/>
          </w:tcPr>
          <w:p w14:paraId="70C68E8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0000FF"/>
                <w:kern w:val="2"/>
                <w:sz w:val="21"/>
                <w:szCs w:val="21"/>
                <w:u w:val="none" w:color="auto"/>
                <w:lang w:val="en-US" w:eastAsia="zh-CN" w:bidi="ar-SA"/>
              </w:rPr>
            </w:pPr>
            <w:r>
              <w:rPr>
                <w:rFonts w:hint="eastAsia" w:ascii="Times New Roman" w:hAnsi="Times New Roman" w:eastAsia="宋体" w:cs="Times New Roman"/>
                <w:b w:val="0"/>
                <w:bCs/>
                <w:i w:val="0"/>
                <w:color w:val="auto"/>
                <w:sz w:val="21"/>
                <w:szCs w:val="21"/>
                <w:u w:val="none" w:color="auto"/>
                <w:lang w:val="en-US" w:eastAsia="zh-CN"/>
              </w:rPr>
              <w:t>0.0285</w:t>
            </w:r>
          </w:p>
        </w:tc>
        <w:tc>
          <w:tcPr>
            <w:tcW w:w="343" w:type="pct"/>
            <w:noWrap w:val="0"/>
            <w:vAlign w:val="center"/>
          </w:tcPr>
          <w:p w14:paraId="5FA5A40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2.0</w:t>
            </w: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r>
      <w:tr w14:paraId="656D6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2" w:hRule="atLeast"/>
          <w:jc w:val="center"/>
        </w:trPr>
        <w:tc>
          <w:tcPr>
            <w:tcW w:w="282" w:type="pct"/>
            <w:vMerge w:val="continue"/>
            <w:noWrap w:val="0"/>
            <w:vAlign w:val="center"/>
          </w:tcPr>
          <w:p w14:paraId="6830AB4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371" w:type="pct"/>
            <w:vMerge w:val="continue"/>
            <w:noWrap w:val="0"/>
            <w:vAlign w:val="center"/>
          </w:tcPr>
          <w:p w14:paraId="10A81BB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255" w:type="pct"/>
            <w:vMerge w:val="continue"/>
            <w:noWrap w:val="0"/>
            <w:vAlign w:val="center"/>
          </w:tcPr>
          <w:p w14:paraId="3C6BB3C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pPr>
          </w:p>
        </w:tc>
        <w:tc>
          <w:tcPr>
            <w:tcW w:w="348" w:type="pct"/>
            <w:noWrap w:val="0"/>
            <w:vAlign w:val="center"/>
          </w:tcPr>
          <w:p w14:paraId="1443375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eastAsia="宋体"/>
                <w:sz w:val="21"/>
                <w:szCs w:val="21"/>
                <w:lang w:eastAsia="zh-CN"/>
              </w:rPr>
            </w:pPr>
            <w:r>
              <w:rPr>
                <w:rFonts w:hint="eastAsia"/>
                <w:sz w:val="21"/>
                <w:szCs w:val="21"/>
                <w:lang w:eastAsia="zh-CN"/>
              </w:rPr>
              <w:t>苯乙烯</w:t>
            </w:r>
          </w:p>
        </w:tc>
        <w:tc>
          <w:tcPr>
            <w:tcW w:w="305" w:type="pct"/>
            <w:vMerge w:val="continue"/>
            <w:noWrap w:val="0"/>
            <w:vAlign w:val="center"/>
          </w:tcPr>
          <w:p w14:paraId="0E3958B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16" w:type="pct"/>
            <w:vMerge w:val="continue"/>
            <w:noWrap w:val="0"/>
            <w:vAlign w:val="center"/>
          </w:tcPr>
          <w:p w14:paraId="186E1E8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83" w:type="pct"/>
            <w:noWrap w:val="0"/>
            <w:vAlign w:val="center"/>
          </w:tcPr>
          <w:p w14:paraId="0194973A">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eastAsia="宋体"/>
                <w:sz w:val="21"/>
                <w:szCs w:val="21"/>
                <w:lang w:val="en-US" w:eastAsia="zh-CN"/>
              </w:rPr>
            </w:pPr>
            <w:r>
              <w:rPr>
                <w:rFonts w:hint="eastAsia"/>
                <w:sz w:val="21"/>
                <w:szCs w:val="21"/>
                <w:lang w:val="en-US" w:eastAsia="zh-CN"/>
              </w:rPr>
              <w:t>0.005</w:t>
            </w:r>
          </w:p>
        </w:tc>
        <w:tc>
          <w:tcPr>
            <w:tcW w:w="921" w:type="pct"/>
            <w:gridSpan w:val="2"/>
            <w:vMerge w:val="continue"/>
            <w:noWrap w:val="0"/>
            <w:vAlign w:val="center"/>
          </w:tcPr>
          <w:p w14:paraId="19E634E4">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31" w:type="pct"/>
            <w:vMerge w:val="continue"/>
            <w:noWrap w:val="0"/>
            <w:vAlign w:val="center"/>
          </w:tcPr>
          <w:p w14:paraId="1A809FA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283" w:type="pct"/>
            <w:vMerge w:val="continue"/>
            <w:noWrap w:val="0"/>
            <w:vAlign w:val="center"/>
          </w:tcPr>
          <w:p w14:paraId="4768DCD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13" w:type="pct"/>
            <w:vMerge w:val="continue"/>
            <w:noWrap w:val="0"/>
            <w:vAlign w:val="center"/>
          </w:tcPr>
          <w:p w14:paraId="6352DF23">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08" w:type="pct"/>
            <w:vMerge w:val="continue"/>
            <w:noWrap w:val="0"/>
            <w:vAlign w:val="center"/>
          </w:tcPr>
          <w:p w14:paraId="51EFC107">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sz w:val="21"/>
                <w:szCs w:val="21"/>
              </w:rPr>
            </w:pPr>
          </w:p>
        </w:tc>
        <w:tc>
          <w:tcPr>
            <w:tcW w:w="334" w:type="pct"/>
            <w:noWrap w:val="0"/>
            <w:vAlign w:val="center"/>
          </w:tcPr>
          <w:p w14:paraId="1E0B39ED">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eastAsia="宋体"/>
                <w:sz w:val="21"/>
                <w:szCs w:val="21"/>
                <w:lang w:val="en-US" w:eastAsia="zh-CN"/>
              </w:rPr>
            </w:pPr>
            <w:r>
              <w:rPr>
                <w:rFonts w:hint="eastAsia"/>
                <w:sz w:val="21"/>
                <w:szCs w:val="21"/>
                <w:lang w:val="en-US" w:eastAsia="zh-CN"/>
              </w:rPr>
              <w:t>0.005</w:t>
            </w:r>
          </w:p>
        </w:tc>
        <w:tc>
          <w:tcPr>
            <w:tcW w:w="343" w:type="pct"/>
            <w:noWrap w:val="0"/>
            <w:vAlign w:val="center"/>
          </w:tcPr>
          <w:p w14:paraId="339FF9A8">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sz w:val="21"/>
                <w:szCs w:val="21"/>
                <w:u w:val="none" w:color="auto"/>
                <w:lang w:val="en-US" w:eastAsia="zh-CN"/>
              </w:rPr>
            </w:pPr>
            <w:r>
              <w:rPr>
                <w:rFonts w:hint="eastAsia" w:ascii="Times New Roman" w:hAnsi="Times New Roman" w:eastAsia="宋体" w:cs="Times New Roman"/>
                <w:b w:val="0"/>
                <w:bCs/>
                <w:i w:val="0"/>
                <w:color w:val="auto"/>
                <w:sz w:val="21"/>
                <w:szCs w:val="21"/>
                <w:u w:val="none" w:color="auto"/>
                <w:lang w:val="en-US" w:eastAsia="zh-CN"/>
              </w:rPr>
              <w:t>5.0</w:t>
            </w:r>
            <w:r>
              <w:rPr>
                <w:rFonts w:ascii="Times New Roman" w:hAnsi="Times New Roman" w:eastAsia="宋体" w:cs="Times New Roman"/>
                <w:b w:val="0"/>
                <w:bCs/>
                <w:i w:val="0"/>
                <w:color w:val="auto"/>
                <w:kern w:val="0"/>
                <w:sz w:val="21"/>
                <w:szCs w:val="21"/>
                <w:u w:val="none" w:color="auto"/>
                <w:lang w:val="en-US" w:eastAsia="zh-CN" w:bidi="ar-SA"/>
              </w:rPr>
              <w:t>mg/m</w:t>
            </w:r>
            <w:r>
              <w:rPr>
                <w:rFonts w:ascii="Times New Roman" w:hAnsi="Times New Roman" w:eastAsia="宋体" w:cs="Times New Roman"/>
                <w:b w:val="0"/>
                <w:bCs/>
                <w:i w:val="0"/>
                <w:color w:val="auto"/>
                <w:kern w:val="0"/>
                <w:sz w:val="21"/>
                <w:szCs w:val="21"/>
                <w:u w:val="none" w:color="auto"/>
                <w:vertAlign w:val="superscript"/>
                <w:lang w:val="en-US" w:eastAsia="en-US" w:bidi="ar-SA"/>
              </w:rPr>
              <w:t>3</w:t>
            </w:r>
          </w:p>
        </w:tc>
      </w:tr>
    </w:tbl>
    <w:p w14:paraId="2AF12725">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0"/>
        <w:rPr>
          <w:rFonts w:hint="default" w:ascii="Times New Roman" w:hAnsi="Times New Roman" w:cs="Times New Roman"/>
          <w:b/>
          <w:color w:val="000000"/>
          <w:sz w:val="24"/>
          <w:highlight w:val="none"/>
          <w:u w:val="none"/>
        </w:rPr>
      </w:pPr>
    </w:p>
    <w:p w14:paraId="2C02C0B3">
      <w:pPr>
        <w:spacing w:line="240" w:lineRule="auto"/>
        <w:rPr>
          <w:rFonts w:hint="default" w:ascii="Times New Roman" w:hAnsi="Times New Roman" w:cs="Times New Roman"/>
        </w:rPr>
        <w:sectPr>
          <w:pgSz w:w="16840" w:h="11907" w:orient="landscape"/>
          <w:pgMar w:top="1440" w:right="1134" w:bottom="1440" w:left="1134" w:header="851" w:footer="964" w:gutter="0"/>
          <w:pgBorders>
            <w:top w:val="none" w:sz="0" w:space="0"/>
            <w:left w:val="none" w:sz="0" w:space="0"/>
            <w:bottom w:val="none" w:sz="0" w:space="0"/>
            <w:right w:val="none" w:sz="0" w:space="0"/>
          </w:pgBorders>
          <w:pgNumType w:fmt="decimal"/>
          <w:cols w:space="720" w:num="1"/>
          <w:docGrid w:linePitch="312" w:charSpace="0"/>
        </w:sectPr>
      </w:pPr>
    </w:p>
    <w:p w14:paraId="7418B557">
      <w:pPr>
        <w:pStyle w:val="4"/>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4.</w:t>
      </w:r>
      <w:r>
        <w:rPr>
          <w:rFonts w:hint="eastAsia" w:ascii="Times New Roman" w:hAnsi="Times New Roman" w:cs="Times New Roman"/>
          <w:lang w:val="en-US" w:eastAsia="zh-CN"/>
        </w:rPr>
        <w:t>1</w:t>
      </w:r>
      <w:r>
        <w:rPr>
          <w:rFonts w:hint="default" w:ascii="Times New Roman" w:hAnsi="Times New Roman" w:cs="Times New Roman"/>
        </w:rPr>
        <w:t>排放总量</w:t>
      </w:r>
    </w:p>
    <w:p w14:paraId="6101F14C">
      <w:pPr>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综上所述，项目建成后VOCs总量建议指标值详见表</w:t>
      </w:r>
      <w:r>
        <w:rPr>
          <w:rFonts w:hint="default" w:ascii="Times New Roman" w:hAnsi="Times New Roman" w:cs="Times New Roman"/>
          <w:sz w:val="24"/>
          <w:lang w:val="en-US" w:eastAsia="zh-CN"/>
        </w:rPr>
        <w:t>7</w:t>
      </w:r>
      <w:r>
        <w:rPr>
          <w:rFonts w:hint="eastAsia" w:ascii="Times New Roman" w:hAnsi="Times New Roman" w:cs="Times New Roman"/>
          <w:sz w:val="24"/>
          <w:lang w:val="en-US" w:eastAsia="zh-CN"/>
        </w:rPr>
        <w:t>、</w:t>
      </w:r>
      <w:r>
        <w:rPr>
          <w:rFonts w:hint="default" w:ascii="Times New Roman" w:hAnsi="Times New Roman" w:cs="Times New Roman"/>
          <w:sz w:val="24"/>
        </w:rPr>
        <w:t>表</w:t>
      </w:r>
      <w:r>
        <w:rPr>
          <w:rFonts w:hint="eastAsia" w:ascii="Times New Roman" w:hAnsi="Times New Roman" w:cs="Times New Roman"/>
          <w:sz w:val="24"/>
          <w:lang w:val="en-US" w:eastAsia="zh-CN"/>
        </w:rPr>
        <w:t>8</w:t>
      </w:r>
      <w:r>
        <w:rPr>
          <w:rFonts w:hint="default" w:ascii="Times New Roman" w:hAnsi="Times New Roman" w:cs="Times New Roman"/>
          <w:sz w:val="24"/>
        </w:rPr>
        <w:t>。</w:t>
      </w:r>
    </w:p>
    <w:p w14:paraId="422ECFE9">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Times New Roman"/>
          <w:b/>
        </w:rPr>
      </w:pPr>
      <w:r>
        <w:rPr>
          <w:rFonts w:hint="default" w:ascii="Times New Roman" w:hAnsi="Times New Roman" w:cs="Times New Roman"/>
          <w:b/>
        </w:rPr>
        <w:t>表</w:t>
      </w:r>
      <w:r>
        <w:rPr>
          <w:rFonts w:hint="default" w:ascii="Times New Roman" w:hAnsi="Times New Roman" w:cs="Times New Roman"/>
          <w:b/>
          <w:lang w:val="en-US" w:eastAsia="zh-CN"/>
        </w:rPr>
        <w:t xml:space="preserve">7 </w:t>
      </w:r>
      <w:r>
        <w:rPr>
          <w:rFonts w:hint="default" w:ascii="Times New Roman" w:hAnsi="Times New Roman" w:cs="Times New Roman"/>
          <w:b/>
        </w:rPr>
        <w:t xml:space="preserve">  </w:t>
      </w:r>
      <w:r>
        <w:rPr>
          <w:rFonts w:hint="eastAsia" w:cs="Times New Roman"/>
          <w:b/>
          <w:lang w:eastAsia="zh-CN"/>
        </w:rPr>
        <w:t>项目</w:t>
      </w:r>
      <w:r>
        <w:rPr>
          <w:rFonts w:hint="eastAsia" w:cs="Times New Roman"/>
          <w:b/>
          <w:bCs/>
          <w:szCs w:val="22"/>
          <w:lang w:val="en-US" w:eastAsia="zh-CN"/>
        </w:rPr>
        <w:t>VOCs</w:t>
      </w:r>
      <w:r>
        <w:rPr>
          <w:rFonts w:hint="default" w:ascii="Times New Roman" w:hAnsi="Times New Roman" w:cs="Times New Roman"/>
          <w:b/>
        </w:rPr>
        <w:t>有组织排放量核算表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320"/>
        <w:gridCol w:w="1336"/>
        <w:gridCol w:w="1556"/>
        <w:gridCol w:w="1915"/>
        <w:gridCol w:w="1700"/>
      </w:tblGrid>
      <w:tr w14:paraId="1D751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06" w:type="pct"/>
            <w:noWrap w:val="0"/>
            <w:vAlign w:val="center"/>
          </w:tcPr>
          <w:p w14:paraId="7BE1DDF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序号</w:t>
            </w:r>
          </w:p>
        </w:tc>
        <w:tc>
          <w:tcPr>
            <w:tcW w:w="774" w:type="pct"/>
            <w:noWrap w:val="0"/>
            <w:vAlign w:val="center"/>
          </w:tcPr>
          <w:p w14:paraId="6392DF60">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排放口编号</w:t>
            </w:r>
          </w:p>
        </w:tc>
        <w:tc>
          <w:tcPr>
            <w:tcW w:w="784" w:type="pct"/>
            <w:noWrap w:val="0"/>
            <w:vAlign w:val="center"/>
          </w:tcPr>
          <w:p w14:paraId="17D63F18">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污染物</w:t>
            </w:r>
          </w:p>
        </w:tc>
        <w:tc>
          <w:tcPr>
            <w:tcW w:w="913" w:type="pct"/>
            <w:noWrap w:val="0"/>
            <w:vAlign w:val="center"/>
          </w:tcPr>
          <w:p w14:paraId="517560F1">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核算排放浓度（mg/m</w:t>
            </w:r>
            <w:r>
              <w:rPr>
                <w:rFonts w:hint="default" w:ascii="Times New Roman" w:hAnsi="Times New Roman" w:cs="Times New Roman"/>
                <w:b w:val="0"/>
                <w:bCs w:val="0"/>
                <w:kern w:val="0"/>
                <w:sz w:val="21"/>
                <w:szCs w:val="18"/>
                <w:vertAlign w:val="superscript"/>
              </w:rPr>
              <w:t>3</w:t>
            </w:r>
            <w:r>
              <w:rPr>
                <w:rFonts w:hint="default" w:ascii="Times New Roman" w:hAnsi="Times New Roman" w:cs="Times New Roman"/>
                <w:b w:val="0"/>
                <w:bCs w:val="0"/>
                <w:kern w:val="0"/>
                <w:sz w:val="21"/>
                <w:szCs w:val="18"/>
              </w:rPr>
              <w:t>）</w:t>
            </w:r>
          </w:p>
        </w:tc>
        <w:tc>
          <w:tcPr>
            <w:tcW w:w="1123" w:type="pct"/>
            <w:noWrap w:val="0"/>
            <w:vAlign w:val="center"/>
          </w:tcPr>
          <w:p w14:paraId="68A980F7">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核算排放速率（kg/h）</w:t>
            </w:r>
          </w:p>
        </w:tc>
        <w:tc>
          <w:tcPr>
            <w:tcW w:w="997" w:type="pct"/>
            <w:noWrap w:val="0"/>
            <w:vAlign w:val="center"/>
          </w:tcPr>
          <w:p w14:paraId="3DB35AB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 w:val="0"/>
                <w:bCs w:val="0"/>
                <w:kern w:val="0"/>
                <w:sz w:val="21"/>
                <w:szCs w:val="18"/>
              </w:rPr>
            </w:pPr>
            <w:r>
              <w:rPr>
                <w:rFonts w:hint="default" w:ascii="Times New Roman" w:hAnsi="Times New Roman" w:cs="Times New Roman"/>
                <w:b w:val="0"/>
                <w:bCs w:val="0"/>
                <w:kern w:val="0"/>
                <w:sz w:val="21"/>
                <w:szCs w:val="18"/>
              </w:rPr>
              <w:t>核算年排放量（t/a）</w:t>
            </w:r>
          </w:p>
        </w:tc>
      </w:tr>
      <w:tr w14:paraId="4EC36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000" w:type="pct"/>
            <w:gridSpan w:val="6"/>
            <w:noWrap w:val="0"/>
            <w:vAlign w:val="center"/>
          </w:tcPr>
          <w:p w14:paraId="5F125AE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一般排放口</w:t>
            </w:r>
          </w:p>
        </w:tc>
      </w:tr>
      <w:tr w14:paraId="65CED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06" w:type="pct"/>
            <w:noWrap w:val="0"/>
            <w:vAlign w:val="center"/>
          </w:tcPr>
          <w:p w14:paraId="7ABFE6B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1</w:t>
            </w:r>
          </w:p>
        </w:tc>
        <w:tc>
          <w:tcPr>
            <w:tcW w:w="774" w:type="pct"/>
            <w:vMerge w:val="restart"/>
            <w:noWrap w:val="0"/>
            <w:vAlign w:val="center"/>
          </w:tcPr>
          <w:p w14:paraId="20753602">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r>
              <w:rPr>
                <w:rFonts w:hint="default" w:ascii="Times New Roman" w:hAnsi="Times New Roman" w:cs="Times New Roman"/>
                <w:kern w:val="0"/>
                <w:sz w:val="21"/>
                <w:szCs w:val="18"/>
              </w:rPr>
              <w:t>DA001</w:t>
            </w:r>
          </w:p>
        </w:tc>
        <w:tc>
          <w:tcPr>
            <w:tcW w:w="784" w:type="pct"/>
            <w:noWrap w:val="0"/>
            <w:vAlign w:val="center"/>
          </w:tcPr>
          <w:p w14:paraId="03F8C1A9">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eastAsia="宋体" w:cs="Times New Roman"/>
                <w:kern w:val="0"/>
                <w:sz w:val="21"/>
                <w:szCs w:val="18"/>
                <w:lang w:eastAsia="zh-CN"/>
              </w:rPr>
            </w:pPr>
            <w:r>
              <w:rPr>
                <w:rFonts w:hint="eastAsia" w:cs="Times New Roman"/>
                <w:kern w:val="0"/>
                <w:sz w:val="21"/>
                <w:szCs w:val="18"/>
                <w:lang w:eastAsia="zh-CN"/>
              </w:rPr>
              <w:t>非甲烷总烃</w:t>
            </w:r>
          </w:p>
        </w:tc>
        <w:tc>
          <w:tcPr>
            <w:tcW w:w="913" w:type="pct"/>
            <w:noWrap w:val="0"/>
            <w:vAlign w:val="center"/>
          </w:tcPr>
          <w:p w14:paraId="23A2C164">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6.45</w:t>
            </w:r>
          </w:p>
        </w:tc>
        <w:tc>
          <w:tcPr>
            <w:tcW w:w="1123" w:type="pct"/>
            <w:noWrap w:val="0"/>
            <w:vAlign w:val="center"/>
          </w:tcPr>
          <w:p w14:paraId="01A2B33A">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default" w:ascii="Times New Roman" w:hAnsi="Times New Roman" w:cs="Times New Roman"/>
                <w:b w:val="0"/>
                <w:bCs w:val="0"/>
                <w:color w:val="000000"/>
                <w:kern w:val="0"/>
                <w:sz w:val="21"/>
                <w:szCs w:val="21"/>
                <w:highlight w:val="none"/>
                <w:u w:val="none" w:color="auto"/>
                <w:lang w:val="en-US" w:eastAsia="zh-CN" w:bidi="ar"/>
              </w:rPr>
              <w:t>0.0</w:t>
            </w:r>
            <w:r>
              <w:rPr>
                <w:rFonts w:hint="eastAsia" w:cs="Times New Roman"/>
                <w:b w:val="0"/>
                <w:bCs w:val="0"/>
                <w:color w:val="000000"/>
                <w:kern w:val="0"/>
                <w:sz w:val="21"/>
                <w:szCs w:val="21"/>
                <w:highlight w:val="none"/>
                <w:u w:val="none" w:color="auto"/>
                <w:lang w:val="en-US" w:eastAsia="zh-CN" w:bidi="ar"/>
              </w:rPr>
              <w:t>451</w:t>
            </w:r>
          </w:p>
        </w:tc>
        <w:tc>
          <w:tcPr>
            <w:tcW w:w="997" w:type="pct"/>
            <w:noWrap w:val="0"/>
            <w:vAlign w:val="center"/>
          </w:tcPr>
          <w:p w14:paraId="07C2A740">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cs="Times New Roman"/>
                <w:b w:val="0"/>
                <w:bCs w:val="0"/>
                <w:color w:val="000000"/>
                <w:kern w:val="0"/>
                <w:sz w:val="21"/>
                <w:szCs w:val="21"/>
                <w:highlight w:val="none"/>
                <w:u w:val="none" w:color="auto"/>
                <w:lang w:val="en-US" w:eastAsia="zh-CN" w:bidi="ar"/>
              </w:rPr>
            </w:pPr>
            <w:r>
              <w:rPr>
                <w:rFonts w:hint="default" w:ascii="Times New Roman" w:hAnsi="Times New Roman" w:cs="Times New Roman"/>
                <w:b w:val="0"/>
                <w:bCs w:val="0"/>
                <w:color w:val="000000"/>
                <w:kern w:val="0"/>
                <w:sz w:val="21"/>
                <w:szCs w:val="21"/>
                <w:highlight w:val="none"/>
                <w:u w:val="none" w:color="auto"/>
                <w:lang w:val="en-US" w:eastAsia="zh-CN" w:bidi="ar"/>
              </w:rPr>
              <w:t>0.</w:t>
            </w:r>
            <w:r>
              <w:rPr>
                <w:rFonts w:hint="eastAsia" w:cs="Times New Roman"/>
                <w:b w:val="0"/>
                <w:bCs w:val="0"/>
                <w:color w:val="000000"/>
                <w:kern w:val="0"/>
                <w:sz w:val="21"/>
                <w:szCs w:val="21"/>
                <w:highlight w:val="none"/>
                <w:u w:val="none" w:color="auto"/>
                <w:lang w:val="en-US" w:eastAsia="zh-CN" w:bidi="ar"/>
              </w:rPr>
              <w:t>1083</w:t>
            </w:r>
          </w:p>
        </w:tc>
      </w:tr>
      <w:tr w14:paraId="70C68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06" w:type="pct"/>
            <w:noWrap w:val="0"/>
            <w:vAlign w:val="center"/>
          </w:tcPr>
          <w:p w14:paraId="1193E24A">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Times New Roman" w:hAnsi="Times New Roman" w:eastAsia="宋体" w:cs="Times New Roman"/>
                <w:kern w:val="0"/>
                <w:sz w:val="21"/>
                <w:szCs w:val="18"/>
                <w:lang w:val="en-US" w:eastAsia="zh-CN"/>
              </w:rPr>
            </w:pPr>
            <w:r>
              <w:rPr>
                <w:rFonts w:hint="eastAsia" w:cs="Times New Roman"/>
                <w:kern w:val="0"/>
                <w:sz w:val="21"/>
                <w:szCs w:val="18"/>
                <w:lang w:val="en-US" w:eastAsia="zh-CN"/>
              </w:rPr>
              <w:t>2</w:t>
            </w:r>
          </w:p>
        </w:tc>
        <w:tc>
          <w:tcPr>
            <w:tcW w:w="774" w:type="pct"/>
            <w:vMerge w:val="continue"/>
            <w:noWrap w:val="0"/>
            <w:vAlign w:val="center"/>
          </w:tcPr>
          <w:p w14:paraId="33537A7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784" w:type="pct"/>
            <w:noWrap w:val="0"/>
            <w:vAlign w:val="center"/>
          </w:tcPr>
          <w:p w14:paraId="22C3448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cs="Times New Roman"/>
                <w:kern w:val="0"/>
                <w:sz w:val="21"/>
                <w:szCs w:val="18"/>
                <w:lang w:eastAsia="zh-CN"/>
              </w:rPr>
            </w:pPr>
            <w:r>
              <w:rPr>
                <w:rFonts w:hint="eastAsia" w:cs="Times New Roman"/>
                <w:kern w:val="0"/>
                <w:sz w:val="21"/>
                <w:szCs w:val="18"/>
                <w:lang w:eastAsia="zh-CN"/>
              </w:rPr>
              <w:t>苯乙烯</w:t>
            </w:r>
          </w:p>
        </w:tc>
        <w:tc>
          <w:tcPr>
            <w:tcW w:w="913" w:type="pct"/>
            <w:shd w:val="clear" w:color="auto" w:fill="auto"/>
            <w:noWrap w:val="0"/>
            <w:vAlign w:val="center"/>
          </w:tcPr>
          <w:p w14:paraId="0F1D7DF0">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1.13</w:t>
            </w:r>
          </w:p>
        </w:tc>
        <w:tc>
          <w:tcPr>
            <w:tcW w:w="1123" w:type="pct"/>
            <w:shd w:val="clear" w:color="auto" w:fill="auto"/>
            <w:noWrap w:val="0"/>
            <w:vAlign w:val="center"/>
          </w:tcPr>
          <w:p w14:paraId="4913307E">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0.0079</w:t>
            </w:r>
          </w:p>
        </w:tc>
        <w:tc>
          <w:tcPr>
            <w:tcW w:w="997" w:type="pct"/>
            <w:shd w:val="clear" w:color="auto" w:fill="auto"/>
            <w:noWrap w:val="0"/>
            <w:vAlign w:val="center"/>
          </w:tcPr>
          <w:p w14:paraId="59A37C41">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color="auto"/>
                <w:lang w:val="en-US" w:eastAsia="zh-CN" w:bidi="ar"/>
              </w:rPr>
            </w:pPr>
            <w:r>
              <w:rPr>
                <w:rFonts w:hint="eastAsia" w:cs="Times New Roman"/>
                <w:b w:val="0"/>
                <w:bCs w:val="0"/>
                <w:color w:val="000000"/>
                <w:kern w:val="0"/>
                <w:sz w:val="21"/>
                <w:szCs w:val="21"/>
                <w:highlight w:val="none"/>
                <w:u w:val="none" w:color="auto"/>
                <w:lang w:val="en-US" w:eastAsia="zh-CN" w:bidi="ar"/>
              </w:rPr>
              <w:t>0.019</w:t>
            </w:r>
          </w:p>
        </w:tc>
      </w:tr>
      <w:tr w14:paraId="78565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06" w:type="pct"/>
            <w:noWrap w:val="0"/>
            <w:vAlign w:val="center"/>
          </w:tcPr>
          <w:p w14:paraId="441349F3">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cs="Times New Roman"/>
                <w:kern w:val="0"/>
                <w:sz w:val="21"/>
                <w:szCs w:val="18"/>
                <w:lang w:val="en-US" w:eastAsia="zh-CN"/>
              </w:rPr>
            </w:pPr>
            <w:r>
              <w:rPr>
                <w:rFonts w:hint="eastAsia" w:cs="Times New Roman"/>
                <w:kern w:val="0"/>
                <w:sz w:val="21"/>
                <w:szCs w:val="18"/>
                <w:lang w:val="en-US" w:eastAsia="zh-CN"/>
              </w:rPr>
              <w:t>3</w:t>
            </w:r>
          </w:p>
        </w:tc>
        <w:tc>
          <w:tcPr>
            <w:tcW w:w="774" w:type="pct"/>
            <w:vMerge w:val="continue"/>
            <w:noWrap w:val="0"/>
            <w:vAlign w:val="center"/>
          </w:tcPr>
          <w:p w14:paraId="0FD333EF">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kern w:val="0"/>
                <w:sz w:val="21"/>
                <w:szCs w:val="18"/>
              </w:rPr>
            </w:pPr>
          </w:p>
        </w:tc>
        <w:tc>
          <w:tcPr>
            <w:tcW w:w="784" w:type="pct"/>
            <w:noWrap w:val="0"/>
            <w:vAlign w:val="center"/>
          </w:tcPr>
          <w:p w14:paraId="556AC256">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cs="Times New Roman"/>
                <w:kern w:val="0"/>
                <w:sz w:val="21"/>
                <w:szCs w:val="18"/>
                <w:lang w:eastAsia="zh-CN"/>
              </w:rPr>
            </w:pPr>
            <w:r>
              <w:rPr>
                <w:rFonts w:hint="default" w:ascii="Times New Roman" w:hAnsi="Times New Roman" w:cs="Times New Roman"/>
                <w:kern w:val="0"/>
                <w:sz w:val="21"/>
                <w:szCs w:val="18"/>
                <w:highlight w:val="none"/>
                <w:lang w:val="en-US" w:eastAsia="zh-CN" w:bidi="ar-SA"/>
              </w:rPr>
              <w:t>VOCs</w:t>
            </w:r>
          </w:p>
        </w:tc>
        <w:tc>
          <w:tcPr>
            <w:tcW w:w="913" w:type="pct"/>
            <w:shd w:val="clear" w:color="auto" w:fill="auto"/>
            <w:noWrap w:val="0"/>
            <w:vAlign w:val="center"/>
          </w:tcPr>
          <w:p w14:paraId="6FD56B02">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default" w:ascii="Times New Roman" w:hAnsi="Times New Roman" w:eastAsia="宋体" w:cs="Times New Roman"/>
                <w:b w:val="0"/>
                <w:bCs/>
                <w:i w:val="0"/>
                <w:color w:val="auto"/>
                <w:kern w:val="2"/>
                <w:sz w:val="21"/>
                <w:szCs w:val="21"/>
                <w:highlight w:val="none"/>
                <w:u w:val="none" w:color="auto"/>
                <w:lang w:val="en-US" w:eastAsia="zh-CN" w:bidi="ar-SA"/>
              </w:rPr>
            </w:pPr>
            <w:r>
              <w:rPr>
                <w:rFonts w:hint="eastAsia" w:cs="Times New Roman"/>
                <w:b w:val="0"/>
                <w:bCs/>
                <w:i w:val="0"/>
                <w:color w:val="auto"/>
                <w:sz w:val="21"/>
                <w:szCs w:val="21"/>
                <w:highlight w:val="none"/>
                <w:u w:val="none" w:color="auto"/>
                <w:lang w:val="en-US" w:eastAsia="zh-CN"/>
              </w:rPr>
              <w:t>2.78</w:t>
            </w:r>
          </w:p>
        </w:tc>
        <w:tc>
          <w:tcPr>
            <w:tcW w:w="1123" w:type="pct"/>
            <w:shd w:val="clear" w:color="auto" w:fill="auto"/>
            <w:noWrap w:val="0"/>
            <w:vAlign w:val="center"/>
          </w:tcPr>
          <w:p w14:paraId="24AAB29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2"/>
                <w:sz w:val="21"/>
                <w:szCs w:val="21"/>
                <w:highlight w:val="none"/>
                <w:u w:val="none" w:color="auto"/>
                <w:lang w:val="en-US" w:eastAsia="zh-CN" w:bidi="ar-SA"/>
              </w:rPr>
            </w:pPr>
            <w:r>
              <w:rPr>
                <w:rFonts w:hint="eastAsia" w:cs="Times New Roman"/>
                <w:b w:val="0"/>
                <w:bCs/>
                <w:i w:val="0"/>
                <w:color w:val="auto"/>
                <w:sz w:val="21"/>
                <w:szCs w:val="21"/>
                <w:highlight w:val="none"/>
                <w:u w:val="none" w:color="auto"/>
                <w:lang w:val="en-US" w:eastAsia="zh-CN"/>
              </w:rPr>
              <w:t>0.0003</w:t>
            </w:r>
          </w:p>
        </w:tc>
        <w:tc>
          <w:tcPr>
            <w:tcW w:w="997" w:type="pct"/>
            <w:shd w:val="clear" w:color="auto" w:fill="auto"/>
            <w:noWrap w:val="0"/>
            <w:vAlign w:val="center"/>
          </w:tcPr>
          <w:p w14:paraId="0A69B7D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imes New Roman" w:hAnsi="Times New Roman" w:eastAsia="宋体" w:cs="Times New Roman"/>
                <w:b w:val="0"/>
                <w:bCs/>
                <w:i w:val="0"/>
                <w:color w:val="auto"/>
                <w:kern w:val="2"/>
                <w:sz w:val="21"/>
                <w:szCs w:val="21"/>
                <w:u w:val="none" w:color="auto"/>
                <w:lang w:val="en-US" w:eastAsia="zh-CN" w:bidi="ar-SA"/>
              </w:rPr>
            </w:pPr>
            <w:r>
              <w:rPr>
                <w:rFonts w:hint="eastAsia" w:cs="Times New Roman"/>
                <w:b w:val="0"/>
                <w:bCs/>
                <w:i w:val="0"/>
                <w:color w:val="auto"/>
                <w:sz w:val="21"/>
                <w:szCs w:val="21"/>
                <w:u w:val="none" w:color="auto"/>
                <w:lang w:val="en-US" w:eastAsia="zh-CN"/>
              </w:rPr>
              <w:t>0.0008</w:t>
            </w:r>
          </w:p>
        </w:tc>
      </w:tr>
      <w:tr w14:paraId="45BD4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81" w:type="pct"/>
            <w:gridSpan w:val="2"/>
            <w:vMerge w:val="restart"/>
            <w:noWrap w:val="0"/>
            <w:vAlign w:val="center"/>
          </w:tcPr>
          <w:p w14:paraId="0E0BBC31">
            <w:pPr>
              <w:pStyle w:val="29"/>
              <w:ind w:firstLine="0" w:firstLineChars="0"/>
              <w:rPr>
                <w:rFonts w:hint="default" w:ascii="Times New Roman" w:hAnsi="Times New Roman" w:cs="Times New Roman"/>
                <w:bCs/>
                <w:color w:val="000000"/>
                <w:kern w:val="2"/>
                <w:sz w:val="21"/>
                <w:szCs w:val="21"/>
                <w:highlight w:val="none"/>
                <w:lang w:val="en-US" w:eastAsia="zh-CN" w:bidi="ar-SA"/>
              </w:rPr>
            </w:pPr>
            <w:r>
              <w:rPr>
                <w:rFonts w:hint="default" w:ascii="Times New Roman" w:hAnsi="Times New Roman" w:cs="Times New Roman"/>
                <w:color w:val="000000"/>
                <w:highlight w:val="none"/>
              </w:rPr>
              <w:t>一般排放口合计</w:t>
            </w:r>
          </w:p>
        </w:tc>
        <w:tc>
          <w:tcPr>
            <w:tcW w:w="2821" w:type="pct"/>
            <w:gridSpan w:val="3"/>
            <w:noWrap w:val="0"/>
            <w:vAlign w:val="center"/>
          </w:tcPr>
          <w:p w14:paraId="738D22A6">
            <w:pPr>
              <w:pStyle w:val="29"/>
              <w:ind w:firstLine="0" w:firstLineChars="0"/>
              <w:rPr>
                <w:rFonts w:hint="default" w:ascii="Times New Roman" w:hAnsi="Times New Roman" w:cs="Times New Roman"/>
                <w:bCs/>
                <w:color w:val="000000"/>
                <w:kern w:val="2"/>
                <w:sz w:val="21"/>
                <w:szCs w:val="21"/>
                <w:highlight w:val="none"/>
                <w:lang w:val="en-US" w:eastAsia="zh-CN" w:bidi="ar-SA"/>
              </w:rPr>
            </w:pPr>
            <w:r>
              <w:rPr>
                <w:rFonts w:hint="eastAsia" w:cs="Times New Roman"/>
                <w:bCs/>
                <w:color w:val="000000"/>
                <w:kern w:val="2"/>
                <w:sz w:val="21"/>
                <w:szCs w:val="21"/>
                <w:highlight w:val="none"/>
                <w:lang w:val="en-US" w:eastAsia="zh-CN" w:bidi="ar-SA"/>
              </w:rPr>
              <w:t>非甲烷总烃</w:t>
            </w:r>
          </w:p>
        </w:tc>
        <w:tc>
          <w:tcPr>
            <w:tcW w:w="997" w:type="pct"/>
            <w:noWrap w:val="0"/>
            <w:vAlign w:val="center"/>
          </w:tcPr>
          <w:p w14:paraId="17197029">
            <w:pPr>
              <w:pStyle w:val="24"/>
              <w:keepNext w:val="0"/>
              <w:keepLines w:val="0"/>
              <w:pageBreakBefore w:val="0"/>
              <w:widowControl w:val="0"/>
              <w:kinsoku/>
              <w:wordWrap/>
              <w:overflowPunct/>
              <w:topLinePunct w:val="0"/>
              <w:autoSpaceDE w:val="0"/>
              <w:autoSpaceDN w:val="0"/>
              <w:bidi w:val="0"/>
              <w:adjustRightInd w:val="0"/>
              <w:snapToGrid/>
              <w:spacing w:line="360" w:lineRule="exact"/>
              <w:ind w:left="0" w:leftChars="0" w:right="0" w:rightChars="0" w:firstLine="0" w:firstLineChars="0"/>
              <w:textAlignment w:val="auto"/>
              <w:rPr>
                <w:rFonts w:hint="default" w:ascii="Times New Roman" w:hAnsi="Times New Roman" w:eastAsia="宋体" w:cs="Times New Roman"/>
                <w:b w:val="0"/>
                <w:bCs w:val="0"/>
                <w:color w:val="000000"/>
                <w:kern w:val="0"/>
                <w:sz w:val="21"/>
                <w:szCs w:val="21"/>
                <w:highlight w:val="none"/>
                <w:lang w:val="en-US" w:eastAsia="zh-CN" w:bidi="ar"/>
              </w:rPr>
            </w:pPr>
            <w:r>
              <w:rPr>
                <w:rFonts w:hint="default" w:ascii="Times New Roman" w:hAnsi="Times New Roman" w:eastAsia="宋体" w:cs="Times New Roman"/>
                <w:b w:val="0"/>
                <w:bCs w:val="0"/>
                <w:color w:val="000000"/>
                <w:szCs w:val="21"/>
                <w:highlight w:val="none"/>
                <w:u w:val="none"/>
                <w:lang w:val="en-US" w:eastAsia="zh-CN"/>
              </w:rPr>
              <w:t>0.</w:t>
            </w:r>
            <w:r>
              <w:rPr>
                <w:rFonts w:hint="eastAsia" w:ascii="Times New Roman" w:hAnsi="Times New Roman" w:cs="Times New Roman"/>
                <w:b w:val="0"/>
                <w:bCs w:val="0"/>
                <w:color w:val="000000"/>
                <w:szCs w:val="21"/>
                <w:highlight w:val="none"/>
                <w:u w:val="none"/>
                <w:lang w:val="en-US" w:eastAsia="zh-CN"/>
              </w:rPr>
              <w:t>1083</w:t>
            </w:r>
          </w:p>
        </w:tc>
      </w:tr>
      <w:tr w14:paraId="0F7FA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81" w:type="pct"/>
            <w:gridSpan w:val="2"/>
            <w:vMerge w:val="continue"/>
            <w:noWrap w:val="0"/>
            <w:vAlign w:val="center"/>
          </w:tcPr>
          <w:p w14:paraId="3DF3EAD9">
            <w:pPr>
              <w:pStyle w:val="29"/>
              <w:ind w:firstLine="0" w:firstLineChars="0"/>
              <w:rPr>
                <w:rFonts w:hint="default" w:ascii="Times New Roman" w:hAnsi="Times New Roman" w:cs="Times New Roman"/>
                <w:color w:val="000000"/>
                <w:highlight w:val="none"/>
              </w:rPr>
            </w:pPr>
          </w:p>
        </w:tc>
        <w:tc>
          <w:tcPr>
            <w:tcW w:w="2821" w:type="pct"/>
            <w:gridSpan w:val="3"/>
            <w:noWrap w:val="0"/>
            <w:vAlign w:val="center"/>
          </w:tcPr>
          <w:p w14:paraId="36107202">
            <w:pPr>
              <w:pStyle w:val="29"/>
              <w:ind w:firstLine="0" w:firstLineChars="0"/>
              <w:rPr>
                <w:rFonts w:hint="eastAsia" w:cs="Times New Roman"/>
                <w:bCs/>
                <w:color w:val="000000"/>
                <w:kern w:val="2"/>
                <w:sz w:val="21"/>
                <w:szCs w:val="21"/>
                <w:highlight w:val="none"/>
                <w:lang w:val="en-US" w:eastAsia="zh-CN" w:bidi="ar-SA"/>
              </w:rPr>
            </w:pPr>
            <w:r>
              <w:rPr>
                <w:rFonts w:hint="eastAsia" w:cs="Times New Roman"/>
                <w:bCs/>
                <w:color w:val="000000"/>
                <w:kern w:val="2"/>
                <w:sz w:val="21"/>
                <w:szCs w:val="21"/>
                <w:highlight w:val="none"/>
                <w:lang w:val="en-US" w:eastAsia="zh-CN" w:bidi="ar-SA"/>
              </w:rPr>
              <w:t>苯乙烯</w:t>
            </w:r>
          </w:p>
        </w:tc>
        <w:tc>
          <w:tcPr>
            <w:tcW w:w="997" w:type="pct"/>
            <w:noWrap w:val="0"/>
            <w:vAlign w:val="center"/>
          </w:tcPr>
          <w:p w14:paraId="6DE5EE1D">
            <w:pPr>
              <w:pStyle w:val="24"/>
              <w:keepNext w:val="0"/>
              <w:keepLines w:val="0"/>
              <w:pageBreakBefore w:val="0"/>
              <w:widowControl w:val="0"/>
              <w:kinsoku/>
              <w:wordWrap/>
              <w:overflowPunct/>
              <w:topLinePunct w:val="0"/>
              <w:autoSpaceDE w:val="0"/>
              <w:autoSpaceDN w:val="0"/>
              <w:bidi w:val="0"/>
              <w:adjustRightInd w:val="0"/>
              <w:snapToGrid/>
              <w:spacing w:line="360" w:lineRule="exact"/>
              <w:ind w:left="0" w:leftChars="0" w:right="0" w:rightChars="0" w:firstLine="0" w:firstLineChars="0"/>
              <w:textAlignment w:val="auto"/>
              <w:rPr>
                <w:rFonts w:hint="default" w:ascii="Times New Roman" w:hAnsi="Times New Roman" w:eastAsia="宋体" w:cs="Times New Roman"/>
                <w:b w:val="0"/>
                <w:bCs w:val="0"/>
                <w:color w:val="000000"/>
                <w:szCs w:val="21"/>
                <w:highlight w:val="none"/>
                <w:u w:val="none"/>
                <w:lang w:val="en-US" w:eastAsia="zh-CN"/>
              </w:rPr>
            </w:pPr>
            <w:r>
              <w:rPr>
                <w:rFonts w:hint="eastAsia" w:ascii="Times New Roman" w:hAnsi="Times New Roman" w:cs="Times New Roman"/>
                <w:b w:val="0"/>
                <w:bCs w:val="0"/>
                <w:color w:val="000000"/>
                <w:szCs w:val="21"/>
                <w:highlight w:val="none"/>
                <w:u w:val="none"/>
                <w:lang w:val="en-US" w:eastAsia="zh-CN"/>
              </w:rPr>
              <w:t>0.019</w:t>
            </w:r>
          </w:p>
        </w:tc>
      </w:tr>
      <w:tr w14:paraId="39B7F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81" w:type="pct"/>
            <w:gridSpan w:val="2"/>
            <w:noWrap w:val="0"/>
            <w:vAlign w:val="center"/>
          </w:tcPr>
          <w:p w14:paraId="397FFC4E">
            <w:pPr>
              <w:pStyle w:val="29"/>
              <w:ind w:firstLine="0" w:firstLineChars="0"/>
              <w:rPr>
                <w:rFonts w:hint="default" w:ascii="Times New Roman" w:hAnsi="Times New Roman" w:cs="Times New Roman"/>
                <w:color w:val="000000"/>
                <w:highlight w:val="none"/>
              </w:rPr>
            </w:pPr>
          </w:p>
        </w:tc>
        <w:tc>
          <w:tcPr>
            <w:tcW w:w="2821" w:type="pct"/>
            <w:gridSpan w:val="3"/>
            <w:noWrap w:val="0"/>
            <w:vAlign w:val="center"/>
          </w:tcPr>
          <w:p w14:paraId="4F7AEC06">
            <w:pPr>
              <w:pStyle w:val="29"/>
              <w:ind w:firstLine="0" w:firstLineChars="0"/>
              <w:rPr>
                <w:rFonts w:hint="eastAsia" w:cs="Times New Roman"/>
                <w:bCs/>
                <w:color w:val="000000"/>
                <w:kern w:val="2"/>
                <w:sz w:val="21"/>
                <w:szCs w:val="21"/>
                <w:highlight w:val="none"/>
                <w:lang w:val="en-US" w:eastAsia="zh-CN" w:bidi="ar-SA"/>
              </w:rPr>
            </w:pPr>
            <w:r>
              <w:rPr>
                <w:rFonts w:hint="default" w:ascii="Times New Roman" w:hAnsi="Times New Roman" w:cs="Times New Roman"/>
                <w:kern w:val="0"/>
                <w:sz w:val="21"/>
                <w:szCs w:val="18"/>
                <w:highlight w:val="none"/>
                <w:lang w:val="en-US" w:eastAsia="zh-CN" w:bidi="ar-SA"/>
              </w:rPr>
              <w:t>VOCs</w:t>
            </w:r>
          </w:p>
        </w:tc>
        <w:tc>
          <w:tcPr>
            <w:tcW w:w="997" w:type="pct"/>
            <w:noWrap w:val="0"/>
            <w:vAlign w:val="center"/>
          </w:tcPr>
          <w:p w14:paraId="415660AF">
            <w:pPr>
              <w:pStyle w:val="24"/>
              <w:keepNext w:val="0"/>
              <w:keepLines w:val="0"/>
              <w:pageBreakBefore w:val="0"/>
              <w:widowControl w:val="0"/>
              <w:kinsoku/>
              <w:wordWrap/>
              <w:overflowPunct/>
              <w:topLinePunct w:val="0"/>
              <w:autoSpaceDE w:val="0"/>
              <w:autoSpaceDN w:val="0"/>
              <w:bidi w:val="0"/>
              <w:adjustRightInd w:val="0"/>
              <w:snapToGrid/>
              <w:spacing w:line="360" w:lineRule="exact"/>
              <w:ind w:left="0" w:leftChars="0" w:right="0" w:rightChars="0" w:firstLine="0" w:firstLineChars="0"/>
              <w:textAlignment w:val="auto"/>
              <w:rPr>
                <w:rFonts w:hint="default" w:ascii="Times New Roman" w:hAnsi="Times New Roman" w:cs="Times New Roman"/>
                <w:b w:val="0"/>
                <w:bCs w:val="0"/>
                <w:color w:val="000000"/>
                <w:szCs w:val="21"/>
                <w:highlight w:val="none"/>
                <w:u w:val="none"/>
                <w:lang w:val="en-US" w:eastAsia="zh-CN"/>
              </w:rPr>
            </w:pPr>
            <w:r>
              <w:rPr>
                <w:rFonts w:hint="eastAsia" w:ascii="Times New Roman" w:hAnsi="Times New Roman" w:cs="Times New Roman"/>
                <w:b w:val="0"/>
                <w:bCs w:val="0"/>
                <w:color w:val="000000"/>
                <w:szCs w:val="21"/>
                <w:highlight w:val="none"/>
                <w:u w:val="none"/>
                <w:lang w:val="en-US" w:eastAsia="zh-CN"/>
              </w:rPr>
              <w:t>0.0008</w:t>
            </w:r>
          </w:p>
        </w:tc>
      </w:tr>
    </w:tbl>
    <w:p w14:paraId="3B6B710C">
      <w:pPr>
        <w:spacing w:line="520" w:lineRule="atLeast"/>
        <w:ind w:firstLine="0" w:firstLineChars="0"/>
        <w:jc w:val="center"/>
        <w:rPr>
          <w:rFonts w:hint="default" w:ascii="Times New Roman" w:hAnsi="Times New Roman" w:cs="Times New Roman"/>
          <w:b/>
        </w:rPr>
      </w:pPr>
      <w:r>
        <w:rPr>
          <w:rFonts w:hint="default" w:ascii="Times New Roman" w:hAnsi="Times New Roman" w:cs="Times New Roman"/>
          <w:b/>
        </w:rPr>
        <w:t>表</w:t>
      </w:r>
      <w:r>
        <w:rPr>
          <w:rFonts w:hint="eastAsia" w:ascii="Times New Roman" w:hAnsi="Times New Roman" w:cs="Times New Roman"/>
          <w:b/>
          <w:lang w:val="en-US" w:eastAsia="zh-CN"/>
        </w:rPr>
        <w:t>8</w:t>
      </w:r>
      <w:r>
        <w:rPr>
          <w:rFonts w:hint="default" w:ascii="Times New Roman" w:hAnsi="Times New Roman" w:cs="Times New Roman"/>
          <w:b/>
          <w:lang w:val="en-US" w:eastAsia="zh-CN"/>
        </w:rPr>
        <w:t xml:space="preserve"> </w:t>
      </w:r>
      <w:r>
        <w:rPr>
          <w:rFonts w:hint="default" w:ascii="Times New Roman" w:hAnsi="Times New Roman" w:cs="Times New Roman"/>
          <w:b/>
        </w:rPr>
        <w:t xml:space="preserve">  </w:t>
      </w:r>
      <w:r>
        <w:rPr>
          <w:rFonts w:hint="eastAsia" w:cs="Times New Roman"/>
          <w:b/>
          <w:lang w:eastAsia="zh-CN"/>
        </w:rPr>
        <w:t>厂区</w:t>
      </w:r>
      <w:r>
        <w:rPr>
          <w:rFonts w:hint="eastAsia" w:cs="Times New Roman"/>
          <w:b/>
          <w:bCs/>
          <w:szCs w:val="22"/>
          <w:lang w:val="en-US" w:eastAsia="zh-CN"/>
        </w:rPr>
        <w:t>VOCs</w:t>
      </w:r>
      <w:r>
        <w:rPr>
          <w:rFonts w:hint="default" w:ascii="Times New Roman" w:hAnsi="Times New Roman" w:cs="Times New Roman"/>
          <w:b/>
        </w:rPr>
        <w:t>年排放量核算表（有组织</w:t>
      </w:r>
      <w:r>
        <w:rPr>
          <w:rFonts w:hint="eastAsia" w:ascii="Times New Roman" w:hAnsi="Times New Roman" w:cs="Times New Roman"/>
          <w:b/>
          <w:lang w:val="en-US" w:eastAsia="zh-CN"/>
        </w:rPr>
        <w:t>+无组织</w:t>
      </w:r>
      <w:r>
        <w:rPr>
          <w:rFonts w:hint="default" w:ascii="Times New Roman" w:hAnsi="Times New Roman" w:cs="Times New Roman"/>
          <w:b/>
        </w:rPr>
        <w:t>）</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8"/>
        <w:gridCol w:w="2434"/>
        <w:gridCol w:w="4888"/>
      </w:tblGrid>
      <w:tr w14:paraId="3E137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3" w:type="pct"/>
            <w:noWrap w:val="0"/>
            <w:vAlign w:val="center"/>
          </w:tcPr>
          <w:p w14:paraId="70BEFA58">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宋体" w:cs="Times New Roman"/>
                <w:b w:val="0"/>
                <w:bCs w:val="0"/>
                <w:sz w:val="21"/>
                <w:szCs w:val="21"/>
                <w:lang w:eastAsia="zh-CN"/>
              </w:rPr>
            </w:pPr>
            <w:r>
              <w:rPr>
                <w:rFonts w:hint="eastAsia" w:cs="Times New Roman"/>
                <w:b w:val="0"/>
                <w:bCs w:val="0"/>
                <w:sz w:val="21"/>
                <w:szCs w:val="21"/>
                <w:lang w:eastAsia="zh-CN"/>
              </w:rPr>
              <w:t>序号</w:t>
            </w:r>
          </w:p>
        </w:tc>
        <w:tc>
          <w:tcPr>
            <w:tcW w:w="1428" w:type="pct"/>
            <w:noWrap w:val="0"/>
            <w:vAlign w:val="center"/>
          </w:tcPr>
          <w:p w14:paraId="0F9734F3">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污染物名称</w:t>
            </w:r>
          </w:p>
        </w:tc>
        <w:tc>
          <w:tcPr>
            <w:tcW w:w="2867" w:type="pct"/>
            <w:noWrap w:val="0"/>
            <w:vAlign w:val="center"/>
          </w:tcPr>
          <w:p w14:paraId="4326782F">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cs="Times New Roman"/>
                <w:b w:val="0"/>
                <w:bCs w:val="0"/>
                <w:sz w:val="21"/>
                <w:szCs w:val="21"/>
                <w:highlight w:val="none"/>
              </w:rPr>
            </w:pPr>
            <w:r>
              <w:rPr>
                <w:rFonts w:hint="default" w:ascii="Times New Roman" w:hAnsi="Times New Roman" w:cs="Times New Roman"/>
                <w:b w:val="0"/>
                <w:bCs w:val="0"/>
                <w:sz w:val="21"/>
                <w:szCs w:val="21"/>
                <w:highlight w:val="none"/>
              </w:rPr>
              <w:t>排放量（t/a）</w:t>
            </w:r>
          </w:p>
        </w:tc>
      </w:tr>
      <w:tr w14:paraId="79DE4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03" w:type="pct"/>
            <w:noWrap w:val="0"/>
            <w:vAlign w:val="center"/>
          </w:tcPr>
          <w:p w14:paraId="72709004">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val="en-US" w:eastAsia="zh-CN"/>
              </w:rPr>
              <w:t>1</w:t>
            </w:r>
          </w:p>
        </w:tc>
        <w:tc>
          <w:tcPr>
            <w:tcW w:w="1428" w:type="pct"/>
            <w:noWrap w:val="0"/>
            <w:vAlign w:val="center"/>
          </w:tcPr>
          <w:p w14:paraId="452DEFA9">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非甲烷总烃</w:t>
            </w:r>
          </w:p>
        </w:tc>
        <w:tc>
          <w:tcPr>
            <w:tcW w:w="2867" w:type="pct"/>
            <w:noWrap w:val="0"/>
            <w:vAlign w:val="center"/>
          </w:tcPr>
          <w:p w14:paraId="237A65C0">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1368</w:t>
            </w:r>
          </w:p>
        </w:tc>
      </w:tr>
      <w:tr w14:paraId="663E4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03" w:type="pct"/>
            <w:noWrap w:val="0"/>
            <w:vAlign w:val="center"/>
          </w:tcPr>
          <w:p w14:paraId="2E9E087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w:t>
            </w:r>
          </w:p>
        </w:tc>
        <w:tc>
          <w:tcPr>
            <w:tcW w:w="1428" w:type="pct"/>
            <w:noWrap w:val="0"/>
            <w:vAlign w:val="center"/>
          </w:tcPr>
          <w:p w14:paraId="74E9E54A">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s="Times New Roman"/>
                <w:sz w:val="21"/>
                <w:szCs w:val="21"/>
                <w:lang w:eastAsia="zh-CN"/>
              </w:rPr>
            </w:pPr>
            <w:r>
              <w:rPr>
                <w:rFonts w:hint="eastAsia" w:cs="Times New Roman"/>
                <w:sz w:val="21"/>
                <w:szCs w:val="21"/>
                <w:lang w:eastAsia="zh-CN"/>
              </w:rPr>
              <w:t>苯乙烯</w:t>
            </w:r>
          </w:p>
        </w:tc>
        <w:tc>
          <w:tcPr>
            <w:tcW w:w="2867" w:type="pct"/>
            <w:noWrap w:val="0"/>
            <w:vAlign w:val="center"/>
          </w:tcPr>
          <w:p w14:paraId="697D1F77">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0.024</w:t>
            </w:r>
          </w:p>
        </w:tc>
      </w:tr>
      <w:tr w14:paraId="4C1D8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03" w:type="pct"/>
            <w:noWrap w:val="0"/>
            <w:vAlign w:val="center"/>
          </w:tcPr>
          <w:p w14:paraId="0AC5728C">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3</w:t>
            </w:r>
          </w:p>
        </w:tc>
        <w:tc>
          <w:tcPr>
            <w:tcW w:w="1428" w:type="pct"/>
            <w:noWrap w:val="0"/>
            <w:vAlign w:val="center"/>
          </w:tcPr>
          <w:p w14:paraId="74BF2C8E">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eastAsia" w:cs="Times New Roman"/>
                <w:sz w:val="21"/>
                <w:szCs w:val="21"/>
                <w:lang w:eastAsia="zh-CN"/>
              </w:rPr>
            </w:pPr>
            <w:r>
              <w:rPr>
                <w:rFonts w:hint="default" w:ascii="Times New Roman" w:hAnsi="Times New Roman" w:cs="Times New Roman"/>
                <w:kern w:val="0"/>
                <w:sz w:val="21"/>
                <w:szCs w:val="18"/>
                <w:highlight w:val="none"/>
                <w:lang w:val="en-US" w:eastAsia="zh-CN" w:bidi="ar-SA"/>
              </w:rPr>
              <w:t>VOCs</w:t>
            </w:r>
          </w:p>
        </w:tc>
        <w:tc>
          <w:tcPr>
            <w:tcW w:w="2867" w:type="pct"/>
            <w:noWrap w:val="0"/>
            <w:vAlign w:val="center"/>
          </w:tcPr>
          <w:p w14:paraId="7B394465">
            <w:pPr>
              <w:keepNext w:val="0"/>
              <w:keepLines w:val="0"/>
              <w:pageBreakBefore w:val="0"/>
              <w:widowControl w:val="0"/>
              <w:kinsoku/>
              <w:wordWrap/>
              <w:overflowPunct/>
              <w:topLinePunct w:val="0"/>
              <w:autoSpaceDE/>
              <w:autoSpaceDN/>
              <w:bidi w:val="0"/>
              <w:adjustRightInd/>
              <w:snapToGrid/>
              <w:spacing w:line="360" w:lineRule="atLeast"/>
              <w:ind w:firstLine="0" w:firstLineChars="0"/>
              <w:jc w:val="center"/>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0.0008</w:t>
            </w:r>
          </w:p>
        </w:tc>
      </w:tr>
    </w:tbl>
    <w:p w14:paraId="3CF94BDD">
      <w:pPr>
        <w:pStyle w:val="2"/>
        <w:keepLines w:val="0"/>
        <w:pageBreakBefore w:val="0"/>
        <w:widowControl w:val="0"/>
        <w:tabs>
          <w:tab w:val="left" w:pos="540"/>
        </w:tabs>
        <w:kinsoku/>
        <w:wordWrap/>
        <w:topLinePunct w:val="0"/>
        <w:autoSpaceDE/>
        <w:autoSpaceDN/>
        <w:bidi w:val="0"/>
        <w:adjustRightInd/>
        <w:spacing w:line="520" w:lineRule="exact"/>
        <w:jc w:val="both"/>
        <w:textAlignment w:val="auto"/>
        <w:rPr>
          <w:rFonts w:ascii="Times New Roman" w:hAnsi="宋体" w:eastAsia="宋体" w:cs="Times New Roman"/>
          <w:b/>
          <w:bCs w:val="0"/>
          <w:sz w:val="32"/>
          <w:szCs w:val="32"/>
        </w:rPr>
      </w:pPr>
      <w:r>
        <w:rPr>
          <w:rFonts w:hint="eastAsia" w:ascii="Times New Roman" w:hAnsi="宋体" w:eastAsia="宋体" w:cs="Times New Roman"/>
          <w:b/>
          <w:bCs w:val="0"/>
          <w:sz w:val="32"/>
          <w:szCs w:val="32"/>
          <w:lang w:val="en-US" w:eastAsia="zh-CN"/>
        </w:rPr>
        <w:t>五、拟实施的</w:t>
      </w:r>
      <w:r>
        <w:rPr>
          <w:rFonts w:hint="default" w:ascii="Times New Roman" w:hAnsi="宋体" w:eastAsia="宋体" w:cs="Times New Roman"/>
          <w:b/>
          <w:bCs w:val="0"/>
          <w:sz w:val="32"/>
          <w:szCs w:val="32"/>
          <w:lang w:val="en-US" w:eastAsia="zh-CN"/>
        </w:rPr>
        <w:t>VOCs</w:t>
      </w:r>
      <w:r>
        <w:rPr>
          <w:rFonts w:hint="eastAsia" w:ascii="Times New Roman" w:hAnsi="宋体" w:eastAsia="宋体" w:cs="Times New Roman"/>
          <w:b/>
          <w:bCs w:val="0"/>
          <w:sz w:val="32"/>
          <w:szCs w:val="32"/>
          <w:lang w:val="en-US" w:eastAsia="zh-CN"/>
        </w:rPr>
        <w:t>综合治理方案</w:t>
      </w:r>
    </w:p>
    <w:p w14:paraId="72FEA599">
      <w:pPr>
        <w:keepLines w:val="0"/>
        <w:pageBreakBefore w:val="0"/>
        <w:widowControl w:val="0"/>
        <w:kinsoku/>
        <w:wordWrap/>
        <w:topLinePunct w:val="0"/>
        <w:autoSpaceDE/>
        <w:autoSpaceDN/>
        <w:bidi w:val="0"/>
        <w:adjustRightInd/>
        <w:spacing w:line="520" w:lineRule="exact"/>
        <w:ind w:firstLine="600"/>
        <w:textAlignment w:val="auto"/>
        <w:rPr>
          <w:rFonts w:hint="eastAsia" w:ascii="Times New Roman" w:hAnsi="宋体" w:eastAsia="宋体" w:cs="Times New Roman"/>
          <w:b/>
          <w:bCs/>
          <w:sz w:val="24"/>
          <w:lang w:val="en-US" w:eastAsia="zh-CN"/>
        </w:rPr>
      </w:pPr>
      <w:r>
        <w:rPr>
          <w:rFonts w:hint="eastAsia" w:ascii="Times New Roman" w:hAnsi="宋体" w:eastAsia="宋体" w:cs="Times New Roman"/>
          <w:b/>
          <w:bCs/>
          <w:sz w:val="24"/>
          <w:lang w:val="en-US" w:eastAsia="zh-CN"/>
        </w:rPr>
        <w:t xml:space="preserve">（一）源头控制方案 </w:t>
      </w:r>
    </w:p>
    <w:p w14:paraId="5EF116D2">
      <w:pPr>
        <w:keepLines w:val="0"/>
        <w:pageBreakBefore w:val="0"/>
        <w:widowControl w:val="0"/>
        <w:kinsoku/>
        <w:wordWrap/>
        <w:topLinePunct w:val="0"/>
        <w:autoSpaceDE/>
        <w:autoSpaceDN/>
        <w:bidi w:val="0"/>
        <w:adjustRightInd/>
        <w:spacing w:line="520" w:lineRule="exact"/>
        <w:ind w:firstLine="600"/>
        <w:textAlignment w:val="auto"/>
        <w:rPr>
          <w:rFonts w:hint="eastAsia" w:ascii="Times New Roman" w:hAnsi="宋体" w:eastAsia="宋体" w:cs="Times New Roman"/>
          <w:sz w:val="24"/>
          <w:lang w:val="en-US" w:eastAsia="zh-CN"/>
        </w:rPr>
      </w:pPr>
      <w:r>
        <w:rPr>
          <w:rFonts w:hint="eastAsia" w:ascii="Times New Roman" w:hAnsi="宋体" w:eastAsia="宋体" w:cs="Times New Roman"/>
          <w:sz w:val="24"/>
          <w:lang w:val="en-US" w:eastAsia="zh-CN"/>
        </w:rPr>
        <w:t>设计阶段已对加热成型</w:t>
      </w:r>
      <w:r>
        <w:rPr>
          <w:rFonts w:hint="eastAsia" w:hAnsi="宋体" w:cs="Times New Roman"/>
          <w:sz w:val="24"/>
          <w:lang w:val="en-US" w:eastAsia="zh-CN"/>
        </w:rPr>
        <w:t>生产工序、危废间</w:t>
      </w:r>
      <w:r>
        <w:rPr>
          <w:rFonts w:hint="eastAsia" w:ascii="Times New Roman" w:hAnsi="宋体" w:eastAsia="宋体" w:cs="Times New Roman"/>
          <w:sz w:val="24"/>
          <w:lang w:val="en-US" w:eastAsia="zh-CN"/>
        </w:rPr>
        <w:t>进行了尽可能的优化调整，并</w:t>
      </w:r>
      <w:r>
        <w:rPr>
          <w:rFonts w:hint="eastAsia" w:hAnsi="宋体" w:cs="Times New Roman"/>
          <w:sz w:val="24"/>
          <w:lang w:val="en-US" w:eastAsia="zh-CN"/>
        </w:rPr>
        <w:t>对加热成型工序废气和危废间废气</w:t>
      </w:r>
      <w:r>
        <w:rPr>
          <w:rFonts w:hint="eastAsia" w:ascii="Times New Roman" w:hAnsi="宋体" w:eastAsia="宋体" w:cs="Times New Roman"/>
          <w:sz w:val="24"/>
          <w:lang w:val="en-US" w:eastAsia="zh-CN"/>
        </w:rPr>
        <w:t>采用了相应的收集及密闭措施，提高收集效率，减少生产过程VOCs的散逸量。</w:t>
      </w:r>
    </w:p>
    <w:p w14:paraId="72BFF7D1">
      <w:pPr>
        <w:keepLines w:val="0"/>
        <w:pageBreakBefore w:val="0"/>
        <w:widowControl w:val="0"/>
        <w:kinsoku/>
        <w:wordWrap/>
        <w:topLinePunct w:val="0"/>
        <w:autoSpaceDE/>
        <w:autoSpaceDN/>
        <w:bidi w:val="0"/>
        <w:adjustRightInd/>
        <w:spacing w:line="520" w:lineRule="exact"/>
        <w:ind w:firstLine="600"/>
        <w:textAlignment w:val="auto"/>
        <w:rPr>
          <w:rFonts w:hint="eastAsia" w:ascii="Times New Roman" w:hAnsi="宋体" w:eastAsia="宋体" w:cs="Times New Roman"/>
          <w:sz w:val="24"/>
          <w:lang w:val="en-US" w:eastAsia="zh-CN"/>
        </w:rPr>
      </w:pPr>
      <w:r>
        <w:rPr>
          <w:rFonts w:hint="eastAsia" w:ascii="Times New Roman" w:hAnsi="宋体" w:eastAsia="宋体" w:cs="Times New Roman"/>
          <w:sz w:val="24"/>
          <w:lang w:val="en-US" w:eastAsia="zh-CN"/>
        </w:rPr>
        <w:t>我公司后续生产过程中会不断的进行工艺调整改进，逐步减少VOCs产生量，从而减少VOCs的排放。</w:t>
      </w:r>
    </w:p>
    <w:p w14:paraId="2F05EE92">
      <w:pPr>
        <w:keepLines w:val="0"/>
        <w:pageBreakBefore w:val="0"/>
        <w:widowControl w:val="0"/>
        <w:kinsoku/>
        <w:wordWrap/>
        <w:topLinePunct w:val="0"/>
        <w:autoSpaceDE/>
        <w:autoSpaceDN/>
        <w:bidi w:val="0"/>
        <w:adjustRightInd/>
        <w:spacing w:line="520" w:lineRule="exact"/>
        <w:ind w:firstLine="600"/>
        <w:textAlignment w:val="auto"/>
        <w:rPr>
          <w:rFonts w:hint="eastAsia" w:ascii="Times New Roman" w:hAnsi="宋体" w:eastAsia="宋体" w:cs="Times New Roman"/>
          <w:b/>
          <w:bCs/>
          <w:sz w:val="24"/>
          <w:lang w:val="en-US" w:eastAsia="zh-CN"/>
        </w:rPr>
      </w:pPr>
      <w:r>
        <w:rPr>
          <w:rFonts w:hint="eastAsia" w:ascii="Times New Roman" w:hAnsi="宋体" w:eastAsia="宋体" w:cs="Times New Roman"/>
          <w:b/>
          <w:bCs/>
          <w:sz w:val="24"/>
          <w:lang w:val="en-US" w:eastAsia="zh-CN"/>
        </w:rPr>
        <w:t xml:space="preserve">（二）过程控制方案 </w:t>
      </w:r>
    </w:p>
    <w:p w14:paraId="16E2036B">
      <w:pPr>
        <w:keepLines w:val="0"/>
        <w:pageBreakBefore w:val="0"/>
        <w:widowControl w:val="0"/>
        <w:kinsoku/>
        <w:wordWrap/>
        <w:overflowPunct/>
        <w:topLinePunct w:val="0"/>
        <w:autoSpaceDE/>
        <w:autoSpaceDN/>
        <w:bidi w:val="0"/>
        <w:adjustRightInd/>
        <w:spacing w:line="520" w:lineRule="exact"/>
        <w:ind w:firstLine="480" w:firstLineChars="200"/>
        <w:textAlignment w:val="auto"/>
        <w:rPr>
          <w:rFonts w:hint="default" w:ascii="Times New Roman" w:hAnsi="Times New Roman" w:eastAsia="宋体" w:cs="Times New Roman"/>
          <w:sz w:val="24"/>
          <w:szCs w:val="24"/>
        </w:rPr>
      </w:pPr>
      <w:r>
        <w:rPr>
          <w:rFonts w:hint="eastAsia" w:ascii="Times New Roman" w:hAnsi="宋体" w:eastAsia="宋体" w:cs="Times New Roman"/>
          <w:sz w:val="24"/>
          <w:lang w:val="en-US" w:eastAsia="zh-CN"/>
        </w:rPr>
        <w:t>我公司在日常管理中加强存储、装卸、使用过程的密闭性，</w:t>
      </w:r>
      <w:r>
        <w:rPr>
          <w:rFonts w:hint="default" w:ascii="Times New Roman" w:hAnsi="Times New Roman" w:eastAsia="宋体" w:cs="Times New Roman"/>
          <w:color w:val="auto"/>
          <w:sz w:val="24"/>
          <w:szCs w:val="24"/>
          <w:highlight w:val="none"/>
          <w:lang w:val="en-US" w:eastAsia="zh-CN"/>
        </w:rPr>
        <w:t>加强</w:t>
      </w:r>
      <w:r>
        <w:rPr>
          <w:rFonts w:hint="eastAsia" w:ascii="Times New Roman" w:hAnsi="Times New Roman" w:eastAsia="宋体" w:cs="Times New Roman"/>
          <w:color w:val="auto"/>
          <w:sz w:val="24"/>
          <w:szCs w:val="24"/>
          <w:highlight w:val="none"/>
          <w:lang w:val="en-US" w:eastAsia="zh-CN"/>
        </w:rPr>
        <w:t>生产车间</w:t>
      </w:r>
      <w:r>
        <w:rPr>
          <w:rFonts w:hint="default" w:ascii="Times New Roman" w:hAnsi="Times New Roman" w:eastAsia="宋体" w:cs="Times New Roman"/>
          <w:color w:val="auto"/>
          <w:sz w:val="24"/>
          <w:szCs w:val="24"/>
          <w:highlight w:val="none"/>
          <w:lang w:val="en-US" w:eastAsia="zh-CN"/>
        </w:rPr>
        <w:t>的密封性能，并严格控制系统的负压指标，避免废气外逸。</w:t>
      </w:r>
    </w:p>
    <w:p w14:paraId="2800C559">
      <w:pPr>
        <w:pageBreakBefore w:val="0"/>
        <w:kinsoku/>
        <w:wordWrap/>
        <w:overflowPunct/>
        <w:topLinePunct w:val="0"/>
        <w:bidi w:val="0"/>
        <w:spacing w:line="520" w:lineRule="exact"/>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无组织废气</w:t>
      </w:r>
      <w:r>
        <w:rPr>
          <w:rFonts w:hint="default" w:ascii="Times New Roman" w:hAnsi="Times New Roman" w:eastAsia="宋体" w:cs="Times New Roman"/>
          <w:sz w:val="24"/>
          <w:szCs w:val="24"/>
          <w:lang w:eastAsia="zh-CN"/>
        </w:rPr>
        <w:t>按照“应收尽收、分质收集”的原则</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对</w:t>
      </w:r>
      <w:r>
        <w:rPr>
          <w:rFonts w:hint="eastAsia" w:ascii="Times New Roman" w:hAnsi="Times New Roman" w:eastAsia="宋体" w:cs="Times New Roman"/>
          <w:color w:val="auto"/>
          <w:sz w:val="24"/>
          <w:szCs w:val="24"/>
          <w:highlight w:val="none"/>
          <w:lang w:val="en-US" w:eastAsia="zh-CN"/>
        </w:rPr>
        <w:t>废气</w:t>
      </w:r>
      <w:r>
        <w:rPr>
          <w:rFonts w:hint="default" w:ascii="Times New Roman" w:hAnsi="Times New Roman" w:eastAsia="宋体" w:cs="Times New Roman"/>
          <w:sz w:val="24"/>
          <w:szCs w:val="24"/>
          <w:lang w:eastAsia="zh-CN"/>
        </w:rPr>
        <w:t>废气进行收集处理，具体收集措施如下：</w:t>
      </w:r>
    </w:p>
    <w:p w14:paraId="46AA20B2">
      <w:pPr>
        <w:spacing w:line="520" w:lineRule="exact"/>
        <w:ind w:firstLine="600"/>
        <w:rPr>
          <w:rFonts w:hint="eastAsia" w:ascii="Times New Roman" w:hAnsi="宋体" w:eastAsia="宋体" w:cs="Times New Roman"/>
          <w:sz w:val="24"/>
          <w:lang w:val="en-US" w:eastAsia="zh-CN"/>
        </w:rPr>
      </w:pPr>
      <w:r>
        <w:rPr>
          <w:rFonts w:hint="eastAsia" w:hAnsi="宋体" w:cs="Times New Roman"/>
          <w:sz w:val="24"/>
          <w:lang w:val="en-US" w:eastAsia="zh-CN"/>
        </w:rPr>
        <w:t>对</w:t>
      </w:r>
      <w:r>
        <w:rPr>
          <w:rFonts w:hint="eastAsia" w:ascii="Times New Roman" w:hAnsi="宋体" w:eastAsia="宋体" w:cs="Times New Roman"/>
          <w:sz w:val="24"/>
          <w:lang w:val="en-US" w:eastAsia="zh-CN"/>
        </w:rPr>
        <w:t>成型机</w:t>
      </w:r>
      <w:r>
        <w:rPr>
          <w:rFonts w:hint="eastAsia" w:hAnsi="宋体" w:cs="Times New Roman"/>
          <w:sz w:val="24"/>
          <w:lang w:val="en-US" w:eastAsia="zh-CN"/>
        </w:rPr>
        <w:t>二次封闭后再</w:t>
      </w:r>
      <w:r>
        <w:rPr>
          <w:rFonts w:hint="eastAsia" w:ascii="Times New Roman" w:hAnsi="宋体" w:eastAsia="宋体" w:cs="Times New Roman"/>
          <w:sz w:val="24"/>
          <w:lang w:val="en-US" w:eastAsia="zh-CN"/>
        </w:rPr>
        <w:t>加装集气罩，对非甲烷总烃、苯乙烯废气进行收集</w:t>
      </w:r>
      <w:r>
        <w:rPr>
          <w:rFonts w:hint="eastAsia" w:hAnsi="宋体" w:cs="Times New Roman"/>
          <w:sz w:val="24"/>
          <w:lang w:val="en-US" w:eastAsia="zh-CN"/>
        </w:rPr>
        <w:t>，危废间废气采用集气风管进行收集</w:t>
      </w:r>
      <w:r>
        <w:rPr>
          <w:rFonts w:hint="eastAsia" w:ascii="Times New Roman" w:hAnsi="宋体" w:eastAsia="宋体" w:cs="Times New Roman"/>
          <w:sz w:val="24"/>
          <w:lang w:val="en-US" w:eastAsia="zh-CN"/>
        </w:rPr>
        <w:t>。</w:t>
      </w:r>
    </w:p>
    <w:p w14:paraId="50CC8BF5">
      <w:pPr>
        <w:spacing w:line="520" w:lineRule="exact"/>
        <w:ind w:firstLine="600"/>
        <w:rPr>
          <w:rFonts w:hint="eastAsia" w:ascii="Times New Roman" w:hAnsi="宋体" w:eastAsia="宋体" w:cs="Times New Roman"/>
          <w:b/>
          <w:bCs/>
          <w:sz w:val="24"/>
          <w:lang w:val="en-US" w:eastAsia="zh-CN"/>
        </w:rPr>
      </w:pPr>
      <w:r>
        <w:rPr>
          <w:rFonts w:hint="eastAsia" w:ascii="Times New Roman" w:hAnsi="宋体" w:eastAsia="宋体" w:cs="Times New Roman"/>
          <w:b/>
          <w:bCs/>
          <w:sz w:val="24"/>
          <w:lang w:val="en-US" w:eastAsia="zh-CN"/>
        </w:rPr>
        <w:t>（三）末端治理方案</w:t>
      </w:r>
    </w:p>
    <w:p w14:paraId="3CA6FF84">
      <w:pPr>
        <w:spacing w:line="520" w:lineRule="exact"/>
        <w:ind w:firstLine="600"/>
        <w:rPr>
          <w:rFonts w:hint="eastAsia" w:ascii="Times New Roman" w:hAnsi="宋体" w:eastAsia="宋体" w:cs="Times New Roman"/>
          <w:sz w:val="24"/>
          <w:lang w:val="en-US" w:eastAsia="zh-CN"/>
        </w:rPr>
      </w:pPr>
      <w:r>
        <w:rPr>
          <w:rFonts w:hint="eastAsia" w:ascii="Times New Roman" w:hAnsi="宋体" w:eastAsia="宋体" w:cs="Times New Roman"/>
          <w:sz w:val="24"/>
          <w:lang w:val="en-US" w:eastAsia="zh-CN"/>
        </w:rPr>
        <w:t>通过各工艺环节的VOCs治理情况进行梳理，VOCs治理情况见下表。</w:t>
      </w:r>
    </w:p>
    <w:p w14:paraId="6CA77D87">
      <w:pPr>
        <w:pageBreakBefore w:val="0"/>
        <w:kinsoku/>
        <w:wordWrap/>
        <w:overflowPunct/>
        <w:topLinePunct w:val="0"/>
        <w:bidi w:val="0"/>
        <w:spacing w:line="520" w:lineRule="exact"/>
        <w:ind w:left="0" w:leftChars="0" w:firstLine="0" w:firstLineChars="0"/>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eastAsia="zh-CN"/>
        </w:rPr>
        <w:t>表</w:t>
      </w:r>
      <w:r>
        <w:rPr>
          <w:rFonts w:hint="eastAsia" w:ascii="Times New Roman" w:hAnsi="Times New Roman" w:eastAsia="宋体" w:cs="Times New Roman"/>
          <w:b/>
          <w:bCs/>
          <w:sz w:val="24"/>
          <w:szCs w:val="24"/>
          <w:lang w:val="en-US" w:eastAsia="zh-CN"/>
        </w:rPr>
        <w:t>9</w:t>
      </w:r>
      <w:r>
        <w:rPr>
          <w:rFonts w:hint="default" w:ascii="Times New Roman" w:hAnsi="Times New Roman" w:eastAsia="宋体" w:cs="Times New Roman"/>
          <w:b/>
          <w:bCs/>
          <w:sz w:val="24"/>
          <w:szCs w:val="24"/>
          <w:lang w:val="en-US" w:eastAsia="zh-CN"/>
        </w:rPr>
        <w:t xml:space="preserve"> </w:t>
      </w:r>
      <w:r>
        <w:rPr>
          <w:rFonts w:hint="eastAsia" w:eastAsia="宋体" w:cs="Times New Roman"/>
          <w:b/>
          <w:bCs/>
          <w:sz w:val="24"/>
          <w:szCs w:val="24"/>
          <w:lang w:val="en-US" w:eastAsia="zh-CN"/>
        </w:rPr>
        <w:t xml:space="preserve">  </w:t>
      </w:r>
      <w:r>
        <w:rPr>
          <w:rFonts w:hint="default" w:ascii="Times New Roman" w:hAnsi="Times New Roman" w:eastAsia="宋体" w:cs="Times New Roman"/>
          <w:b/>
          <w:bCs/>
          <w:sz w:val="24"/>
          <w:szCs w:val="24"/>
          <w:lang w:val="en-US" w:eastAsia="zh-CN"/>
        </w:rPr>
        <w:t>厂区</w:t>
      </w:r>
      <w:r>
        <w:rPr>
          <w:rFonts w:hint="default" w:ascii="Times New Roman" w:hAnsi="Times New Roman" w:eastAsia="宋体" w:cs="Times New Roman"/>
          <w:b/>
          <w:bCs/>
          <w:sz w:val="24"/>
          <w:szCs w:val="24"/>
        </w:rPr>
        <w:t>VOCs治理情况</w:t>
      </w:r>
    </w:p>
    <w:tbl>
      <w:tblPr>
        <w:tblStyle w:val="15"/>
        <w:tblW w:w="5004" w:type="pct"/>
        <w:jc w:val="center"/>
        <w:tblBorders>
          <w:top w:val="single" w:color="auto" w:sz="2" w:space="0"/>
          <w:left w:val="single" w:color="auto" w:sz="2" w:space="0"/>
          <w:bottom w:val="single" w:color="auto" w:sz="2" w:space="0"/>
          <w:right w:val="single" w:color="auto" w:sz="2" w:space="0"/>
          <w:insideH w:val="single" w:color="auto" w:sz="6" w:space="0"/>
          <w:insideV w:val="single" w:color="000000" w:sz="4" w:space="0"/>
        </w:tblBorders>
        <w:tblLayout w:type="autofit"/>
        <w:tblCellMar>
          <w:top w:w="0" w:type="dxa"/>
          <w:left w:w="0" w:type="dxa"/>
          <w:bottom w:w="0" w:type="dxa"/>
          <w:right w:w="0" w:type="dxa"/>
        </w:tblCellMar>
      </w:tblPr>
      <w:tblGrid>
        <w:gridCol w:w="887"/>
        <w:gridCol w:w="954"/>
        <w:gridCol w:w="551"/>
        <w:gridCol w:w="1714"/>
        <w:gridCol w:w="4213"/>
      </w:tblGrid>
      <w:tr w14:paraId="2EF3B09B">
        <w:tblPrEx>
          <w:tblBorders>
            <w:top w:val="single" w:color="auto" w:sz="2" w:space="0"/>
            <w:left w:val="single" w:color="auto" w:sz="2" w:space="0"/>
            <w:bottom w:val="single" w:color="auto" w:sz="2" w:space="0"/>
            <w:right w:val="single" w:color="auto" w:sz="2" w:space="0"/>
            <w:insideH w:val="single" w:color="auto" w:sz="6" w:space="0"/>
            <w:insideV w:val="single" w:color="000000" w:sz="4" w:space="0"/>
          </w:tblBorders>
          <w:tblCellMar>
            <w:top w:w="0" w:type="dxa"/>
            <w:left w:w="0" w:type="dxa"/>
            <w:bottom w:w="0" w:type="dxa"/>
            <w:right w:w="0" w:type="dxa"/>
          </w:tblCellMar>
        </w:tblPrEx>
        <w:trPr>
          <w:trHeight w:val="389" w:hRule="atLeast"/>
          <w:jc w:val="center"/>
        </w:trPr>
        <w:tc>
          <w:tcPr>
            <w:tcW w:w="533" w:type="pct"/>
            <w:tcBorders>
              <w:tl2br w:val="nil"/>
              <w:tr2bl w:val="nil"/>
            </w:tcBorders>
            <w:noWrap w:val="0"/>
            <w:vAlign w:val="center"/>
          </w:tcPr>
          <w:p w14:paraId="68E16E90">
            <w:pPr>
              <w:keepNext w:val="0"/>
              <w:keepLines w:val="0"/>
              <w:pageBreakBefore w:val="0"/>
              <w:widowControl w:val="0"/>
              <w:kinsoku/>
              <w:wordWrap w:val="0"/>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工序</w:t>
            </w:r>
          </w:p>
        </w:tc>
        <w:tc>
          <w:tcPr>
            <w:tcW w:w="573" w:type="pct"/>
            <w:tcBorders>
              <w:tl2br w:val="nil"/>
              <w:tr2bl w:val="nil"/>
            </w:tcBorders>
            <w:noWrap w:val="0"/>
            <w:vAlign w:val="center"/>
          </w:tcPr>
          <w:p w14:paraId="6C6B5303">
            <w:pPr>
              <w:keepNext w:val="0"/>
              <w:keepLines w:val="0"/>
              <w:pageBreakBefore w:val="0"/>
              <w:widowControl w:val="0"/>
              <w:kinsoku/>
              <w:wordWrap w:val="0"/>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内容</w:t>
            </w:r>
          </w:p>
        </w:tc>
        <w:tc>
          <w:tcPr>
            <w:tcW w:w="331" w:type="pct"/>
            <w:tcBorders>
              <w:tl2br w:val="nil"/>
              <w:tr2bl w:val="nil"/>
            </w:tcBorders>
            <w:noWrap w:val="0"/>
            <w:vAlign w:val="center"/>
          </w:tcPr>
          <w:p w14:paraId="6721FDFE">
            <w:pPr>
              <w:keepNext w:val="0"/>
              <w:keepLines w:val="0"/>
              <w:pageBreakBefore w:val="0"/>
              <w:widowControl w:val="0"/>
              <w:kinsoku/>
              <w:wordWrap w:val="0"/>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数量</w:t>
            </w:r>
          </w:p>
        </w:tc>
        <w:tc>
          <w:tcPr>
            <w:tcW w:w="1030" w:type="pct"/>
            <w:tcBorders>
              <w:tl2br w:val="nil"/>
              <w:tr2bl w:val="nil"/>
            </w:tcBorders>
            <w:noWrap w:val="0"/>
            <w:vAlign w:val="center"/>
          </w:tcPr>
          <w:p w14:paraId="13A0367A">
            <w:pPr>
              <w:keepNext w:val="0"/>
              <w:keepLines w:val="0"/>
              <w:pageBreakBefore w:val="0"/>
              <w:widowControl w:val="0"/>
              <w:kinsoku/>
              <w:wordWrap w:val="0"/>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处理能力</w:t>
            </w:r>
          </w:p>
        </w:tc>
        <w:tc>
          <w:tcPr>
            <w:tcW w:w="2531" w:type="pct"/>
            <w:tcBorders>
              <w:tl2br w:val="nil"/>
              <w:tr2bl w:val="nil"/>
            </w:tcBorders>
            <w:noWrap w:val="0"/>
            <w:vAlign w:val="center"/>
          </w:tcPr>
          <w:p w14:paraId="09168726">
            <w:pPr>
              <w:keepNext w:val="0"/>
              <w:keepLines w:val="0"/>
              <w:pageBreakBefore w:val="0"/>
              <w:widowControl w:val="0"/>
              <w:kinsoku/>
              <w:wordWrap w:val="0"/>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排放方式及要求</w:t>
            </w:r>
          </w:p>
        </w:tc>
      </w:tr>
      <w:tr w14:paraId="33A3E79E">
        <w:tblPrEx>
          <w:tblBorders>
            <w:top w:val="single" w:color="auto" w:sz="2" w:space="0"/>
            <w:left w:val="single" w:color="auto" w:sz="2" w:space="0"/>
            <w:bottom w:val="single" w:color="auto" w:sz="2" w:space="0"/>
            <w:right w:val="single" w:color="auto" w:sz="2" w:space="0"/>
            <w:insideH w:val="single" w:color="auto" w:sz="6" w:space="0"/>
            <w:insideV w:val="single" w:color="000000" w:sz="4" w:space="0"/>
          </w:tblBorders>
          <w:tblCellMar>
            <w:top w:w="0" w:type="dxa"/>
            <w:left w:w="0" w:type="dxa"/>
            <w:bottom w:w="0" w:type="dxa"/>
            <w:right w:w="0" w:type="dxa"/>
          </w:tblCellMar>
        </w:tblPrEx>
        <w:trPr>
          <w:trHeight w:val="1260" w:hRule="atLeast"/>
          <w:jc w:val="center"/>
        </w:trPr>
        <w:tc>
          <w:tcPr>
            <w:tcW w:w="533" w:type="pct"/>
            <w:tcBorders>
              <w:tl2br w:val="nil"/>
              <w:tr2bl w:val="nil"/>
            </w:tcBorders>
            <w:noWrap w:val="0"/>
            <w:vAlign w:val="center"/>
          </w:tcPr>
          <w:p w14:paraId="67860B03">
            <w:pPr>
              <w:keepNext w:val="0"/>
              <w:keepLines w:val="0"/>
              <w:pageBreakBefore w:val="0"/>
              <w:widowControl/>
              <w:kinsoku/>
              <w:wordWrap w:val="0"/>
              <w:overflowPunct/>
              <w:topLinePunct w:val="0"/>
              <w:autoSpaceDE/>
              <w:autoSpaceDN/>
              <w:bidi w:val="0"/>
              <w:adjustRightInd w:val="0"/>
              <w:snapToGrid w:val="0"/>
              <w:spacing w:line="36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加热成型工序</w:t>
            </w:r>
          </w:p>
        </w:tc>
        <w:tc>
          <w:tcPr>
            <w:tcW w:w="573" w:type="pct"/>
            <w:vMerge w:val="restart"/>
            <w:tcBorders>
              <w:tl2br w:val="nil"/>
              <w:tr2bl w:val="nil"/>
            </w:tcBorders>
            <w:noWrap w:val="0"/>
            <w:vAlign w:val="center"/>
          </w:tcPr>
          <w:p w14:paraId="40CC1716">
            <w:pPr>
              <w:keepNext w:val="0"/>
              <w:keepLines w:val="0"/>
              <w:pageBreakBefore w:val="0"/>
              <w:widowControl w:val="0"/>
              <w:kinsoku/>
              <w:wordWrap w:val="0"/>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b w:val="0"/>
                <w:bCs w:val="0"/>
                <w:sz w:val="21"/>
                <w:szCs w:val="21"/>
                <w:highlight w:val="none"/>
                <w:u w:val="none" w:color="auto"/>
                <w:lang w:eastAsia="zh-CN"/>
              </w:rPr>
              <w:t>两级</w:t>
            </w:r>
            <w:r>
              <w:rPr>
                <w:rFonts w:hint="default" w:ascii="Times New Roman" w:hAnsi="Times New Roman" w:cs="Times New Roman"/>
                <w:b w:val="0"/>
                <w:bCs w:val="0"/>
                <w:sz w:val="21"/>
                <w:szCs w:val="21"/>
                <w:highlight w:val="none"/>
                <w:u w:val="none" w:color="auto"/>
                <w:lang w:eastAsia="zh-CN"/>
              </w:rPr>
              <w:t>活性炭吸附</w:t>
            </w:r>
            <w:r>
              <w:rPr>
                <w:rFonts w:hint="eastAsia" w:cs="Times New Roman"/>
                <w:b w:val="0"/>
                <w:bCs w:val="0"/>
                <w:sz w:val="21"/>
                <w:szCs w:val="21"/>
                <w:highlight w:val="none"/>
                <w:u w:val="none" w:color="auto"/>
                <w:lang w:eastAsia="zh-CN"/>
              </w:rPr>
              <w:t>装置</w:t>
            </w:r>
          </w:p>
        </w:tc>
        <w:tc>
          <w:tcPr>
            <w:tcW w:w="331" w:type="pct"/>
            <w:vMerge w:val="restart"/>
            <w:tcBorders>
              <w:tl2br w:val="nil"/>
              <w:tr2bl w:val="nil"/>
            </w:tcBorders>
            <w:noWrap w:val="0"/>
            <w:vAlign w:val="center"/>
          </w:tcPr>
          <w:p w14:paraId="649FE16D">
            <w:pPr>
              <w:keepNext w:val="0"/>
              <w:keepLines w:val="0"/>
              <w:pageBreakBefore w:val="0"/>
              <w:widowControl w:val="0"/>
              <w:kinsoku/>
              <w:wordWrap w:val="0"/>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套</w:t>
            </w:r>
          </w:p>
        </w:tc>
        <w:tc>
          <w:tcPr>
            <w:tcW w:w="1030" w:type="pct"/>
            <w:vMerge w:val="restart"/>
            <w:tcBorders>
              <w:tl2br w:val="nil"/>
              <w:tr2bl w:val="nil"/>
            </w:tcBorders>
            <w:noWrap w:val="0"/>
            <w:vAlign w:val="center"/>
          </w:tcPr>
          <w:p w14:paraId="6F1C3CBF">
            <w:pPr>
              <w:keepNext w:val="0"/>
              <w:keepLines w:val="0"/>
              <w:pageBreakBefore w:val="0"/>
              <w:kinsoku/>
              <w:overflowPunct/>
              <w:topLinePunct w:val="0"/>
              <w:autoSpaceDE/>
              <w:autoSpaceDN/>
              <w:bidi w:val="0"/>
              <w:spacing w:line="360" w:lineRule="atLeast"/>
              <w:ind w:left="0" w:leftChars="0" w:firstLine="0" w:firstLineChars="0"/>
              <w:jc w:val="center"/>
              <w:textAlignment w:val="auto"/>
              <w:rPr>
                <w:rFonts w:hint="default" w:ascii="Times New Roman" w:hAnsi="Times New Roman" w:eastAsia="宋体" w:cs="Times New Roman"/>
                <w:sz w:val="21"/>
                <w:szCs w:val="21"/>
                <w:lang w:eastAsia="zh-CN"/>
              </w:rPr>
            </w:pPr>
            <w:r>
              <w:rPr>
                <w:rFonts w:hint="eastAsia" w:cs="Times New Roman"/>
                <w:b w:val="0"/>
                <w:bCs w:val="0"/>
                <w:sz w:val="21"/>
                <w:szCs w:val="21"/>
                <w:highlight w:val="none"/>
                <w:u w:val="none"/>
                <w:lang w:eastAsia="zh-CN"/>
              </w:rPr>
              <w:t>两级</w:t>
            </w:r>
            <w:r>
              <w:rPr>
                <w:rFonts w:hint="default" w:ascii="Times New Roman" w:hAnsi="Times New Roman" w:cs="Times New Roman"/>
                <w:b w:val="0"/>
                <w:bCs w:val="0"/>
                <w:sz w:val="21"/>
                <w:szCs w:val="21"/>
                <w:highlight w:val="none"/>
                <w:u w:val="none"/>
                <w:lang w:eastAsia="zh-CN"/>
              </w:rPr>
              <w:t>活性炭吸附装置对</w:t>
            </w:r>
            <w:r>
              <w:rPr>
                <w:rFonts w:hint="eastAsia" w:ascii="Times New Roman" w:hAnsi="Times New Roman" w:cs="Times New Roman"/>
                <w:b w:val="0"/>
                <w:bCs w:val="0"/>
                <w:sz w:val="21"/>
                <w:szCs w:val="21"/>
                <w:highlight w:val="none"/>
                <w:u w:val="none"/>
                <w:lang w:eastAsia="zh-CN"/>
              </w:rPr>
              <w:t>非甲烷总烃、苯乙烯</w:t>
            </w:r>
            <w:r>
              <w:rPr>
                <w:rFonts w:hint="default" w:ascii="Times New Roman" w:hAnsi="Times New Roman" w:cs="Times New Roman"/>
                <w:b w:val="0"/>
                <w:bCs w:val="0"/>
                <w:sz w:val="21"/>
                <w:szCs w:val="21"/>
                <w:highlight w:val="none"/>
                <w:u w:val="none"/>
                <w:lang w:eastAsia="zh-CN"/>
              </w:rPr>
              <w:t>处理效率</w:t>
            </w:r>
            <w:r>
              <w:rPr>
                <w:rFonts w:hint="eastAsia" w:cs="Times New Roman"/>
                <w:b w:val="0"/>
                <w:bCs w:val="0"/>
                <w:sz w:val="21"/>
                <w:szCs w:val="21"/>
                <w:highlight w:val="none"/>
                <w:u w:val="none"/>
                <w:lang w:eastAsia="zh-CN"/>
              </w:rPr>
              <w:t>均按</w:t>
            </w:r>
            <w:r>
              <w:rPr>
                <w:rFonts w:hint="eastAsia" w:cs="Times New Roman"/>
                <w:b w:val="0"/>
                <w:bCs w:val="0"/>
                <w:sz w:val="21"/>
                <w:szCs w:val="21"/>
                <w:highlight w:val="none"/>
                <w:u w:val="none"/>
                <w:lang w:val="en-US" w:eastAsia="zh-CN"/>
              </w:rPr>
              <w:t>80</w:t>
            </w:r>
            <w:r>
              <w:rPr>
                <w:rFonts w:hint="default" w:ascii="Times New Roman" w:hAnsi="Times New Roman" w:cs="Times New Roman"/>
                <w:b w:val="0"/>
                <w:bCs w:val="0"/>
                <w:sz w:val="21"/>
                <w:szCs w:val="21"/>
                <w:highlight w:val="none"/>
                <w:u w:val="none"/>
                <w:lang w:eastAsia="zh-CN"/>
              </w:rPr>
              <w:t>%</w:t>
            </w:r>
            <w:r>
              <w:rPr>
                <w:rFonts w:hint="eastAsia" w:cs="Times New Roman"/>
                <w:b w:val="0"/>
                <w:bCs w:val="0"/>
                <w:sz w:val="21"/>
                <w:szCs w:val="21"/>
                <w:highlight w:val="none"/>
                <w:u w:val="none"/>
                <w:lang w:eastAsia="zh-CN"/>
              </w:rPr>
              <w:t>计</w:t>
            </w:r>
            <w:r>
              <w:rPr>
                <w:rFonts w:hint="default" w:ascii="Times New Roman" w:hAnsi="Times New Roman" w:cs="Times New Roman"/>
                <w:b w:val="0"/>
                <w:bCs w:val="0"/>
                <w:sz w:val="21"/>
                <w:szCs w:val="21"/>
                <w:highlight w:val="none"/>
                <w:u w:val="none"/>
                <w:lang w:eastAsia="zh-CN"/>
              </w:rPr>
              <w:t>。</w:t>
            </w:r>
          </w:p>
        </w:tc>
        <w:tc>
          <w:tcPr>
            <w:tcW w:w="2531" w:type="pct"/>
            <w:vMerge w:val="restart"/>
            <w:tcBorders>
              <w:tl2br w:val="nil"/>
              <w:tr2bl w:val="nil"/>
            </w:tcBorders>
            <w:noWrap w:val="0"/>
            <w:vAlign w:val="center"/>
          </w:tcPr>
          <w:p w14:paraId="44910140">
            <w:pPr>
              <w:keepNext w:val="0"/>
              <w:keepLines w:val="0"/>
              <w:pageBreakBefore w:val="0"/>
              <w:widowControl/>
              <w:suppressLineNumbers w:val="0"/>
              <w:kinsoku/>
              <w:wordWrap w:val="0"/>
              <w:overflowPunct/>
              <w:topLinePunct w:val="0"/>
              <w:autoSpaceDE/>
              <w:autoSpaceDN/>
              <w:bidi w:val="0"/>
              <w:spacing w:before="0" w:beforeAutospacing="0" w:after="0" w:afterAutospacing="0" w:line="360" w:lineRule="atLeast"/>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kern w:val="0"/>
                <w:sz w:val="21"/>
                <w:szCs w:val="18"/>
                <w:highlight w:val="none"/>
                <w:lang w:val="zh-CN"/>
              </w:rPr>
              <w:t>《合成树脂工业污染物排放标准》（GB 31572-2015，含2024年修改单）</w:t>
            </w:r>
            <w:r>
              <w:rPr>
                <w:rFonts w:hint="eastAsia" w:cs="Times New Roman"/>
                <w:kern w:val="0"/>
                <w:sz w:val="21"/>
                <w:szCs w:val="18"/>
                <w:highlight w:val="none"/>
                <w:lang w:val="zh-CN"/>
              </w:rPr>
              <w:t>、</w:t>
            </w:r>
            <w:r>
              <w:rPr>
                <w:rFonts w:hint="default" w:ascii="Times New Roman" w:hAnsi="Times New Roman" w:cs="Times New Roman"/>
                <w:kern w:val="0"/>
                <w:sz w:val="21"/>
                <w:szCs w:val="18"/>
                <w:highlight w:val="none"/>
                <w:lang w:val="zh-CN"/>
              </w:rPr>
              <w:t>《关于河南省开展工业企业挥发性有机物专项治理工作中排放建议值的通知》豫环攻坚办[2017]162号</w:t>
            </w:r>
            <w:r>
              <w:rPr>
                <w:rFonts w:hint="eastAsia" w:ascii="Times New Roman" w:hAnsi="Times New Roman" w:cs="Times New Roman"/>
                <w:kern w:val="0"/>
                <w:sz w:val="21"/>
                <w:szCs w:val="18"/>
                <w:highlight w:val="none"/>
                <w:lang w:val="zh-CN"/>
              </w:rPr>
              <w:t>、</w:t>
            </w:r>
            <w:r>
              <w:rPr>
                <w:rFonts w:hint="eastAsia" w:ascii="Times New Roman" w:hAnsi="Times New Roman" w:eastAsia="宋体" w:cs="Times New Roman"/>
                <w:sz w:val="21"/>
                <w:highlight w:val="none"/>
                <w:lang w:eastAsia="zh-CN"/>
              </w:rPr>
              <w:t>《挥发性有机物无组织排放控制标准》（GB37822-2019）</w:t>
            </w:r>
            <w:r>
              <w:rPr>
                <w:rFonts w:hint="eastAsia" w:ascii="Times New Roman" w:hAnsi="Times New Roman" w:cs="Times New Roman"/>
                <w:kern w:val="0"/>
                <w:sz w:val="21"/>
                <w:szCs w:val="18"/>
                <w:highlight w:val="none"/>
                <w:lang w:val="zh-CN"/>
              </w:rPr>
              <w:t>、</w:t>
            </w:r>
            <w:r>
              <w:rPr>
                <w:rFonts w:hint="eastAsia" w:ascii="Times New Roman" w:hAnsi="Times New Roman" w:eastAsia="宋体" w:cs="Times New Roman"/>
                <w:sz w:val="21"/>
                <w:highlight w:val="none"/>
                <w:lang w:eastAsia="zh-CN"/>
              </w:rPr>
              <w:t>《恶</w:t>
            </w:r>
            <w:r>
              <w:rPr>
                <w:rFonts w:hint="eastAsia" w:ascii="Times New Roman" w:hAnsi="Times New Roman" w:eastAsia="宋体" w:cs="Times New Roman"/>
                <w:sz w:val="21"/>
                <w:lang w:eastAsia="zh-CN"/>
              </w:rPr>
              <w:t>臭污染物排放标准》（GB 14554-93）</w:t>
            </w:r>
            <w:r>
              <w:rPr>
                <w:rFonts w:hint="eastAsia" w:cs="Times New Roman"/>
                <w:sz w:val="21"/>
                <w:lang w:eastAsia="zh-CN"/>
              </w:rPr>
              <w:t>、《河南省重污染天气重点行业应急减排措施制定技术指南》（2024年修订版）“塑料制品企业绩效分级指标”的限值要求</w:t>
            </w:r>
          </w:p>
        </w:tc>
      </w:tr>
      <w:tr w14:paraId="2E84BD73">
        <w:tblPrEx>
          <w:tblBorders>
            <w:top w:val="single" w:color="auto" w:sz="2" w:space="0"/>
            <w:left w:val="single" w:color="auto" w:sz="2" w:space="0"/>
            <w:bottom w:val="single" w:color="auto" w:sz="2" w:space="0"/>
            <w:right w:val="single" w:color="auto" w:sz="2" w:space="0"/>
            <w:insideH w:val="single" w:color="auto" w:sz="6" w:space="0"/>
            <w:insideV w:val="single" w:color="000000" w:sz="4" w:space="0"/>
          </w:tblBorders>
          <w:tblCellMar>
            <w:top w:w="0" w:type="dxa"/>
            <w:left w:w="0" w:type="dxa"/>
            <w:bottom w:w="0" w:type="dxa"/>
            <w:right w:w="0" w:type="dxa"/>
          </w:tblCellMar>
        </w:tblPrEx>
        <w:trPr>
          <w:trHeight w:val="1260" w:hRule="atLeast"/>
          <w:jc w:val="center"/>
        </w:trPr>
        <w:tc>
          <w:tcPr>
            <w:tcW w:w="533" w:type="pct"/>
            <w:tcBorders>
              <w:tl2br w:val="nil"/>
              <w:tr2bl w:val="nil"/>
            </w:tcBorders>
            <w:noWrap w:val="0"/>
            <w:vAlign w:val="center"/>
          </w:tcPr>
          <w:p w14:paraId="16843426">
            <w:pPr>
              <w:keepNext w:val="0"/>
              <w:keepLines w:val="0"/>
              <w:pageBreakBefore w:val="0"/>
              <w:widowControl/>
              <w:kinsoku/>
              <w:wordWrap w:val="0"/>
              <w:overflowPunct/>
              <w:topLinePunct w:val="0"/>
              <w:autoSpaceDE/>
              <w:autoSpaceDN/>
              <w:bidi w:val="0"/>
              <w:adjustRightInd w:val="0"/>
              <w:snapToGrid w:val="0"/>
              <w:spacing w:line="360" w:lineRule="atLeast"/>
              <w:ind w:firstLine="0" w:firstLineChars="0"/>
              <w:jc w:val="center"/>
              <w:textAlignment w:val="auto"/>
              <w:rPr>
                <w:rFonts w:hint="eastAsia" w:cs="Times New Roman"/>
                <w:kern w:val="2"/>
                <w:sz w:val="21"/>
                <w:szCs w:val="21"/>
                <w:lang w:val="en-US" w:eastAsia="zh-CN" w:bidi="ar-SA"/>
              </w:rPr>
            </w:pPr>
            <w:r>
              <w:rPr>
                <w:rFonts w:hint="eastAsia" w:cs="Times New Roman"/>
                <w:kern w:val="2"/>
                <w:sz w:val="21"/>
                <w:szCs w:val="21"/>
                <w:lang w:val="en-US" w:eastAsia="zh-CN" w:bidi="ar-SA"/>
              </w:rPr>
              <w:t>危废间</w:t>
            </w:r>
          </w:p>
          <w:p w14:paraId="4B63847E">
            <w:pPr>
              <w:keepNext w:val="0"/>
              <w:keepLines w:val="0"/>
              <w:pageBreakBefore w:val="0"/>
              <w:widowControl/>
              <w:kinsoku/>
              <w:wordWrap w:val="0"/>
              <w:overflowPunct/>
              <w:topLinePunct w:val="0"/>
              <w:autoSpaceDE/>
              <w:autoSpaceDN/>
              <w:bidi w:val="0"/>
              <w:adjustRightInd w:val="0"/>
              <w:snapToGrid w:val="0"/>
              <w:spacing w:line="360" w:lineRule="atLeast"/>
              <w:ind w:firstLine="0" w:firstLineChars="0"/>
              <w:jc w:val="center"/>
              <w:textAlignment w:val="auto"/>
              <w:rPr>
                <w:rFonts w:hint="eastAsia" w:cs="Times New Roman"/>
                <w:kern w:val="2"/>
                <w:sz w:val="21"/>
                <w:szCs w:val="21"/>
                <w:lang w:val="en-US" w:eastAsia="zh-CN" w:bidi="ar-SA"/>
              </w:rPr>
            </w:pPr>
            <w:r>
              <w:rPr>
                <w:rFonts w:hint="eastAsia" w:cs="Times New Roman"/>
                <w:kern w:val="2"/>
                <w:sz w:val="21"/>
                <w:szCs w:val="21"/>
                <w:lang w:val="en-US" w:eastAsia="zh-CN" w:bidi="ar-SA"/>
              </w:rPr>
              <w:t>废气</w:t>
            </w:r>
          </w:p>
        </w:tc>
        <w:tc>
          <w:tcPr>
            <w:tcW w:w="573" w:type="pct"/>
            <w:vMerge w:val="continue"/>
            <w:tcBorders>
              <w:tl2br w:val="nil"/>
              <w:tr2bl w:val="nil"/>
            </w:tcBorders>
            <w:noWrap w:val="0"/>
            <w:vAlign w:val="center"/>
          </w:tcPr>
          <w:p w14:paraId="5CF59652">
            <w:pPr>
              <w:keepNext w:val="0"/>
              <w:keepLines w:val="0"/>
              <w:pageBreakBefore w:val="0"/>
              <w:widowControl/>
              <w:kinsoku/>
              <w:wordWrap w:val="0"/>
              <w:overflowPunct/>
              <w:topLinePunct w:val="0"/>
              <w:autoSpaceDE/>
              <w:autoSpaceDN/>
              <w:bidi w:val="0"/>
              <w:adjustRightInd w:val="0"/>
              <w:snapToGrid w:val="0"/>
              <w:spacing w:line="360" w:lineRule="atLeast"/>
              <w:ind w:firstLine="0" w:firstLineChars="0"/>
              <w:jc w:val="center"/>
              <w:textAlignment w:val="auto"/>
              <w:rPr>
                <w:rFonts w:hint="eastAsia" w:cs="Times New Roman"/>
                <w:kern w:val="2"/>
                <w:sz w:val="21"/>
                <w:szCs w:val="21"/>
                <w:lang w:val="en-US" w:eastAsia="zh-CN" w:bidi="ar-SA"/>
              </w:rPr>
            </w:pPr>
          </w:p>
        </w:tc>
        <w:tc>
          <w:tcPr>
            <w:tcW w:w="331" w:type="pct"/>
            <w:vMerge w:val="continue"/>
            <w:tcBorders>
              <w:tl2br w:val="nil"/>
              <w:tr2bl w:val="nil"/>
            </w:tcBorders>
            <w:noWrap w:val="0"/>
            <w:vAlign w:val="center"/>
          </w:tcPr>
          <w:p w14:paraId="6E14DDA7">
            <w:pPr>
              <w:keepNext w:val="0"/>
              <w:keepLines w:val="0"/>
              <w:pageBreakBefore w:val="0"/>
              <w:widowControl/>
              <w:kinsoku/>
              <w:wordWrap w:val="0"/>
              <w:overflowPunct/>
              <w:topLinePunct w:val="0"/>
              <w:autoSpaceDE/>
              <w:autoSpaceDN/>
              <w:bidi w:val="0"/>
              <w:adjustRightInd w:val="0"/>
              <w:snapToGrid w:val="0"/>
              <w:spacing w:line="360" w:lineRule="atLeast"/>
              <w:ind w:firstLine="0" w:firstLineChars="0"/>
              <w:jc w:val="center"/>
              <w:textAlignment w:val="auto"/>
              <w:rPr>
                <w:rFonts w:hint="eastAsia" w:cs="Times New Roman"/>
                <w:kern w:val="2"/>
                <w:sz w:val="21"/>
                <w:szCs w:val="21"/>
                <w:lang w:val="en-US" w:eastAsia="zh-CN" w:bidi="ar-SA"/>
              </w:rPr>
            </w:pPr>
          </w:p>
        </w:tc>
        <w:tc>
          <w:tcPr>
            <w:tcW w:w="1030" w:type="pct"/>
            <w:vMerge w:val="continue"/>
            <w:tcBorders>
              <w:tl2br w:val="nil"/>
              <w:tr2bl w:val="nil"/>
            </w:tcBorders>
            <w:noWrap w:val="0"/>
            <w:vAlign w:val="center"/>
          </w:tcPr>
          <w:p w14:paraId="551BD74E">
            <w:pPr>
              <w:keepNext w:val="0"/>
              <w:keepLines w:val="0"/>
              <w:pageBreakBefore w:val="0"/>
              <w:widowControl/>
              <w:kinsoku/>
              <w:wordWrap w:val="0"/>
              <w:overflowPunct/>
              <w:topLinePunct w:val="0"/>
              <w:autoSpaceDE/>
              <w:autoSpaceDN/>
              <w:bidi w:val="0"/>
              <w:adjustRightInd w:val="0"/>
              <w:snapToGrid w:val="0"/>
              <w:spacing w:line="360" w:lineRule="atLeast"/>
              <w:ind w:firstLine="0" w:firstLineChars="0"/>
              <w:jc w:val="center"/>
              <w:textAlignment w:val="auto"/>
              <w:rPr>
                <w:rFonts w:hint="eastAsia" w:cs="Times New Roman"/>
                <w:kern w:val="2"/>
                <w:sz w:val="21"/>
                <w:szCs w:val="21"/>
                <w:lang w:val="en-US" w:eastAsia="zh-CN" w:bidi="ar-SA"/>
              </w:rPr>
            </w:pPr>
          </w:p>
        </w:tc>
        <w:tc>
          <w:tcPr>
            <w:tcW w:w="2531" w:type="pct"/>
            <w:vMerge w:val="continue"/>
            <w:tcBorders>
              <w:tl2br w:val="nil"/>
              <w:tr2bl w:val="nil"/>
            </w:tcBorders>
            <w:noWrap w:val="0"/>
            <w:vAlign w:val="center"/>
          </w:tcPr>
          <w:p w14:paraId="7269CFED">
            <w:pPr>
              <w:keepNext w:val="0"/>
              <w:keepLines w:val="0"/>
              <w:pageBreakBefore w:val="0"/>
              <w:widowControl/>
              <w:kinsoku/>
              <w:wordWrap w:val="0"/>
              <w:overflowPunct/>
              <w:topLinePunct w:val="0"/>
              <w:autoSpaceDE/>
              <w:autoSpaceDN/>
              <w:bidi w:val="0"/>
              <w:adjustRightInd w:val="0"/>
              <w:snapToGrid w:val="0"/>
              <w:spacing w:line="360" w:lineRule="atLeast"/>
              <w:ind w:firstLine="0" w:firstLineChars="0"/>
              <w:jc w:val="center"/>
              <w:textAlignment w:val="auto"/>
              <w:rPr>
                <w:rFonts w:hint="eastAsia" w:cs="Times New Roman"/>
                <w:kern w:val="2"/>
                <w:sz w:val="21"/>
                <w:szCs w:val="21"/>
                <w:lang w:val="en-US" w:eastAsia="zh-CN" w:bidi="ar-SA"/>
              </w:rPr>
            </w:pPr>
          </w:p>
        </w:tc>
      </w:tr>
    </w:tbl>
    <w:p w14:paraId="37A476DE">
      <w:pPr>
        <w:pageBreakBefore w:val="0"/>
        <w:kinsoku/>
        <w:wordWrap/>
        <w:overflowPunct/>
        <w:topLinePunct w:val="0"/>
        <w:bidi w:val="0"/>
        <w:spacing w:line="520" w:lineRule="exact"/>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由上表可知，各</w:t>
      </w:r>
      <w:r>
        <w:rPr>
          <w:rFonts w:hint="default" w:ascii="Times New Roman" w:hAnsi="Times New Roman" w:eastAsia="宋体" w:cs="Times New Roman"/>
          <w:sz w:val="24"/>
          <w:szCs w:val="24"/>
          <w:lang w:val="en-US" w:eastAsia="zh-CN"/>
        </w:rPr>
        <w:t>VOCs排放源</w:t>
      </w:r>
      <w:r>
        <w:rPr>
          <w:rFonts w:hint="default" w:ascii="Times New Roman" w:hAnsi="Times New Roman" w:eastAsia="宋体" w:cs="Times New Roman"/>
          <w:sz w:val="24"/>
          <w:szCs w:val="24"/>
          <w:lang w:eastAsia="zh-CN"/>
        </w:rPr>
        <w:t>已有治理设施且符合相关技术规范要求。对</w:t>
      </w:r>
      <w:r>
        <w:rPr>
          <w:rFonts w:hint="default" w:ascii="Times New Roman" w:hAnsi="Times New Roman" w:eastAsia="宋体" w:cs="Times New Roman"/>
          <w:sz w:val="24"/>
          <w:szCs w:val="24"/>
          <w:lang w:val="en-US" w:eastAsia="zh-CN"/>
        </w:rPr>
        <w:t>VOCs</w:t>
      </w:r>
      <w:r>
        <w:rPr>
          <w:rFonts w:hint="default" w:ascii="Times New Roman" w:hAnsi="Times New Roman" w:eastAsia="宋体" w:cs="Times New Roman"/>
          <w:sz w:val="24"/>
          <w:szCs w:val="24"/>
        </w:rPr>
        <w:t>治理设施应加强排放监管，并按要求建立企业VOCs环境管理信息台账。</w:t>
      </w:r>
    </w:p>
    <w:p w14:paraId="4CEDC775">
      <w:pPr>
        <w:spacing w:line="520" w:lineRule="exact"/>
        <w:ind w:left="0" w:leftChars="0" w:firstLine="482" w:firstLineChars="200"/>
        <w:rPr>
          <w:rFonts w:hint="eastAsia" w:hAnsi="宋体" w:eastAsia="宋体"/>
          <w:b/>
          <w:bCs/>
          <w:sz w:val="24"/>
          <w:lang w:val="en-US" w:eastAsia="zh-CN"/>
        </w:rPr>
      </w:pPr>
      <w:r>
        <w:rPr>
          <w:rFonts w:hint="eastAsia" w:hAnsi="宋体" w:eastAsia="宋体"/>
          <w:b/>
          <w:bCs/>
          <w:sz w:val="24"/>
          <w:lang w:val="en-US" w:eastAsia="zh-CN"/>
        </w:rPr>
        <w:t>（四）日常监管方案</w:t>
      </w:r>
    </w:p>
    <w:p w14:paraId="0DF25990">
      <w:pPr>
        <w:spacing w:line="520" w:lineRule="exact"/>
        <w:ind w:firstLine="600"/>
        <w:rPr>
          <w:rFonts w:hint="eastAsia" w:hAnsi="宋体" w:eastAsia="宋体"/>
          <w:sz w:val="24"/>
        </w:rPr>
      </w:pPr>
      <w:r>
        <w:rPr>
          <w:rFonts w:hint="eastAsia" w:hAnsi="宋体"/>
          <w:sz w:val="24"/>
          <w:lang w:val="en-US" w:eastAsia="zh-CN"/>
        </w:rPr>
        <w:t>1、</w:t>
      </w:r>
      <w:r>
        <w:rPr>
          <w:rFonts w:hint="eastAsia" w:hAnsi="宋体" w:eastAsia="宋体"/>
          <w:sz w:val="24"/>
          <w:lang w:val="en-US" w:eastAsia="zh-CN"/>
        </w:rPr>
        <w:t>环境监测</w:t>
      </w:r>
    </w:p>
    <w:p w14:paraId="3CA21606">
      <w:pPr>
        <w:spacing w:line="520" w:lineRule="exact"/>
        <w:ind w:left="0" w:leftChars="0" w:firstLine="480" w:firstLineChars="200"/>
        <w:rPr>
          <w:rFonts w:hint="eastAsia" w:hAnsi="宋体" w:eastAsia="宋体"/>
          <w:sz w:val="24"/>
        </w:rPr>
      </w:pPr>
      <w:r>
        <w:rPr>
          <w:rFonts w:hint="eastAsia" w:hAnsi="宋体" w:eastAsia="宋体"/>
          <w:sz w:val="24"/>
          <w:lang w:val="en-US" w:eastAsia="zh-CN"/>
        </w:rPr>
        <w:t>根据环评报告内容，工程VOCs污染源的监测要求详见表10。</w:t>
      </w:r>
    </w:p>
    <w:p w14:paraId="79FED3A8">
      <w:pPr>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Times New Roman"/>
          <w:b/>
          <w:bCs/>
          <w:szCs w:val="22"/>
        </w:rPr>
      </w:pPr>
      <w:r>
        <w:rPr>
          <w:rFonts w:hint="default" w:ascii="Times New Roman" w:hAnsi="Times New Roman" w:cs="Times New Roman"/>
          <w:b/>
          <w:bCs/>
          <w:szCs w:val="22"/>
        </w:rPr>
        <w:t>表</w:t>
      </w:r>
      <w:r>
        <w:rPr>
          <w:rFonts w:hint="default" w:ascii="Times New Roman" w:hAnsi="Times New Roman" w:cs="Times New Roman"/>
          <w:b/>
          <w:bCs/>
          <w:szCs w:val="22"/>
          <w:lang w:val="en-US" w:eastAsia="zh-CN"/>
        </w:rPr>
        <w:t>1</w:t>
      </w:r>
      <w:r>
        <w:rPr>
          <w:rFonts w:hint="eastAsia" w:ascii="Times New Roman" w:hAnsi="Times New Roman" w:cs="Times New Roman"/>
          <w:b/>
          <w:bCs/>
          <w:szCs w:val="22"/>
          <w:lang w:val="en-US" w:eastAsia="zh-CN"/>
        </w:rPr>
        <w:t>0</w:t>
      </w:r>
      <w:r>
        <w:rPr>
          <w:rFonts w:hint="default" w:ascii="Times New Roman" w:hAnsi="Times New Roman" w:cs="Times New Roman"/>
          <w:b/>
          <w:bCs/>
          <w:szCs w:val="22"/>
          <w:lang w:val="en-US" w:eastAsia="zh-CN"/>
        </w:rPr>
        <w:t xml:space="preserve"> </w:t>
      </w:r>
      <w:r>
        <w:rPr>
          <w:rFonts w:hint="default" w:ascii="Times New Roman" w:hAnsi="Times New Roman" w:cs="Times New Roman"/>
          <w:b/>
          <w:bCs/>
          <w:szCs w:val="22"/>
        </w:rPr>
        <w:t xml:space="preserve">  本项目</w:t>
      </w:r>
      <w:r>
        <w:rPr>
          <w:rFonts w:hint="eastAsia" w:cs="Times New Roman"/>
          <w:b/>
          <w:bCs/>
          <w:szCs w:val="22"/>
          <w:lang w:val="en-US" w:eastAsia="zh-CN"/>
        </w:rPr>
        <w:t>VOCs</w:t>
      </w:r>
      <w:r>
        <w:rPr>
          <w:rFonts w:hint="default" w:ascii="Times New Roman" w:hAnsi="Times New Roman" w:cs="Times New Roman"/>
          <w:b/>
          <w:bCs/>
          <w:szCs w:val="22"/>
        </w:rPr>
        <w:t>废气例行监测要求一览表</w:t>
      </w:r>
    </w:p>
    <w:tbl>
      <w:tblPr>
        <w:tblStyle w:val="15"/>
        <w:tblW w:w="51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751"/>
        <w:gridCol w:w="985"/>
        <w:gridCol w:w="1322"/>
        <w:gridCol w:w="1050"/>
        <w:gridCol w:w="3792"/>
        <w:gridCol w:w="765"/>
      </w:tblGrid>
      <w:tr w14:paraId="66225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34" w:hRule="atLeast"/>
        </w:trPr>
        <w:tc>
          <w:tcPr>
            <w:tcW w:w="433" w:type="pct"/>
            <w:vMerge w:val="restart"/>
            <w:noWrap w:val="0"/>
            <w:vAlign w:val="center"/>
          </w:tcPr>
          <w:p w14:paraId="04B1ECC4">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环境</w:t>
            </w:r>
          </w:p>
          <w:p w14:paraId="374DF40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要素</w:t>
            </w:r>
          </w:p>
        </w:tc>
        <w:tc>
          <w:tcPr>
            <w:tcW w:w="568" w:type="pct"/>
            <w:vMerge w:val="restart"/>
            <w:noWrap w:val="0"/>
            <w:vAlign w:val="center"/>
          </w:tcPr>
          <w:p w14:paraId="1265008C">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监测点</w:t>
            </w:r>
          </w:p>
        </w:tc>
        <w:tc>
          <w:tcPr>
            <w:tcW w:w="762" w:type="pct"/>
            <w:vMerge w:val="restart"/>
            <w:noWrap w:val="0"/>
            <w:vAlign w:val="center"/>
          </w:tcPr>
          <w:p w14:paraId="6549E14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监测因子</w:t>
            </w:r>
          </w:p>
        </w:tc>
        <w:tc>
          <w:tcPr>
            <w:tcW w:w="605" w:type="pct"/>
            <w:vMerge w:val="restart"/>
            <w:noWrap w:val="0"/>
            <w:vAlign w:val="center"/>
          </w:tcPr>
          <w:p w14:paraId="37F21E4B">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监测</w:t>
            </w:r>
          </w:p>
          <w:p w14:paraId="5012B08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频率</w:t>
            </w:r>
          </w:p>
        </w:tc>
        <w:tc>
          <w:tcPr>
            <w:tcW w:w="2629" w:type="pct"/>
            <w:gridSpan w:val="2"/>
            <w:noWrap w:val="0"/>
            <w:vAlign w:val="center"/>
          </w:tcPr>
          <w:p w14:paraId="090268A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执行排放标准</w:t>
            </w:r>
          </w:p>
        </w:tc>
      </w:tr>
      <w:tr w14:paraId="65664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73" w:hRule="atLeast"/>
        </w:trPr>
        <w:tc>
          <w:tcPr>
            <w:tcW w:w="433" w:type="pct"/>
            <w:vMerge w:val="continue"/>
            <w:noWrap w:val="0"/>
            <w:vAlign w:val="center"/>
          </w:tcPr>
          <w:p w14:paraId="5262F1C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568" w:type="pct"/>
            <w:vMerge w:val="continue"/>
            <w:noWrap w:val="0"/>
            <w:vAlign w:val="center"/>
          </w:tcPr>
          <w:p w14:paraId="41D99975">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762" w:type="pct"/>
            <w:vMerge w:val="continue"/>
            <w:noWrap w:val="0"/>
            <w:vAlign w:val="center"/>
          </w:tcPr>
          <w:p w14:paraId="2A3E747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605" w:type="pct"/>
            <w:vMerge w:val="continue"/>
            <w:noWrap w:val="0"/>
            <w:vAlign w:val="center"/>
          </w:tcPr>
          <w:p w14:paraId="327D663C">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p>
        </w:tc>
        <w:tc>
          <w:tcPr>
            <w:tcW w:w="2188" w:type="pct"/>
            <w:noWrap w:val="0"/>
            <w:vAlign w:val="center"/>
          </w:tcPr>
          <w:p w14:paraId="4CB281B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标准名称</w:t>
            </w:r>
          </w:p>
        </w:tc>
        <w:tc>
          <w:tcPr>
            <w:tcW w:w="441" w:type="pct"/>
            <w:noWrap w:val="0"/>
            <w:vAlign w:val="center"/>
          </w:tcPr>
          <w:p w14:paraId="2D76699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kern w:val="0"/>
                <w:sz w:val="21"/>
                <w:szCs w:val="20"/>
              </w:rPr>
            </w:pPr>
            <w:r>
              <w:rPr>
                <w:rFonts w:hint="default" w:ascii="Times New Roman" w:hAnsi="Times New Roman" w:cs="Times New Roman"/>
                <w:b w:val="0"/>
                <w:bCs/>
                <w:kern w:val="0"/>
                <w:sz w:val="21"/>
                <w:szCs w:val="20"/>
              </w:rPr>
              <w:t>限值</w:t>
            </w:r>
          </w:p>
        </w:tc>
      </w:tr>
      <w:tr w14:paraId="71A1B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20" w:hRule="atLeast"/>
        </w:trPr>
        <w:tc>
          <w:tcPr>
            <w:tcW w:w="433" w:type="pct"/>
            <w:vMerge w:val="restart"/>
            <w:noWrap w:val="0"/>
            <w:vAlign w:val="center"/>
          </w:tcPr>
          <w:p w14:paraId="0549F8D7">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有组织废气</w:t>
            </w:r>
          </w:p>
        </w:tc>
        <w:tc>
          <w:tcPr>
            <w:tcW w:w="568" w:type="pct"/>
            <w:vMerge w:val="restart"/>
            <w:noWrap w:val="0"/>
            <w:vAlign w:val="center"/>
          </w:tcPr>
          <w:p w14:paraId="7F9106C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排放口DA001</w:t>
            </w:r>
          </w:p>
        </w:tc>
        <w:tc>
          <w:tcPr>
            <w:tcW w:w="762" w:type="pct"/>
            <w:noWrap w:val="0"/>
            <w:vAlign w:val="center"/>
          </w:tcPr>
          <w:p w14:paraId="22DD0A4B">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eastAsia="宋体" w:cs="Times New Roman"/>
                <w:bCs/>
                <w:kern w:val="0"/>
                <w:sz w:val="21"/>
                <w:szCs w:val="20"/>
                <w:lang w:eastAsia="zh-CN"/>
              </w:rPr>
            </w:pPr>
            <w:r>
              <w:rPr>
                <w:rFonts w:hint="default" w:ascii="Times New Roman" w:hAnsi="Times New Roman" w:eastAsia="宋体" w:cs="Times New Roman"/>
                <w:bCs/>
                <w:sz w:val="21"/>
                <w:szCs w:val="21"/>
                <w:highlight w:val="none"/>
              </w:rPr>
              <w:t>非甲烷总烃排放浓度、排放速率和废气量</w:t>
            </w:r>
          </w:p>
        </w:tc>
        <w:tc>
          <w:tcPr>
            <w:tcW w:w="605" w:type="pct"/>
            <w:noWrap w:val="0"/>
            <w:vAlign w:val="center"/>
          </w:tcPr>
          <w:p w14:paraId="5C449F9D">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eastAsia="宋体" w:cs="Times New Roman"/>
                <w:bCs/>
                <w:sz w:val="21"/>
                <w:szCs w:val="21"/>
                <w:highlight w:val="none"/>
              </w:rPr>
              <w:t>1次/</w:t>
            </w:r>
            <w:r>
              <w:rPr>
                <w:rFonts w:hint="eastAsia" w:cs="Times New Roman"/>
                <w:bCs/>
                <w:sz w:val="21"/>
                <w:szCs w:val="21"/>
                <w:highlight w:val="none"/>
                <w:lang w:eastAsia="zh-CN"/>
              </w:rPr>
              <w:t>半</w:t>
            </w:r>
            <w:r>
              <w:rPr>
                <w:rFonts w:hint="default" w:ascii="Times New Roman" w:hAnsi="Times New Roman" w:eastAsia="宋体" w:cs="Times New Roman"/>
                <w:bCs/>
                <w:sz w:val="21"/>
                <w:szCs w:val="21"/>
                <w:highlight w:val="none"/>
              </w:rPr>
              <w:t>年</w:t>
            </w:r>
            <w:r>
              <w:rPr>
                <w:rFonts w:hint="eastAsia" w:ascii="Times New Roman" w:hAnsi="Times New Roman" w:eastAsia="宋体" w:cs="Times New Roman"/>
                <w:bCs/>
                <w:sz w:val="21"/>
                <w:szCs w:val="21"/>
                <w:highlight w:val="none"/>
                <w:lang w:eastAsia="zh-CN"/>
              </w:rPr>
              <w:t>，</w:t>
            </w:r>
            <w:r>
              <w:rPr>
                <w:rFonts w:hint="default" w:ascii="Times New Roman" w:hAnsi="Times New Roman" w:cs="Times New Roman"/>
                <w:sz w:val="21"/>
                <w:szCs w:val="21"/>
                <w:highlight w:val="none"/>
                <w:u w:val="none" w:color="auto"/>
              </w:rPr>
              <w:t>每次连续监测2天</w:t>
            </w:r>
          </w:p>
        </w:tc>
        <w:tc>
          <w:tcPr>
            <w:tcW w:w="2188" w:type="pct"/>
            <w:noWrap w:val="0"/>
            <w:vAlign w:val="center"/>
          </w:tcPr>
          <w:p w14:paraId="435724F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eastAsia" w:cs="Times New Roman"/>
                <w:bCs/>
                <w:kern w:val="0"/>
                <w:sz w:val="21"/>
                <w:szCs w:val="21"/>
                <w:lang w:eastAsia="zh-CN"/>
              </w:rPr>
              <w:t>《河南省重污染天气重点行业应急减排措施制定技术指南》（2024年修订版）“塑料制品企业绩效分级指标”限值要求</w:t>
            </w:r>
          </w:p>
        </w:tc>
        <w:tc>
          <w:tcPr>
            <w:tcW w:w="441" w:type="pct"/>
            <w:noWrap w:val="0"/>
            <w:vAlign w:val="center"/>
          </w:tcPr>
          <w:p w14:paraId="0DB8717B">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20</w:t>
            </w:r>
          </w:p>
          <w:p w14:paraId="0FC3BF20">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default" w:ascii="Times New Roman" w:hAnsi="Times New Roman" w:eastAsia="宋体" w:cs="Times New Roman"/>
                <w:bCs/>
                <w:kern w:val="0"/>
                <w:sz w:val="21"/>
                <w:szCs w:val="21"/>
                <w:lang w:eastAsia="zh-CN"/>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29F29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46" w:hRule="atLeast"/>
        </w:trPr>
        <w:tc>
          <w:tcPr>
            <w:tcW w:w="433" w:type="pct"/>
            <w:vMerge w:val="continue"/>
            <w:noWrap w:val="0"/>
            <w:vAlign w:val="center"/>
          </w:tcPr>
          <w:p w14:paraId="1E8FC1B0">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68" w:type="pct"/>
            <w:vMerge w:val="continue"/>
            <w:noWrap w:val="0"/>
            <w:vAlign w:val="center"/>
          </w:tcPr>
          <w:p w14:paraId="6799B15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762" w:type="pct"/>
            <w:noWrap w:val="0"/>
            <w:vAlign w:val="center"/>
          </w:tcPr>
          <w:p w14:paraId="7FA19B4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r>
              <w:rPr>
                <w:rFonts w:hint="eastAsia" w:ascii="Times New Roman" w:hAnsi="Times New Roman" w:eastAsia="宋体" w:cs="Times New Roman"/>
                <w:bCs/>
                <w:sz w:val="21"/>
                <w:szCs w:val="21"/>
                <w:highlight w:val="none"/>
                <w:lang w:eastAsia="zh-CN"/>
              </w:rPr>
              <w:t>苯乙烯</w:t>
            </w:r>
            <w:r>
              <w:rPr>
                <w:rFonts w:hint="default" w:ascii="Times New Roman" w:hAnsi="Times New Roman" w:eastAsia="宋体" w:cs="Times New Roman"/>
                <w:bCs/>
                <w:sz w:val="21"/>
                <w:szCs w:val="21"/>
                <w:highlight w:val="none"/>
              </w:rPr>
              <w:t>排放浓度、排放速率和废气量</w:t>
            </w:r>
          </w:p>
        </w:tc>
        <w:tc>
          <w:tcPr>
            <w:tcW w:w="605" w:type="pct"/>
            <w:noWrap w:val="0"/>
            <w:vAlign w:val="center"/>
          </w:tcPr>
          <w:p w14:paraId="6773ED03">
            <w:pPr>
              <w:keepNext w:val="0"/>
              <w:keepLines w:val="0"/>
              <w:pageBreakBefore w:val="0"/>
              <w:widowControl w:val="0"/>
              <w:kinsoku/>
              <w:wordWrap w:val="0"/>
              <w:overflowPunct/>
              <w:topLinePunct w:val="0"/>
              <w:autoSpaceDE w:val="0"/>
              <w:autoSpaceDN w:val="0"/>
              <w:bidi w:val="0"/>
              <w:adjustRightInd w:val="0"/>
              <w:snapToGrid/>
              <w:spacing w:line="360" w:lineRule="exact"/>
              <w:ind w:firstLine="0" w:firstLineChars="0"/>
              <w:jc w:val="center"/>
              <w:textAlignment w:val="auto"/>
              <w:rPr>
                <w:rFonts w:hint="default" w:ascii="Times New Roman" w:hAnsi="Times New Roman" w:cs="Times New Roman"/>
                <w:sz w:val="21"/>
                <w:szCs w:val="21"/>
                <w:highlight w:val="none"/>
                <w:u w:val="none" w:color="auto"/>
              </w:rPr>
            </w:pPr>
            <w:r>
              <w:rPr>
                <w:rFonts w:hint="default" w:ascii="Times New Roman" w:hAnsi="Times New Roman" w:eastAsia="宋体" w:cs="Times New Roman"/>
                <w:bCs/>
                <w:sz w:val="21"/>
                <w:szCs w:val="21"/>
                <w:highlight w:val="none"/>
              </w:rPr>
              <w:t>1次/年</w:t>
            </w:r>
            <w:r>
              <w:rPr>
                <w:rFonts w:hint="eastAsia" w:ascii="Times New Roman" w:hAnsi="Times New Roman" w:eastAsia="宋体" w:cs="Times New Roman"/>
                <w:bCs/>
                <w:sz w:val="21"/>
                <w:szCs w:val="21"/>
                <w:highlight w:val="none"/>
                <w:lang w:eastAsia="zh-CN"/>
              </w:rPr>
              <w:t>，</w:t>
            </w:r>
            <w:r>
              <w:rPr>
                <w:rFonts w:hint="default" w:ascii="Times New Roman" w:hAnsi="Times New Roman" w:cs="Times New Roman"/>
                <w:sz w:val="21"/>
                <w:szCs w:val="21"/>
                <w:highlight w:val="none"/>
                <w:u w:val="none" w:color="auto"/>
              </w:rPr>
              <w:t>每次连续监测2天</w:t>
            </w:r>
          </w:p>
        </w:tc>
        <w:tc>
          <w:tcPr>
            <w:tcW w:w="2188" w:type="pct"/>
            <w:noWrap w:val="0"/>
            <w:vAlign w:val="center"/>
          </w:tcPr>
          <w:p w14:paraId="0C9C4FB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u w:val="none" w:color="auto"/>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cs="Times New Roman"/>
                <w:sz w:val="21"/>
                <w:szCs w:val="21"/>
                <w:highlight w:val="none"/>
                <w:u w:val="none" w:color="auto"/>
                <w:lang w:eastAsia="zh-CN"/>
              </w:rPr>
              <w:t>、</w:t>
            </w:r>
            <w:r>
              <w:rPr>
                <w:rFonts w:hint="default" w:ascii="Times New Roman" w:hAnsi="Times New Roman" w:cs="Times New Roman"/>
                <w:sz w:val="21"/>
                <w:szCs w:val="21"/>
                <w:highlight w:val="none"/>
                <w:u w:val="none" w:color="auto"/>
              </w:rPr>
              <w:t>《恶臭污染物排放标准》（GB 14554-93）的限值要求</w:t>
            </w:r>
          </w:p>
        </w:tc>
        <w:tc>
          <w:tcPr>
            <w:tcW w:w="441" w:type="pct"/>
            <w:noWrap w:val="0"/>
            <w:vAlign w:val="center"/>
          </w:tcPr>
          <w:p w14:paraId="1C7C3E2A">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20</w:t>
            </w:r>
          </w:p>
          <w:p w14:paraId="4BB296F3">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sz w:val="21"/>
                <w:szCs w:val="21"/>
                <w:highlight w:val="none"/>
                <w:u w:val="none" w:color="auto"/>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36490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9" w:hRule="atLeast"/>
        </w:trPr>
        <w:tc>
          <w:tcPr>
            <w:tcW w:w="433" w:type="pct"/>
            <w:vMerge w:val="restart"/>
            <w:noWrap w:val="0"/>
            <w:vAlign w:val="center"/>
          </w:tcPr>
          <w:p w14:paraId="6E301F28">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无组织废气</w:t>
            </w:r>
          </w:p>
        </w:tc>
        <w:tc>
          <w:tcPr>
            <w:tcW w:w="568" w:type="pct"/>
            <w:noWrap w:val="0"/>
            <w:vAlign w:val="center"/>
          </w:tcPr>
          <w:p w14:paraId="0C4B545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val="en-US" w:eastAsia="zh-CN"/>
              </w:rPr>
            </w:pPr>
            <w:r>
              <w:rPr>
                <w:rFonts w:hint="eastAsia" w:cs="Times New Roman"/>
                <w:bCs/>
                <w:kern w:val="0"/>
                <w:sz w:val="21"/>
                <w:szCs w:val="20"/>
                <w:lang w:val="en-US" w:eastAsia="zh-CN"/>
              </w:rPr>
              <w:t>车间外</w:t>
            </w:r>
          </w:p>
        </w:tc>
        <w:tc>
          <w:tcPr>
            <w:tcW w:w="762" w:type="pct"/>
            <w:noWrap w:val="0"/>
            <w:vAlign w:val="center"/>
          </w:tcPr>
          <w:p w14:paraId="7EBBFD4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eastAsia="宋体" w:cs="Times New Roman"/>
                <w:bCs/>
                <w:kern w:val="0"/>
                <w:sz w:val="21"/>
                <w:szCs w:val="20"/>
                <w:lang w:eastAsia="zh-CN"/>
              </w:rPr>
            </w:pPr>
            <w:r>
              <w:rPr>
                <w:rFonts w:hint="eastAsia" w:cs="Times New Roman"/>
                <w:bCs/>
                <w:kern w:val="0"/>
                <w:sz w:val="21"/>
                <w:szCs w:val="20"/>
                <w:lang w:eastAsia="zh-CN"/>
              </w:rPr>
              <w:t>非甲烷总烃</w:t>
            </w:r>
          </w:p>
        </w:tc>
        <w:tc>
          <w:tcPr>
            <w:tcW w:w="605" w:type="pct"/>
            <w:vMerge w:val="restart"/>
            <w:noWrap w:val="0"/>
            <w:vAlign w:val="center"/>
          </w:tcPr>
          <w:p w14:paraId="2989A044">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eastAsia="zh-CN"/>
              </w:rPr>
            </w:pPr>
            <w:r>
              <w:rPr>
                <w:rFonts w:hint="default" w:ascii="Times New Roman" w:hAnsi="Times New Roman" w:cs="Times New Roman"/>
                <w:bCs/>
                <w:kern w:val="0"/>
                <w:sz w:val="21"/>
                <w:szCs w:val="20"/>
              </w:rPr>
              <w:t>1次/年</w:t>
            </w:r>
            <w:r>
              <w:rPr>
                <w:rFonts w:hint="eastAsia" w:cs="Times New Roman"/>
                <w:bCs/>
                <w:kern w:val="0"/>
                <w:sz w:val="21"/>
                <w:szCs w:val="20"/>
                <w:lang w:eastAsia="zh-CN"/>
              </w:rPr>
              <w:t>，</w:t>
            </w:r>
            <w:r>
              <w:rPr>
                <w:rFonts w:hint="default" w:ascii="Times New Roman" w:hAnsi="Times New Roman" w:cs="Times New Roman"/>
                <w:sz w:val="21"/>
                <w:szCs w:val="21"/>
                <w:highlight w:val="none"/>
                <w:u w:val="none" w:color="auto"/>
              </w:rPr>
              <w:t>每次连续监测2天</w:t>
            </w:r>
          </w:p>
        </w:tc>
        <w:tc>
          <w:tcPr>
            <w:tcW w:w="2188" w:type="pct"/>
            <w:noWrap w:val="0"/>
            <w:vAlign w:val="center"/>
          </w:tcPr>
          <w:p w14:paraId="2FA4BD5E">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ascii="Times New Roman" w:hAnsi="Times New Roman" w:eastAsia="宋体" w:cs="Times New Roman"/>
                <w:bCs/>
                <w:kern w:val="0"/>
                <w:sz w:val="21"/>
                <w:szCs w:val="20"/>
                <w:lang w:eastAsia="zh-CN"/>
              </w:rPr>
            </w:pPr>
            <w:r>
              <w:rPr>
                <w:rFonts w:hint="default" w:ascii="Times New Roman" w:hAnsi="Times New Roman" w:cs="Times New Roman"/>
                <w:bCs/>
                <w:kern w:val="0"/>
                <w:sz w:val="21"/>
                <w:szCs w:val="20"/>
              </w:rPr>
              <w:t>《关于河南省开展工业企业挥发性有机物专项治理工作中排放建议值的通知》豫环攻坚办[2017]</w:t>
            </w:r>
            <w:r>
              <w:rPr>
                <w:rFonts w:hint="default" w:ascii="Times New Roman" w:hAnsi="Times New Roman" w:cs="Times New Roman"/>
                <w:bCs/>
                <w:kern w:val="0"/>
                <w:sz w:val="21"/>
                <w:szCs w:val="20"/>
                <w:highlight w:val="none"/>
              </w:rPr>
              <w:t>162号</w:t>
            </w:r>
          </w:p>
        </w:tc>
        <w:tc>
          <w:tcPr>
            <w:tcW w:w="441" w:type="pct"/>
            <w:noWrap w:val="0"/>
            <w:vAlign w:val="center"/>
          </w:tcPr>
          <w:p w14:paraId="5140831B">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val="0"/>
                <w:color w:val="auto"/>
                <w:sz w:val="21"/>
                <w:szCs w:val="21"/>
                <w:highlight w:val="none"/>
              </w:rPr>
            </w:pPr>
            <w:r>
              <w:rPr>
                <w:rFonts w:hint="eastAsia" w:cs="Times New Roman"/>
                <w:b w:val="0"/>
                <w:bCs w:val="0"/>
                <w:color w:val="auto"/>
                <w:sz w:val="21"/>
                <w:szCs w:val="21"/>
                <w:highlight w:val="none"/>
                <w:lang w:val="en-US" w:eastAsia="zh-CN"/>
              </w:rPr>
              <w:t>4</w:t>
            </w:r>
            <w:r>
              <w:rPr>
                <w:rFonts w:hint="default" w:ascii="Times New Roman" w:hAnsi="Times New Roman" w:cs="Times New Roman"/>
                <w:b w:val="0"/>
                <w:bCs w:val="0"/>
                <w:color w:val="auto"/>
                <w:sz w:val="21"/>
                <w:szCs w:val="21"/>
                <w:highlight w:val="none"/>
              </w:rPr>
              <w:t>.0</w:t>
            </w:r>
          </w:p>
          <w:p w14:paraId="6BAF0E5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02BA5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435" w:hRule="atLeast"/>
        </w:trPr>
        <w:tc>
          <w:tcPr>
            <w:tcW w:w="433" w:type="pct"/>
            <w:vMerge w:val="continue"/>
            <w:noWrap w:val="0"/>
            <w:vAlign w:val="center"/>
          </w:tcPr>
          <w:p w14:paraId="4C371059">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68" w:type="pct"/>
            <w:vMerge w:val="restart"/>
            <w:noWrap w:val="0"/>
            <w:vAlign w:val="center"/>
          </w:tcPr>
          <w:p w14:paraId="690752DE">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Cs/>
                <w:kern w:val="0"/>
                <w:sz w:val="21"/>
                <w:szCs w:val="20"/>
              </w:rPr>
              <w:t>厂界外上风向设1个监测点位、下风向设3个监测点位</w:t>
            </w:r>
          </w:p>
        </w:tc>
        <w:tc>
          <w:tcPr>
            <w:tcW w:w="762" w:type="pct"/>
            <w:noWrap w:val="0"/>
            <w:vAlign w:val="center"/>
          </w:tcPr>
          <w:p w14:paraId="2A78D38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eastAsia" w:cs="Times New Roman"/>
                <w:bCs/>
                <w:kern w:val="0"/>
                <w:sz w:val="21"/>
                <w:szCs w:val="20"/>
                <w:lang w:eastAsia="zh-CN"/>
              </w:rPr>
              <w:t>非甲烷总烃</w:t>
            </w:r>
          </w:p>
        </w:tc>
        <w:tc>
          <w:tcPr>
            <w:tcW w:w="605" w:type="pct"/>
            <w:vMerge w:val="continue"/>
            <w:noWrap w:val="0"/>
            <w:vAlign w:val="center"/>
          </w:tcPr>
          <w:p w14:paraId="32222EC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p>
        </w:tc>
        <w:tc>
          <w:tcPr>
            <w:tcW w:w="2188" w:type="pct"/>
            <w:noWrap w:val="0"/>
            <w:vAlign w:val="center"/>
          </w:tcPr>
          <w:p w14:paraId="11AF398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sz w:val="21"/>
                <w:szCs w:val="21"/>
                <w:highlight w:val="none"/>
                <w:u w:val="none" w:color="auto"/>
              </w:rPr>
              <w:t>《合成树脂工业污染物排放标准》（GB 31572-2015，含2024年修改单）</w:t>
            </w:r>
            <w:r>
              <w:rPr>
                <w:rFonts w:hint="eastAsia" w:ascii="Times New Roman" w:hAnsi="Times New Roman" w:cs="Times New Roman"/>
                <w:sz w:val="21"/>
                <w:szCs w:val="21"/>
                <w:highlight w:val="none"/>
                <w:u w:val="none" w:color="auto"/>
                <w:lang w:eastAsia="zh-CN"/>
              </w:rPr>
              <w:t>、</w:t>
            </w:r>
            <w:r>
              <w:rPr>
                <w:rFonts w:hint="default" w:ascii="Times New Roman" w:hAnsi="Times New Roman" w:cs="Times New Roman"/>
                <w:bCs/>
                <w:kern w:val="0"/>
                <w:sz w:val="21"/>
                <w:szCs w:val="20"/>
              </w:rPr>
              <w:t>《关于河南省开展工业企业挥发性有机物专项治理工作中排放建议值的通知》豫环攻坚办[2017]</w:t>
            </w:r>
            <w:r>
              <w:rPr>
                <w:rFonts w:hint="default" w:ascii="Times New Roman" w:hAnsi="Times New Roman" w:cs="Times New Roman"/>
                <w:bCs/>
                <w:kern w:val="0"/>
                <w:sz w:val="21"/>
                <w:szCs w:val="20"/>
                <w:highlight w:val="none"/>
              </w:rPr>
              <w:t>162号</w:t>
            </w:r>
            <w:r>
              <w:rPr>
                <w:rFonts w:hint="eastAsia" w:cs="Times New Roman"/>
                <w:bCs/>
                <w:kern w:val="0"/>
                <w:sz w:val="21"/>
                <w:szCs w:val="20"/>
                <w:highlight w:val="none"/>
                <w:lang w:eastAsia="zh-CN"/>
              </w:rPr>
              <w:t>、</w:t>
            </w:r>
            <w:r>
              <w:rPr>
                <w:rFonts w:hint="eastAsia" w:ascii="Times New Roman" w:hAnsi="Times New Roman" w:eastAsia="宋体" w:cs="Times New Roman"/>
                <w:sz w:val="21"/>
                <w:lang w:eastAsia="zh-CN"/>
              </w:rPr>
              <w:t>《挥发性有机物无组织排放控制标准》（GB37822-2019）</w:t>
            </w:r>
            <w:r>
              <w:rPr>
                <w:rFonts w:hint="eastAsia" w:cs="Times New Roman"/>
                <w:bCs/>
                <w:kern w:val="0"/>
                <w:sz w:val="21"/>
                <w:szCs w:val="20"/>
                <w:highlight w:val="none"/>
                <w:lang w:eastAsia="zh-CN"/>
              </w:rPr>
              <w:t>、</w:t>
            </w:r>
            <w:r>
              <w:rPr>
                <w:rFonts w:hint="eastAsia" w:cs="Times New Roman"/>
                <w:bCs/>
                <w:kern w:val="0"/>
                <w:sz w:val="21"/>
                <w:szCs w:val="21"/>
                <w:highlight w:val="none"/>
                <w:lang w:eastAsia="zh-CN"/>
              </w:rPr>
              <w:t>《河南省重污染天气重点行业应急减排措施制定技术指南》（2024年修订版）“塑料制品企业绩效分级指标”限值要求</w:t>
            </w:r>
          </w:p>
        </w:tc>
        <w:tc>
          <w:tcPr>
            <w:tcW w:w="441" w:type="pct"/>
            <w:noWrap w:val="0"/>
            <w:vAlign w:val="center"/>
          </w:tcPr>
          <w:p w14:paraId="350EF3FA">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val="0"/>
                <w:color w:val="auto"/>
                <w:sz w:val="21"/>
                <w:szCs w:val="21"/>
                <w:highlight w:val="none"/>
              </w:rPr>
            </w:pPr>
            <w:r>
              <w:rPr>
                <w:rFonts w:hint="eastAsia" w:cs="Times New Roman"/>
                <w:b w:val="0"/>
                <w:bCs w:val="0"/>
                <w:color w:val="auto"/>
                <w:sz w:val="21"/>
                <w:szCs w:val="21"/>
                <w:highlight w:val="none"/>
                <w:lang w:val="en-US" w:eastAsia="zh-CN"/>
              </w:rPr>
              <w:t>2</w:t>
            </w:r>
            <w:r>
              <w:rPr>
                <w:rFonts w:hint="default" w:ascii="Times New Roman" w:hAnsi="Times New Roman" w:cs="Times New Roman"/>
                <w:b w:val="0"/>
                <w:bCs w:val="0"/>
                <w:color w:val="auto"/>
                <w:sz w:val="21"/>
                <w:szCs w:val="21"/>
                <w:highlight w:val="none"/>
              </w:rPr>
              <w:t>.0</w:t>
            </w:r>
          </w:p>
          <w:p w14:paraId="2B616147">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Cs/>
                <w:kern w:val="0"/>
                <w:sz w:val="21"/>
                <w:szCs w:val="20"/>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r w14:paraId="4207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7" w:hRule="atLeast"/>
        </w:trPr>
        <w:tc>
          <w:tcPr>
            <w:tcW w:w="433" w:type="pct"/>
            <w:vMerge w:val="continue"/>
            <w:noWrap w:val="0"/>
            <w:vAlign w:val="center"/>
          </w:tcPr>
          <w:p w14:paraId="1456429F">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568" w:type="pct"/>
            <w:vMerge w:val="continue"/>
            <w:noWrap w:val="0"/>
            <w:vAlign w:val="center"/>
          </w:tcPr>
          <w:p w14:paraId="4B476B8D">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pPr>
          </w:p>
        </w:tc>
        <w:tc>
          <w:tcPr>
            <w:tcW w:w="762" w:type="pct"/>
            <w:noWrap w:val="0"/>
            <w:vAlign w:val="center"/>
          </w:tcPr>
          <w:p w14:paraId="576E6D3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r>
              <w:rPr>
                <w:rFonts w:hint="eastAsia" w:cs="Times New Roman"/>
                <w:bCs/>
                <w:kern w:val="0"/>
                <w:sz w:val="21"/>
                <w:szCs w:val="20"/>
                <w:lang w:eastAsia="zh-CN"/>
              </w:rPr>
              <w:t>苯乙烯</w:t>
            </w:r>
          </w:p>
        </w:tc>
        <w:tc>
          <w:tcPr>
            <w:tcW w:w="605" w:type="pct"/>
            <w:vMerge w:val="continue"/>
            <w:noWrap w:val="0"/>
            <w:vAlign w:val="center"/>
          </w:tcPr>
          <w:p w14:paraId="691DAD28">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p>
        </w:tc>
        <w:tc>
          <w:tcPr>
            <w:tcW w:w="2188" w:type="pct"/>
            <w:noWrap w:val="0"/>
            <w:vAlign w:val="center"/>
          </w:tcPr>
          <w:p w14:paraId="15EF51B1">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r>
              <w:rPr>
                <w:rFonts w:hint="default" w:ascii="Times New Roman" w:hAnsi="Times New Roman" w:cs="Times New Roman"/>
                <w:sz w:val="21"/>
                <w:szCs w:val="21"/>
                <w:highlight w:val="none"/>
                <w:u w:val="none" w:color="auto"/>
              </w:rPr>
              <w:t>《恶臭污染物排放标准》（GB 14554-93）</w:t>
            </w:r>
            <w:r>
              <w:rPr>
                <w:rFonts w:hint="eastAsia" w:cs="Times New Roman"/>
                <w:bCs/>
                <w:kern w:val="0"/>
                <w:sz w:val="21"/>
                <w:szCs w:val="21"/>
                <w:lang w:eastAsia="zh-CN"/>
              </w:rPr>
              <w:t>限值要求</w:t>
            </w:r>
          </w:p>
        </w:tc>
        <w:tc>
          <w:tcPr>
            <w:tcW w:w="441" w:type="pct"/>
            <w:noWrap w:val="0"/>
            <w:vAlign w:val="center"/>
          </w:tcPr>
          <w:p w14:paraId="1842417C">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default" w:ascii="Times New Roman" w:hAnsi="Times New Roman" w:cs="Times New Roman"/>
                <w:b w:val="0"/>
                <w:bCs w:val="0"/>
                <w:color w:val="auto"/>
                <w:sz w:val="21"/>
                <w:szCs w:val="21"/>
                <w:highlight w:val="none"/>
              </w:rPr>
            </w:pPr>
            <w:r>
              <w:rPr>
                <w:rFonts w:hint="eastAsia" w:ascii="Times New Roman" w:hAnsi="Times New Roman" w:cs="Times New Roman"/>
                <w:b w:val="0"/>
                <w:bCs w:val="0"/>
                <w:color w:val="auto"/>
                <w:sz w:val="21"/>
                <w:szCs w:val="21"/>
                <w:highlight w:val="none"/>
                <w:lang w:val="en-US" w:eastAsia="zh-CN"/>
              </w:rPr>
              <w:t>5</w:t>
            </w:r>
            <w:r>
              <w:rPr>
                <w:rFonts w:hint="default" w:ascii="Times New Roman" w:hAnsi="Times New Roman" w:cs="Times New Roman"/>
                <w:b w:val="0"/>
                <w:bCs w:val="0"/>
                <w:color w:val="auto"/>
                <w:sz w:val="21"/>
                <w:szCs w:val="21"/>
                <w:highlight w:val="none"/>
              </w:rPr>
              <w:t>.0</w:t>
            </w:r>
          </w:p>
          <w:p w14:paraId="526B7596">
            <w:pPr>
              <w:keepNext w:val="0"/>
              <w:keepLines w:val="0"/>
              <w:pageBreakBefore w:val="0"/>
              <w:widowControl w:val="0"/>
              <w:kinsoku/>
              <w:wordWrap/>
              <w:overflowPunct/>
              <w:topLinePunct w:val="0"/>
              <w:autoSpaceDE/>
              <w:autoSpaceDN/>
              <w:bidi w:val="0"/>
              <w:adjustRightInd/>
              <w:snapToGrid w:val="0"/>
              <w:spacing w:line="360" w:lineRule="exact"/>
              <w:ind w:firstLine="0" w:firstLineChars="0"/>
              <w:jc w:val="center"/>
              <w:textAlignment w:val="auto"/>
              <w:rPr>
                <w:rFonts w:hint="eastAsia" w:cs="Times New Roman"/>
                <w:bCs/>
                <w:kern w:val="0"/>
                <w:sz w:val="21"/>
                <w:szCs w:val="20"/>
                <w:lang w:eastAsia="zh-CN"/>
              </w:rPr>
            </w:pPr>
            <w:r>
              <w:rPr>
                <w:rFonts w:hint="default" w:ascii="Times New Roman" w:hAnsi="Times New Roman" w:cs="Times New Roman"/>
                <w:b w:val="0"/>
                <w:bCs w:val="0"/>
                <w:color w:val="auto"/>
                <w:sz w:val="21"/>
                <w:szCs w:val="21"/>
                <w:highlight w:val="none"/>
              </w:rPr>
              <w:t>mg/m</w:t>
            </w:r>
            <w:r>
              <w:rPr>
                <w:rFonts w:hint="default" w:ascii="Times New Roman" w:hAnsi="Times New Roman" w:cs="Times New Roman"/>
                <w:b w:val="0"/>
                <w:bCs w:val="0"/>
                <w:color w:val="auto"/>
                <w:sz w:val="21"/>
                <w:szCs w:val="21"/>
                <w:highlight w:val="none"/>
                <w:vertAlign w:val="superscript"/>
              </w:rPr>
              <w:t>3</w:t>
            </w:r>
          </w:p>
        </w:tc>
      </w:tr>
    </w:tbl>
    <w:p w14:paraId="1B0E5C6C">
      <w:pPr>
        <w:keepNext w:val="0"/>
        <w:keepLines w:val="0"/>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sz w:val="24"/>
        </w:rPr>
      </w:pPr>
      <w:r>
        <w:rPr>
          <w:rFonts w:hint="eastAsia" w:cs="Times New Roman"/>
          <w:sz w:val="24"/>
          <w:lang w:val="en-US" w:eastAsia="zh-CN"/>
        </w:rPr>
        <w:t>2、</w:t>
      </w:r>
      <w:r>
        <w:rPr>
          <w:rFonts w:hint="default" w:ascii="Times New Roman" w:hAnsi="Times New Roman" w:cs="Times New Roman"/>
          <w:sz w:val="24"/>
        </w:rPr>
        <w:t>非正常工况管控措施</w:t>
      </w:r>
    </w:p>
    <w:p w14:paraId="4CDA0ACD">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①建立企业VOCs管理台帐</w:t>
      </w:r>
    </w:p>
    <w:p w14:paraId="6DEBED58">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建立企业VOCs相关信息管理台账并按年度更新，VOCs治理设施必须按照生产厂家提供方法进行维护，填写主要信息和维护记录。相关记录保存3年以上。</w:t>
      </w:r>
    </w:p>
    <w:p w14:paraId="4D32E751">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b/>
          <w:bCs/>
          <w:sz w:val="24"/>
        </w:rPr>
      </w:pPr>
      <w:r>
        <w:rPr>
          <w:rFonts w:hint="default" w:ascii="Times New Roman" w:hAnsi="Times New Roman" w:cs="Times New Roman"/>
          <w:sz w:val="24"/>
        </w:rPr>
        <w:t>VOCs治理措施管理台帐示例见下表。</w:t>
      </w:r>
    </w:p>
    <w:p w14:paraId="2265F05A">
      <w:pPr>
        <w:pStyle w:val="39"/>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lang w:val="en-US" w:eastAsia="zh-CN"/>
        </w:rPr>
      </w:pPr>
      <w:r>
        <w:rPr>
          <w:rFonts w:hint="default" w:ascii="Times New Roman" w:hAnsi="Times New Roman" w:eastAsia="宋体" w:cs="Times New Roman"/>
          <w:b/>
          <w:bCs w:val="0"/>
          <w:lang w:val="en-US" w:eastAsia="zh-CN"/>
        </w:rPr>
        <w:t>表1</w:t>
      </w:r>
      <w:r>
        <w:rPr>
          <w:rFonts w:hint="eastAsia" w:ascii="Times New Roman" w:hAnsi="Times New Roman" w:eastAsia="宋体" w:cs="Times New Roman"/>
          <w:b/>
          <w:bCs w:val="0"/>
          <w:lang w:val="en-US" w:eastAsia="zh-CN"/>
        </w:rPr>
        <w:t>1</w:t>
      </w:r>
      <w:r>
        <w:rPr>
          <w:rFonts w:hint="default" w:ascii="Times New Roman" w:hAnsi="Times New Roman" w:eastAsia="宋体" w:cs="Times New Roman"/>
          <w:b/>
          <w:bCs w:val="0"/>
          <w:lang w:val="en-US" w:eastAsia="zh-CN"/>
        </w:rPr>
        <w:t xml:space="preserve">   VOCs治理措施管理台帐（示例）</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17"/>
        <w:gridCol w:w="1159"/>
        <w:gridCol w:w="1259"/>
        <w:gridCol w:w="1259"/>
        <w:gridCol w:w="1259"/>
        <w:gridCol w:w="1259"/>
        <w:gridCol w:w="902"/>
      </w:tblGrid>
      <w:tr w14:paraId="1BD1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trPr>
        <w:tc>
          <w:tcPr>
            <w:tcW w:w="1429" w:type="pct"/>
            <w:gridSpan w:val="2"/>
            <w:tcBorders>
              <w:tl2br w:val="nil"/>
              <w:tr2bl w:val="nil"/>
            </w:tcBorders>
            <w:noWrap w:val="0"/>
            <w:vAlign w:val="center"/>
          </w:tcPr>
          <w:p w14:paraId="2DA01BD2">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设备名称</w:t>
            </w:r>
          </w:p>
        </w:tc>
        <w:tc>
          <w:tcPr>
            <w:tcW w:w="3570" w:type="pct"/>
            <w:gridSpan w:val="5"/>
            <w:tcBorders>
              <w:tl2br w:val="nil"/>
              <w:tr2bl w:val="nil"/>
            </w:tcBorders>
            <w:noWrap w:val="0"/>
            <w:vAlign w:val="center"/>
          </w:tcPr>
          <w:p w14:paraId="47CB7BAA">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14702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trPr>
        <w:tc>
          <w:tcPr>
            <w:tcW w:w="1429" w:type="pct"/>
            <w:gridSpan w:val="2"/>
            <w:tcBorders>
              <w:tl2br w:val="nil"/>
              <w:tr2bl w:val="nil"/>
            </w:tcBorders>
            <w:noWrap w:val="0"/>
            <w:vAlign w:val="center"/>
          </w:tcPr>
          <w:p w14:paraId="6B70E7C1">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设备编号</w:t>
            </w:r>
          </w:p>
        </w:tc>
        <w:tc>
          <w:tcPr>
            <w:tcW w:w="3570" w:type="pct"/>
            <w:gridSpan w:val="5"/>
            <w:tcBorders>
              <w:tl2br w:val="nil"/>
              <w:tr2bl w:val="nil"/>
            </w:tcBorders>
            <w:noWrap w:val="0"/>
            <w:vAlign w:val="center"/>
          </w:tcPr>
          <w:p w14:paraId="308EC86D">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50522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trPr>
        <w:tc>
          <w:tcPr>
            <w:tcW w:w="1429" w:type="pct"/>
            <w:gridSpan w:val="2"/>
            <w:tcBorders>
              <w:tl2br w:val="nil"/>
              <w:tr2bl w:val="nil"/>
            </w:tcBorders>
            <w:noWrap w:val="0"/>
            <w:vAlign w:val="center"/>
          </w:tcPr>
          <w:p w14:paraId="4D4F321E">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设备型号、规格</w:t>
            </w:r>
          </w:p>
        </w:tc>
        <w:tc>
          <w:tcPr>
            <w:tcW w:w="3570" w:type="pct"/>
            <w:gridSpan w:val="5"/>
            <w:tcBorders>
              <w:tl2br w:val="nil"/>
              <w:tr2bl w:val="nil"/>
            </w:tcBorders>
            <w:noWrap w:val="0"/>
            <w:vAlign w:val="center"/>
          </w:tcPr>
          <w:p w14:paraId="4BD341F9">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694D8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trPr>
        <w:tc>
          <w:tcPr>
            <w:tcW w:w="1429" w:type="pct"/>
            <w:gridSpan w:val="2"/>
            <w:tcBorders>
              <w:tl2br w:val="nil"/>
              <w:tr2bl w:val="nil"/>
            </w:tcBorders>
            <w:noWrap w:val="0"/>
            <w:vAlign w:val="center"/>
          </w:tcPr>
          <w:p w14:paraId="0DD9FD40">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生产厂家</w:t>
            </w:r>
          </w:p>
        </w:tc>
        <w:tc>
          <w:tcPr>
            <w:tcW w:w="3570" w:type="pct"/>
            <w:gridSpan w:val="5"/>
            <w:tcBorders>
              <w:tl2br w:val="nil"/>
              <w:tr2bl w:val="nil"/>
            </w:tcBorders>
            <w:noWrap w:val="0"/>
            <w:vAlign w:val="center"/>
          </w:tcPr>
          <w:p w14:paraId="1CF8609F">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4E409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trPr>
        <w:tc>
          <w:tcPr>
            <w:tcW w:w="1429" w:type="pct"/>
            <w:gridSpan w:val="2"/>
            <w:tcBorders>
              <w:tl2br w:val="nil"/>
              <w:tr2bl w:val="nil"/>
            </w:tcBorders>
            <w:noWrap w:val="0"/>
            <w:vAlign w:val="center"/>
          </w:tcPr>
          <w:p w14:paraId="035470F2">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安装时间</w:t>
            </w:r>
          </w:p>
        </w:tc>
        <w:tc>
          <w:tcPr>
            <w:tcW w:w="3570" w:type="pct"/>
            <w:gridSpan w:val="5"/>
            <w:tcBorders>
              <w:tl2br w:val="nil"/>
              <w:tr2bl w:val="nil"/>
            </w:tcBorders>
            <w:noWrap w:val="0"/>
            <w:vAlign w:val="center"/>
          </w:tcPr>
          <w:p w14:paraId="479C9E86">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1C70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trPr>
        <w:tc>
          <w:tcPr>
            <w:tcW w:w="732" w:type="pct"/>
            <w:tcBorders>
              <w:tl2br w:val="nil"/>
              <w:tr2bl w:val="nil"/>
            </w:tcBorders>
            <w:noWrap w:val="0"/>
            <w:vAlign w:val="center"/>
          </w:tcPr>
          <w:p w14:paraId="667D086E">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日期</w:t>
            </w:r>
          </w:p>
        </w:tc>
        <w:tc>
          <w:tcPr>
            <w:tcW w:w="697" w:type="pct"/>
            <w:tcBorders>
              <w:tl2br w:val="nil"/>
              <w:tr2bl w:val="nil"/>
            </w:tcBorders>
            <w:noWrap w:val="0"/>
            <w:vAlign w:val="center"/>
          </w:tcPr>
          <w:p w14:paraId="2EAC9F57">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设施运行</w:t>
            </w:r>
          </w:p>
          <w:p w14:paraId="44F2E0F6">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情况</w:t>
            </w:r>
          </w:p>
        </w:tc>
        <w:tc>
          <w:tcPr>
            <w:tcW w:w="757" w:type="pct"/>
            <w:tcBorders>
              <w:tl2br w:val="nil"/>
              <w:tr2bl w:val="nil"/>
            </w:tcBorders>
            <w:noWrap w:val="0"/>
            <w:vAlign w:val="center"/>
          </w:tcPr>
          <w:p w14:paraId="65B0C6DD">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废气类型</w:t>
            </w:r>
          </w:p>
        </w:tc>
        <w:tc>
          <w:tcPr>
            <w:tcW w:w="757" w:type="pct"/>
            <w:tcBorders>
              <w:tl2br w:val="nil"/>
              <w:tr2bl w:val="nil"/>
            </w:tcBorders>
            <w:noWrap w:val="0"/>
            <w:vAlign w:val="center"/>
          </w:tcPr>
          <w:p w14:paraId="56A8D8B6">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废气风量</w:t>
            </w:r>
          </w:p>
        </w:tc>
        <w:tc>
          <w:tcPr>
            <w:tcW w:w="757" w:type="pct"/>
            <w:tcBorders>
              <w:tl2br w:val="nil"/>
              <w:tr2bl w:val="nil"/>
            </w:tcBorders>
            <w:noWrap w:val="0"/>
            <w:vAlign w:val="center"/>
          </w:tcPr>
          <w:p w14:paraId="133D335E">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运行时间</w:t>
            </w:r>
          </w:p>
        </w:tc>
        <w:tc>
          <w:tcPr>
            <w:tcW w:w="757" w:type="pct"/>
            <w:tcBorders>
              <w:tl2br w:val="nil"/>
              <w:tr2bl w:val="nil"/>
            </w:tcBorders>
            <w:noWrap w:val="0"/>
            <w:vAlign w:val="center"/>
          </w:tcPr>
          <w:p w14:paraId="3F886552">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其他情况</w:t>
            </w:r>
          </w:p>
        </w:tc>
        <w:tc>
          <w:tcPr>
            <w:tcW w:w="538" w:type="pct"/>
            <w:tcBorders>
              <w:tl2br w:val="nil"/>
              <w:tr2bl w:val="nil"/>
            </w:tcBorders>
            <w:noWrap w:val="0"/>
            <w:vAlign w:val="center"/>
          </w:tcPr>
          <w:p w14:paraId="37680925">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人员签字</w:t>
            </w:r>
          </w:p>
        </w:tc>
      </w:tr>
      <w:tr w14:paraId="44F88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732" w:type="pct"/>
            <w:tcBorders>
              <w:tl2br w:val="nil"/>
              <w:tr2bl w:val="nil"/>
            </w:tcBorders>
            <w:noWrap w:val="0"/>
            <w:vAlign w:val="center"/>
          </w:tcPr>
          <w:p w14:paraId="58C18967">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697" w:type="pct"/>
            <w:tcBorders>
              <w:tl2br w:val="nil"/>
              <w:tr2bl w:val="nil"/>
            </w:tcBorders>
            <w:noWrap w:val="0"/>
            <w:vAlign w:val="center"/>
          </w:tcPr>
          <w:p w14:paraId="005DA23A">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68B2B070">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001092F2">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148E0FE5">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3ACE1D3A">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538" w:type="pct"/>
            <w:tcBorders>
              <w:tl2br w:val="nil"/>
              <w:tr2bl w:val="nil"/>
            </w:tcBorders>
            <w:noWrap w:val="0"/>
            <w:vAlign w:val="center"/>
          </w:tcPr>
          <w:p w14:paraId="04745578">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4B6F6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732" w:type="pct"/>
            <w:tcBorders>
              <w:tl2br w:val="nil"/>
              <w:tr2bl w:val="nil"/>
            </w:tcBorders>
            <w:noWrap w:val="0"/>
            <w:vAlign w:val="center"/>
          </w:tcPr>
          <w:p w14:paraId="2752E4AE">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697" w:type="pct"/>
            <w:tcBorders>
              <w:tl2br w:val="nil"/>
              <w:tr2bl w:val="nil"/>
            </w:tcBorders>
            <w:noWrap w:val="0"/>
            <w:vAlign w:val="center"/>
          </w:tcPr>
          <w:p w14:paraId="227407FB">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560B66BB">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660D856B">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02634164">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42B7E7FA">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538" w:type="pct"/>
            <w:tcBorders>
              <w:tl2br w:val="nil"/>
              <w:tr2bl w:val="nil"/>
            </w:tcBorders>
            <w:noWrap w:val="0"/>
            <w:vAlign w:val="center"/>
          </w:tcPr>
          <w:p w14:paraId="7EBBAFBE">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6271E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trPr>
        <w:tc>
          <w:tcPr>
            <w:tcW w:w="732" w:type="pct"/>
            <w:tcBorders>
              <w:tl2br w:val="nil"/>
              <w:tr2bl w:val="nil"/>
            </w:tcBorders>
            <w:noWrap w:val="0"/>
            <w:vAlign w:val="center"/>
          </w:tcPr>
          <w:p w14:paraId="0B07FE59">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697" w:type="pct"/>
            <w:tcBorders>
              <w:tl2br w:val="nil"/>
              <w:tr2bl w:val="nil"/>
            </w:tcBorders>
            <w:noWrap w:val="0"/>
            <w:vAlign w:val="center"/>
          </w:tcPr>
          <w:p w14:paraId="106EB4CB">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357C5206">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3EA296E8">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04AED7D5">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57" w:type="pct"/>
            <w:tcBorders>
              <w:tl2br w:val="nil"/>
              <w:tr2bl w:val="nil"/>
            </w:tcBorders>
            <w:noWrap w:val="0"/>
            <w:vAlign w:val="center"/>
          </w:tcPr>
          <w:p w14:paraId="314DBE81">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538" w:type="pct"/>
            <w:tcBorders>
              <w:tl2br w:val="nil"/>
              <w:tr2bl w:val="nil"/>
            </w:tcBorders>
            <w:noWrap w:val="0"/>
            <w:vAlign w:val="center"/>
          </w:tcPr>
          <w:p w14:paraId="3919C2BC">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bl>
    <w:p w14:paraId="17ECB91C">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②企业VOCs排放自查方案</w:t>
      </w:r>
    </w:p>
    <w:p w14:paraId="383936F1">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应建立VOCs原料管理台账和治理设施管理台账并定期更新。其中VOCs原料管理盖章每月记录使用原辅材料的名称、厂家、型号、购入量和使用量等资料。相关记录保存3年以上。</w:t>
      </w:r>
    </w:p>
    <w:p w14:paraId="50A7A88B">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VOCs原料管理台账示例见下表。</w:t>
      </w:r>
    </w:p>
    <w:p w14:paraId="5FB1403B">
      <w:pPr>
        <w:pStyle w:val="39"/>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lang w:val="en-US" w:eastAsia="zh-CN"/>
        </w:rPr>
      </w:pPr>
      <w:r>
        <w:rPr>
          <w:rFonts w:hint="default" w:ascii="Times New Roman" w:hAnsi="Times New Roman" w:eastAsia="宋体" w:cs="Times New Roman"/>
          <w:b/>
          <w:bCs w:val="0"/>
          <w:lang w:val="en-US" w:eastAsia="zh-CN"/>
        </w:rPr>
        <w:t>表1</w:t>
      </w:r>
      <w:r>
        <w:rPr>
          <w:rFonts w:hint="eastAsia" w:ascii="Times New Roman" w:hAnsi="Times New Roman" w:eastAsia="宋体" w:cs="Times New Roman"/>
          <w:b/>
          <w:bCs w:val="0"/>
          <w:lang w:val="en-US" w:eastAsia="zh-CN"/>
        </w:rPr>
        <w:t>2</w:t>
      </w:r>
      <w:r>
        <w:rPr>
          <w:rFonts w:hint="default" w:ascii="Times New Roman" w:hAnsi="Times New Roman" w:eastAsia="宋体" w:cs="Times New Roman"/>
          <w:b/>
          <w:bCs w:val="0"/>
          <w:lang w:val="en-US" w:eastAsia="zh-CN"/>
        </w:rPr>
        <w:t xml:space="preserve">   VOCs原料管理台账（示例）</w:t>
      </w:r>
    </w:p>
    <w:tbl>
      <w:tblPr>
        <w:tblStyle w:val="15"/>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48"/>
        <w:gridCol w:w="998"/>
        <w:gridCol w:w="1388"/>
        <w:gridCol w:w="1321"/>
        <w:gridCol w:w="1321"/>
        <w:gridCol w:w="1321"/>
        <w:gridCol w:w="926"/>
      </w:tblGrid>
      <w:tr w14:paraId="596F0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trPr>
        <w:tc>
          <w:tcPr>
            <w:tcW w:w="629" w:type="pct"/>
            <w:tcBorders>
              <w:tl2br w:val="nil"/>
              <w:tr2bl w:val="nil"/>
            </w:tcBorders>
            <w:noWrap w:val="0"/>
            <w:vAlign w:val="center"/>
          </w:tcPr>
          <w:p w14:paraId="480CD87F">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日期</w:t>
            </w:r>
          </w:p>
        </w:tc>
        <w:tc>
          <w:tcPr>
            <w:tcW w:w="599" w:type="pct"/>
            <w:tcBorders>
              <w:tl2br w:val="nil"/>
              <w:tr2bl w:val="nil"/>
            </w:tcBorders>
            <w:noWrap w:val="0"/>
            <w:vAlign w:val="center"/>
          </w:tcPr>
          <w:p w14:paraId="2BAC0A87">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原辅材料名称</w:t>
            </w:r>
          </w:p>
        </w:tc>
        <w:tc>
          <w:tcPr>
            <w:tcW w:w="833" w:type="pct"/>
            <w:tcBorders>
              <w:tl2br w:val="nil"/>
              <w:tr2bl w:val="nil"/>
            </w:tcBorders>
            <w:noWrap w:val="0"/>
            <w:vAlign w:val="center"/>
          </w:tcPr>
          <w:p w14:paraId="2FE7339E">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生产厂家</w:t>
            </w:r>
          </w:p>
        </w:tc>
        <w:tc>
          <w:tcPr>
            <w:tcW w:w="793" w:type="pct"/>
            <w:tcBorders>
              <w:tl2br w:val="nil"/>
              <w:tr2bl w:val="nil"/>
            </w:tcBorders>
            <w:noWrap w:val="0"/>
            <w:vAlign w:val="center"/>
          </w:tcPr>
          <w:p w14:paraId="046E60CF">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型号</w:t>
            </w:r>
          </w:p>
        </w:tc>
        <w:tc>
          <w:tcPr>
            <w:tcW w:w="793" w:type="pct"/>
            <w:tcBorders>
              <w:tl2br w:val="nil"/>
              <w:tr2bl w:val="nil"/>
            </w:tcBorders>
            <w:noWrap w:val="0"/>
            <w:vAlign w:val="center"/>
          </w:tcPr>
          <w:p w14:paraId="1EBCBED0">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购入量</w:t>
            </w:r>
          </w:p>
        </w:tc>
        <w:tc>
          <w:tcPr>
            <w:tcW w:w="793" w:type="pct"/>
            <w:tcBorders>
              <w:tl2br w:val="nil"/>
              <w:tr2bl w:val="nil"/>
            </w:tcBorders>
            <w:noWrap w:val="0"/>
            <w:vAlign w:val="center"/>
          </w:tcPr>
          <w:p w14:paraId="46EC995D">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使用量</w:t>
            </w:r>
          </w:p>
        </w:tc>
        <w:tc>
          <w:tcPr>
            <w:tcW w:w="556" w:type="pct"/>
            <w:tcBorders>
              <w:tl2br w:val="nil"/>
              <w:tr2bl w:val="nil"/>
            </w:tcBorders>
            <w:noWrap w:val="0"/>
            <w:vAlign w:val="center"/>
          </w:tcPr>
          <w:p w14:paraId="54135328">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r>
              <w:rPr>
                <w:rFonts w:hint="default" w:ascii="Times New Roman" w:hAnsi="Times New Roman" w:eastAsia="宋体" w:cs="Times New Roman"/>
                <w:b w:val="0"/>
                <w:bCs w:val="0"/>
                <w:kern w:val="0"/>
                <w:sz w:val="21"/>
                <w:szCs w:val="18"/>
                <w:u w:val="none"/>
                <w:lang w:val="en-US" w:eastAsia="zh-CN" w:bidi="ar-SA"/>
              </w:rPr>
              <w:t>人员签字</w:t>
            </w:r>
          </w:p>
        </w:tc>
      </w:tr>
      <w:tr w14:paraId="37858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629" w:type="pct"/>
            <w:tcBorders>
              <w:tl2br w:val="nil"/>
              <w:tr2bl w:val="nil"/>
            </w:tcBorders>
            <w:noWrap w:val="0"/>
            <w:vAlign w:val="center"/>
          </w:tcPr>
          <w:p w14:paraId="489DA584">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599" w:type="pct"/>
            <w:tcBorders>
              <w:tl2br w:val="nil"/>
              <w:tr2bl w:val="nil"/>
            </w:tcBorders>
            <w:noWrap w:val="0"/>
            <w:vAlign w:val="center"/>
          </w:tcPr>
          <w:p w14:paraId="33BA3832">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833" w:type="pct"/>
            <w:tcBorders>
              <w:tl2br w:val="nil"/>
              <w:tr2bl w:val="nil"/>
            </w:tcBorders>
            <w:noWrap w:val="0"/>
            <w:vAlign w:val="center"/>
          </w:tcPr>
          <w:p w14:paraId="19A53FE3">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93" w:type="pct"/>
            <w:tcBorders>
              <w:tl2br w:val="nil"/>
              <w:tr2bl w:val="nil"/>
            </w:tcBorders>
            <w:noWrap w:val="0"/>
            <w:vAlign w:val="center"/>
          </w:tcPr>
          <w:p w14:paraId="0A56EB9D">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93" w:type="pct"/>
            <w:tcBorders>
              <w:tl2br w:val="nil"/>
              <w:tr2bl w:val="nil"/>
            </w:tcBorders>
            <w:noWrap w:val="0"/>
            <w:vAlign w:val="center"/>
          </w:tcPr>
          <w:p w14:paraId="0B9ABC19">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93" w:type="pct"/>
            <w:tcBorders>
              <w:tl2br w:val="nil"/>
              <w:tr2bl w:val="nil"/>
            </w:tcBorders>
            <w:noWrap w:val="0"/>
            <w:vAlign w:val="center"/>
          </w:tcPr>
          <w:p w14:paraId="3B7971A5">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556" w:type="pct"/>
            <w:tcBorders>
              <w:tl2br w:val="nil"/>
              <w:tr2bl w:val="nil"/>
            </w:tcBorders>
            <w:noWrap w:val="0"/>
            <w:vAlign w:val="center"/>
          </w:tcPr>
          <w:p w14:paraId="22D21CBE">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r w14:paraId="59F75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629" w:type="pct"/>
            <w:tcBorders>
              <w:tl2br w:val="nil"/>
              <w:tr2bl w:val="nil"/>
            </w:tcBorders>
            <w:noWrap w:val="0"/>
            <w:vAlign w:val="center"/>
          </w:tcPr>
          <w:p w14:paraId="18CBE601">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599" w:type="pct"/>
            <w:tcBorders>
              <w:tl2br w:val="nil"/>
              <w:tr2bl w:val="nil"/>
            </w:tcBorders>
            <w:noWrap w:val="0"/>
            <w:vAlign w:val="center"/>
          </w:tcPr>
          <w:p w14:paraId="74C40208">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833" w:type="pct"/>
            <w:tcBorders>
              <w:tl2br w:val="nil"/>
              <w:tr2bl w:val="nil"/>
            </w:tcBorders>
            <w:noWrap w:val="0"/>
            <w:vAlign w:val="center"/>
          </w:tcPr>
          <w:p w14:paraId="06F8ED65">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93" w:type="pct"/>
            <w:tcBorders>
              <w:tl2br w:val="nil"/>
              <w:tr2bl w:val="nil"/>
            </w:tcBorders>
            <w:noWrap w:val="0"/>
            <w:vAlign w:val="center"/>
          </w:tcPr>
          <w:p w14:paraId="43F4A29F">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93" w:type="pct"/>
            <w:tcBorders>
              <w:tl2br w:val="nil"/>
              <w:tr2bl w:val="nil"/>
            </w:tcBorders>
            <w:noWrap w:val="0"/>
            <w:vAlign w:val="center"/>
          </w:tcPr>
          <w:p w14:paraId="29DC317F">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793" w:type="pct"/>
            <w:tcBorders>
              <w:tl2br w:val="nil"/>
              <w:tr2bl w:val="nil"/>
            </w:tcBorders>
            <w:noWrap w:val="0"/>
            <w:vAlign w:val="center"/>
          </w:tcPr>
          <w:p w14:paraId="0B5BC97A">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c>
          <w:tcPr>
            <w:tcW w:w="556" w:type="pct"/>
            <w:tcBorders>
              <w:tl2br w:val="nil"/>
              <w:tr2bl w:val="nil"/>
            </w:tcBorders>
            <w:noWrap w:val="0"/>
            <w:vAlign w:val="center"/>
          </w:tcPr>
          <w:p w14:paraId="2FE019ED">
            <w:pPr>
              <w:pStyle w:val="24"/>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tLeast"/>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18"/>
                <w:u w:val="none"/>
                <w:lang w:val="en-US" w:eastAsia="zh-CN" w:bidi="ar-SA"/>
              </w:rPr>
            </w:pPr>
          </w:p>
        </w:tc>
      </w:tr>
    </w:tbl>
    <w:p w14:paraId="30E7061C">
      <w:pPr>
        <w:pStyle w:val="2"/>
        <w:keepLines w:val="0"/>
        <w:pageBreakBefore w:val="0"/>
        <w:widowControl w:val="0"/>
        <w:tabs>
          <w:tab w:val="left" w:pos="540"/>
        </w:tabs>
        <w:kinsoku/>
        <w:wordWrap/>
        <w:overflowPunct/>
        <w:topLinePunct w:val="0"/>
        <w:autoSpaceDE/>
        <w:autoSpaceDN/>
        <w:bidi w:val="0"/>
        <w:adjustRightInd/>
        <w:snapToGrid/>
        <w:spacing w:line="520" w:lineRule="exact"/>
        <w:textAlignment w:val="auto"/>
        <w:rPr>
          <w:rFonts w:hint="default" w:ascii="Times New Roman" w:hAnsi="Times New Roman" w:cs="Times New Roman"/>
        </w:rPr>
      </w:pPr>
      <w:r>
        <w:rPr>
          <w:rFonts w:hint="default" w:ascii="Times New Roman" w:hAnsi="Times New Roman" w:cs="Times New Roman"/>
        </w:rPr>
        <w:t>六、结论</w:t>
      </w:r>
    </w:p>
    <w:p w14:paraId="5E50457D">
      <w:pPr>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综上，项目要严格按照《重点行业挥发性有机物综合治理方案》</w:t>
      </w:r>
      <w:r>
        <w:rPr>
          <w:rFonts w:hint="default" w:ascii="Times New Roman" w:hAnsi="Times New Roman" w:cs="Times New Roman"/>
          <w:sz w:val="24"/>
          <w:lang w:eastAsia="zh-CN"/>
        </w:rPr>
        <w:t>、</w:t>
      </w:r>
      <w:r>
        <w:rPr>
          <w:rFonts w:hint="default" w:ascii="Times New Roman" w:hAnsi="Times New Roman" w:cs="Times New Roman"/>
          <w:sz w:val="24"/>
        </w:rPr>
        <w:t>《2020年挥发性有机物治理攻坚方案》的通知（环大气[2020]33号）和《挥发性有机物无组织排放控制标准》（GB37822-2019）的相关规定进行建设、运营和管理，严格落实评价要求和工程设计的防治措施进行建设，确保挥发性有机物长期稳定达标排放。</w:t>
      </w:r>
    </w:p>
    <w:p w14:paraId="2B4371DB">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rPr>
          <w:rFonts w:hint="default"/>
          <w:lang w:eastAsia="zh-CN"/>
        </w:rPr>
      </w:pPr>
    </w:p>
    <w:sectPr>
      <w:pgSz w:w="11906" w:h="16838"/>
      <w:pgMar w:top="1440" w:right="1800" w:bottom="1440" w:left="1800" w:header="737" w:footer="851" w:gutter="0"/>
      <w:pgBorders>
        <w:top w:val="none" w:sz="0" w:space="0"/>
        <w:left w:val="none" w:sz="0" w:space="0"/>
        <w:bottom w:val="none" w:sz="0" w:space="0"/>
        <w:right w:val="none" w:sz="0" w:space="0"/>
      </w:pgBorders>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auto"/>
    <w:pitch w:val="default"/>
    <w:sig w:usb0="E00002FF" w:usb1="420024FF" w:usb2="00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49384">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9A44F">
    <w:pPr>
      <w:pStyle w:val="9"/>
      <w:tabs>
        <w:tab w:val="left" w:pos="5152"/>
        <w:tab w:val="clear" w:pos="4153"/>
        <w:tab w:val="clear" w:pos="8306"/>
      </w:tabs>
      <w:ind w:right="360" w:firstLine="0" w:firstLineChars="0"/>
      <w:rPr>
        <w:rFonts w:hint="eastAsia"/>
      </w:rPr>
    </w:pPr>
    <w:r>
      <mc:AlternateContent>
        <mc:Choice Requires="wps">
          <w:drawing>
            <wp:anchor distT="0" distB="0" distL="114300" distR="114300" simplePos="0" relativeHeight="251659264" behindDoc="0" locked="0" layoutInCell="1" allowOverlap="1">
              <wp:simplePos x="0" y="0"/>
              <wp:positionH relativeFrom="margin">
                <wp:posOffset>2677795</wp:posOffset>
              </wp:positionH>
              <wp:positionV relativeFrom="paragraph">
                <wp:posOffset>73025</wp:posOffset>
              </wp:positionV>
              <wp:extent cx="260350" cy="1524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260350" cy="152400"/>
                      </a:xfrm>
                      <a:prstGeom prst="rect">
                        <a:avLst/>
                      </a:prstGeom>
                      <a:noFill/>
                      <a:ln>
                        <a:noFill/>
                      </a:ln>
                    </wps:spPr>
                    <wps:txbx>
                      <w:txbxContent>
                        <w:p w14:paraId="3A7C49BA">
                          <w:pPr>
                            <w:pStyle w:val="9"/>
                            <w:spacing w:line="240" w:lineRule="atLeast"/>
                            <w:ind w:firstLine="0" w:firstLineChars="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- 100 -</w:t>
                          </w:r>
                          <w:r>
                            <w:rPr>
                              <w:rFonts w:hint="eastAsia"/>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left:210.85pt;margin-top:5.75pt;height:12pt;width:20.5pt;mso-position-horizontal-relative:margin;z-index:251659264;mso-width-relative:page;mso-height-relative:page;" filled="f" stroked="f" coordsize="21600,21600" o:gfxdata="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ioKpTVAAAACQEAAA8AAAAAAAAAAQAgAAAAIgAAAGRycy9kb3ducmV2&#10;LnhtbFBLAQIUABQAAAAIAIdO4kCrXkT9xgEAAI0DAAAOAAAAAAAAAAEAIAAAACQBAABkcnMvZTJv&#10;RG9jLnhtbFBLBQYAAAAABgAGAFkBAABcBQAAAAA=&#10;">
              <v:fill on="f" focussize="0,0"/>
              <v:stroke on="f"/>
              <v:imagedata o:title=""/>
              <o:lock v:ext="edit" aspectratio="f"/>
              <v:textbox inset="0mm,0mm,0mm,0mm" style="mso-fit-shape-to-text:t;">
                <w:txbxContent>
                  <w:p w14:paraId="3A7C49BA">
                    <w:pPr>
                      <w:pStyle w:val="9"/>
                      <w:spacing w:line="240" w:lineRule="atLeast"/>
                      <w:ind w:firstLine="0" w:firstLineChars="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- 100 -</w:t>
                    </w:r>
                    <w:r>
                      <w:rPr>
                        <w:rFonts w:hint="eastAsia"/>
                      </w:rPr>
                      <w:fldChar w:fldCharType="end"/>
                    </w:r>
                  </w:p>
                </w:txbxContent>
              </v:textbox>
            </v:shape>
          </w:pict>
        </mc:Fallback>
      </mc:AlternateConten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ABE8E">
    <w:pPr>
      <w:pStyle w:val="9"/>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799701">
                          <w:pPr>
                            <w:pStyle w:val="9"/>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104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VVNdcoBAACbAwAADgAAAAAAAAABACAAAAAeAQAAZHJzL2Uyb0Rv&#10;Yy54bWxQSwUGAAAAAAYABgBZAQAAWgUAAAAA&#10;">
              <v:fill on="f" focussize="0,0"/>
              <v:stroke on="f"/>
              <v:imagedata o:title=""/>
              <o:lock v:ext="edit" aspectratio="f"/>
              <v:textbox inset="0mm,0mm,0mm,0mm" style="mso-fit-shape-to-text:t;">
                <w:txbxContent>
                  <w:p w14:paraId="12799701">
                    <w:pPr>
                      <w:pStyle w:val="9"/>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104</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46197">
    <w:pPr>
      <w:pStyle w:val="9"/>
    </w:pPr>
    <w: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C95678B">
                          <w:pPr>
                            <w:pStyle w:val="9"/>
                            <w:rPr>
                              <w:rFonts w:hint="eastAsia"/>
                              <w:sz w:val="24"/>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14</w:t>
                          </w:r>
                          <w:r>
                            <w:rPr>
                              <w:rFonts w:hint="eastAsia"/>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NPPqHM0BAACnAwAADgAAAAAAAAABACAAAAAeAQAAZHJzL2Uy&#10;b0RvYy54bWxQSwUGAAAAAAYABgBZAQAAXQUAAAAA&#10;">
              <v:fill on="f" focussize="0,0"/>
              <v:stroke on="f"/>
              <v:imagedata o:title=""/>
              <o:lock v:ext="edit" aspectratio="f"/>
              <v:textbox inset="0mm,0mm,0mm,0mm" style="mso-fit-shape-to-text:t;">
                <w:txbxContent>
                  <w:p w14:paraId="6C95678B">
                    <w:pPr>
                      <w:pStyle w:val="9"/>
                      <w:rPr>
                        <w:rFonts w:hint="eastAsia"/>
                        <w:sz w:val="24"/>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14</w:t>
                    </w:r>
                    <w:r>
                      <w:rPr>
                        <w:rFonts w:hint="eastAsia"/>
                        <w:sz w:val="21"/>
                        <w:szCs w:val="21"/>
                      </w:rPr>
                      <w:fldChar w:fldCharType="end"/>
                    </w:r>
                  </w:p>
                </w:txbxContent>
              </v:textbox>
            </v:shape>
          </w:pict>
        </mc:Fallback>
      </mc:AlternateContent>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50E2A">
    <w:pPr>
      <w:pStyle w:val="10"/>
      <w:widowControl w:val="0"/>
      <w:pBdr>
        <w:top w:val="none" w:color="auto" w:sz="0" w:space="1"/>
        <w:left w:val="none" w:color="auto" w:sz="0" w:space="4"/>
        <w:bottom w:val="none" w:color="auto" w:sz="0" w:space="1"/>
        <w:right w:val="none" w:color="auto" w:sz="0" w:space="4"/>
        <w:between w:val="none" w:color="auto" w:sz="0" w:space="0"/>
      </w:pBdr>
      <w:snapToGrid w:val="0"/>
      <w:spacing w:line="360" w:lineRule="auto"/>
      <w:ind w:firstLine="360" w:firstLineChars="20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685276"/>
    <w:multiLevelType w:val="singleLevel"/>
    <w:tmpl w:val="8B685276"/>
    <w:lvl w:ilvl="0" w:tentative="0">
      <w:start w:val="1"/>
      <w:numFmt w:val="decimal"/>
      <w:suff w:val="nothing"/>
      <w:lvlText w:val="%1、"/>
      <w:lvlJc w:val="left"/>
    </w:lvl>
  </w:abstractNum>
  <w:abstractNum w:abstractNumId="1">
    <w:nsid w:val="A139FE56"/>
    <w:multiLevelType w:val="singleLevel"/>
    <w:tmpl w:val="A139FE56"/>
    <w:lvl w:ilvl="0" w:tentative="0">
      <w:start w:val="1"/>
      <w:numFmt w:val="decimal"/>
      <w:suff w:val="nothing"/>
      <w:lvlText w:val="%1、"/>
      <w:lvlJc w:val="left"/>
    </w:lvl>
  </w:abstractNum>
  <w:abstractNum w:abstractNumId="2">
    <w:nsid w:val="AFCE7A0B"/>
    <w:multiLevelType w:val="singleLevel"/>
    <w:tmpl w:val="AFCE7A0B"/>
    <w:lvl w:ilvl="0" w:tentative="0">
      <w:start w:val="1"/>
      <w:numFmt w:val="decimal"/>
      <w:suff w:val="nothing"/>
      <w:lvlText w:val="%1、"/>
      <w:lvlJc w:val="left"/>
    </w:lvl>
  </w:abstractNum>
  <w:abstractNum w:abstractNumId="3">
    <w:nsid w:val="F336FA3D"/>
    <w:multiLevelType w:val="singleLevel"/>
    <w:tmpl w:val="F336FA3D"/>
    <w:lvl w:ilvl="0" w:tentative="0">
      <w:start w:val="1"/>
      <w:numFmt w:val="decimal"/>
      <w:lvlText w:val="%1."/>
      <w:lvlJc w:val="left"/>
      <w:pPr>
        <w:tabs>
          <w:tab w:val="left" w:pos="312"/>
        </w:tabs>
      </w:pPr>
    </w:lvl>
  </w:abstractNum>
  <w:abstractNum w:abstractNumId="4">
    <w:nsid w:val="F669BC4E"/>
    <w:multiLevelType w:val="singleLevel"/>
    <w:tmpl w:val="F669BC4E"/>
    <w:lvl w:ilvl="0" w:tentative="0">
      <w:start w:val="1"/>
      <w:numFmt w:val="decimal"/>
      <w:suff w:val="nothing"/>
      <w:lvlText w:val="（%1）"/>
      <w:lvlJc w:val="left"/>
    </w:lvl>
  </w:abstractNum>
  <w:abstractNum w:abstractNumId="5">
    <w:nsid w:val="5448DB35"/>
    <w:multiLevelType w:val="singleLevel"/>
    <w:tmpl w:val="5448DB35"/>
    <w:lvl w:ilvl="0" w:tentative="0">
      <w:start w:val="5"/>
      <w:numFmt w:val="chineseCounting"/>
      <w:suff w:val="nothing"/>
      <w:lvlText w:val="%1、"/>
      <w:lvlJc w:val="left"/>
      <w:rPr>
        <w:rFonts w:hint="eastAsia"/>
      </w:rPr>
    </w:lvl>
  </w:abstractNum>
  <w:abstractNum w:abstractNumId="6">
    <w:nsid w:val="58F70962"/>
    <w:multiLevelType w:val="singleLevel"/>
    <w:tmpl w:val="58F70962"/>
    <w:lvl w:ilvl="0" w:tentative="0">
      <w:start w:val="1"/>
      <w:numFmt w:val="decimal"/>
      <w:suff w:val="nothing"/>
      <w:lvlText w:val="%1、"/>
      <w:lvlJc w:val="left"/>
    </w:lvl>
  </w:abstractNum>
  <w:abstractNum w:abstractNumId="7">
    <w:nsid w:val="5C3C6C3C"/>
    <w:multiLevelType w:val="singleLevel"/>
    <w:tmpl w:val="5C3C6C3C"/>
    <w:lvl w:ilvl="0" w:tentative="0">
      <w:start w:val="1"/>
      <w:numFmt w:val="decimal"/>
      <w:suff w:val="nothing"/>
      <w:lvlText w:val="%1、"/>
      <w:lvlJc w:val="left"/>
    </w:lvl>
  </w:abstractNum>
  <w:abstractNum w:abstractNumId="8">
    <w:nsid w:val="6F96410C"/>
    <w:multiLevelType w:val="singleLevel"/>
    <w:tmpl w:val="6F96410C"/>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 w:numId="5">
    <w:abstractNumId w:val="7"/>
  </w:num>
  <w:num w:numId="6">
    <w:abstractNumId w:val="8"/>
  </w:num>
  <w:num w:numId="7">
    <w:abstractNumId w:val="4"/>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827AD2"/>
    <w:rsid w:val="040E27E3"/>
    <w:rsid w:val="04776F2E"/>
    <w:rsid w:val="12614427"/>
    <w:rsid w:val="13B06773"/>
    <w:rsid w:val="143B50A9"/>
    <w:rsid w:val="14AC169E"/>
    <w:rsid w:val="1F9D3194"/>
    <w:rsid w:val="206512A8"/>
    <w:rsid w:val="29827AD2"/>
    <w:rsid w:val="2BB90D02"/>
    <w:rsid w:val="2D3219AD"/>
    <w:rsid w:val="343823E3"/>
    <w:rsid w:val="36D40B00"/>
    <w:rsid w:val="38D77FCD"/>
    <w:rsid w:val="433F5B60"/>
    <w:rsid w:val="46226482"/>
    <w:rsid w:val="4BAC7F79"/>
    <w:rsid w:val="4CD60265"/>
    <w:rsid w:val="4F493C9D"/>
    <w:rsid w:val="51922F18"/>
    <w:rsid w:val="519C192D"/>
    <w:rsid w:val="5CD33904"/>
    <w:rsid w:val="687309C0"/>
    <w:rsid w:val="6CEB66C0"/>
    <w:rsid w:val="707C69F7"/>
    <w:rsid w:val="71FC5976"/>
    <w:rsid w:val="74D73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ind w:firstLine="72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99"/>
    <w:pPr>
      <w:keepNext/>
      <w:overflowPunct w:val="0"/>
      <w:snapToGrid w:val="0"/>
      <w:spacing w:line="520" w:lineRule="atLeast"/>
      <w:ind w:left="0" w:hanging="432"/>
      <w:outlineLvl w:val="0"/>
    </w:pPr>
    <w:rPr>
      <w:rFonts w:ascii="Times New Roman" w:hAnsi="Times New Roman" w:eastAsia="黑体"/>
      <w:bCs/>
      <w:color w:val="000000"/>
      <w:kern w:val="44"/>
      <w:szCs w:val="30"/>
    </w:rPr>
  </w:style>
  <w:style w:type="paragraph" w:styleId="3">
    <w:name w:val="heading 2"/>
    <w:basedOn w:val="1"/>
    <w:next w:val="1"/>
    <w:qFormat/>
    <w:uiPriority w:val="0"/>
    <w:pPr>
      <w:keepNext/>
      <w:keepLines/>
      <w:spacing w:line="520" w:lineRule="atLeast"/>
      <w:ind w:firstLine="0" w:firstLineChars="0"/>
      <w:outlineLvl w:val="1"/>
    </w:pPr>
    <w:rPr>
      <w:b/>
    </w:rPr>
  </w:style>
  <w:style w:type="paragraph" w:styleId="4">
    <w:name w:val="heading 3"/>
    <w:basedOn w:val="1"/>
    <w:next w:val="1"/>
    <w:unhideWhenUsed/>
    <w:qFormat/>
    <w:uiPriority w:val="9"/>
    <w:pPr>
      <w:keepNext/>
      <w:keepLines/>
      <w:spacing w:line="520" w:lineRule="exact"/>
      <w:ind w:firstLine="723" w:firstLineChars="200"/>
      <w:jc w:val="left"/>
      <w:outlineLvl w:val="2"/>
    </w:pPr>
    <w:rPr>
      <w:b/>
      <w:bCs/>
      <w:sz w:val="28"/>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spacing w:line="240" w:lineRule="auto"/>
      <w:ind w:firstLine="0" w:firstLineChars="0"/>
    </w:pPr>
    <w:rPr>
      <w:rFonts w:ascii="Times New Roman" w:hAnsi="Times New Roman"/>
    </w:rPr>
  </w:style>
  <w:style w:type="paragraph" w:styleId="6">
    <w:name w:val="annotation text"/>
    <w:basedOn w:val="1"/>
    <w:qFormat/>
    <w:uiPriority w:val="0"/>
    <w:pPr>
      <w:jc w:val="left"/>
    </w:pPr>
    <w:rPr>
      <w:kern w:val="0"/>
      <w:sz w:val="24"/>
      <w:szCs w:val="20"/>
    </w:rPr>
  </w:style>
  <w:style w:type="paragraph" w:styleId="7">
    <w:name w:val="Body Text"/>
    <w:basedOn w:val="1"/>
    <w:qFormat/>
    <w:uiPriority w:val="0"/>
    <w:pPr>
      <w:widowControl/>
      <w:snapToGrid w:val="0"/>
      <w:spacing w:before="60" w:after="160" w:line="259" w:lineRule="auto"/>
      <w:ind w:right="113"/>
    </w:pPr>
    <w:rPr>
      <w:kern w:val="0"/>
      <w:sz w:val="18"/>
      <w:szCs w:val="20"/>
    </w:rPr>
  </w:style>
  <w:style w:type="paragraph" w:styleId="8">
    <w:name w:val="Body Text Indent"/>
    <w:basedOn w:val="1"/>
    <w:qFormat/>
    <w:uiPriority w:val="0"/>
    <w:pPr>
      <w:spacing w:after="120"/>
      <w:ind w:left="420" w:leftChars="200"/>
    </w:pPr>
    <w:rPr>
      <w:kern w:val="0"/>
      <w:sz w:val="24"/>
      <w:szCs w:val="20"/>
    </w:rPr>
  </w:style>
  <w:style w:type="paragraph" w:styleId="9">
    <w:name w:val="footer"/>
    <w:basedOn w:val="1"/>
    <w:qFormat/>
    <w:uiPriority w:val="99"/>
    <w:pPr>
      <w:tabs>
        <w:tab w:val="center" w:pos="4153"/>
        <w:tab w:val="right" w:pos="8306"/>
      </w:tabs>
      <w:snapToGrid w:val="0"/>
      <w:jc w:val="left"/>
    </w:pPr>
    <w:rPr>
      <w:kern w:val="0"/>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kern w:val="0"/>
      <w:sz w:val="18"/>
      <w:szCs w:val="20"/>
    </w:rPr>
  </w:style>
  <w:style w:type="paragraph" w:styleId="11">
    <w:name w:val="Subtitle"/>
    <w:basedOn w:val="1"/>
    <w:next w:val="1"/>
    <w:qFormat/>
    <w:uiPriority w:val="0"/>
    <w:pPr>
      <w:spacing w:line="240" w:lineRule="atLeast"/>
      <w:ind w:firstLine="0" w:firstLineChars="0"/>
      <w:jc w:val="center"/>
      <w:outlineLvl w:val="1"/>
    </w:pPr>
    <w:rPr>
      <w:rFonts w:cs="Times New Roman"/>
      <w:bCs/>
      <w:kern w:val="28"/>
      <w:sz w:val="21"/>
      <w:szCs w:val="32"/>
    </w:rPr>
  </w:style>
  <w:style w:type="paragraph" w:styleId="12">
    <w:name w:val="Normal (Web)"/>
    <w:basedOn w:val="1"/>
    <w:qFormat/>
    <w:uiPriority w:val="99"/>
    <w:pPr>
      <w:widowControl/>
      <w:spacing w:before="100" w:beforeAutospacing="1" w:after="100" w:afterAutospacing="1"/>
      <w:jc w:val="left"/>
    </w:pPr>
    <w:rPr>
      <w:rFonts w:ascii="宋体" w:hAnsi="宋体"/>
      <w:kern w:val="0"/>
      <w:sz w:val="24"/>
      <w:szCs w:val="20"/>
    </w:rPr>
  </w:style>
  <w:style w:type="paragraph" w:styleId="13">
    <w:name w:val="Body Text First Indent"/>
    <w:basedOn w:val="7"/>
    <w:next w:val="1"/>
    <w:qFormat/>
    <w:uiPriority w:val="0"/>
    <w:pPr>
      <w:spacing w:after="120" w:line="240" w:lineRule="auto"/>
      <w:ind w:firstLine="420" w:firstLineChars="100"/>
    </w:pPr>
    <w:rPr>
      <w:sz w:val="21"/>
    </w:rPr>
  </w:style>
  <w:style w:type="paragraph" w:styleId="14">
    <w:name w:val="Body Text First Indent 2"/>
    <w:basedOn w:val="8"/>
    <w:next w:val="1"/>
    <w:qFormat/>
    <w:uiPriority w:val="0"/>
    <w:pPr>
      <w:spacing w:after="120"/>
      <w:ind w:left="420" w:leftChars="200"/>
    </w:pPr>
  </w:style>
  <w:style w:type="table" w:styleId="16">
    <w:name w:val="Table Grid"/>
    <w:basedOn w:val="1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paragraph" w:customStyle="1" w:styleId="19">
    <w:name w:val="环评正文C"/>
    <w:basedOn w:val="1"/>
    <w:qFormat/>
    <w:uiPriority w:val="0"/>
    <w:pPr>
      <w:tabs>
        <w:tab w:val="left" w:pos="4540"/>
      </w:tabs>
      <w:spacing w:line="520" w:lineRule="exact"/>
      <w:ind w:firstLine="200" w:firstLineChars="200"/>
    </w:pPr>
    <w:rPr>
      <w:sz w:val="24"/>
    </w:rPr>
  </w:style>
  <w:style w:type="paragraph" w:customStyle="1" w:styleId="20">
    <w:name w:val="表格标题C"/>
    <w:basedOn w:val="1"/>
    <w:qFormat/>
    <w:uiPriority w:val="0"/>
    <w:pPr>
      <w:widowControl/>
      <w:adjustRightInd w:val="0"/>
      <w:snapToGrid w:val="0"/>
      <w:spacing w:line="560" w:lineRule="exact"/>
      <w:ind w:firstLine="200" w:firstLineChars="200"/>
      <w:jc w:val="center"/>
    </w:pPr>
    <w:rPr>
      <w:b/>
      <w:kern w:val="0"/>
      <w:sz w:val="24"/>
      <w:szCs w:val="21"/>
    </w:rPr>
  </w:style>
  <w:style w:type="paragraph" w:customStyle="1" w:styleId="21">
    <w:name w:val="表格内容"/>
    <w:basedOn w:val="22"/>
    <w:qFormat/>
    <w:uiPriority w:val="0"/>
    <w:pPr>
      <w:spacing w:line="360" w:lineRule="atLeast"/>
      <w:ind w:firstLine="0" w:firstLineChars="0"/>
      <w:jc w:val="center"/>
    </w:pPr>
    <w:rPr>
      <w:bCs/>
      <w:kern w:val="0"/>
      <w:sz w:val="21"/>
      <w:szCs w:val="20"/>
    </w:rPr>
  </w:style>
  <w:style w:type="paragraph" w:customStyle="1" w:styleId="22">
    <w:name w:val="表格文字"/>
    <w:basedOn w:val="23"/>
    <w:next w:val="1"/>
    <w:qFormat/>
    <w:uiPriority w:val="0"/>
    <w:pPr>
      <w:spacing w:line="360" w:lineRule="exact"/>
      <w:jc w:val="center"/>
    </w:pPr>
    <w:rPr>
      <w:szCs w:val="21"/>
    </w:rPr>
  </w:style>
  <w:style w:type="paragraph" w:customStyle="1" w:styleId="23">
    <w:name w:val="正文东铝"/>
    <w:basedOn w:val="1"/>
    <w:qFormat/>
    <w:uiPriority w:val="0"/>
    <w:pPr>
      <w:spacing w:line="520" w:lineRule="exact"/>
      <w:jc w:val="left"/>
    </w:pPr>
    <w:rPr>
      <w:color w:val="000000"/>
      <w:szCs w:val="22"/>
    </w:rPr>
  </w:style>
  <w:style w:type="paragraph" w:customStyle="1" w:styleId="24">
    <w:name w:val="表格  内容"/>
    <w:basedOn w:val="21"/>
    <w:qFormat/>
    <w:uiPriority w:val="0"/>
    <w:rPr>
      <w:rFonts w:ascii="宋体" w:hAnsi="宋体"/>
      <w:szCs w:val="18"/>
    </w:rPr>
  </w:style>
  <w:style w:type="paragraph" w:customStyle="1" w:styleId="25">
    <w:name w:val="表格文字C"/>
    <w:basedOn w:val="5"/>
    <w:next w:val="1"/>
    <w:qFormat/>
    <w:uiPriority w:val="0"/>
    <w:pPr>
      <w:adjustRightInd w:val="0"/>
      <w:snapToGrid w:val="0"/>
      <w:spacing w:line="240" w:lineRule="auto"/>
      <w:ind w:firstLine="0"/>
      <w:jc w:val="center"/>
    </w:pPr>
    <w:rPr>
      <w:rFonts w:ascii="Times New Roman"/>
      <w:snapToGrid w:val="0"/>
      <w:kern w:val="0"/>
      <w:szCs w:val="21"/>
    </w:rPr>
  </w:style>
  <w:style w:type="paragraph" w:customStyle="1" w:styleId="26">
    <w:name w:val="报告表内容"/>
    <w:basedOn w:val="1"/>
    <w:qFormat/>
    <w:uiPriority w:val="0"/>
    <w:pPr>
      <w:spacing w:line="520" w:lineRule="atLeast"/>
      <w:ind w:firstLine="200"/>
    </w:pPr>
  </w:style>
  <w:style w:type="character" w:customStyle="1" w:styleId="27">
    <w:name w:val="fontstyle01"/>
    <w:qFormat/>
    <w:uiPriority w:val="0"/>
    <w:rPr>
      <w:rFonts w:ascii="宋体" w:hAnsi="宋体" w:eastAsia="宋体" w:cs="宋体"/>
      <w:color w:val="000000"/>
      <w:sz w:val="24"/>
      <w:szCs w:val="24"/>
    </w:rPr>
  </w:style>
  <w:style w:type="paragraph" w:customStyle="1" w:styleId="28">
    <w:name w:val="表格标题"/>
    <w:basedOn w:val="1"/>
    <w:next w:val="1"/>
    <w:qFormat/>
    <w:uiPriority w:val="0"/>
    <w:pPr>
      <w:spacing w:line="520" w:lineRule="atLeast"/>
      <w:ind w:firstLine="0" w:firstLineChars="0"/>
      <w:jc w:val="center"/>
    </w:pPr>
    <w:rPr>
      <w:b/>
      <w:bCs/>
      <w:szCs w:val="22"/>
    </w:rPr>
  </w:style>
  <w:style w:type="paragraph" w:customStyle="1" w:styleId="29">
    <w:name w:val="表格的内容"/>
    <w:basedOn w:val="1"/>
    <w:qFormat/>
    <w:uiPriority w:val="0"/>
    <w:pPr>
      <w:adjustRightInd w:val="0"/>
      <w:snapToGrid w:val="0"/>
      <w:spacing w:line="360" w:lineRule="exact"/>
      <w:ind w:firstLine="0" w:firstLineChars="0"/>
      <w:jc w:val="center"/>
    </w:pPr>
    <w:rPr>
      <w:rFonts w:cs="宋体"/>
      <w:bCs/>
      <w:sz w:val="21"/>
      <w:szCs w:val="21"/>
    </w:rPr>
  </w:style>
  <w:style w:type="paragraph" w:customStyle="1" w:styleId="30">
    <w:name w:val="表头"/>
    <w:basedOn w:val="31"/>
    <w:next w:val="1"/>
    <w:qFormat/>
    <w:uiPriority w:val="0"/>
    <w:pPr>
      <w:widowControl w:val="0"/>
      <w:spacing w:line="520" w:lineRule="exact"/>
      <w:jc w:val="center"/>
    </w:pPr>
    <w:rPr>
      <w:rFonts w:eastAsia="黑体"/>
      <w:kern w:val="2"/>
      <w:sz w:val="24"/>
      <w:szCs w:val="22"/>
      <w:lang w:val="en-US" w:eastAsia="zh-CN" w:bidi="ar-SA"/>
    </w:rPr>
  </w:style>
  <w:style w:type="paragraph" w:customStyle="1" w:styleId="31">
    <w:name w:val="正文1"/>
    <w:basedOn w:val="1"/>
    <w:qFormat/>
    <w:uiPriority w:val="0"/>
    <w:pPr>
      <w:spacing w:before="156" w:beforeLines="50"/>
    </w:pPr>
  </w:style>
  <w:style w:type="paragraph" w:customStyle="1" w:styleId="32">
    <w:name w:val="表格"/>
    <w:basedOn w:val="33"/>
    <w:next w:val="1"/>
    <w:qFormat/>
    <w:uiPriority w:val="0"/>
    <w:pPr>
      <w:adjustRightInd w:val="0"/>
      <w:snapToGrid w:val="0"/>
      <w:spacing w:line="240" w:lineRule="auto"/>
      <w:ind w:firstLine="0" w:firstLineChars="0"/>
      <w:jc w:val="center"/>
    </w:pPr>
    <w:rPr>
      <w:rFonts w:ascii="Times New Roman" w:hAnsi="Times New Roman"/>
      <w:kern w:val="0"/>
      <w:sz w:val="21"/>
      <w:szCs w:val="20"/>
    </w:rPr>
  </w:style>
  <w:style w:type="paragraph" w:customStyle="1" w:styleId="33">
    <w:name w:val="表格-龙飞"/>
    <w:basedOn w:val="1"/>
    <w:qFormat/>
    <w:uiPriority w:val="0"/>
    <w:pPr>
      <w:jc w:val="center"/>
    </w:pPr>
    <w:rPr>
      <w:snapToGrid/>
      <w:color w:val="000000"/>
      <w:sz w:val="21"/>
      <w:szCs w:val="22"/>
    </w:rPr>
  </w:style>
  <w:style w:type="paragraph" w:customStyle="1" w:styleId="34">
    <w:name w:val="表中文字1"/>
    <w:qFormat/>
    <w:uiPriority w:val="0"/>
    <w:pPr>
      <w:widowControl w:val="0"/>
      <w:adjustRightInd w:val="0"/>
      <w:snapToGrid w:val="0"/>
      <w:jc w:val="center"/>
    </w:pPr>
    <w:rPr>
      <w:rFonts w:ascii="Times New Roman" w:hAnsi="Times New Roman" w:eastAsia="宋体" w:cs="Times New Roman"/>
      <w:color w:val="000000"/>
      <w:kern w:val="2"/>
      <w:sz w:val="21"/>
      <w:szCs w:val="24"/>
      <w:lang w:val="en-US" w:eastAsia="zh-CN" w:bidi="ar-SA"/>
    </w:rPr>
  </w:style>
  <w:style w:type="paragraph" w:customStyle="1" w:styleId="35">
    <w:name w:val="环评正文"/>
    <w:basedOn w:val="1"/>
    <w:qFormat/>
    <w:uiPriority w:val="0"/>
    <w:pPr>
      <w:tabs>
        <w:tab w:val="left" w:pos="4540"/>
      </w:tabs>
      <w:spacing w:line="520" w:lineRule="exact"/>
      <w:ind w:firstLine="200" w:firstLineChars="200"/>
    </w:pPr>
    <w:rPr>
      <w:rFonts w:ascii="Times New Roman" w:hAnsi="Times New Roman" w:eastAsia="宋体" w:cs="Times New Roman"/>
      <w:sz w:val="24"/>
      <w:szCs w:val="22"/>
    </w:rPr>
  </w:style>
  <w:style w:type="paragraph" w:customStyle="1" w:styleId="36">
    <w:name w:val="环评表格"/>
    <w:basedOn w:val="1"/>
    <w:qFormat/>
    <w:uiPriority w:val="0"/>
    <w:pPr>
      <w:autoSpaceDE w:val="0"/>
      <w:autoSpaceDN w:val="0"/>
      <w:adjustRightInd w:val="0"/>
      <w:snapToGrid w:val="0"/>
      <w:spacing w:line="360" w:lineRule="exact"/>
      <w:jc w:val="center"/>
    </w:pPr>
    <w:rPr>
      <w:rFonts w:hint="eastAsia"/>
      <w:kern w:val="0"/>
      <w:szCs w:val="28"/>
    </w:rPr>
  </w:style>
  <w:style w:type="paragraph" w:customStyle="1" w:styleId="37">
    <w:name w:val="Table Paragraph"/>
    <w:basedOn w:val="1"/>
    <w:qFormat/>
    <w:uiPriority w:val="0"/>
    <w:rPr>
      <w:rFonts w:ascii="宋体" w:hAnsi="宋体" w:eastAsia="宋体" w:cs="宋体"/>
      <w:lang w:val="zh-CN" w:eastAsia="zh-CN" w:bidi="zh-CN"/>
    </w:rPr>
  </w:style>
  <w:style w:type="paragraph" w:customStyle="1" w:styleId="38">
    <w:name w:val="图名"/>
    <w:basedOn w:val="1"/>
    <w:qFormat/>
    <w:uiPriority w:val="0"/>
    <w:pPr>
      <w:spacing w:after="50" w:afterLines="50" w:line="240" w:lineRule="auto"/>
      <w:ind w:firstLine="0" w:firstLineChars="0"/>
      <w:jc w:val="center"/>
    </w:pPr>
    <w:rPr>
      <w:rFonts w:ascii="黑体" w:hAnsi="黑体" w:eastAsia="黑体"/>
      <w:szCs w:val="20"/>
    </w:rPr>
  </w:style>
  <w:style w:type="paragraph" w:customStyle="1" w:styleId="39">
    <w:name w:val="新表头"/>
    <w:qFormat/>
    <w:uiPriority w:val="0"/>
    <w:pPr>
      <w:spacing w:line="520" w:lineRule="exact"/>
      <w:ind w:firstLine="0" w:firstLineChars="0"/>
      <w:jc w:val="center"/>
    </w:pPr>
    <w:rPr>
      <w:rFonts w:ascii="Times New Roman" w:hAnsi="Times New Roman" w:eastAsia="黑体" w:cs="Times New Roman"/>
      <w:bCs/>
      <w:sz w:val="24"/>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oleObject" Target="embeddings/oleObject5.bin"/><Relationship Id="rId41" Type="http://schemas.openxmlformats.org/officeDocument/2006/relationships/image" Target="media/image27.jpeg"/><Relationship Id="rId40" Type="http://schemas.openxmlformats.org/officeDocument/2006/relationships/image" Target="media/image26.jpeg"/><Relationship Id="rId4" Type="http://schemas.openxmlformats.org/officeDocument/2006/relationships/endnotes" Target="endnotes.xml"/><Relationship Id="rId39" Type="http://schemas.openxmlformats.org/officeDocument/2006/relationships/image" Target="media/image25.jpeg"/><Relationship Id="rId38" Type="http://schemas.openxmlformats.org/officeDocument/2006/relationships/image" Target="media/image24.jpeg"/><Relationship Id="rId37" Type="http://schemas.openxmlformats.org/officeDocument/2006/relationships/image" Target="media/image23.jpeg"/><Relationship Id="rId36" Type="http://schemas.openxmlformats.org/officeDocument/2006/relationships/image" Target="media/image22.jpeg"/><Relationship Id="rId35" Type="http://schemas.openxmlformats.org/officeDocument/2006/relationships/image" Target="media/image21.jpeg"/><Relationship Id="rId34" Type="http://schemas.openxmlformats.org/officeDocument/2006/relationships/image" Target="media/image20.jpeg"/><Relationship Id="rId33" Type="http://schemas.openxmlformats.org/officeDocument/2006/relationships/image" Target="media/image19.jpeg"/><Relationship Id="rId32" Type="http://schemas.openxmlformats.org/officeDocument/2006/relationships/image" Target="media/image18.jpeg"/><Relationship Id="rId31" Type="http://schemas.openxmlformats.org/officeDocument/2006/relationships/image" Target="media/image17.jpeg"/><Relationship Id="rId30" Type="http://schemas.openxmlformats.org/officeDocument/2006/relationships/image" Target="media/image16.jpeg"/><Relationship Id="rId3" Type="http://schemas.openxmlformats.org/officeDocument/2006/relationships/footnotes" Target="footnotes.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oleObject" Target="embeddings/oleObject4.bin"/><Relationship Id="rId23" Type="http://schemas.openxmlformats.org/officeDocument/2006/relationships/image" Target="media/image10.emf"/><Relationship Id="rId22" Type="http://schemas.openxmlformats.org/officeDocument/2006/relationships/oleObject" Target="embeddings/oleObject3.bin"/><Relationship Id="rId21" Type="http://schemas.openxmlformats.org/officeDocument/2006/relationships/image" Target="media/image9.pn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emf"/><Relationship Id="rId17" Type="http://schemas.openxmlformats.org/officeDocument/2006/relationships/oleObject" Target="embeddings/oleObject2.bin"/><Relationship Id="rId16" Type="http://schemas.openxmlformats.org/officeDocument/2006/relationships/image" Target="media/image5.emf"/><Relationship Id="rId15" Type="http://schemas.openxmlformats.org/officeDocument/2006/relationships/oleObject" Target="embeddings/oleObject1.bin"/><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123</Pages>
  <Words>81</Words>
  <Characters>86</Characters>
  <Lines>0</Lines>
  <Paragraphs>0</Paragraphs>
  <TotalTime>3</TotalTime>
  <ScaleCrop>false</ScaleCrop>
  <LinksUpToDate>false</LinksUpToDate>
  <CharactersWithSpaces>119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2025-09-24T06:48:00Z</dcterms:created>
  <dc:creator>wink</dc:creator>
  <cp:lastModifiedBy>wink</cp:lastModifiedBy>
  <dcterms:modified xsi:type="dcterms:W3CDTF">2025-10-15T06:51:25Z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44EB5E20A3C240ECBE68B3ACD1CD147F_13</vt:lpwstr>
  </property>
  <property fmtid="{D5CDD505-2E9C-101B-9397-08002B2CF9AE}" pid="4" name="KSOTemplateDocerSaveRecord">
    <vt:lpwstr>eyJoZGlkIjoiYzVjOGJjZGRhNDUzN2RlMDdmOWU0MDM2ZmNhMDBlMDkiLCJ1c2VySWQiOiI0NDczMzgwNzgifQ==</vt:lpwstr>
  </property>
</Properties>
</file>