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solid" w:color="FFFFFF" w:fill="auto"/>
        <w:autoSpaceDN w:val="0"/>
        <w:spacing w:line="560" w:lineRule="atLeast"/>
        <w:jc w:val="center"/>
        <w:rPr>
          <w:rFonts w:ascii="方正小标宋简体" w:hAnsi="方正小标宋简体" w:eastAsia="方正小标宋简体"/>
          <w:color w:val="auto"/>
          <w:sz w:val="44"/>
          <w:shd w:val="clear" w:color="auto" w:fill="FFFFFF"/>
        </w:rPr>
      </w:pPr>
      <w:r>
        <w:rPr>
          <w:rFonts w:hint="eastAsia" w:ascii="方正小标宋简体" w:hAnsi="方正小标宋简体" w:eastAsia="方正小标宋简体"/>
          <w:color w:val="000000"/>
          <w:sz w:val="44"/>
          <w:shd w:val="clear" w:color="auto" w:fill="FFFFFF"/>
        </w:rPr>
        <w:t>焦作市生态环境局修武分局</w:t>
      </w:r>
      <w:r>
        <w:rPr>
          <w:rFonts w:ascii="方正小标宋简体" w:hAnsi="方正小标宋简体" w:eastAsia="方正小标宋简体"/>
          <w:color w:val="000000"/>
          <w:sz w:val="44"/>
          <w:shd w:val="clear" w:color="auto" w:fill="FFFFFF"/>
        </w:rPr>
        <w:t>关</w:t>
      </w:r>
      <w:r>
        <w:rPr>
          <w:rFonts w:ascii="方正小标宋简体" w:hAnsi="方正小标宋简体" w:eastAsia="方正小标宋简体"/>
          <w:color w:val="auto"/>
          <w:sz w:val="44"/>
          <w:shd w:val="clear" w:color="auto" w:fill="FFFFFF"/>
        </w:rPr>
        <w:t>于202</w:t>
      </w:r>
      <w:r>
        <w:rPr>
          <w:rFonts w:hint="eastAsia" w:ascii="方正小标宋简体" w:hAnsi="方正小标宋简体" w:eastAsia="方正小标宋简体"/>
          <w:color w:val="auto"/>
          <w:sz w:val="44"/>
          <w:shd w:val="clear" w:color="auto" w:fill="FFFFFF"/>
          <w:lang w:val="en-US" w:eastAsia="zh-CN"/>
        </w:rPr>
        <w:t>5</w:t>
      </w:r>
      <w:r>
        <w:rPr>
          <w:rFonts w:ascii="方正小标宋简体" w:hAnsi="方正小标宋简体" w:eastAsia="方正小标宋简体"/>
          <w:color w:val="auto"/>
          <w:sz w:val="44"/>
          <w:shd w:val="clear" w:color="auto" w:fill="FFFFFF"/>
        </w:rPr>
        <w:t>年</w:t>
      </w:r>
      <w:r>
        <w:rPr>
          <w:rFonts w:hint="eastAsia" w:ascii="方正小标宋简体" w:hAnsi="方正小标宋简体" w:eastAsia="方正小标宋简体"/>
          <w:color w:val="auto"/>
          <w:sz w:val="44"/>
          <w:shd w:val="clear" w:color="auto" w:fill="FFFFFF"/>
          <w:lang w:val="en-US" w:eastAsia="zh-CN"/>
        </w:rPr>
        <w:t>10</w:t>
      </w:r>
      <w:r>
        <w:rPr>
          <w:rFonts w:ascii="方正小标宋简体" w:hAnsi="方正小标宋简体" w:eastAsia="方正小标宋简体"/>
          <w:color w:val="auto"/>
          <w:sz w:val="44"/>
          <w:shd w:val="clear" w:color="auto" w:fill="FFFFFF"/>
        </w:rPr>
        <w:t>月</w:t>
      </w:r>
      <w:r>
        <w:rPr>
          <w:rFonts w:hint="eastAsia" w:ascii="方正小标宋简体" w:hAnsi="方正小标宋简体" w:eastAsia="方正小标宋简体"/>
          <w:color w:val="auto"/>
          <w:sz w:val="44"/>
          <w:shd w:val="clear" w:color="auto" w:fill="FFFFFF"/>
          <w:lang w:val="en-US" w:eastAsia="zh-CN"/>
        </w:rPr>
        <w:t>30</w:t>
      </w:r>
      <w:r>
        <w:rPr>
          <w:rFonts w:ascii="方正小标宋简体" w:hAnsi="方正小标宋简体" w:eastAsia="方正小标宋简体"/>
          <w:color w:val="auto"/>
          <w:sz w:val="44"/>
          <w:shd w:val="clear" w:color="auto" w:fill="FFFFFF"/>
        </w:rPr>
        <w:t>日</w:t>
      </w:r>
    </w:p>
    <w:p>
      <w:pPr>
        <w:shd w:val="solid" w:color="FFFFFF" w:fill="auto"/>
        <w:autoSpaceDN w:val="0"/>
        <w:spacing w:line="560" w:lineRule="atLeast"/>
        <w:jc w:val="center"/>
        <w:rPr>
          <w:rFonts w:ascii="宋体" w:hAnsi="宋体"/>
          <w:color w:val="auto"/>
          <w:sz w:val="24"/>
          <w:shd w:val="clear" w:color="auto" w:fill="FFFFFF"/>
        </w:rPr>
      </w:pPr>
      <w:r>
        <w:rPr>
          <w:rFonts w:ascii="方正小标宋简体" w:hAnsi="方正小标宋简体" w:eastAsia="方正小标宋简体"/>
          <w:color w:val="auto"/>
          <w:sz w:val="44"/>
          <w:shd w:val="clear" w:color="auto" w:fill="FFFFFF"/>
        </w:rPr>
        <w:t>拟作出的建设项目环境影响评价文件批复决定的公示</w:t>
      </w:r>
    </w:p>
    <w:p>
      <w:pPr>
        <w:shd w:val="solid" w:color="FFFFFF" w:fill="auto"/>
        <w:autoSpaceDN w:val="0"/>
        <w:spacing w:line="560" w:lineRule="atLeast"/>
        <w:rPr>
          <w:rFonts w:ascii="宋体" w:hAnsi="宋体"/>
          <w:color w:val="auto"/>
          <w:sz w:val="24"/>
          <w:shd w:val="clear" w:color="auto" w:fill="FFFFFF"/>
        </w:rPr>
      </w:pPr>
      <w:r>
        <w:rPr>
          <w:rFonts w:ascii="仿宋_GB2312" w:hAnsi="仿宋_GB2312" w:eastAsia="仿宋_GB2312"/>
          <w:color w:val="auto"/>
          <w:sz w:val="32"/>
          <w:shd w:val="clear" w:color="auto" w:fill="FFFFFF"/>
        </w:rPr>
        <w:t xml:space="preserve">                                   </w:t>
      </w:r>
    </w:p>
    <w:p>
      <w:pPr>
        <w:shd w:val="solid" w:color="FFFFFF" w:fill="auto"/>
        <w:autoSpaceDN w:val="0"/>
        <w:spacing w:line="560" w:lineRule="atLeast"/>
        <w:ind w:firstLine="640"/>
        <w:rPr>
          <w:rFonts w:ascii="宋体" w:hAnsi="宋体"/>
          <w:color w:val="auto"/>
          <w:sz w:val="24"/>
          <w:shd w:val="clear" w:color="auto" w:fill="FFFFFF"/>
        </w:rPr>
      </w:pPr>
      <w:r>
        <w:rPr>
          <w:rFonts w:ascii="仿宋_GB2312" w:hAnsi="仿宋_GB2312" w:eastAsia="仿宋_GB2312"/>
          <w:color w:val="auto"/>
          <w:sz w:val="32"/>
          <w:shd w:val="clear" w:color="auto" w:fill="FFFFFF"/>
        </w:rPr>
        <w:t xml:space="preserve"> 根据建设项目环境影响评价审批程序的有关规定，经审议，我</w:t>
      </w:r>
      <w:r>
        <w:rPr>
          <w:rFonts w:hint="eastAsia" w:ascii="仿宋_GB2312" w:hAnsi="仿宋_GB2312" w:eastAsia="仿宋_GB2312"/>
          <w:color w:val="auto"/>
          <w:sz w:val="32"/>
          <w:shd w:val="clear" w:color="auto" w:fill="FFFFFF"/>
        </w:rPr>
        <w:t>局</w:t>
      </w:r>
      <w:r>
        <w:rPr>
          <w:rFonts w:ascii="仿宋_GB2312" w:hAnsi="仿宋_GB2312" w:eastAsia="仿宋_GB2312"/>
          <w:color w:val="auto"/>
          <w:sz w:val="32"/>
          <w:shd w:val="clear" w:color="auto" w:fill="FFFFFF"/>
        </w:rPr>
        <w:t>拟对</w:t>
      </w:r>
      <w:r>
        <w:rPr>
          <w:rFonts w:hint="eastAsia" w:ascii="仿宋_GB2312" w:hAnsi="仿宋_GB2312" w:eastAsia="仿宋_GB2312"/>
          <w:color w:val="auto"/>
          <w:sz w:val="32"/>
          <w:shd w:val="clear" w:color="auto" w:fill="FFFFFF"/>
        </w:rPr>
        <w:t>1</w:t>
      </w:r>
      <w:r>
        <w:rPr>
          <w:rFonts w:ascii="仿宋_GB2312" w:hAnsi="仿宋_GB2312" w:eastAsia="仿宋_GB2312"/>
          <w:color w:val="auto"/>
          <w:sz w:val="32"/>
          <w:shd w:val="clear" w:color="auto" w:fill="FFFFFF"/>
        </w:rPr>
        <w:t>个建设项目环境影响</w:t>
      </w:r>
      <w:r>
        <w:rPr>
          <w:rFonts w:hint="eastAsia" w:ascii="仿宋_GB2312" w:hAnsi="仿宋_GB2312" w:eastAsia="仿宋_GB2312"/>
          <w:color w:val="auto"/>
          <w:sz w:val="32"/>
          <w:shd w:val="clear" w:color="auto" w:fill="FFFFFF"/>
        </w:rPr>
        <w:t>评价文件</w:t>
      </w:r>
      <w:r>
        <w:rPr>
          <w:rFonts w:ascii="仿宋_GB2312" w:hAnsi="仿宋_GB2312" w:eastAsia="仿宋_GB2312"/>
          <w:color w:val="auto"/>
          <w:sz w:val="32"/>
          <w:shd w:val="clear" w:color="auto" w:fill="FFFFFF"/>
        </w:rPr>
        <w:t>作出批复决定。为保证此次审议工作的严肃性和公正性，现将</w:t>
      </w:r>
      <w:r>
        <w:rPr>
          <w:rFonts w:hint="eastAsia" w:ascii="仿宋_GB2312" w:hAnsi="仿宋_GB2312" w:eastAsia="仿宋_GB2312"/>
          <w:color w:val="auto"/>
          <w:sz w:val="32"/>
          <w:shd w:val="clear" w:color="auto" w:fill="FFFFFF"/>
        </w:rPr>
        <w:t>该</w:t>
      </w:r>
      <w:r>
        <w:rPr>
          <w:rFonts w:ascii="仿宋_GB2312" w:hAnsi="仿宋_GB2312" w:eastAsia="仿宋_GB2312"/>
          <w:color w:val="auto"/>
          <w:sz w:val="32"/>
          <w:shd w:val="clear" w:color="auto" w:fill="FFFFFF"/>
        </w:rPr>
        <w:t>建设项目环境影响</w:t>
      </w:r>
      <w:r>
        <w:rPr>
          <w:rFonts w:hint="eastAsia" w:ascii="仿宋_GB2312" w:hAnsi="仿宋_GB2312" w:eastAsia="仿宋_GB2312"/>
          <w:color w:val="auto"/>
          <w:sz w:val="32"/>
          <w:shd w:val="clear" w:color="auto" w:fill="FFFFFF"/>
        </w:rPr>
        <w:t>评价文件</w:t>
      </w:r>
      <w:r>
        <w:rPr>
          <w:rFonts w:ascii="仿宋_GB2312" w:hAnsi="仿宋_GB2312" w:eastAsia="仿宋_GB2312"/>
          <w:color w:val="auto"/>
          <w:sz w:val="32"/>
          <w:shd w:val="clear" w:color="auto" w:fill="FFFFFF"/>
        </w:rPr>
        <w:t>的基本情况予以公示。如有异议，请在公示期内反馈我局</w:t>
      </w:r>
      <w:r>
        <w:rPr>
          <w:rFonts w:hint="eastAsia" w:ascii="仿宋_GB2312" w:hAnsi="仿宋_GB2312" w:eastAsia="仿宋_GB2312"/>
          <w:color w:val="auto"/>
          <w:sz w:val="32"/>
          <w:shd w:val="clear" w:color="auto" w:fill="FFFFFF"/>
        </w:rPr>
        <w:t>行政事项服务室</w:t>
      </w:r>
      <w:r>
        <w:rPr>
          <w:rFonts w:ascii="仿宋_GB2312" w:hAnsi="仿宋_GB2312" w:eastAsia="仿宋_GB2312"/>
          <w:color w:val="auto"/>
          <w:sz w:val="32"/>
          <w:shd w:val="clear" w:color="auto" w:fill="FFFFFF"/>
        </w:rPr>
        <w:t>。公示日期为202</w:t>
      </w:r>
      <w:r>
        <w:rPr>
          <w:rFonts w:hint="eastAsia" w:ascii="仿宋_GB2312" w:hAnsi="仿宋_GB2312" w:eastAsia="仿宋_GB2312"/>
          <w:color w:val="auto"/>
          <w:sz w:val="32"/>
          <w:shd w:val="clear" w:color="auto" w:fill="FFFFFF"/>
          <w:lang w:val="en-US" w:eastAsia="zh-CN"/>
        </w:rPr>
        <w:t>5</w:t>
      </w:r>
      <w:r>
        <w:rPr>
          <w:rFonts w:ascii="仿宋_GB2312" w:hAnsi="仿宋_GB2312" w:eastAsia="仿宋_GB2312"/>
          <w:color w:val="auto"/>
          <w:sz w:val="32"/>
          <w:shd w:val="clear" w:color="auto" w:fill="FFFFFF"/>
        </w:rPr>
        <w:t>年</w:t>
      </w:r>
      <w:r>
        <w:rPr>
          <w:rFonts w:hint="eastAsia" w:ascii="仿宋_GB2312" w:hAnsi="仿宋_GB2312" w:eastAsia="仿宋_GB2312"/>
          <w:color w:val="auto"/>
          <w:sz w:val="32"/>
          <w:shd w:val="clear" w:color="auto" w:fill="FFFFFF"/>
          <w:lang w:val="en-US" w:eastAsia="zh-CN"/>
        </w:rPr>
        <w:t>10</w:t>
      </w:r>
      <w:r>
        <w:rPr>
          <w:rFonts w:ascii="仿宋_GB2312" w:hAnsi="仿宋_GB2312" w:eastAsia="仿宋_GB2312"/>
          <w:color w:val="auto"/>
          <w:sz w:val="32"/>
          <w:shd w:val="clear" w:color="auto" w:fill="FFFFFF"/>
        </w:rPr>
        <w:t>月</w:t>
      </w:r>
      <w:r>
        <w:rPr>
          <w:rFonts w:hint="eastAsia" w:ascii="仿宋_GB2312" w:hAnsi="仿宋_GB2312" w:eastAsia="仿宋_GB2312"/>
          <w:color w:val="auto"/>
          <w:sz w:val="32"/>
          <w:shd w:val="clear" w:color="auto" w:fill="FFFFFF"/>
          <w:lang w:val="en-US" w:eastAsia="zh-CN"/>
        </w:rPr>
        <w:t>30</w:t>
      </w:r>
      <w:r>
        <w:rPr>
          <w:rFonts w:ascii="仿宋_GB2312" w:hAnsi="仿宋_GB2312" w:eastAsia="仿宋_GB2312"/>
          <w:color w:val="auto"/>
          <w:sz w:val="32"/>
          <w:shd w:val="clear" w:color="auto" w:fill="FFFFFF"/>
        </w:rPr>
        <w:t>日,公示期：五</w:t>
      </w:r>
      <w:r>
        <w:rPr>
          <w:rFonts w:hint="eastAsia" w:ascii="仿宋_GB2312" w:hAnsi="仿宋_GB2312" w:eastAsia="仿宋_GB2312"/>
          <w:color w:val="auto"/>
          <w:sz w:val="32"/>
          <w:shd w:val="clear" w:color="auto" w:fill="FFFFFF"/>
        </w:rPr>
        <w:t>个工作日</w:t>
      </w:r>
      <w:r>
        <w:rPr>
          <w:rFonts w:ascii="仿宋_GB2312" w:hAnsi="仿宋_GB2312" w:eastAsia="仿宋_GB2312"/>
          <w:color w:val="auto"/>
          <w:sz w:val="32"/>
          <w:shd w:val="clear" w:color="auto" w:fill="FFFFFF"/>
        </w:rPr>
        <w:t>。</w:t>
      </w:r>
    </w:p>
    <w:p>
      <w:pPr>
        <w:shd w:val="solid" w:color="FFFFFF" w:fill="auto"/>
        <w:wordWrap w:val="0"/>
        <w:autoSpaceDN w:val="0"/>
        <w:spacing w:line="560" w:lineRule="atLeast"/>
        <w:rPr>
          <w:rFonts w:ascii="宋体" w:hAnsi="宋体"/>
          <w:color w:val="auto"/>
          <w:sz w:val="24"/>
          <w:shd w:val="clear" w:color="auto" w:fill="FFFFFF"/>
        </w:rPr>
      </w:pPr>
      <w:r>
        <w:rPr>
          <w:rFonts w:ascii="仿宋_GB2312" w:hAnsi="仿宋_GB2312" w:eastAsia="仿宋_GB2312"/>
          <w:color w:val="auto"/>
          <w:sz w:val="32"/>
          <w:shd w:val="clear" w:color="auto" w:fill="FFFFFF"/>
        </w:rPr>
        <w:t xml:space="preserve">    电话：0391-71</w:t>
      </w:r>
      <w:r>
        <w:rPr>
          <w:rFonts w:hint="eastAsia" w:ascii="仿宋_GB2312" w:hAnsi="仿宋_GB2312" w:eastAsia="仿宋_GB2312"/>
          <w:color w:val="auto"/>
          <w:sz w:val="32"/>
          <w:shd w:val="clear" w:color="auto" w:fill="FFFFFF"/>
        </w:rPr>
        <w:t>18625</w:t>
      </w:r>
      <w:r>
        <w:rPr>
          <w:rFonts w:ascii="仿宋_GB2312" w:hAnsi="仿宋_GB2312" w:eastAsia="仿宋_GB2312"/>
          <w:color w:val="auto"/>
          <w:sz w:val="32"/>
          <w:shd w:val="clear" w:color="auto" w:fill="FFFFFF"/>
        </w:rPr>
        <w:t xml:space="preserve">   传真：0391-7192020</w:t>
      </w:r>
    </w:p>
    <w:p>
      <w:pPr>
        <w:shd w:val="solid" w:color="FFFFFF" w:fill="auto"/>
        <w:wordWrap w:val="0"/>
        <w:autoSpaceDN w:val="0"/>
        <w:spacing w:line="560" w:lineRule="atLeast"/>
        <w:ind w:firstLine="645"/>
        <w:rPr>
          <w:rFonts w:ascii="仿宋_GB2312" w:hAnsi="仿宋_GB2312" w:eastAsia="仿宋_GB2312"/>
          <w:color w:val="000000"/>
          <w:sz w:val="32"/>
          <w:shd w:val="clear" w:color="auto" w:fill="FFFFFF"/>
        </w:rPr>
      </w:pPr>
      <w:r>
        <w:rPr>
          <w:rFonts w:ascii="仿宋_GB2312" w:hAnsi="仿宋_GB2312" w:eastAsia="仿宋_GB2312"/>
          <w:color w:val="000000"/>
          <w:sz w:val="32"/>
          <w:shd w:val="clear" w:color="auto" w:fill="FFFFFF"/>
        </w:rPr>
        <w:t>通讯地址：修武县</w:t>
      </w:r>
      <w:r>
        <w:rPr>
          <w:rFonts w:hint="eastAsia" w:ascii="仿宋_GB2312" w:hAnsi="仿宋_GB2312" w:eastAsia="仿宋_GB2312"/>
          <w:color w:val="000000"/>
          <w:sz w:val="32"/>
          <w:shd w:val="clear" w:color="auto" w:fill="FFFFFF"/>
        </w:rPr>
        <w:t>宁城路69号</w:t>
      </w:r>
      <w:r>
        <w:rPr>
          <w:rFonts w:ascii="仿宋_GB2312" w:hAnsi="仿宋_GB2312" w:eastAsia="仿宋_GB2312"/>
          <w:color w:val="000000"/>
          <w:sz w:val="32"/>
          <w:shd w:val="clear" w:color="auto" w:fill="FFFFFF"/>
        </w:rPr>
        <w:t>（454350）</w:t>
      </w:r>
    </w:p>
    <w:p>
      <w:pPr>
        <w:shd w:val="solid" w:color="FFFFFF" w:fill="auto"/>
        <w:wordWrap w:val="0"/>
        <w:autoSpaceDN w:val="0"/>
        <w:spacing w:line="560" w:lineRule="atLeast"/>
        <w:ind w:firstLine="645"/>
        <w:rPr>
          <w:rFonts w:ascii="仿宋_GB2312" w:hAnsi="仿宋_GB2312" w:eastAsia="仿宋_GB2312"/>
          <w:color w:val="000000"/>
          <w:sz w:val="32"/>
          <w:shd w:val="clear" w:color="auto" w:fill="FFFFFF"/>
        </w:rPr>
      </w:pPr>
      <w:r>
        <w:rPr>
          <w:rFonts w:hint="eastAsia" w:ascii="仿宋_GB2312" w:hAnsi="仿宋_GB2312" w:eastAsia="仿宋_GB2312"/>
          <w:color w:val="000000"/>
          <w:sz w:val="32"/>
          <w:shd w:val="clear" w:color="auto" w:fill="FFFFFF"/>
        </w:rPr>
        <w:t>听证告知：依据《中华人民共和国行政许可法》，自公示起五个工作日内申请人、有重大利益关系的利害关系人可对以下拟作出的建设项目环境影响评价文件批复决定要求听证。</w:t>
      </w:r>
    </w:p>
    <w:p>
      <w:pPr>
        <w:shd w:val="solid" w:color="FFFFFF" w:fill="auto"/>
        <w:wordWrap w:val="0"/>
        <w:autoSpaceDN w:val="0"/>
        <w:spacing w:line="560" w:lineRule="atLeast"/>
        <w:ind w:firstLine="645"/>
        <w:jc w:val="center"/>
        <w:rPr>
          <w:rFonts w:ascii="方正小标宋简体" w:hAnsi="方正小标宋简体" w:eastAsia="方正小标宋简体"/>
          <w:color w:val="000000"/>
          <w:sz w:val="44"/>
          <w:shd w:val="clear" w:color="auto" w:fill="FFFFFF"/>
        </w:rPr>
      </w:pPr>
    </w:p>
    <w:p>
      <w:pPr>
        <w:shd w:val="solid" w:color="FFFFFF" w:fill="auto"/>
        <w:wordWrap w:val="0"/>
        <w:autoSpaceDN w:val="0"/>
        <w:spacing w:line="560" w:lineRule="atLeast"/>
        <w:ind w:firstLine="645"/>
        <w:jc w:val="center"/>
        <w:rPr>
          <w:rFonts w:hint="eastAsia" w:ascii="宋体" w:hAnsi="宋体" w:eastAsia="方正小标宋简体"/>
          <w:sz w:val="24"/>
          <w:shd w:val="clear" w:color="auto" w:fill="FFFFFF"/>
          <w:lang w:val="en-US" w:eastAsia="zh-CN"/>
        </w:rPr>
      </w:pPr>
      <w:r>
        <w:rPr>
          <w:rFonts w:ascii="方正小标宋简体" w:hAnsi="方正小标宋简体" w:eastAsia="方正小标宋简体"/>
          <w:color w:val="auto"/>
          <w:sz w:val="44"/>
          <w:shd w:val="clear" w:color="auto" w:fill="FFFFFF"/>
        </w:rPr>
        <w:t>202</w:t>
      </w:r>
      <w:r>
        <w:rPr>
          <w:rFonts w:hint="eastAsia" w:ascii="方正小标宋简体" w:hAnsi="方正小标宋简体" w:eastAsia="方正小标宋简体"/>
          <w:color w:val="auto"/>
          <w:sz w:val="44"/>
          <w:shd w:val="clear" w:color="auto" w:fill="FFFFFF"/>
          <w:lang w:val="en-US" w:eastAsia="zh-CN"/>
        </w:rPr>
        <w:t>5</w:t>
      </w:r>
      <w:r>
        <w:rPr>
          <w:rFonts w:ascii="方正小标宋简体" w:hAnsi="方正小标宋简体" w:eastAsia="方正小标宋简体"/>
          <w:color w:val="auto"/>
          <w:sz w:val="44"/>
          <w:shd w:val="clear" w:color="auto" w:fill="FFFFFF"/>
        </w:rPr>
        <w:t>年</w:t>
      </w:r>
      <w:r>
        <w:rPr>
          <w:rFonts w:hint="eastAsia" w:ascii="方正小标宋简体" w:hAnsi="方正小标宋简体" w:eastAsia="方正小标宋简体"/>
          <w:color w:val="auto"/>
          <w:sz w:val="44"/>
          <w:shd w:val="clear" w:color="auto" w:fill="FFFFFF"/>
          <w:lang w:val="en-US" w:eastAsia="zh-CN"/>
        </w:rPr>
        <w:t>10</w:t>
      </w:r>
      <w:r>
        <w:rPr>
          <w:rFonts w:ascii="方正小标宋简体" w:hAnsi="方正小标宋简体" w:eastAsia="方正小标宋简体"/>
          <w:color w:val="auto"/>
          <w:sz w:val="44"/>
          <w:shd w:val="clear" w:color="auto" w:fill="FFFFFF"/>
        </w:rPr>
        <w:t>月</w:t>
      </w:r>
      <w:r>
        <w:rPr>
          <w:rFonts w:hint="eastAsia" w:ascii="方正小标宋简体" w:hAnsi="方正小标宋简体" w:eastAsia="方正小标宋简体"/>
          <w:color w:val="auto"/>
          <w:sz w:val="44"/>
          <w:shd w:val="clear" w:color="auto" w:fill="FFFFFF"/>
          <w:lang w:val="en-US" w:eastAsia="zh-CN"/>
        </w:rPr>
        <w:t>30</w:t>
      </w:r>
      <w:r>
        <w:rPr>
          <w:rFonts w:ascii="方正小标宋简体" w:hAnsi="方正小标宋简体" w:eastAsia="方正小标宋简体"/>
          <w:color w:val="auto"/>
          <w:sz w:val="44"/>
          <w:shd w:val="clear" w:color="auto" w:fill="FFFFFF"/>
        </w:rPr>
        <w:t>日</w:t>
      </w:r>
      <w:r>
        <w:rPr>
          <w:rFonts w:ascii="方正小标宋简体" w:hAnsi="方正小标宋简体" w:eastAsia="方正小标宋简体"/>
          <w:color w:val="000000"/>
          <w:sz w:val="44"/>
          <w:shd w:val="clear" w:color="auto" w:fill="FFFFFF"/>
        </w:rPr>
        <w:t>拟批准的建设项目环境影响报告</w:t>
      </w:r>
      <w:r>
        <w:rPr>
          <w:rFonts w:hint="eastAsia" w:ascii="方正小标宋简体" w:hAnsi="方正小标宋简体" w:eastAsia="方正小标宋简体"/>
          <w:color w:val="000000"/>
          <w:sz w:val="44"/>
          <w:shd w:val="clear" w:color="auto" w:fill="FFFFFF"/>
          <w:lang w:val="en-US" w:eastAsia="zh-CN"/>
        </w:rPr>
        <w:t>表</w:t>
      </w:r>
    </w:p>
    <w:tbl>
      <w:tblPr>
        <w:tblStyle w:val="4"/>
        <w:tblW w:w="14824" w:type="dxa"/>
        <w:jc w:val="center"/>
        <w:tblLayout w:type="fixed"/>
        <w:tblCellMar>
          <w:top w:w="0" w:type="dxa"/>
          <w:left w:w="108" w:type="dxa"/>
          <w:bottom w:w="0" w:type="dxa"/>
          <w:right w:w="108" w:type="dxa"/>
        </w:tblCellMar>
      </w:tblPr>
      <w:tblGrid>
        <w:gridCol w:w="543"/>
        <w:gridCol w:w="1050"/>
        <w:gridCol w:w="1002"/>
        <w:gridCol w:w="966"/>
        <w:gridCol w:w="976"/>
        <w:gridCol w:w="2830"/>
        <w:gridCol w:w="7457"/>
      </w:tblGrid>
      <w:tr>
        <w:tblPrEx>
          <w:tblCellMar>
            <w:top w:w="0" w:type="dxa"/>
            <w:left w:w="108" w:type="dxa"/>
            <w:bottom w:w="0" w:type="dxa"/>
            <w:right w:w="108" w:type="dxa"/>
          </w:tblCellMar>
        </w:tblPrEx>
        <w:trPr>
          <w:trHeight w:val="537" w:hRule="atLeast"/>
          <w:jc w:val="center"/>
        </w:trPr>
        <w:tc>
          <w:tcPr>
            <w:tcW w:w="5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宋体" w:hAnsi="宋体"/>
                <w:sz w:val="24"/>
              </w:rPr>
            </w:pPr>
            <w:r>
              <w:rPr>
                <w:rFonts w:ascii="仿宋_GB2312" w:hAnsi="仿宋_GB2312" w:eastAsia="仿宋_GB2312"/>
                <w:b/>
                <w:color w:val="000000"/>
                <w:sz w:val="32"/>
              </w:rPr>
              <w:t>序号</w:t>
            </w:r>
          </w:p>
        </w:tc>
        <w:tc>
          <w:tcPr>
            <w:tcW w:w="1050"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仿宋_GB2312" w:hAnsi="仿宋_GB2312" w:eastAsia="仿宋_GB2312"/>
                <w:b/>
                <w:color w:val="000000"/>
                <w:sz w:val="32"/>
              </w:rPr>
            </w:pPr>
            <w:r>
              <w:rPr>
                <w:rFonts w:ascii="仿宋_GB2312" w:hAnsi="仿宋_GB2312" w:eastAsia="仿宋_GB2312"/>
                <w:b/>
                <w:color w:val="000000"/>
                <w:sz w:val="32"/>
              </w:rPr>
              <w:t>项目</w:t>
            </w:r>
          </w:p>
          <w:p>
            <w:pPr>
              <w:autoSpaceDN w:val="0"/>
              <w:spacing w:line="500" w:lineRule="exact"/>
              <w:jc w:val="center"/>
              <w:rPr>
                <w:rFonts w:ascii="宋体" w:hAnsi="宋体"/>
                <w:sz w:val="24"/>
              </w:rPr>
            </w:pPr>
            <w:r>
              <w:rPr>
                <w:rFonts w:ascii="仿宋_GB2312" w:hAnsi="仿宋_GB2312" w:eastAsia="仿宋_GB2312"/>
                <w:b/>
                <w:color w:val="000000"/>
                <w:sz w:val="32"/>
              </w:rPr>
              <w:t>名称</w:t>
            </w:r>
          </w:p>
        </w:tc>
        <w:tc>
          <w:tcPr>
            <w:tcW w:w="1002"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仿宋_GB2312" w:hAnsi="仿宋_GB2312" w:eastAsia="仿宋_GB2312"/>
                <w:b/>
                <w:color w:val="000000"/>
                <w:sz w:val="32"/>
              </w:rPr>
            </w:pPr>
            <w:r>
              <w:rPr>
                <w:rFonts w:ascii="仿宋_GB2312" w:hAnsi="仿宋_GB2312" w:eastAsia="仿宋_GB2312"/>
                <w:b/>
                <w:color w:val="000000"/>
                <w:sz w:val="32"/>
              </w:rPr>
              <w:t>建设</w:t>
            </w:r>
          </w:p>
          <w:p>
            <w:pPr>
              <w:autoSpaceDN w:val="0"/>
              <w:spacing w:line="500" w:lineRule="exact"/>
              <w:jc w:val="center"/>
              <w:rPr>
                <w:rFonts w:ascii="宋体" w:hAnsi="宋体"/>
                <w:sz w:val="24"/>
              </w:rPr>
            </w:pPr>
            <w:r>
              <w:rPr>
                <w:rFonts w:ascii="仿宋_GB2312" w:hAnsi="仿宋_GB2312" w:eastAsia="仿宋_GB2312"/>
                <w:b/>
                <w:color w:val="000000"/>
                <w:sz w:val="32"/>
              </w:rPr>
              <w:t>地点</w:t>
            </w:r>
          </w:p>
        </w:tc>
        <w:tc>
          <w:tcPr>
            <w:tcW w:w="966"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仿宋_GB2312" w:hAnsi="仿宋_GB2312" w:eastAsia="仿宋_GB2312"/>
                <w:b/>
                <w:color w:val="000000"/>
                <w:sz w:val="32"/>
              </w:rPr>
            </w:pPr>
            <w:r>
              <w:rPr>
                <w:rFonts w:ascii="仿宋_GB2312" w:hAnsi="仿宋_GB2312" w:eastAsia="仿宋_GB2312"/>
                <w:b/>
                <w:color w:val="000000"/>
                <w:sz w:val="32"/>
              </w:rPr>
              <w:t>项目</w:t>
            </w:r>
          </w:p>
          <w:p>
            <w:pPr>
              <w:autoSpaceDN w:val="0"/>
              <w:spacing w:line="500" w:lineRule="exact"/>
              <w:jc w:val="center"/>
              <w:rPr>
                <w:rFonts w:ascii="宋体" w:hAnsi="宋体"/>
                <w:sz w:val="24"/>
              </w:rPr>
            </w:pPr>
            <w:r>
              <w:rPr>
                <w:rFonts w:ascii="仿宋_GB2312" w:hAnsi="仿宋_GB2312" w:eastAsia="仿宋_GB2312"/>
                <w:b/>
                <w:color w:val="000000"/>
                <w:sz w:val="32"/>
              </w:rPr>
              <w:t>单位</w:t>
            </w:r>
          </w:p>
        </w:tc>
        <w:tc>
          <w:tcPr>
            <w:tcW w:w="976"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hint="eastAsia" w:ascii="仿宋_GB2312" w:hAnsi="仿宋_GB2312" w:eastAsia="仿宋_GB2312"/>
                <w:b/>
                <w:color w:val="000000"/>
                <w:sz w:val="32"/>
                <w:lang w:eastAsia="zh-CN"/>
              </w:rPr>
            </w:pPr>
            <w:r>
              <w:rPr>
                <w:rFonts w:hint="eastAsia" w:ascii="仿宋_GB2312" w:hAnsi="仿宋_GB2312" w:eastAsia="仿宋_GB2312"/>
                <w:b/>
                <w:color w:val="000000"/>
                <w:sz w:val="32"/>
                <w:lang w:eastAsia="zh-CN"/>
              </w:rPr>
              <w:t>环评单位</w:t>
            </w:r>
          </w:p>
        </w:tc>
        <w:tc>
          <w:tcPr>
            <w:tcW w:w="2830"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仿宋_GB2312" w:hAnsi="仿宋_GB2312" w:eastAsia="仿宋_GB2312"/>
                <w:b/>
                <w:color w:val="000000"/>
                <w:sz w:val="32"/>
              </w:rPr>
            </w:pPr>
            <w:r>
              <w:rPr>
                <w:rFonts w:ascii="仿宋_GB2312" w:hAnsi="仿宋_GB2312" w:eastAsia="仿宋_GB2312"/>
                <w:b/>
                <w:color w:val="000000"/>
                <w:sz w:val="32"/>
              </w:rPr>
              <w:t>项目</w:t>
            </w:r>
          </w:p>
          <w:p>
            <w:pPr>
              <w:autoSpaceDN w:val="0"/>
              <w:spacing w:line="500" w:lineRule="exact"/>
              <w:jc w:val="center"/>
              <w:rPr>
                <w:rFonts w:ascii="宋体" w:hAnsi="宋体"/>
                <w:sz w:val="24"/>
              </w:rPr>
            </w:pPr>
            <w:r>
              <w:rPr>
                <w:rFonts w:ascii="仿宋_GB2312" w:hAnsi="仿宋_GB2312" w:eastAsia="仿宋_GB2312"/>
                <w:b/>
                <w:color w:val="000000"/>
                <w:sz w:val="32"/>
              </w:rPr>
              <w:t>概况</w:t>
            </w:r>
          </w:p>
        </w:tc>
        <w:tc>
          <w:tcPr>
            <w:tcW w:w="7457"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jc w:val="center"/>
              <w:rPr>
                <w:rFonts w:ascii="宋体" w:hAnsi="宋体"/>
                <w:sz w:val="24"/>
              </w:rPr>
            </w:pPr>
            <w:r>
              <w:rPr>
                <w:rFonts w:ascii="仿宋_GB2312" w:hAnsi="仿宋_GB2312" w:eastAsia="仿宋_GB2312"/>
                <w:b/>
                <w:color w:val="000000"/>
                <w:sz w:val="32"/>
                <w:shd w:val="clear" w:color="auto" w:fill="FFFFFF"/>
              </w:rPr>
              <w:t>主要环境影响及预防措施</w:t>
            </w:r>
            <w:r>
              <w:rPr>
                <w:rFonts w:ascii="仿宋_GB2312" w:hAnsi="仿宋_GB2312" w:eastAsia="仿宋_GB2312"/>
                <w:color w:val="000000"/>
                <w:sz w:val="32"/>
              </w:rPr>
              <w:t xml:space="preserve"> </w:t>
            </w:r>
          </w:p>
        </w:tc>
      </w:tr>
      <w:tr>
        <w:tblPrEx>
          <w:tblCellMar>
            <w:top w:w="0" w:type="dxa"/>
            <w:left w:w="108" w:type="dxa"/>
            <w:bottom w:w="0" w:type="dxa"/>
            <w:right w:w="108" w:type="dxa"/>
          </w:tblCellMar>
        </w:tblPrEx>
        <w:trPr>
          <w:trHeight w:val="1162" w:hRule="atLeast"/>
          <w:jc w:val="center"/>
        </w:trPr>
        <w:tc>
          <w:tcPr>
            <w:tcW w:w="5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400" w:lineRule="exact"/>
              <w:jc w:val="center"/>
              <w:rPr>
                <w:rFonts w:ascii="仿宋_GB2312" w:hAnsi="仿宋_GB2312" w:eastAsia="仿宋_GB2312"/>
                <w:sz w:val="28"/>
                <w:szCs w:val="18"/>
              </w:rPr>
            </w:pPr>
            <w:r>
              <w:rPr>
                <w:rFonts w:hint="eastAsia" w:ascii="仿宋_GB2312" w:hAnsi="仿宋_GB2312" w:eastAsia="仿宋_GB2312"/>
                <w:sz w:val="28"/>
                <w:szCs w:val="18"/>
              </w:rPr>
              <w:t>1</w:t>
            </w:r>
          </w:p>
        </w:tc>
        <w:tc>
          <w:tcPr>
            <w:tcW w:w="1050"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left"/>
              <w:rPr>
                <w:rFonts w:hint="eastAsia" w:ascii="仿宋" w:hAnsi="仿宋" w:eastAsia="仿宋" w:cs="仿宋"/>
                <w:sz w:val="24"/>
                <w:szCs w:val="24"/>
              </w:rPr>
            </w:pPr>
            <w:r>
              <w:rPr>
                <w:rFonts w:hint="eastAsia" w:ascii="仿宋" w:hAnsi="仿宋" w:eastAsia="仿宋" w:cs="仿宋"/>
                <w:sz w:val="24"/>
                <w:szCs w:val="24"/>
                <w:lang w:val="en-US" w:eastAsia="zh-CN"/>
              </w:rPr>
              <w:t>年产30万只塑料瓶项目</w:t>
            </w:r>
          </w:p>
        </w:tc>
        <w:tc>
          <w:tcPr>
            <w:tcW w:w="1002"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left"/>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修武县郇封镇南柳村</w:t>
            </w:r>
          </w:p>
        </w:tc>
        <w:tc>
          <w:tcPr>
            <w:tcW w:w="966"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焦作市宇康塑料制品有限公司</w:t>
            </w:r>
          </w:p>
        </w:tc>
        <w:tc>
          <w:tcPr>
            <w:tcW w:w="976"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left"/>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河南韵祺环境能源科技有限公司</w:t>
            </w:r>
          </w:p>
        </w:tc>
        <w:tc>
          <w:tcPr>
            <w:tcW w:w="2830"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keepNext w:val="0"/>
              <w:keepLines/>
              <w:pageBreakBefore w:val="0"/>
              <w:widowControl w:val="0"/>
              <w:kinsoku/>
              <w:wordWrap/>
              <w:overflowPunct/>
              <w:topLinePunct w:val="0"/>
              <w:autoSpaceDE/>
              <w:autoSpaceDN w:val="0"/>
              <w:bidi w:val="0"/>
              <w:adjustRightInd/>
              <w:snapToGrid/>
              <w:spacing w:line="300" w:lineRule="exact"/>
              <w:jc w:val="both"/>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项目建设性质为扩建，总投资40万元。产品为塑料瓶，生产规模：30万只/年。生产工艺：PET瓶胚上料-吹瓶-冷却脱模-包装-成品。主要生产设备吹瓶机、空压机、储气罐等。</w:t>
            </w:r>
          </w:p>
        </w:tc>
        <w:tc>
          <w:tcPr>
            <w:tcW w:w="7457"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numPr>
                <w:ilvl w:val="0"/>
                <w:numId w:val="1"/>
              </w:numPr>
              <w:autoSpaceDN w:val="0"/>
              <w:spacing w:line="300" w:lineRule="exact"/>
              <w:jc w:val="both"/>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废气。吹塑成型工序产生的废气，经“集气风管+活性炭吸附装置+15m高排气筒（DA002）”达标排放。未被集气系统收集到的废气，采取增强设备的密闭性，定期检查集气装置集气效率，车间内安装视频监控，设置运行台账等措施，降低对周围环境的影响。</w:t>
            </w:r>
            <w:r>
              <w:rPr>
                <w:rFonts w:hint="eastAsia" w:ascii="仿宋" w:hAnsi="仿宋" w:eastAsia="仿宋" w:cs="Times New Roman"/>
                <w:sz w:val="24"/>
                <w:szCs w:val="24"/>
              </w:rPr>
              <w:t>废气经相应污染治理措施处理后</w:t>
            </w:r>
            <w:r>
              <w:rPr>
                <w:rFonts w:hint="eastAsia" w:ascii="仿宋" w:hAnsi="仿宋" w:eastAsia="仿宋" w:cs="Times New Roman"/>
                <w:sz w:val="24"/>
                <w:szCs w:val="24"/>
                <w:lang w:eastAsia="zh-CN"/>
              </w:rPr>
              <w:t>达标</w:t>
            </w:r>
            <w:r>
              <w:rPr>
                <w:rFonts w:hint="eastAsia" w:ascii="仿宋" w:hAnsi="仿宋" w:eastAsia="仿宋" w:cs="Times New Roman"/>
                <w:sz w:val="24"/>
                <w:szCs w:val="24"/>
              </w:rPr>
              <w:t>排放，应满足</w:t>
            </w:r>
            <w:r>
              <w:rPr>
                <w:rFonts w:hint="eastAsia" w:ascii="仿宋" w:hAnsi="仿宋" w:eastAsia="仿宋" w:cs="Times New Roman"/>
                <w:sz w:val="24"/>
                <w:szCs w:val="24"/>
                <w:lang w:val="en-US" w:eastAsia="zh-CN"/>
              </w:rPr>
              <w:t>《合成树脂工业污染物排放标准》GB31572-2015（含2024年修改单）、《河南省重污染天气重点行业应急减排措施制定技术指南（2024年修订版）》中“塑料制品企业”绩效分级A级企业、《挥发性有机物无组织排放控制标准》（GB37822-2019）、《关于全省开展工业企业挥发性有机物专项治理工作中排放建议值的通知》（豫环攻坚办〔2017〕</w:t>
            </w:r>
            <w:r>
              <w:rPr>
                <w:rFonts w:hint="eastAsia" w:ascii="仿宋" w:hAnsi="仿宋" w:eastAsia="仿宋" w:cs="Times New Roman"/>
                <w:sz w:val="24"/>
                <w:szCs w:val="24"/>
                <w:lang w:val="en-US" w:eastAsia="zh-CN"/>
              </w:rPr>
              <w:t>162号）等</w:t>
            </w:r>
            <w:r>
              <w:rPr>
                <w:rFonts w:hint="eastAsia" w:ascii="仿宋" w:hAnsi="仿宋" w:eastAsia="仿宋" w:cs="Times New Roman"/>
                <w:sz w:val="24"/>
                <w:szCs w:val="24"/>
              </w:rPr>
              <w:t>相关污染因子控制排放要求。</w:t>
            </w:r>
          </w:p>
          <w:p>
            <w:pPr>
              <w:numPr>
                <w:ilvl w:val="0"/>
                <w:numId w:val="1"/>
              </w:numPr>
              <w:autoSpaceDN w:val="0"/>
              <w:spacing w:line="300" w:lineRule="exact"/>
              <w:jc w:val="both"/>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废水。生活污水，化粪池处理后用于农田施肥；设备冷却废水，循环使用不外排。</w:t>
            </w:r>
          </w:p>
          <w:p>
            <w:pPr>
              <w:keepNext w:val="0"/>
              <w:keepLines w:val="0"/>
              <w:widowControl/>
              <w:numPr>
                <w:ilvl w:val="0"/>
                <w:numId w:val="0"/>
              </w:numPr>
              <w:suppressLineNumbers w:val="0"/>
              <w:jc w:val="both"/>
              <w:rPr>
                <w:rFonts w:hint="eastAsia" w:ascii="仿宋" w:hAnsi="仿宋" w:eastAsia="仿宋"/>
                <w:sz w:val="24"/>
                <w:szCs w:val="24"/>
              </w:rPr>
            </w:pPr>
            <w:r>
              <w:rPr>
                <w:rFonts w:hint="eastAsia" w:ascii="仿宋" w:hAnsi="仿宋" w:eastAsia="仿宋" w:cs="Times New Roman"/>
                <w:sz w:val="24"/>
                <w:szCs w:val="24"/>
                <w:lang w:val="en-US" w:eastAsia="zh-CN"/>
              </w:rPr>
              <w:t>3.</w:t>
            </w:r>
            <w:r>
              <w:rPr>
                <w:rFonts w:hint="eastAsia" w:ascii="仿宋" w:hAnsi="仿宋" w:eastAsia="仿宋"/>
                <w:sz w:val="24"/>
                <w:szCs w:val="24"/>
              </w:rPr>
              <w:t>噪声。采取选用低噪声设备，室内布置</w:t>
            </w:r>
            <w:r>
              <w:rPr>
                <w:rFonts w:hint="eastAsia" w:ascii="仿宋" w:hAnsi="仿宋" w:eastAsia="仿宋"/>
                <w:sz w:val="24"/>
                <w:szCs w:val="24"/>
                <w:lang w:eastAsia="zh-CN"/>
              </w:rPr>
              <w:t>，</w:t>
            </w:r>
            <w:r>
              <w:rPr>
                <w:rFonts w:hint="eastAsia" w:ascii="仿宋" w:hAnsi="仿宋" w:eastAsia="仿宋"/>
                <w:sz w:val="24"/>
                <w:szCs w:val="24"/>
                <w:lang w:val="en-US" w:eastAsia="zh-CN"/>
              </w:rPr>
              <w:t>加装</w:t>
            </w:r>
            <w:r>
              <w:rPr>
                <w:rFonts w:hint="eastAsia" w:ascii="仿宋" w:hAnsi="仿宋" w:eastAsia="仿宋"/>
                <w:sz w:val="24"/>
                <w:szCs w:val="24"/>
              </w:rPr>
              <w:t>减振基础等降噪措施，厂界</w:t>
            </w:r>
            <w:r>
              <w:rPr>
                <w:rFonts w:hint="eastAsia" w:ascii="仿宋" w:hAnsi="仿宋" w:eastAsia="仿宋"/>
                <w:sz w:val="24"/>
                <w:szCs w:val="24"/>
                <w:lang w:eastAsia="zh-CN"/>
              </w:rPr>
              <w:t>环境</w:t>
            </w:r>
            <w:r>
              <w:rPr>
                <w:rFonts w:hint="eastAsia" w:ascii="仿宋" w:hAnsi="仿宋" w:eastAsia="仿宋"/>
                <w:sz w:val="24"/>
                <w:szCs w:val="24"/>
              </w:rPr>
              <w:t>噪声应满足《工业企业厂界环境噪声排放标准》（GB12348-2008）</w:t>
            </w:r>
            <w:r>
              <w:rPr>
                <w:rFonts w:hint="eastAsia" w:ascii="仿宋" w:hAnsi="仿宋" w:eastAsia="仿宋"/>
                <w:sz w:val="24"/>
                <w:szCs w:val="24"/>
                <w:lang w:val="en-US" w:eastAsia="zh-CN"/>
              </w:rPr>
              <w:t>2</w:t>
            </w:r>
            <w:r>
              <w:rPr>
                <w:rFonts w:hint="eastAsia" w:ascii="仿宋" w:hAnsi="仿宋" w:eastAsia="仿宋"/>
                <w:sz w:val="24"/>
                <w:szCs w:val="24"/>
              </w:rPr>
              <w:t>类标准要求。</w:t>
            </w:r>
          </w:p>
          <w:p>
            <w:pPr>
              <w:autoSpaceDN w:val="0"/>
              <w:spacing w:line="300" w:lineRule="exact"/>
              <w:jc w:val="both"/>
              <w:rPr>
                <w:rFonts w:ascii="仿宋" w:hAnsi="仿宋" w:eastAsia="仿宋"/>
                <w:sz w:val="24"/>
                <w:szCs w:val="24"/>
              </w:rPr>
            </w:pPr>
            <w:r>
              <w:rPr>
                <w:rFonts w:hint="eastAsia" w:ascii="仿宋" w:hAnsi="仿宋" w:eastAsia="仿宋"/>
                <w:sz w:val="24"/>
                <w:szCs w:val="24"/>
                <w:lang w:val="en-US" w:eastAsia="zh-CN"/>
              </w:rPr>
              <w:t>4</w:t>
            </w:r>
            <w:r>
              <w:rPr>
                <w:rFonts w:hint="eastAsia" w:ascii="仿宋" w:hAnsi="仿宋" w:eastAsia="仿宋"/>
                <w:sz w:val="24"/>
                <w:szCs w:val="24"/>
              </w:rPr>
              <w:t>.固废。固体废物全部妥善和安全处置，各类固体废物贮存、处置应满足《危险废物贮存污染控制标准》（GB18597-20</w:t>
            </w:r>
            <w:r>
              <w:rPr>
                <w:rFonts w:hint="eastAsia" w:ascii="仿宋" w:hAnsi="仿宋" w:eastAsia="仿宋"/>
                <w:sz w:val="24"/>
                <w:szCs w:val="24"/>
                <w:lang w:val="en-US" w:eastAsia="zh-CN"/>
              </w:rPr>
              <w:t>23</w:t>
            </w:r>
            <w:r>
              <w:rPr>
                <w:rFonts w:hint="eastAsia" w:ascii="仿宋" w:hAnsi="仿宋" w:eastAsia="仿宋"/>
                <w:sz w:val="24"/>
                <w:szCs w:val="24"/>
              </w:rPr>
              <w:t>）、《一般工业固体废物贮存和填埋污染控制标准》（GB18599-2020）相关要求。</w:t>
            </w:r>
          </w:p>
        </w:tc>
      </w:tr>
    </w:tbl>
    <w:p>
      <w:pPr>
        <w:keepNext w:val="0"/>
        <w:keepLines w:val="0"/>
        <w:pageBreakBefore w:val="0"/>
        <w:widowControl w:val="0"/>
        <w:kinsoku/>
        <w:wordWrap/>
        <w:overflowPunct/>
        <w:topLinePunct w:val="0"/>
        <w:autoSpaceDE/>
        <w:autoSpaceDN w:val="0"/>
        <w:bidi w:val="0"/>
        <w:spacing w:line="460" w:lineRule="exact"/>
        <w:ind w:firstLine="642" w:firstLineChars="200"/>
        <w:textAlignment w:val="auto"/>
        <w:rPr>
          <w:rFonts w:ascii="仿宋_GB2312" w:hAnsi="仿宋_GB2312" w:eastAsia="仿宋_GB2312"/>
          <w:b/>
          <w:color w:val="auto"/>
          <w:sz w:val="32"/>
          <w:szCs w:val="22"/>
        </w:rPr>
      </w:pPr>
    </w:p>
    <w:p>
      <w:pPr>
        <w:keepNext w:val="0"/>
        <w:keepLines w:val="0"/>
        <w:pageBreakBefore w:val="0"/>
        <w:widowControl w:val="0"/>
        <w:kinsoku/>
        <w:wordWrap/>
        <w:overflowPunct/>
        <w:topLinePunct w:val="0"/>
        <w:autoSpaceDE/>
        <w:autoSpaceDN w:val="0"/>
        <w:bidi w:val="0"/>
        <w:spacing w:line="460" w:lineRule="exact"/>
        <w:ind w:firstLine="642" w:firstLineChars="200"/>
        <w:textAlignment w:val="auto"/>
        <w:rPr>
          <w:rFonts w:ascii="宋体" w:hAnsi="宋体"/>
          <w:color w:val="FF0000"/>
          <w:sz w:val="24"/>
        </w:rPr>
      </w:pPr>
      <w:r>
        <w:rPr>
          <w:rFonts w:ascii="仿宋_GB2312" w:hAnsi="仿宋_GB2312" w:eastAsia="仿宋_GB2312"/>
          <w:b/>
          <w:color w:val="auto"/>
          <w:sz w:val="32"/>
          <w:szCs w:val="22"/>
        </w:rPr>
        <w:t>拟对</w:t>
      </w:r>
      <w:r>
        <w:rPr>
          <w:rFonts w:hint="eastAsia" w:ascii="仿宋_GB2312" w:hAnsi="仿宋_GB2312" w:eastAsia="仿宋_GB2312"/>
          <w:b/>
          <w:color w:val="auto"/>
          <w:sz w:val="32"/>
          <w:szCs w:val="22"/>
          <w:lang w:val="en-US" w:eastAsia="zh-CN"/>
        </w:rPr>
        <w:t>焦作市宇康塑料制品有限公司年产30万只塑料瓶项目</w:t>
      </w:r>
      <w:r>
        <w:rPr>
          <w:rFonts w:ascii="仿宋_GB2312" w:hAnsi="仿宋_GB2312" w:eastAsia="仿宋_GB2312"/>
          <w:b/>
          <w:color w:val="auto"/>
          <w:sz w:val="32"/>
          <w:szCs w:val="22"/>
        </w:rPr>
        <w:t>环评批复如</w:t>
      </w:r>
      <w:r>
        <w:rPr>
          <w:rFonts w:ascii="仿宋_GB2312" w:hAnsi="仿宋_GB2312" w:eastAsia="仿宋_GB2312"/>
          <w:b/>
          <w:color w:val="auto"/>
          <w:sz w:val="32"/>
        </w:rPr>
        <w:t>下：</w:t>
      </w:r>
    </w:p>
    <w:p>
      <w:pPr>
        <w:keepNext w:val="0"/>
        <w:keepLines w:val="0"/>
        <w:pageBreakBefore w:val="0"/>
        <w:widowControl w:val="0"/>
        <w:numPr>
          <w:ilvl w:val="0"/>
          <w:numId w:val="2"/>
        </w:numPr>
        <w:kinsoku/>
        <w:wordWrap/>
        <w:overflowPunct/>
        <w:topLinePunct w:val="0"/>
        <w:autoSpaceDE/>
        <w:autoSpaceDN w:val="0"/>
        <w:bidi w:val="0"/>
        <w:adjustRightInd/>
        <w:snapToGrid/>
        <w:spacing w:line="440" w:lineRule="exact"/>
        <w:ind w:firstLine="640"/>
        <w:textAlignment w:val="auto"/>
        <w:rPr>
          <w:rFonts w:hint="eastAsia" w:ascii="仿宋" w:hAnsi="仿宋" w:eastAsia="仿宋"/>
          <w:sz w:val="32"/>
          <w:lang w:val="en-US" w:eastAsia="zh-CN"/>
        </w:rPr>
      </w:pPr>
      <w:r>
        <w:rPr>
          <w:rFonts w:hint="eastAsia" w:ascii="仿宋" w:hAnsi="仿宋" w:eastAsia="仿宋"/>
          <w:sz w:val="32"/>
          <w:lang w:val="en-US" w:eastAsia="zh-CN"/>
        </w:rPr>
        <w:t>项目位于焦作市修武县郇封镇南柳村，建设性质为扩建，总投资40万元。产品为塑料瓶，生产规模：30万只/年。生产工艺：PET</w:t>
      </w:r>
      <w:r>
        <w:rPr>
          <w:rFonts w:hint="eastAsia" w:ascii="仿宋" w:hAnsi="仿宋" w:eastAsia="仿宋"/>
          <w:sz w:val="32"/>
          <w:lang w:val="en-US" w:eastAsia="zh-CN"/>
        </w:rPr>
        <w:t>瓶胚上料-吹瓶-冷却脱模-包装-成品。主要生产设备吹瓶机、空压机、储气罐等。</w:t>
      </w:r>
    </w:p>
    <w:p>
      <w:pPr>
        <w:keepNext w:val="0"/>
        <w:keepLines w:val="0"/>
        <w:pageBreakBefore w:val="0"/>
        <w:widowControl w:val="0"/>
        <w:numPr>
          <w:ilvl w:val="0"/>
          <w:numId w:val="0"/>
        </w:numPr>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hint="eastAsia" w:ascii="仿宋" w:hAnsi="仿宋" w:eastAsia="仿宋"/>
          <w:sz w:val="32"/>
          <w:lang w:val="en-US" w:eastAsia="zh-CN"/>
        </w:rPr>
        <w:t>二、</w:t>
      </w:r>
      <w:r>
        <w:rPr>
          <w:rFonts w:hint="eastAsia" w:ascii="仿宋" w:hAnsi="仿宋" w:eastAsia="仿宋"/>
          <w:sz w:val="32"/>
        </w:rPr>
        <w:t>《</w:t>
      </w:r>
      <w:r>
        <w:rPr>
          <w:rFonts w:ascii="仿宋" w:hAnsi="仿宋" w:eastAsia="仿宋"/>
          <w:sz w:val="32"/>
        </w:rPr>
        <w:t>报告</w:t>
      </w:r>
      <w:r>
        <w:rPr>
          <w:rFonts w:hint="eastAsia" w:ascii="仿宋" w:hAnsi="仿宋" w:eastAsia="仿宋"/>
          <w:sz w:val="32"/>
          <w:lang w:val="en-US" w:eastAsia="zh-CN"/>
        </w:rPr>
        <w:t>表</w:t>
      </w:r>
      <w:r>
        <w:rPr>
          <w:rFonts w:ascii="仿宋" w:hAnsi="仿宋" w:eastAsia="仿宋"/>
          <w:sz w:val="32"/>
        </w:rPr>
        <w:t>》内容符合国家有关法律法规要求和建设项目环境管理规定，原则同意你</w:t>
      </w:r>
      <w:r>
        <w:rPr>
          <w:rFonts w:hint="eastAsia" w:ascii="仿宋" w:hAnsi="仿宋" w:eastAsia="仿宋"/>
          <w:sz w:val="32"/>
        </w:rPr>
        <w:t>公司</w:t>
      </w:r>
      <w:r>
        <w:rPr>
          <w:rFonts w:ascii="仿宋" w:hAnsi="仿宋" w:eastAsia="仿宋"/>
          <w:sz w:val="32"/>
        </w:rPr>
        <w:t>按照《报告</w:t>
      </w:r>
      <w:r>
        <w:rPr>
          <w:rFonts w:hint="eastAsia" w:ascii="仿宋" w:hAnsi="仿宋" w:eastAsia="仿宋"/>
          <w:sz w:val="32"/>
          <w:lang w:val="en-US" w:eastAsia="zh-CN"/>
        </w:rPr>
        <w:t>表</w:t>
      </w:r>
      <w:r>
        <w:rPr>
          <w:rFonts w:ascii="仿宋" w:hAnsi="仿宋" w:eastAsia="仿宋"/>
          <w:sz w:val="32"/>
        </w:rPr>
        <w:t>》中所列项目的性质、规模、地点、采用的工艺和环境保护对策措施进行建设。</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ascii="仿宋" w:hAnsi="仿宋" w:eastAsia="仿宋"/>
          <w:sz w:val="32"/>
        </w:rPr>
        <w:t>三、你公司应向社会公众主动公开经批准的《报告</w:t>
      </w:r>
      <w:r>
        <w:rPr>
          <w:rFonts w:hint="eastAsia" w:ascii="仿宋" w:hAnsi="仿宋" w:eastAsia="仿宋"/>
          <w:sz w:val="32"/>
          <w:lang w:val="en-US" w:eastAsia="zh-CN"/>
        </w:rPr>
        <w:t>表</w:t>
      </w:r>
      <w:r>
        <w:rPr>
          <w:rFonts w:ascii="仿宋" w:hAnsi="仿宋" w:eastAsia="仿宋"/>
          <w:sz w:val="32"/>
        </w:rPr>
        <w:t>》，并接受相关方的咨询。</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ascii="仿宋" w:hAnsi="仿宋" w:eastAsia="仿宋"/>
          <w:sz w:val="32"/>
        </w:rPr>
        <w:t>四、你公司应全面落实《报告</w:t>
      </w:r>
      <w:r>
        <w:rPr>
          <w:rFonts w:hint="eastAsia" w:ascii="仿宋" w:hAnsi="仿宋" w:eastAsia="仿宋"/>
          <w:sz w:val="32"/>
          <w:lang w:val="en-US" w:eastAsia="zh-CN"/>
        </w:rPr>
        <w:t>表</w:t>
      </w:r>
      <w:r>
        <w:rPr>
          <w:rFonts w:ascii="仿宋" w:hAnsi="仿宋" w:eastAsia="仿宋"/>
          <w:sz w:val="32"/>
        </w:rPr>
        <w:t>》提出的各项环保对策措施，确保各项环境保护设施与主体工程同时设计、同时施工、同时投产使用，各项污染物达标排放,确保环境安全。</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ascii="仿宋" w:hAnsi="仿宋" w:eastAsia="仿宋"/>
          <w:sz w:val="32"/>
        </w:rPr>
        <w:t>（一）按照《报告</w:t>
      </w:r>
      <w:r>
        <w:rPr>
          <w:rFonts w:hint="eastAsia" w:ascii="仿宋" w:hAnsi="仿宋" w:eastAsia="仿宋"/>
          <w:sz w:val="32"/>
          <w:lang w:val="en-US" w:eastAsia="zh-CN"/>
        </w:rPr>
        <w:t>表</w:t>
      </w:r>
      <w:r>
        <w:rPr>
          <w:rFonts w:ascii="仿宋" w:hAnsi="仿宋" w:eastAsia="仿宋"/>
          <w:sz w:val="32"/>
        </w:rPr>
        <w:t>》和本批复文件要求，根据环境保护设计规范要求进行项目设计，落实防治环境污染和生态破坏的措施以及环保设施投资概算。</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ascii="仿宋" w:hAnsi="仿宋" w:eastAsia="仿宋"/>
          <w:sz w:val="32"/>
        </w:rPr>
        <w:t>（二）依据《报告</w:t>
      </w:r>
      <w:r>
        <w:rPr>
          <w:rFonts w:hint="eastAsia" w:ascii="仿宋" w:hAnsi="仿宋" w:eastAsia="仿宋"/>
          <w:sz w:val="32"/>
          <w:lang w:val="en-US" w:eastAsia="zh-CN"/>
        </w:rPr>
        <w:t>表</w:t>
      </w:r>
      <w:r>
        <w:rPr>
          <w:rFonts w:ascii="仿宋" w:hAnsi="仿宋" w:eastAsia="仿宋"/>
          <w:sz w:val="32"/>
        </w:rPr>
        <w:t>》和本批复文件，对项目建设过程中产生的废</w:t>
      </w:r>
      <w:r>
        <w:rPr>
          <w:rFonts w:hint="eastAsia" w:ascii="仿宋" w:hAnsi="仿宋" w:eastAsia="仿宋"/>
          <w:sz w:val="32"/>
          <w:lang w:eastAsia="zh-CN"/>
        </w:rPr>
        <w:t>气</w:t>
      </w:r>
      <w:r>
        <w:rPr>
          <w:rFonts w:ascii="仿宋" w:hAnsi="仿宋" w:eastAsia="仿宋"/>
          <w:sz w:val="32"/>
        </w:rPr>
        <w:t>、废</w:t>
      </w:r>
      <w:r>
        <w:rPr>
          <w:rFonts w:hint="eastAsia" w:ascii="仿宋" w:hAnsi="仿宋" w:eastAsia="仿宋"/>
          <w:sz w:val="32"/>
          <w:lang w:eastAsia="zh-CN"/>
        </w:rPr>
        <w:t>水</w:t>
      </w:r>
      <w:r>
        <w:rPr>
          <w:rFonts w:ascii="仿宋" w:hAnsi="仿宋" w:eastAsia="仿宋"/>
          <w:sz w:val="32"/>
        </w:rPr>
        <w:t>、固体废物、噪声等污染，以及因施工对自然生态环境造成的破坏，采取相应的防治措施。</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lang w:val="en-US" w:eastAsia="zh-CN"/>
        </w:rPr>
      </w:pPr>
      <w:r>
        <w:rPr>
          <w:rFonts w:hint="eastAsia" w:ascii="仿宋" w:hAnsi="仿宋" w:eastAsia="仿宋"/>
          <w:sz w:val="32"/>
          <w:lang w:val="en-US" w:eastAsia="zh-CN"/>
        </w:rPr>
        <w:t>（三）项目运行时，外排污染物应满足以下要求：</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lang w:val="en-US" w:eastAsia="zh-CN"/>
        </w:rPr>
      </w:pPr>
      <w:r>
        <w:rPr>
          <w:rFonts w:hint="eastAsia" w:ascii="仿宋" w:hAnsi="仿宋" w:eastAsia="仿宋"/>
          <w:sz w:val="32"/>
          <w:lang w:val="en-US" w:eastAsia="zh-CN"/>
        </w:rPr>
        <w:t>1.废气。吹塑成型工序产生的废气，经“集气风管+活性炭吸附装置+15m高排气筒（DA002）”达标排放。未被集气系统收集到的废气，采取增强设备的密闭性，定期检查集气装置集气效率，车间内安装视频监控，设置运行台账等措施，降低对周围环境的影响。废气经相应污染治理措施处理后达标排放，应满足《合成树脂工业污染物排放标准》GB31572-2015（含2024年修改单）、《河南省重污染天气重点行业应急减排措施制定技术指南（2024年修订版）》中“塑料制品企业”绩效分级A级企业、《挥发性有机物无组织排放控制标准》（GB37822-2019）、《关于全省开展工业企业挥发性有机物专项治理工作中排放建议值的通知》（豫环攻坚办〔2017〕162号）等相关污染因子控制排放要求。</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lang w:val="en-US" w:eastAsia="zh-CN"/>
        </w:rPr>
      </w:pPr>
      <w:r>
        <w:rPr>
          <w:rFonts w:hint="eastAsia" w:ascii="仿宋" w:hAnsi="仿宋" w:eastAsia="仿宋"/>
          <w:sz w:val="32"/>
          <w:lang w:val="en-US" w:eastAsia="zh-CN"/>
        </w:rPr>
        <w:t>2.废水。生活污水，化粪池处理后用于农田施肥；设备冷却废水，循环使用不外排。</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lang w:val="en-US" w:eastAsia="zh-CN"/>
        </w:rPr>
      </w:pPr>
      <w:r>
        <w:rPr>
          <w:rFonts w:hint="eastAsia" w:ascii="仿宋" w:hAnsi="仿宋" w:eastAsia="仿宋"/>
          <w:sz w:val="32"/>
          <w:lang w:val="en-US" w:eastAsia="zh-CN"/>
        </w:rPr>
        <w:t>3.噪声。采取选用低噪声设备，室内布置，加装减振基础等降噪措施，厂界环境噪声应满足《工业企业厂界环境噪声排放标准》（GB12348-2008）2类标准要求。</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rPr>
      </w:pPr>
      <w:r>
        <w:rPr>
          <w:rFonts w:hint="eastAsia" w:ascii="仿宋" w:hAnsi="仿宋" w:eastAsia="仿宋"/>
          <w:sz w:val="32"/>
          <w:lang w:val="en-US" w:eastAsia="zh-CN"/>
        </w:rPr>
        <w:t>4.固废。固体废物全部妥善和安全处置，各类固体废物贮存、处置应满足《危险废物贮存污染控制标准》（GB18597-2023）、《一般工业固体废物贮存和填埋污染控制标准》（GB18599-2020）相关要求。</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rPr>
      </w:pPr>
      <w:r>
        <w:rPr>
          <w:rFonts w:hint="eastAsia" w:ascii="仿宋" w:hAnsi="仿宋" w:eastAsia="仿宋"/>
          <w:sz w:val="32"/>
        </w:rPr>
        <w:t>（四）落实土壤及地下水污染防治措施，采取源头控制、分区防渗等措施，加强厂区周围土壤及地下水水质监控，严防土壤和地下水污染。</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rPr>
      </w:pPr>
      <w:r>
        <w:rPr>
          <w:rFonts w:hint="eastAsia" w:ascii="仿宋" w:hAnsi="仿宋" w:eastAsia="仿宋"/>
          <w:sz w:val="32"/>
        </w:rPr>
        <w:t>（五）落实环境风险防范措施，严防环境污染事故发生。</w:t>
      </w:r>
    </w:p>
    <w:p>
      <w:pPr>
        <w:keepNext w:val="0"/>
        <w:keepLines w:val="0"/>
        <w:pageBreakBefore w:val="0"/>
        <w:widowControl w:val="0"/>
        <w:kinsoku/>
        <w:wordWrap/>
        <w:overflowPunct/>
        <w:topLinePunct w:val="0"/>
        <w:autoSpaceDE/>
        <w:bidi w:val="0"/>
        <w:adjustRightInd/>
        <w:snapToGrid/>
        <w:spacing w:line="440" w:lineRule="exact"/>
        <w:ind w:firstLine="640" w:firstLineChars="200"/>
        <w:textAlignment w:val="auto"/>
        <w:rPr>
          <w:rFonts w:hint="eastAsia" w:ascii="仿宋" w:hAnsi="仿宋" w:eastAsia="仿宋"/>
          <w:sz w:val="32"/>
          <w:lang w:val="en-US" w:eastAsia="zh-CN"/>
        </w:rPr>
      </w:pPr>
      <w:r>
        <w:rPr>
          <w:rFonts w:hint="eastAsia" w:ascii="仿宋" w:hAnsi="仿宋" w:eastAsia="仿宋"/>
          <w:sz w:val="32"/>
          <w:lang w:val="en-US" w:eastAsia="zh-CN"/>
        </w:rPr>
        <w:t>（六）</w:t>
      </w:r>
      <w:r>
        <w:rPr>
          <w:rFonts w:hint="default" w:ascii="Times New Roman" w:hAnsi="Times New Roman" w:eastAsia="仿宋" w:cs="Times New Roman"/>
          <w:sz w:val="32"/>
          <w:szCs w:val="32"/>
          <w:lang w:val="en-US" w:eastAsia="zh-CN"/>
        </w:rPr>
        <w:t>该项目污染</w:t>
      </w:r>
      <w:bookmarkStart w:id="0" w:name="_GoBack"/>
      <w:bookmarkEnd w:id="0"/>
      <w:r>
        <w:rPr>
          <w:rFonts w:hint="default" w:ascii="Times New Roman" w:hAnsi="Times New Roman" w:eastAsia="仿宋" w:cs="Times New Roman"/>
          <w:sz w:val="32"/>
          <w:szCs w:val="32"/>
          <w:lang w:val="en-US" w:eastAsia="zh-CN"/>
        </w:rPr>
        <w:t>物总量</w:t>
      </w:r>
      <w:r>
        <w:rPr>
          <w:rFonts w:hint="default" w:ascii="仿宋" w:hAnsi="仿宋" w:eastAsia="仿宋"/>
          <w:sz w:val="32"/>
          <w:lang w:val="en-US" w:eastAsia="zh-CN"/>
        </w:rPr>
        <w:t>控制指标为</w:t>
      </w:r>
      <w:r>
        <w:rPr>
          <w:rFonts w:hint="eastAsia" w:ascii="仿宋" w:hAnsi="仿宋" w:eastAsia="仿宋"/>
          <w:sz w:val="32"/>
          <w:lang w:val="en-US" w:eastAsia="zh-CN"/>
        </w:rPr>
        <w:t>废气</w:t>
      </w:r>
      <w:r>
        <w:rPr>
          <w:rFonts w:hint="default" w:ascii="仿宋" w:hAnsi="仿宋" w:eastAsia="仿宋"/>
          <w:sz w:val="32"/>
          <w:lang w:val="en-US" w:eastAsia="zh-CN"/>
        </w:rPr>
        <w:t>：</w:t>
      </w:r>
      <w:r>
        <w:rPr>
          <w:rFonts w:hint="eastAsia" w:ascii="仿宋" w:hAnsi="仿宋" w:eastAsia="仿宋"/>
          <w:sz w:val="32"/>
          <w:lang w:val="en-US" w:eastAsia="zh-CN"/>
        </w:rPr>
        <w:t>非甲烷总烃0.023t/a。本次工程完成后全厂污染物总量控制指标为废气：非甲烷总烃0.024t/a。</w:t>
      </w:r>
    </w:p>
    <w:p>
      <w:pPr>
        <w:rPr>
          <w:rFonts w:hint="eastAsia" w:ascii="仿宋" w:hAnsi="仿宋" w:eastAsia="仿宋"/>
          <w:sz w:val="32"/>
          <w:lang w:val="en-US" w:eastAsia="zh-CN"/>
        </w:rPr>
      </w:pPr>
    </w:p>
    <w:sectPr>
      <w:pgSz w:w="16838" w:h="11906" w:orient="landscape"/>
      <w:pgMar w:top="1800" w:right="1440" w:bottom="1486"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00007A87" w:usb1="80000000" w:usb2="00000008" w:usb3="00000000" w:csb0="400001FF" w:csb1="FFFF0000"/>
  </w:font>
  <w:font w:name="宋体">
    <w:panose1 w:val="02010600030101010101"/>
    <w:charset w:val="EE"/>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隶书_GBK">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65D9F4"/>
    <w:multiLevelType w:val="singleLevel"/>
    <w:tmpl w:val="8E65D9F4"/>
    <w:lvl w:ilvl="0" w:tentative="0">
      <w:start w:val="1"/>
      <w:numFmt w:val="chineseCounting"/>
      <w:suff w:val="nothing"/>
      <w:lvlText w:val="%1、"/>
      <w:lvlJc w:val="left"/>
      <w:pPr>
        <w:ind w:left="-10"/>
      </w:pPr>
      <w:rPr>
        <w:rFonts w:hint="eastAsia"/>
      </w:rPr>
    </w:lvl>
  </w:abstractNum>
  <w:abstractNum w:abstractNumId="1">
    <w:nsid w:val="69018947"/>
    <w:multiLevelType w:val="singleLevel"/>
    <w:tmpl w:val="69018947"/>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NjZjA5MjdkMTNkNmYwMTRjMmZkMGVjNjBkZGE4YmQifQ=="/>
  </w:docVars>
  <w:rsids>
    <w:rsidRoot w:val="00172A27"/>
    <w:rsid w:val="00024709"/>
    <w:rsid w:val="000F68E9"/>
    <w:rsid w:val="00235E07"/>
    <w:rsid w:val="00DB20F6"/>
    <w:rsid w:val="00E51CC5"/>
    <w:rsid w:val="0126618A"/>
    <w:rsid w:val="012918ED"/>
    <w:rsid w:val="01B06EF5"/>
    <w:rsid w:val="023D34D7"/>
    <w:rsid w:val="0255217B"/>
    <w:rsid w:val="02963131"/>
    <w:rsid w:val="02C91B14"/>
    <w:rsid w:val="031876EE"/>
    <w:rsid w:val="035F182D"/>
    <w:rsid w:val="037D2D94"/>
    <w:rsid w:val="03BE3B52"/>
    <w:rsid w:val="04190476"/>
    <w:rsid w:val="04526978"/>
    <w:rsid w:val="04B92A3C"/>
    <w:rsid w:val="04BD7506"/>
    <w:rsid w:val="04CD5020"/>
    <w:rsid w:val="05502AD1"/>
    <w:rsid w:val="056F6F00"/>
    <w:rsid w:val="05C669DE"/>
    <w:rsid w:val="06D0475B"/>
    <w:rsid w:val="071E6B17"/>
    <w:rsid w:val="07CC0190"/>
    <w:rsid w:val="086A54C9"/>
    <w:rsid w:val="08E51BC3"/>
    <w:rsid w:val="0A0E6974"/>
    <w:rsid w:val="0B7D7413"/>
    <w:rsid w:val="0F4F5509"/>
    <w:rsid w:val="0F911044"/>
    <w:rsid w:val="10486BCC"/>
    <w:rsid w:val="10665A8F"/>
    <w:rsid w:val="10AF71CF"/>
    <w:rsid w:val="10C36A15"/>
    <w:rsid w:val="11BD491D"/>
    <w:rsid w:val="12B929BE"/>
    <w:rsid w:val="13E2466A"/>
    <w:rsid w:val="13ED065E"/>
    <w:rsid w:val="14B60DC7"/>
    <w:rsid w:val="14C74BBE"/>
    <w:rsid w:val="1505030C"/>
    <w:rsid w:val="15072263"/>
    <w:rsid w:val="158C212B"/>
    <w:rsid w:val="161E416A"/>
    <w:rsid w:val="16775464"/>
    <w:rsid w:val="16A023D8"/>
    <w:rsid w:val="16EF4516"/>
    <w:rsid w:val="179C32DF"/>
    <w:rsid w:val="18385C6F"/>
    <w:rsid w:val="18A52CE5"/>
    <w:rsid w:val="18A614BC"/>
    <w:rsid w:val="18EB2382"/>
    <w:rsid w:val="19841D0D"/>
    <w:rsid w:val="1B905A26"/>
    <w:rsid w:val="1BAE7CE8"/>
    <w:rsid w:val="1C34148C"/>
    <w:rsid w:val="1C9E2C3E"/>
    <w:rsid w:val="1D3D066A"/>
    <w:rsid w:val="1DAB4250"/>
    <w:rsid w:val="1DC81A61"/>
    <w:rsid w:val="1DFF73D8"/>
    <w:rsid w:val="1E324BE9"/>
    <w:rsid w:val="1F0A49D2"/>
    <w:rsid w:val="1FD54DF7"/>
    <w:rsid w:val="20D73D20"/>
    <w:rsid w:val="211406DC"/>
    <w:rsid w:val="21606F74"/>
    <w:rsid w:val="22173DF2"/>
    <w:rsid w:val="2352501A"/>
    <w:rsid w:val="24517BC7"/>
    <w:rsid w:val="27562D2E"/>
    <w:rsid w:val="291F7E5A"/>
    <w:rsid w:val="29250D5D"/>
    <w:rsid w:val="29657727"/>
    <w:rsid w:val="298E37DF"/>
    <w:rsid w:val="29D36658"/>
    <w:rsid w:val="29FA6796"/>
    <w:rsid w:val="2A2E63F8"/>
    <w:rsid w:val="2CA2642C"/>
    <w:rsid w:val="2CD640B0"/>
    <w:rsid w:val="2DDD490C"/>
    <w:rsid w:val="2E731311"/>
    <w:rsid w:val="2EA72220"/>
    <w:rsid w:val="2EAB7659"/>
    <w:rsid w:val="2FC23563"/>
    <w:rsid w:val="30463F89"/>
    <w:rsid w:val="30C41F26"/>
    <w:rsid w:val="310D5873"/>
    <w:rsid w:val="31244FA0"/>
    <w:rsid w:val="315D3740"/>
    <w:rsid w:val="320E5ED2"/>
    <w:rsid w:val="32C0431C"/>
    <w:rsid w:val="33F05B15"/>
    <w:rsid w:val="34D00BCD"/>
    <w:rsid w:val="34D136C0"/>
    <w:rsid w:val="353F481F"/>
    <w:rsid w:val="367C6ADA"/>
    <w:rsid w:val="37F90696"/>
    <w:rsid w:val="388B2796"/>
    <w:rsid w:val="38D8347D"/>
    <w:rsid w:val="39223A4B"/>
    <w:rsid w:val="39505E8B"/>
    <w:rsid w:val="3A347756"/>
    <w:rsid w:val="3A6A7D68"/>
    <w:rsid w:val="3AC21CBC"/>
    <w:rsid w:val="3B651D43"/>
    <w:rsid w:val="3B6911DC"/>
    <w:rsid w:val="3BE70E0D"/>
    <w:rsid w:val="3C6B2E1E"/>
    <w:rsid w:val="3C7C5114"/>
    <w:rsid w:val="3D8F2351"/>
    <w:rsid w:val="3E990FD1"/>
    <w:rsid w:val="3E9FBE91"/>
    <w:rsid w:val="3EE619FA"/>
    <w:rsid w:val="3F6D4062"/>
    <w:rsid w:val="3F983332"/>
    <w:rsid w:val="40186409"/>
    <w:rsid w:val="40DB4443"/>
    <w:rsid w:val="41BE2E83"/>
    <w:rsid w:val="43BB6DDF"/>
    <w:rsid w:val="44E010D8"/>
    <w:rsid w:val="46027F62"/>
    <w:rsid w:val="465A6194"/>
    <w:rsid w:val="4672380C"/>
    <w:rsid w:val="47663361"/>
    <w:rsid w:val="48974239"/>
    <w:rsid w:val="48A10C68"/>
    <w:rsid w:val="490315D5"/>
    <w:rsid w:val="4A8C5C0A"/>
    <w:rsid w:val="4C6D6A6A"/>
    <w:rsid w:val="4E17678F"/>
    <w:rsid w:val="4E6857AA"/>
    <w:rsid w:val="514D43BD"/>
    <w:rsid w:val="5218516A"/>
    <w:rsid w:val="528B7562"/>
    <w:rsid w:val="52CE0438"/>
    <w:rsid w:val="52FF4DE6"/>
    <w:rsid w:val="53AA2A5C"/>
    <w:rsid w:val="54521413"/>
    <w:rsid w:val="54A55EF8"/>
    <w:rsid w:val="54FE711A"/>
    <w:rsid w:val="56052975"/>
    <w:rsid w:val="578552FC"/>
    <w:rsid w:val="5792036A"/>
    <w:rsid w:val="57A16045"/>
    <w:rsid w:val="58EE2B34"/>
    <w:rsid w:val="598E1342"/>
    <w:rsid w:val="5A5771F3"/>
    <w:rsid w:val="5A5A2831"/>
    <w:rsid w:val="5AE77C67"/>
    <w:rsid w:val="5BA871B9"/>
    <w:rsid w:val="5BC5494C"/>
    <w:rsid w:val="5BFB3F1E"/>
    <w:rsid w:val="5CAC586B"/>
    <w:rsid w:val="5ED729FF"/>
    <w:rsid w:val="5EF77927"/>
    <w:rsid w:val="5EFEEC21"/>
    <w:rsid w:val="5F041F46"/>
    <w:rsid w:val="5F0846E4"/>
    <w:rsid w:val="5F1F5606"/>
    <w:rsid w:val="5F275C5F"/>
    <w:rsid w:val="5F5B4DD9"/>
    <w:rsid w:val="5F724EA5"/>
    <w:rsid w:val="5FAD0340"/>
    <w:rsid w:val="5FBF930C"/>
    <w:rsid w:val="5FFCA70E"/>
    <w:rsid w:val="5FFD10B4"/>
    <w:rsid w:val="604C6B8B"/>
    <w:rsid w:val="608019A3"/>
    <w:rsid w:val="614D5D3C"/>
    <w:rsid w:val="642546A3"/>
    <w:rsid w:val="648A2879"/>
    <w:rsid w:val="64DA6081"/>
    <w:rsid w:val="65860BAA"/>
    <w:rsid w:val="68332962"/>
    <w:rsid w:val="683A3F7B"/>
    <w:rsid w:val="683F728B"/>
    <w:rsid w:val="68694414"/>
    <w:rsid w:val="687412E9"/>
    <w:rsid w:val="696C0341"/>
    <w:rsid w:val="6A0473BA"/>
    <w:rsid w:val="6B066E90"/>
    <w:rsid w:val="6B6F7B30"/>
    <w:rsid w:val="6BBD351C"/>
    <w:rsid w:val="6BC871B5"/>
    <w:rsid w:val="6C1001E7"/>
    <w:rsid w:val="6C222E7D"/>
    <w:rsid w:val="6C6D2176"/>
    <w:rsid w:val="6CC17B2F"/>
    <w:rsid w:val="6D0430AE"/>
    <w:rsid w:val="6DE52501"/>
    <w:rsid w:val="6E33613C"/>
    <w:rsid w:val="6E56722F"/>
    <w:rsid w:val="6EF42770"/>
    <w:rsid w:val="70170261"/>
    <w:rsid w:val="708D2BAE"/>
    <w:rsid w:val="71045729"/>
    <w:rsid w:val="71F10796"/>
    <w:rsid w:val="728B530B"/>
    <w:rsid w:val="754937FF"/>
    <w:rsid w:val="755C5264"/>
    <w:rsid w:val="756605B9"/>
    <w:rsid w:val="75B81421"/>
    <w:rsid w:val="75F24811"/>
    <w:rsid w:val="75FFE778"/>
    <w:rsid w:val="765421B1"/>
    <w:rsid w:val="766A7AA1"/>
    <w:rsid w:val="769D7D4B"/>
    <w:rsid w:val="772F26E2"/>
    <w:rsid w:val="77640984"/>
    <w:rsid w:val="7811546E"/>
    <w:rsid w:val="782C4C49"/>
    <w:rsid w:val="783B3C00"/>
    <w:rsid w:val="78F1288B"/>
    <w:rsid w:val="7900580B"/>
    <w:rsid w:val="79680A3E"/>
    <w:rsid w:val="7A516152"/>
    <w:rsid w:val="7AF112B3"/>
    <w:rsid w:val="7AFE4466"/>
    <w:rsid w:val="7B852066"/>
    <w:rsid w:val="7BC3D60C"/>
    <w:rsid w:val="7DA44071"/>
    <w:rsid w:val="7DB801AC"/>
    <w:rsid w:val="7DF72931"/>
    <w:rsid w:val="7E487708"/>
    <w:rsid w:val="7E6F2A98"/>
    <w:rsid w:val="7EAC6151"/>
    <w:rsid w:val="7ED6300D"/>
    <w:rsid w:val="7F491443"/>
    <w:rsid w:val="7F8E40FE"/>
    <w:rsid w:val="93FE2B1B"/>
    <w:rsid w:val="ADFB5EEB"/>
    <w:rsid w:val="BBF5C754"/>
    <w:rsid w:val="BEEF260C"/>
    <w:rsid w:val="D93D45F6"/>
    <w:rsid w:val="DA6F2D7C"/>
    <w:rsid w:val="DF7BDFD2"/>
    <w:rsid w:val="DFDF21B1"/>
    <w:rsid w:val="DFFB65C7"/>
    <w:rsid w:val="F1BF67B3"/>
    <w:rsid w:val="F5FB8A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Normal Indent"/>
    <w:basedOn w:val="1"/>
    <w:qFormat/>
    <w:uiPriority w:val="0"/>
    <w:pPr>
      <w:snapToGrid w:val="0"/>
      <w:spacing w:line="560" w:lineRule="exact"/>
      <w:ind w:firstLine="567"/>
    </w:pPr>
    <w:rPr>
      <w:rFonts w:ascii="宋体" w:hAnsi="Arial"/>
      <w:kern w:val="0"/>
      <w:sz w:val="28"/>
      <w:szCs w:val="20"/>
    </w:rPr>
  </w:style>
  <w:style w:type="paragraph" w:styleId="3">
    <w:name w:val="Block Text"/>
    <w:basedOn w:val="1"/>
    <w:next w:val="1"/>
    <w:qFormat/>
    <w:uiPriority w:val="0"/>
    <w:pPr>
      <w:autoSpaceDE w:val="0"/>
      <w:autoSpaceDN w:val="0"/>
      <w:adjustRightInd w:val="0"/>
      <w:spacing w:before="1" w:line="537" w:lineRule="exact"/>
      <w:ind w:left="88" w:right="6"/>
    </w:pPr>
    <w:rPr>
      <w:rFonts w:ascii="Calibri" w:hAnsi="Calibri"/>
      <w:color w:val="000000"/>
      <w:kern w:val="0"/>
      <w:sz w:val="2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font11"/>
    <w:basedOn w:val="6"/>
    <w:qFormat/>
    <w:uiPriority w:val="0"/>
    <w:rPr>
      <w:rFonts w:hint="eastAsia" w:ascii="宋体" w:hAnsi="宋体" w:eastAsia="宋体" w:cs="宋体"/>
      <w:color w:val="000000"/>
      <w:sz w:val="22"/>
      <w:szCs w:val="22"/>
      <w:u w:val="none"/>
    </w:rPr>
  </w:style>
  <w:style w:type="character" w:customStyle="1" w:styleId="8">
    <w:name w:val="font01"/>
    <w:basedOn w:val="6"/>
    <w:qFormat/>
    <w:uiPriority w:val="0"/>
    <w:rPr>
      <w:rFonts w:hint="eastAsia" w:ascii="宋体" w:hAnsi="宋体" w:eastAsia="宋体" w:cs="宋体"/>
      <w:color w:val="000000"/>
      <w:sz w:val="22"/>
      <w:szCs w:val="22"/>
      <w:u w:val="none"/>
      <w:vertAlign w:val="superscript"/>
    </w:rPr>
  </w:style>
  <w:style w:type="paragraph" w:customStyle="1" w:styleId="9">
    <w:name w:val="WPS Plain"/>
    <w:qFormat/>
    <w:uiPriority w:val="0"/>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196</Words>
  <Characters>214</Characters>
  <Lines>1</Lines>
  <Paragraphs>1</Paragraphs>
  <TotalTime>1</TotalTime>
  <ScaleCrop>false</ScaleCrop>
  <LinksUpToDate>false</LinksUpToDate>
  <CharactersWithSpaces>214</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2020-03-23T16:55:00Z</dcterms:created>
  <dc:creator>Administrator</dc:creator>
  <cp:lastModifiedBy>uos</cp:lastModifiedBy>
  <cp:lastPrinted>2025-07-30T17:44:00Z</cp:lastPrinted>
  <dcterms:modified xsi:type="dcterms:W3CDTF">2025-10-29T15:43:08Z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BA666442DB59428E9867F06FA53CC74D</vt:lpwstr>
  </property>
</Properties>
</file>