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8C5686">
      <w:pPr>
        <w:keepNext w:val="0"/>
        <w:keepLines w:val="0"/>
        <w:pageBreakBefore w:val="0"/>
        <w:kinsoku/>
        <w:wordWrap/>
        <w:overflowPunct/>
        <w:topLinePunct w:val="0"/>
        <w:autoSpaceDE/>
        <w:autoSpaceDN/>
        <w:bidi w:val="0"/>
        <w:spacing w:before="0" w:beforeLines="0" w:line="500" w:lineRule="exact"/>
        <w:ind w:left="0" w:leftChars="0" w:firstLine="0" w:firstLineChars="0"/>
        <w:jc w:val="both"/>
        <w:rPr>
          <w:rFonts w:hint="eastAsia" w:ascii="方正小标宋简体" w:hAnsi="方正小标宋简体" w:eastAsia="方正小标宋简体" w:cs="方正小标宋简体"/>
          <w:kern w:val="0"/>
          <w:sz w:val="44"/>
          <w:szCs w:val="44"/>
        </w:rPr>
      </w:pPr>
    </w:p>
    <w:p w14:paraId="3A6B94BE">
      <w:pPr>
        <w:keepNext w:val="0"/>
        <w:keepLines w:val="0"/>
        <w:pageBreakBefore w:val="0"/>
        <w:kinsoku/>
        <w:wordWrap/>
        <w:overflowPunct/>
        <w:topLinePunct w:val="0"/>
        <w:autoSpaceDE/>
        <w:autoSpaceDN/>
        <w:bidi w:val="0"/>
        <w:spacing w:before="0" w:beforeLines="0" w:line="500" w:lineRule="exact"/>
        <w:ind w:left="0" w:leftChars="0" w:firstLine="0" w:firstLineChars="0"/>
        <w:jc w:val="both"/>
        <w:rPr>
          <w:rFonts w:hint="eastAsia" w:ascii="方正小标宋简体" w:hAnsi="方正小标宋简体" w:eastAsia="方正小标宋简体" w:cs="方正小标宋简体"/>
          <w:kern w:val="0"/>
          <w:sz w:val="44"/>
          <w:szCs w:val="44"/>
        </w:rPr>
      </w:pPr>
    </w:p>
    <w:p w14:paraId="74FEE3F5">
      <w:pPr>
        <w:keepNext w:val="0"/>
        <w:keepLines w:val="0"/>
        <w:pageBreakBefore w:val="0"/>
        <w:widowControl/>
        <w:suppressLineNumbers w:val="0"/>
        <w:kinsoku/>
        <w:wordWrap/>
        <w:overflowPunct/>
        <w:topLinePunct w:val="0"/>
        <w:autoSpaceDE/>
        <w:autoSpaceDN/>
        <w:bidi w:val="0"/>
        <w:adjustRightInd/>
        <w:snapToGrid/>
        <w:spacing w:before="0" w:beforeLines="0" w:line="600" w:lineRule="exact"/>
        <w:ind w:left="0" w:leftChars="0" w:firstLine="0" w:firstLineChars="0"/>
        <w:jc w:val="center"/>
        <w:textAlignment w:val="bottom"/>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lang w:val="en-US" w:eastAsia="zh-CN"/>
        </w:rPr>
        <w:t>焦作市生态环境局</w:t>
      </w:r>
    </w:p>
    <w:p w14:paraId="2596B4B0">
      <w:pPr>
        <w:keepNext w:val="0"/>
        <w:keepLines w:val="0"/>
        <w:pageBreakBefore w:val="0"/>
        <w:widowControl/>
        <w:suppressLineNumbers w:val="0"/>
        <w:kinsoku/>
        <w:wordWrap/>
        <w:overflowPunct/>
        <w:topLinePunct w:val="0"/>
        <w:autoSpaceDE/>
        <w:autoSpaceDN/>
        <w:bidi w:val="0"/>
        <w:adjustRightInd/>
        <w:snapToGrid/>
        <w:spacing w:before="0" w:beforeLines="0" w:line="600" w:lineRule="exact"/>
        <w:ind w:left="0" w:leftChars="0" w:firstLine="0" w:firstLineChars="0"/>
        <w:jc w:val="center"/>
        <w:textAlignment w:val="bottom"/>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lang w:val="en-US" w:eastAsia="zh-CN"/>
        </w:rPr>
        <w:t>行政处罚决定书</w:t>
      </w:r>
    </w:p>
    <w:p w14:paraId="0E47C759">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50" w:after="0" w:afterLines="0" w:line="570" w:lineRule="exact"/>
        <w:ind w:right="0" w:rightChars="0"/>
        <w:jc w:val="center"/>
        <w:textAlignment w:val="bottom"/>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焦环罚</w:t>
      </w:r>
      <w:r>
        <w:rPr>
          <w:rFonts w:hint="eastAsia" w:ascii="Times New Roman" w:hAnsi="Times New Roman" w:eastAsia="FangSong_GB2312" w:cs="Times New Roman"/>
          <w:sz w:val="32"/>
          <w:szCs w:val="32"/>
          <w:lang w:val="en-US" w:eastAsia="zh-CN"/>
        </w:rPr>
        <w:t>〔2025〕</w:t>
      </w:r>
      <w:r>
        <w:rPr>
          <w:rFonts w:hint="eastAsia" w:cs="Times New Roman"/>
          <w:sz w:val="32"/>
          <w:szCs w:val="32"/>
          <w:lang w:val="en-US" w:eastAsia="zh-CN"/>
        </w:rPr>
        <w:t>309</w:t>
      </w:r>
      <w:r>
        <w:rPr>
          <w:rFonts w:hint="eastAsia" w:ascii="仿宋_GB2312" w:hAnsi="仿宋_GB2312" w:eastAsia="仿宋_GB2312" w:cs="仿宋_GB2312"/>
          <w:lang w:val="en-US" w:eastAsia="zh-CN"/>
        </w:rPr>
        <w:t>号</w:t>
      </w:r>
    </w:p>
    <w:p w14:paraId="464DFDD8">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right="0" w:rightChars="0"/>
        <w:jc w:val="both"/>
        <w:textAlignment w:val="bottom"/>
        <w:rPr>
          <w:rFonts w:hint="eastAsia" w:ascii="FangSong_GB2312" w:hAnsi="FangSong_GB2312" w:eastAsia="FangSong_GB2312" w:cs="FangSong_GB2312"/>
          <w:sz w:val="44"/>
          <w:szCs w:val="44"/>
          <w:lang w:val="en-US" w:eastAsia="zh-CN"/>
        </w:rPr>
      </w:pPr>
    </w:p>
    <w:p w14:paraId="51170FC5">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94" w:lineRule="exact"/>
        <w:ind w:right="0" w:rightChars="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温县亚明化工有限公司</w:t>
      </w:r>
    </w:p>
    <w:p w14:paraId="1D5CE95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94" w:lineRule="exact"/>
        <w:ind w:right="0" w:rightChars="0"/>
        <w:jc w:val="both"/>
        <w:textAlignment w:val="bottom"/>
        <w:rPr>
          <w:rFonts w:hint="eastAsia" w:ascii="仿宋_GB2312" w:hAnsi="仿宋_GB2312" w:cs="仿宋_GB2312"/>
          <w:sz w:val="32"/>
          <w:szCs w:val="32"/>
          <w:lang w:val="en-US" w:eastAsia="zh-CN"/>
        </w:rPr>
      </w:pPr>
      <w:r>
        <w:rPr>
          <w:rFonts w:hint="eastAsia" w:ascii="仿宋_GB2312" w:hAnsi="仿宋_GB2312" w:eastAsia="仿宋_GB2312" w:cs="仿宋_GB2312"/>
          <w:sz w:val="32"/>
          <w:szCs w:val="32"/>
        </w:rPr>
        <w:t>统一社会信用代码：</w:t>
      </w:r>
      <w:r>
        <w:rPr>
          <w:rFonts w:hint="eastAsia" w:ascii="Times New Roman" w:hAnsi="Times New Roman" w:eastAsia="仿宋_GB2312" w:cs="Times New Roman"/>
          <w:kern w:val="2"/>
          <w:sz w:val="32"/>
          <w:szCs w:val="32"/>
          <w:u w:val="none" w:color="auto"/>
          <w:lang w:val="en-US" w:eastAsia="zh-CN" w:bidi="ar-SA"/>
        </w:rPr>
        <w:t>91410825672892160N</w:t>
      </w:r>
    </w:p>
    <w:p w14:paraId="32D0256D">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94" w:lineRule="exact"/>
        <w:ind w:right="0" w:rightChars="0"/>
        <w:jc w:val="both"/>
        <w:textAlignment w:val="bottom"/>
        <w:rPr>
          <w:rFonts w:hint="eastAsia" w:ascii="仿宋_GB2312" w:hAnsi="仿宋_GB2312" w:cs="仿宋_GB2312"/>
          <w:sz w:val="32"/>
          <w:szCs w:val="32"/>
          <w:lang w:val="en-US" w:eastAsia="zh-CN"/>
        </w:rPr>
      </w:pPr>
      <w:r>
        <w:rPr>
          <w:rFonts w:hint="eastAsia" w:ascii="仿宋_GB2312" w:hAnsi="仿宋_GB2312" w:eastAsia="仿宋_GB2312" w:cs="仿宋_GB2312"/>
          <w:sz w:val="32"/>
          <w:szCs w:val="32"/>
        </w:rPr>
        <w:t>地址：</w:t>
      </w:r>
      <w:r>
        <w:rPr>
          <w:rFonts w:hint="eastAsia" w:ascii="仿宋_GB2312" w:hAnsi="仿宋_GB2312" w:cs="仿宋_GB2312"/>
          <w:sz w:val="32"/>
          <w:szCs w:val="32"/>
          <w:lang w:val="en-US" w:eastAsia="zh-CN"/>
        </w:rPr>
        <w:t>温县谷黄路东段</w:t>
      </w:r>
    </w:p>
    <w:p w14:paraId="033A7A34">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94" w:lineRule="exact"/>
        <w:ind w:right="0" w:rightChars="0"/>
        <w:jc w:val="both"/>
        <w:textAlignment w:val="bottom"/>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法定代表人（负责人）：</w:t>
      </w:r>
      <w:r>
        <w:rPr>
          <w:rFonts w:hint="eastAsia" w:ascii="仿宋_GB2312" w:hAnsi="仿宋_GB2312" w:cs="仿宋_GB2312"/>
          <w:sz w:val="32"/>
          <w:szCs w:val="32"/>
          <w:lang w:val="en-US" w:eastAsia="zh-CN"/>
        </w:rPr>
        <w:t>邵明阁</w:t>
      </w:r>
      <w:bookmarkStart w:id="0" w:name="_GoBack"/>
      <w:bookmarkEnd w:id="0"/>
    </w:p>
    <w:p w14:paraId="0AC8D6E5">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一、环境违法事实和证据</w:t>
      </w:r>
    </w:p>
    <w:p w14:paraId="6E0CCB13">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我局执法人员在对你公司检查时发现，你公司目前有两个建设项目，分别是年产</w:t>
      </w:r>
      <w:r>
        <w:rPr>
          <w:rFonts w:hint="eastAsia" w:ascii="Times New Roman" w:hAnsi="Times New Roman" w:eastAsia="仿宋_GB2312" w:cs="Times New Roman"/>
          <w:kern w:val="2"/>
          <w:sz w:val="32"/>
          <w:szCs w:val="32"/>
          <w:u w:val="none" w:color="auto"/>
          <w:lang w:val="en-US" w:eastAsia="zh-CN" w:bidi="ar-SA"/>
        </w:rPr>
        <w:t>4000</w:t>
      </w:r>
      <w:r>
        <w:rPr>
          <w:rFonts w:hint="eastAsia" w:ascii="仿宋_GB2312" w:hAnsi="仿宋_GB2312" w:cs="仿宋_GB2312"/>
          <w:sz w:val="32"/>
          <w:szCs w:val="32"/>
          <w:lang w:val="en-US" w:eastAsia="zh-CN"/>
        </w:rPr>
        <w:t>吨氯化石蜡项目和年产</w:t>
      </w:r>
      <w:r>
        <w:rPr>
          <w:rFonts w:hint="eastAsia" w:ascii="Times New Roman" w:hAnsi="Times New Roman" w:eastAsia="仿宋_GB2312" w:cs="Times New Roman"/>
          <w:kern w:val="2"/>
          <w:sz w:val="32"/>
          <w:szCs w:val="32"/>
          <w:u w:val="none" w:color="auto"/>
          <w:lang w:val="en-US" w:eastAsia="zh-CN" w:bidi="ar-SA"/>
        </w:rPr>
        <w:t>30000</w:t>
      </w:r>
      <w:r>
        <w:rPr>
          <w:rFonts w:hint="eastAsia" w:ascii="仿宋_GB2312" w:hAnsi="仿宋_GB2312" w:cs="仿宋_GB2312"/>
          <w:sz w:val="32"/>
          <w:szCs w:val="32"/>
          <w:lang w:val="en-US" w:eastAsia="zh-CN"/>
        </w:rPr>
        <w:t>吨聚合氯化铝项目。年产</w:t>
      </w:r>
      <w:r>
        <w:rPr>
          <w:rFonts w:hint="eastAsia" w:ascii="Times New Roman" w:hAnsi="Times New Roman" w:eastAsia="仿宋_GB2312" w:cs="Times New Roman"/>
          <w:kern w:val="2"/>
          <w:sz w:val="32"/>
          <w:szCs w:val="32"/>
          <w:u w:val="none" w:color="auto"/>
          <w:lang w:val="en-US" w:eastAsia="zh-CN" w:bidi="ar-SA"/>
        </w:rPr>
        <w:t>4000</w:t>
      </w:r>
      <w:r>
        <w:rPr>
          <w:rFonts w:hint="eastAsia" w:ascii="仿宋_GB2312" w:hAnsi="仿宋_GB2312" w:cs="仿宋_GB2312"/>
          <w:sz w:val="32"/>
          <w:szCs w:val="32"/>
          <w:lang w:val="en-US" w:eastAsia="zh-CN"/>
        </w:rPr>
        <w:t>吨氯化石蜡项目于</w:t>
      </w:r>
      <w:r>
        <w:rPr>
          <w:rFonts w:hint="eastAsia" w:ascii="Times New Roman" w:hAnsi="Times New Roman" w:eastAsia="仿宋_GB2312" w:cs="Times New Roman"/>
          <w:kern w:val="2"/>
          <w:sz w:val="32"/>
          <w:szCs w:val="32"/>
          <w:u w:val="none" w:color="auto"/>
          <w:lang w:val="en-US" w:eastAsia="zh-CN" w:bidi="ar-SA"/>
        </w:rPr>
        <w:t>2007</w:t>
      </w:r>
      <w:r>
        <w:rPr>
          <w:rFonts w:hint="eastAsia" w:ascii="仿宋_GB2312" w:hAnsi="仿宋_GB2312" w:cs="仿宋_GB2312"/>
          <w:sz w:val="32"/>
          <w:szCs w:val="32"/>
          <w:lang w:val="en-US" w:eastAsia="zh-CN"/>
        </w:rPr>
        <w:t>年</w:t>
      </w:r>
      <w:r>
        <w:rPr>
          <w:rFonts w:hint="eastAsia" w:ascii="Times New Roman" w:hAnsi="Times New Roman" w:eastAsia="仿宋_GB2312" w:cs="Times New Roman"/>
          <w:kern w:val="2"/>
          <w:sz w:val="32"/>
          <w:szCs w:val="32"/>
          <w:u w:val="none" w:color="auto"/>
          <w:lang w:val="en-US" w:eastAsia="zh-CN" w:bidi="ar-SA"/>
        </w:rPr>
        <w:t>5</w:t>
      </w:r>
      <w:r>
        <w:rPr>
          <w:rFonts w:hint="eastAsia" w:ascii="仿宋_GB2312" w:hAnsi="仿宋_GB2312" w:cs="仿宋_GB2312"/>
          <w:sz w:val="32"/>
          <w:szCs w:val="32"/>
          <w:lang w:val="en-US" w:eastAsia="zh-CN"/>
        </w:rPr>
        <w:t>月环境影响评价表审批，批复文号焦环评表字</w:t>
      </w:r>
      <w:r>
        <w:rPr>
          <w:rFonts w:hint="eastAsia" w:ascii="Times New Roman" w:hAnsi="Times New Roman" w:eastAsia="仿宋_GB2312" w:cs="Times New Roman"/>
          <w:kern w:val="2"/>
          <w:sz w:val="32"/>
          <w:szCs w:val="32"/>
          <w:u w:val="none" w:color="auto"/>
          <w:lang w:val="en-US" w:eastAsia="zh-CN" w:bidi="ar-SA"/>
        </w:rPr>
        <w:t>[2007]62</w:t>
      </w:r>
      <w:r>
        <w:rPr>
          <w:rFonts w:hint="eastAsia" w:ascii="仿宋_GB2312" w:hAnsi="仿宋_GB2312" w:cs="仿宋_GB2312"/>
          <w:sz w:val="32"/>
          <w:szCs w:val="32"/>
          <w:lang w:val="en-US" w:eastAsia="zh-CN"/>
        </w:rPr>
        <w:t>号，主要产品为氯化石蜡，副产品为</w:t>
      </w:r>
      <w:r>
        <w:rPr>
          <w:rFonts w:hint="eastAsia" w:ascii="Times New Roman" w:hAnsi="Times New Roman" w:eastAsia="仿宋_GB2312" w:cs="Times New Roman"/>
          <w:kern w:val="2"/>
          <w:sz w:val="32"/>
          <w:szCs w:val="32"/>
          <w:u w:val="none" w:color="auto"/>
          <w:lang w:val="en-US" w:eastAsia="zh-CN" w:bidi="ar-SA"/>
        </w:rPr>
        <w:t>25%</w:t>
      </w:r>
      <w:r>
        <w:rPr>
          <w:rFonts w:hint="eastAsia" w:ascii="仿宋_GB2312" w:hAnsi="仿宋_GB2312" w:cs="仿宋_GB2312"/>
          <w:sz w:val="32"/>
          <w:szCs w:val="32"/>
          <w:lang w:val="en-US" w:eastAsia="zh-CN"/>
        </w:rPr>
        <w:t>的盐酸和12%的次氯酸钠，</w:t>
      </w:r>
      <w:r>
        <w:rPr>
          <w:rFonts w:hint="eastAsia" w:ascii="Times New Roman" w:hAnsi="Times New Roman" w:eastAsia="仿宋_GB2312" w:cs="Times New Roman"/>
          <w:kern w:val="2"/>
          <w:sz w:val="32"/>
          <w:szCs w:val="32"/>
          <w:u w:val="none" w:color="auto"/>
          <w:lang w:val="en-US" w:eastAsia="zh-CN" w:bidi="ar-SA"/>
        </w:rPr>
        <w:t>2011</w:t>
      </w:r>
      <w:r>
        <w:rPr>
          <w:rFonts w:hint="eastAsia" w:ascii="仿宋_GB2312" w:hAnsi="仿宋_GB2312" w:cs="仿宋_GB2312"/>
          <w:sz w:val="32"/>
          <w:szCs w:val="32"/>
          <w:lang w:val="en-US" w:eastAsia="zh-CN"/>
        </w:rPr>
        <w:t>年完成项目环境保护竣工验收；年产</w:t>
      </w:r>
      <w:r>
        <w:rPr>
          <w:rFonts w:hint="eastAsia" w:ascii="Times New Roman" w:hAnsi="Times New Roman" w:eastAsia="仿宋_GB2312" w:cs="Times New Roman"/>
          <w:kern w:val="2"/>
          <w:sz w:val="32"/>
          <w:szCs w:val="32"/>
          <w:u w:val="none" w:color="auto"/>
          <w:lang w:val="en-US" w:eastAsia="zh-CN" w:bidi="ar-SA"/>
        </w:rPr>
        <w:t>30000</w:t>
      </w:r>
      <w:r>
        <w:rPr>
          <w:rFonts w:hint="eastAsia" w:ascii="仿宋_GB2312" w:hAnsi="仿宋_GB2312" w:cs="仿宋_GB2312"/>
          <w:sz w:val="32"/>
          <w:szCs w:val="32"/>
          <w:lang w:val="en-US" w:eastAsia="zh-CN"/>
        </w:rPr>
        <w:t>吨聚合氯化铝项目于</w:t>
      </w:r>
      <w:r>
        <w:rPr>
          <w:rFonts w:hint="eastAsia" w:ascii="Times New Roman" w:hAnsi="Times New Roman" w:eastAsia="仿宋_GB2312" w:cs="Times New Roman"/>
          <w:kern w:val="2"/>
          <w:sz w:val="32"/>
          <w:szCs w:val="32"/>
          <w:u w:val="none" w:color="auto"/>
          <w:lang w:val="en-US" w:eastAsia="zh-CN" w:bidi="ar-SA"/>
        </w:rPr>
        <w:t>2016</w:t>
      </w:r>
      <w:r>
        <w:rPr>
          <w:rFonts w:hint="eastAsia" w:ascii="仿宋_GB2312" w:hAnsi="仿宋_GB2312" w:cs="仿宋_GB2312"/>
          <w:sz w:val="32"/>
          <w:szCs w:val="32"/>
          <w:lang w:val="en-US" w:eastAsia="zh-CN"/>
        </w:rPr>
        <w:t>年</w:t>
      </w:r>
      <w:r>
        <w:rPr>
          <w:rFonts w:hint="eastAsia" w:ascii="Times New Roman" w:hAnsi="Times New Roman" w:eastAsia="仿宋_GB2312" w:cs="Times New Roman"/>
          <w:kern w:val="2"/>
          <w:sz w:val="32"/>
          <w:szCs w:val="32"/>
          <w:u w:val="none" w:color="auto"/>
          <w:lang w:val="en-US" w:eastAsia="zh-CN" w:bidi="ar-SA"/>
        </w:rPr>
        <w:t>11</w:t>
      </w:r>
      <w:r>
        <w:rPr>
          <w:rFonts w:hint="eastAsia" w:ascii="仿宋_GB2312" w:hAnsi="仿宋_GB2312" w:cs="仿宋_GB2312"/>
          <w:sz w:val="32"/>
          <w:szCs w:val="32"/>
          <w:lang w:val="en-US" w:eastAsia="zh-CN"/>
        </w:rPr>
        <w:t>月完成建设项目现状环境影响评估。氯化石蜡生产工艺为：以氯化反应釜作为主反应器，后接两个副反应釜，以吸收反应釜中未反应的氯气，尾气中的HCL制成盐酸。聚合氯化铝的生产工艺为外购氯酸钙粉和氯化石蜡项目产生的盐酸反应经沉淀烘干成成品。检查时该公司氯化石蜡项目正在生产，聚合氯化铝项目未生产。你公司排污许可证管理类别为重点管理，通过核查你公司排污许可证发现，你公司已按要求建立了基本信息台账、自行检测记录台账、固废台账记录、生产设施台账、污染防治设施运行台账等，但是未建立辅料稳定剂的台账记录，并且未按要求建立环境管理台账记录制度。</w:t>
      </w:r>
      <w:r>
        <w:rPr>
          <w:rFonts w:hint="eastAsia" w:ascii="Times New Roman" w:hAnsi="Times New Roman" w:eastAsia="仿宋_GB2312" w:cs="Times New Roman"/>
          <w:kern w:val="2"/>
          <w:sz w:val="32"/>
          <w:szCs w:val="32"/>
          <w:u w:val="none" w:color="auto"/>
          <w:lang w:val="en-US" w:eastAsia="zh-CN" w:bidi="ar-SA"/>
        </w:rPr>
        <w:t>2025</w:t>
      </w:r>
      <w:r>
        <w:rPr>
          <w:rFonts w:hint="eastAsia" w:ascii="仿宋_GB2312" w:hAnsi="仿宋_GB2312" w:cs="仿宋_GB2312"/>
          <w:sz w:val="32"/>
          <w:szCs w:val="32"/>
          <w:lang w:val="en-US" w:eastAsia="zh-CN"/>
        </w:rPr>
        <w:t>年</w:t>
      </w:r>
      <w:r>
        <w:rPr>
          <w:rFonts w:hint="eastAsia" w:ascii="Times New Roman" w:hAnsi="Times New Roman" w:eastAsia="仿宋_GB2312" w:cs="Times New Roman"/>
          <w:kern w:val="2"/>
          <w:sz w:val="32"/>
          <w:szCs w:val="32"/>
          <w:u w:val="none" w:color="auto"/>
          <w:lang w:val="en-US" w:eastAsia="zh-CN" w:bidi="ar-SA"/>
        </w:rPr>
        <w:t>8</w:t>
      </w:r>
      <w:r>
        <w:rPr>
          <w:rFonts w:hint="eastAsia" w:ascii="仿宋_GB2312" w:hAnsi="仿宋_GB2312" w:cs="仿宋_GB2312"/>
          <w:sz w:val="32"/>
          <w:szCs w:val="32"/>
          <w:lang w:val="en-US" w:eastAsia="zh-CN"/>
        </w:rPr>
        <w:t>月</w:t>
      </w:r>
      <w:r>
        <w:rPr>
          <w:rFonts w:hint="eastAsia" w:ascii="Times New Roman" w:hAnsi="Times New Roman" w:eastAsia="仿宋_GB2312" w:cs="Times New Roman"/>
          <w:kern w:val="2"/>
          <w:sz w:val="32"/>
          <w:szCs w:val="32"/>
          <w:u w:val="none" w:color="auto"/>
          <w:lang w:val="en-US" w:eastAsia="zh-CN" w:bidi="ar-SA"/>
        </w:rPr>
        <w:t>25</w:t>
      </w:r>
      <w:r>
        <w:rPr>
          <w:rFonts w:hint="eastAsia" w:ascii="仿宋_GB2312" w:hAnsi="仿宋_GB2312" w:cs="仿宋_GB2312"/>
          <w:sz w:val="32"/>
          <w:szCs w:val="32"/>
          <w:lang w:val="en-US" w:eastAsia="zh-CN"/>
        </w:rPr>
        <w:t>日经执法人员指出后，</w:t>
      </w:r>
      <w:r>
        <w:rPr>
          <w:rFonts w:hint="eastAsia" w:ascii="Times New Roman" w:hAnsi="Times New Roman" w:eastAsia="仿宋_GB2312" w:cs="Times New Roman"/>
          <w:kern w:val="2"/>
          <w:sz w:val="32"/>
          <w:szCs w:val="32"/>
          <w:u w:val="none" w:color="auto"/>
          <w:lang w:val="en-US" w:eastAsia="zh-CN" w:bidi="ar-SA"/>
        </w:rPr>
        <w:t>2025</w:t>
      </w:r>
      <w:r>
        <w:rPr>
          <w:rFonts w:hint="eastAsia" w:ascii="仿宋_GB2312" w:hAnsi="仿宋_GB2312" w:cs="仿宋_GB2312"/>
          <w:sz w:val="32"/>
          <w:szCs w:val="32"/>
          <w:lang w:val="en-US" w:eastAsia="zh-CN"/>
        </w:rPr>
        <w:t>年</w:t>
      </w:r>
      <w:r>
        <w:rPr>
          <w:rFonts w:hint="eastAsia" w:ascii="Times New Roman" w:hAnsi="Times New Roman" w:eastAsia="仿宋_GB2312" w:cs="Times New Roman"/>
          <w:kern w:val="2"/>
          <w:sz w:val="32"/>
          <w:szCs w:val="32"/>
          <w:u w:val="none" w:color="auto"/>
          <w:lang w:val="en-US" w:eastAsia="zh-CN" w:bidi="ar-SA"/>
        </w:rPr>
        <w:t>9</w:t>
      </w:r>
      <w:r>
        <w:rPr>
          <w:rFonts w:hint="eastAsia" w:ascii="仿宋_GB2312" w:hAnsi="仿宋_GB2312" w:cs="仿宋_GB2312"/>
          <w:sz w:val="32"/>
          <w:szCs w:val="32"/>
          <w:lang w:val="en-US" w:eastAsia="zh-CN"/>
        </w:rPr>
        <w:t>月</w:t>
      </w:r>
      <w:r>
        <w:rPr>
          <w:rFonts w:hint="eastAsia" w:ascii="Times New Roman" w:hAnsi="Times New Roman" w:eastAsia="仿宋_GB2312" w:cs="Times New Roman"/>
          <w:kern w:val="2"/>
          <w:sz w:val="32"/>
          <w:szCs w:val="32"/>
          <w:u w:val="none" w:color="auto"/>
          <w:lang w:val="en-US" w:eastAsia="zh-CN" w:bidi="ar-SA"/>
        </w:rPr>
        <w:t>3</w:t>
      </w:r>
      <w:r>
        <w:rPr>
          <w:rFonts w:hint="eastAsia" w:ascii="仿宋_GB2312" w:hAnsi="仿宋_GB2312" w:cs="仿宋_GB2312"/>
          <w:sz w:val="32"/>
          <w:szCs w:val="32"/>
          <w:lang w:val="en-US" w:eastAsia="zh-CN"/>
        </w:rPr>
        <w:t>日现场检查时仍未改正。</w:t>
      </w:r>
    </w:p>
    <w:p w14:paraId="26A89C5E">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你公司上述行为违反了《排污许可管理条例》第二十一条第一款“排污公司应当建立环境管理台账记录制度，按照排污许可证规定的格式、内容和频次，如实记录主要生产设施、污染防治设施运行情况以及污染物排放浓度、排放量。环境管理台账记录保存期限不得少于</w:t>
      </w:r>
      <w:r>
        <w:rPr>
          <w:rFonts w:hint="eastAsia" w:ascii="Times New Roman" w:hAnsi="Times New Roman" w:eastAsia="仿宋_GB2312" w:cs="Times New Roman"/>
          <w:kern w:val="2"/>
          <w:sz w:val="32"/>
          <w:szCs w:val="32"/>
          <w:u w:val="none" w:color="auto"/>
          <w:lang w:val="en-US" w:eastAsia="zh-CN" w:bidi="ar-SA"/>
        </w:rPr>
        <w:t>5</w:t>
      </w:r>
      <w:r>
        <w:rPr>
          <w:rFonts w:hint="eastAsia" w:ascii="仿宋_GB2312" w:hAnsi="仿宋_GB2312" w:cs="仿宋_GB2312"/>
          <w:sz w:val="32"/>
          <w:szCs w:val="32"/>
          <w:lang w:val="en-US" w:eastAsia="zh-CN"/>
        </w:rPr>
        <w:t>年。”的有关规定。</w:t>
      </w:r>
    </w:p>
    <w:p w14:paraId="440FC6E5">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以上事实有以下证据：</w:t>
      </w:r>
    </w:p>
    <w:p w14:paraId="08FF29D9">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right="0" w:rightChars="0"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1.现场检查记录表（</w:t>
      </w:r>
      <w:r>
        <w:rPr>
          <w:rFonts w:hint="eastAsia" w:ascii="Times New Roman" w:hAnsi="Times New Roman" w:eastAsia="仿宋_GB2312" w:cs="Times New Roman"/>
          <w:kern w:val="2"/>
          <w:sz w:val="32"/>
          <w:szCs w:val="32"/>
          <w:u w:val="none" w:color="auto"/>
          <w:lang w:val="en-US" w:eastAsia="zh-CN" w:bidi="ar-SA"/>
        </w:rPr>
        <w:t>2025</w:t>
      </w:r>
      <w:r>
        <w:rPr>
          <w:rFonts w:hint="eastAsia" w:ascii="仿宋_GB2312" w:hAnsi="仿宋_GB2312" w:cs="仿宋_GB2312"/>
          <w:sz w:val="32"/>
          <w:szCs w:val="32"/>
          <w:lang w:val="en-US" w:eastAsia="zh-CN"/>
        </w:rPr>
        <w:t>年</w:t>
      </w:r>
      <w:r>
        <w:rPr>
          <w:rFonts w:hint="eastAsia" w:ascii="Times New Roman" w:hAnsi="Times New Roman" w:eastAsia="仿宋_GB2312" w:cs="Times New Roman"/>
          <w:kern w:val="2"/>
          <w:sz w:val="32"/>
          <w:szCs w:val="32"/>
          <w:u w:val="none" w:color="auto"/>
          <w:lang w:val="en-US" w:eastAsia="zh-CN" w:bidi="ar-SA"/>
        </w:rPr>
        <w:t>8</w:t>
      </w:r>
      <w:r>
        <w:rPr>
          <w:rFonts w:hint="eastAsia" w:ascii="仿宋_GB2312" w:hAnsi="仿宋_GB2312" w:cs="仿宋_GB2312"/>
          <w:sz w:val="32"/>
          <w:szCs w:val="32"/>
          <w:lang w:val="en-US" w:eastAsia="zh-CN"/>
        </w:rPr>
        <w:t>月25日、</w:t>
      </w:r>
      <w:r>
        <w:rPr>
          <w:rFonts w:hint="eastAsia" w:ascii="Times New Roman" w:hAnsi="Times New Roman" w:eastAsia="仿宋_GB2312" w:cs="Times New Roman"/>
          <w:kern w:val="2"/>
          <w:sz w:val="32"/>
          <w:szCs w:val="32"/>
          <w:u w:val="none" w:color="auto"/>
          <w:lang w:val="en-US" w:eastAsia="zh-CN" w:bidi="ar-SA"/>
        </w:rPr>
        <w:t>2025</w:t>
      </w:r>
      <w:r>
        <w:rPr>
          <w:rFonts w:hint="eastAsia" w:ascii="仿宋_GB2312" w:hAnsi="仿宋_GB2312" w:cs="仿宋_GB2312"/>
          <w:sz w:val="32"/>
          <w:szCs w:val="32"/>
          <w:lang w:val="en-US" w:eastAsia="zh-CN"/>
        </w:rPr>
        <w:t>年</w:t>
      </w:r>
      <w:r>
        <w:rPr>
          <w:rFonts w:hint="eastAsia" w:ascii="Times New Roman" w:hAnsi="Times New Roman" w:eastAsia="仿宋_GB2312" w:cs="Times New Roman"/>
          <w:kern w:val="2"/>
          <w:sz w:val="32"/>
          <w:szCs w:val="32"/>
          <w:u w:val="none" w:color="auto"/>
          <w:lang w:val="en-US" w:eastAsia="zh-CN" w:bidi="ar-SA"/>
        </w:rPr>
        <w:t>9</w:t>
      </w:r>
      <w:r>
        <w:rPr>
          <w:rFonts w:hint="eastAsia" w:ascii="仿宋_GB2312" w:hAnsi="仿宋_GB2312" w:cs="仿宋_GB2312"/>
          <w:sz w:val="32"/>
          <w:szCs w:val="32"/>
          <w:lang w:val="en-US" w:eastAsia="zh-CN"/>
        </w:rPr>
        <w:t>月</w:t>
      </w:r>
      <w:r>
        <w:rPr>
          <w:rFonts w:hint="eastAsia" w:ascii="Times New Roman" w:hAnsi="Times New Roman" w:eastAsia="仿宋_GB2312" w:cs="Times New Roman"/>
          <w:kern w:val="2"/>
          <w:sz w:val="32"/>
          <w:szCs w:val="32"/>
          <w:u w:val="none" w:color="auto"/>
          <w:lang w:val="en-US" w:eastAsia="zh-CN" w:bidi="ar-SA"/>
        </w:rPr>
        <w:t>3</w:t>
      </w:r>
      <w:r>
        <w:rPr>
          <w:rFonts w:hint="eastAsia" w:ascii="仿宋_GB2312" w:hAnsi="仿宋_GB2312" w:cs="仿宋_GB2312"/>
          <w:sz w:val="32"/>
          <w:szCs w:val="32"/>
          <w:lang w:val="en-US" w:eastAsia="zh-CN"/>
        </w:rPr>
        <w:t>日），证明你公司存在未建立辅料稳定剂的台账记录、未按要求建立环境管理台账记录制度的违法行为，且经执法人员指出后，</w:t>
      </w:r>
      <w:r>
        <w:rPr>
          <w:rFonts w:hint="eastAsia" w:ascii="Times New Roman" w:hAnsi="Times New Roman" w:eastAsia="仿宋_GB2312" w:cs="Times New Roman"/>
          <w:kern w:val="2"/>
          <w:sz w:val="32"/>
          <w:szCs w:val="32"/>
          <w:u w:val="none" w:color="auto"/>
          <w:lang w:val="en-US" w:eastAsia="zh-CN" w:bidi="ar-SA"/>
        </w:rPr>
        <w:t>5</w:t>
      </w:r>
      <w:r>
        <w:rPr>
          <w:rFonts w:hint="eastAsia" w:ascii="仿宋_GB2312" w:hAnsi="仿宋_GB2312" w:cs="仿宋_GB2312"/>
          <w:sz w:val="32"/>
          <w:szCs w:val="32"/>
          <w:lang w:val="en-US" w:eastAsia="zh-CN"/>
        </w:rPr>
        <w:t>日内仍未改正。</w:t>
      </w:r>
    </w:p>
    <w:p w14:paraId="556991E3">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rPr>
        <w:t>现场检查（勘察）笔录（</w:t>
      </w:r>
      <w:r>
        <w:rPr>
          <w:rFonts w:hint="eastAsia" w:ascii="Times New Roman" w:hAnsi="Times New Roman" w:eastAsia="仿宋_GB2312" w:cs="Times New Roman"/>
          <w:kern w:val="2"/>
          <w:sz w:val="32"/>
          <w:szCs w:val="32"/>
          <w:u w:val="none" w:color="auto"/>
          <w:lang w:val="en-US" w:eastAsia="zh-CN" w:bidi="ar-SA"/>
        </w:rPr>
        <w:t>2025</w:t>
      </w:r>
      <w:r>
        <w:rPr>
          <w:rFonts w:hint="eastAsia" w:ascii="仿宋_GB2312" w:hAnsi="仿宋_GB2312" w:eastAsia="仿宋_GB2312" w:cs="仿宋_GB2312"/>
          <w:sz w:val="32"/>
          <w:szCs w:val="32"/>
        </w:rPr>
        <w:t>年</w:t>
      </w:r>
      <w:r>
        <w:rPr>
          <w:rFonts w:hint="eastAsia" w:ascii="Times New Roman" w:hAnsi="Times New Roman" w:eastAsia="仿宋_GB2312" w:cs="Times New Roman"/>
          <w:kern w:val="2"/>
          <w:sz w:val="32"/>
          <w:szCs w:val="32"/>
          <w:u w:val="none" w:color="auto"/>
          <w:lang w:val="en-US" w:eastAsia="zh-CN" w:bidi="ar-SA"/>
        </w:rPr>
        <w:t>9</w:t>
      </w:r>
      <w:r>
        <w:rPr>
          <w:rFonts w:hint="eastAsia" w:ascii="仿宋_GB2312" w:hAnsi="仿宋_GB2312" w:eastAsia="仿宋_GB2312" w:cs="仿宋_GB2312"/>
          <w:sz w:val="32"/>
          <w:szCs w:val="32"/>
        </w:rPr>
        <w:t>月</w:t>
      </w:r>
      <w:r>
        <w:rPr>
          <w:rFonts w:hint="eastAsia" w:ascii="Times New Roman" w:hAnsi="Times New Roman" w:eastAsia="仿宋_GB2312" w:cs="Times New Roman"/>
          <w:kern w:val="2"/>
          <w:sz w:val="32"/>
          <w:szCs w:val="32"/>
          <w:u w:val="none" w:color="auto"/>
          <w:lang w:val="en-US" w:eastAsia="zh-CN" w:bidi="ar-SA"/>
        </w:rPr>
        <w:t>3</w:t>
      </w:r>
      <w:r>
        <w:rPr>
          <w:rFonts w:hint="eastAsia" w:ascii="仿宋_GB2312" w:hAnsi="仿宋_GB2312" w:eastAsia="仿宋_GB2312" w:cs="仿宋_GB2312"/>
          <w:sz w:val="32"/>
          <w:szCs w:val="32"/>
        </w:rPr>
        <w:t>日），证明你</w:t>
      </w:r>
      <w:r>
        <w:rPr>
          <w:rFonts w:hint="eastAsia" w:ascii="仿宋_GB2312" w:hAnsi="仿宋_GB2312" w:eastAsia="仿宋_GB2312" w:cs="仿宋_GB2312"/>
          <w:sz w:val="32"/>
          <w:szCs w:val="32"/>
          <w:lang w:eastAsia="zh-CN"/>
        </w:rPr>
        <w:t>公司</w:t>
      </w:r>
      <w:r>
        <w:rPr>
          <w:rFonts w:hint="eastAsia" w:ascii="FangSong_GB2312" w:hAnsi="FangSong_GB2312" w:eastAsia="FangSong_GB2312" w:cs="FangSong_GB2312"/>
          <w:color w:val="000000"/>
          <w:sz w:val="32"/>
          <w:szCs w:val="32"/>
          <w:highlight w:val="none"/>
          <w:u w:val="none"/>
          <w:lang w:val="en-US" w:eastAsia="zh-CN"/>
        </w:rPr>
        <w:t>未建立辅料稳定剂的台账记录，并且未按要求建立环境管理台账记录制度</w:t>
      </w:r>
      <w:r>
        <w:rPr>
          <w:rFonts w:hint="eastAsia" w:ascii="FangSong_GB2312" w:hAnsi="FangSong_GB2312" w:cs="FangSong_GB2312"/>
          <w:color w:val="000000"/>
          <w:sz w:val="32"/>
          <w:szCs w:val="32"/>
          <w:highlight w:val="none"/>
          <w:u w:val="none"/>
          <w:lang w:val="en-US" w:eastAsia="zh-CN"/>
        </w:rPr>
        <w:t>的违法行为</w:t>
      </w:r>
      <w:r>
        <w:rPr>
          <w:rFonts w:hint="eastAsia" w:ascii="FangSong_GB2312" w:hAnsi="FangSong_GB2312" w:eastAsia="FangSong_GB2312" w:cs="FangSong_GB2312"/>
          <w:color w:val="000000"/>
          <w:sz w:val="32"/>
          <w:szCs w:val="32"/>
          <w:highlight w:val="none"/>
          <w:u w:val="none"/>
          <w:lang w:val="en-US" w:eastAsia="zh-CN"/>
        </w:rPr>
        <w:t>，经执法人员指出后，</w:t>
      </w:r>
      <w:r>
        <w:rPr>
          <w:rFonts w:hint="eastAsia" w:ascii="Times New Roman" w:hAnsi="Times New Roman" w:eastAsia="仿宋_GB2312" w:cs="Times New Roman"/>
          <w:kern w:val="2"/>
          <w:sz w:val="32"/>
          <w:szCs w:val="32"/>
          <w:u w:val="none" w:color="auto"/>
          <w:lang w:val="en-US" w:eastAsia="zh-CN" w:bidi="ar-SA"/>
        </w:rPr>
        <w:t>5</w:t>
      </w:r>
      <w:r>
        <w:rPr>
          <w:rFonts w:hint="eastAsia" w:ascii="FangSong_GB2312" w:hAnsi="FangSong_GB2312" w:eastAsia="FangSong_GB2312" w:cs="FangSong_GB2312"/>
          <w:color w:val="000000"/>
          <w:sz w:val="32"/>
          <w:szCs w:val="32"/>
          <w:highlight w:val="none"/>
          <w:u w:val="none"/>
          <w:lang w:val="en-US" w:eastAsia="zh-CN"/>
        </w:rPr>
        <w:t>日内仍未改正</w:t>
      </w:r>
      <w:r>
        <w:rPr>
          <w:rFonts w:hint="eastAsia" w:ascii="仿宋_GB2312" w:hAnsi="仿宋_GB2312" w:cs="仿宋_GB2312"/>
          <w:sz w:val="32"/>
          <w:szCs w:val="32"/>
          <w:u w:val="none"/>
          <w:lang w:val="en-US" w:eastAsia="zh-CN"/>
        </w:rPr>
        <w:t>的行为</w:t>
      </w:r>
      <w:r>
        <w:rPr>
          <w:rFonts w:hint="eastAsia" w:ascii="仿宋_GB2312" w:hAnsi="仿宋_GB2312" w:cs="仿宋_GB2312"/>
          <w:sz w:val="32"/>
          <w:szCs w:val="32"/>
          <w:u w:val="none"/>
          <w:lang w:eastAsia="zh-CN"/>
        </w:rPr>
        <w:t>；</w:t>
      </w:r>
    </w:p>
    <w:p w14:paraId="77AA1EE6">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rPr>
        <w:t>调查询问笔录（</w:t>
      </w:r>
      <w:r>
        <w:rPr>
          <w:rFonts w:hint="eastAsia" w:ascii="Times New Roman" w:hAnsi="Times New Roman" w:eastAsia="仿宋_GB2312" w:cs="Times New Roman"/>
          <w:kern w:val="2"/>
          <w:sz w:val="32"/>
          <w:szCs w:val="32"/>
          <w:u w:val="none" w:color="auto"/>
          <w:lang w:val="en-US" w:eastAsia="zh-CN" w:bidi="ar-SA"/>
        </w:rPr>
        <w:t>2025</w:t>
      </w:r>
      <w:r>
        <w:rPr>
          <w:rFonts w:hint="eastAsia" w:ascii="仿宋_GB2312" w:hAnsi="仿宋_GB2312" w:eastAsia="仿宋_GB2312" w:cs="仿宋_GB2312"/>
          <w:sz w:val="32"/>
          <w:szCs w:val="32"/>
        </w:rPr>
        <w:t>年</w:t>
      </w:r>
      <w:r>
        <w:rPr>
          <w:rFonts w:hint="eastAsia" w:ascii="Times New Roman" w:hAnsi="Times New Roman" w:eastAsia="仿宋_GB2312" w:cs="Times New Roman"/>
          <w:kern w:val="2"/>
          <w:sz w:val="32"/>
          <w:szCs w:val="32"/>
          <w:u w:val="none" w:color="auto"/>
          <w:lang w:val="en-US" w:eastAsia="zh-CN" w:bidi="ar-SA"/>
        </w:rPr>
        <w:t>9</w:t>
      </w:r>
      <w:r>
        <w:rPr>
          <w:rFonts w:hint="eastAsia" w:ascii="仿宋_GB2312" w:hAnsi="仿宋_GB2312" w:eastAsia="仿宋_GB2312" w:cs="仿宋_GB2312"/>
          <w:sz w:val="32"/>
          <w:szCs w:val="32"/>
        </w:rPr>
        <w:t>月</w:t>
      </w:r>
      <w:r>
        <w:rPr>
          <w:rFonts w:hint="eastAsia" w:ascii="Times New Roman" w:hAnsi="Times New Roman" w:eastAsia="仿宋_GB2312" w:cs="Times New Roman"/>
          <w:kern w:val="2"/>
          <w:sz w:val="32"/>
          <w:szCs w:val="32"/>
          <w:u w:val="none" w:color="auto"/>
          <w:lang w:val="en-US" w:eastAsia="zh-CN" w:bidi="ar-SA"/>
        </w:rPr>
        <w:t>6</w:t>
      </w:r>
      <w:r>
        <w:rPr>
          <w:rFonts w:hint="eastAsia" w:ascii="仿宋_GB2312" w:hAnsi="仿宋_GB2312" w:eastAsia="仿宋_GB2312" w:cs="仿宋_GB2312"/>
          <w:sz w:val="32"/>
          <w:szCs w:val="32"/>
        </w:rPr>
        <w:t>日对你</w:t>
      </w:r>
      <w:r>
        <w:rPr>
          <w:rFonts w:hint="eastAsia" w:ascii="仿宋_GB2312" w:hAnsi="仿宋_GB2312" w:eastAsia="仿宋_GB2312" w:cs="仿宋_GB2312"/>
          <w:sz w:val="32"/>
          <w:szCs w:val="32"/>
          <w:lang w:eastAsia="zh-CN"/>
        </w:rPr>
        <w:t>公司</w:t>
      </w:r>
      <w:r>
        <w:rPr>
          <w:rFonts w:hint="eastAsia" w:ascii="仿宋_GB2312" w:hAnsi="仿宋_GB2312" w:cs="仿宋_GB2312"/>
          <w:sz w:val="32"/>
          <w:szCs w:val="32"/>
          <w:lang w:val="en-US" w:eastAsia="zh-CN"/>
        </w:rPr>
        <w:t>安环办主任郭梦林</w:t>
      </w:r>
      <w:r>
        <w:rPr>
          <w:rFonts w:hint="eastAsia" w:ascii="仿宋_GB2312" w:hAnsi="仿宋_GB2312" w:eastAsia="仿宋_GB2312" w:cs="仿宋_GB2312"/>
          <w:sz w:val="32"/>
          <w:szCs w:val="32"/>
        </w:rPr>
        <w:t>的调查询问</w:t>
      </w:r>
      <w:r>
        <w:rPr>
          <w:rFonts w:hint="eastAsia" w:ascii="仿宋_GB2312" w:hAnsi="仿宋_GB2312" w:cs="仿宋_GB2312"/>
          <w:sz w:val="32"/>
          <w:szCs w:val="32"/>
          <w:lang w:val="en-US" w:eastAsia="zh-CN"/>
        </w:rPr>
        <w:t>笔录</w:t>
      </w:r>
      <w:r>
        <w:rPr>
          <w:rFonts w:hint="eastAsia" w:ascii="仿宋_GB2312" w:hAnsi="仿宋_GB2312" w:eastAsia="仿宋_GB2312" w:cs="仿宋_GB2312"/>
          <w:sz w:val="32"/>
          <w:szCs w:val="32"/>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rPr>
        <w:t>证明你</w:t>
      </w:r>
      <w:r>
        <w:rPr>
          <w:rFonts w:hint="eastAsia" w:ascii="仿宋_GB2312" w:hAnsi="仿宋_GB2312" w:eastAsia="仿宋_GB2312" w:cs="仿宋_GB2312"/>
          <w:sz w:val="32"/>
          <w:szCs w:val="32"/>
          <w:lang w:eastAsia="zh-CN"/>
        </w:rPr>
        <w:t>公司</w:t>
      </w:r>
      <w:r>
        <w:rPr>
          <w:rFonts w:hint="eastAsia" w:ascii="FangSong_GB2312" w:hAnsi="FangSong_GB2312" w:eastAsia="FangSong_GB2312" w:cs="FangSong_GB2312"/>
          <w:color w:val="000000"/>
          <w:sz w:val="32"/>
          <w:szCs w:val="32"/>
          <w:highlight w:val="none"/>
          <w:u w:val="none"/>
          <w:lang w:val="en-US" w:eastAsia="zh-CN"/>
        </w:rPr>
        <w:t>未建立辅料稳定剂的台账记录，并且未按要求建立环境管理台账记录制度，经执法人员指出后，5日内仍未改正</w:t>
      </w:r>
      <w:r>
        <w:rPr>
          <w:rFonts w:hint="eastAsia" w:ascii="仿宋_GB2312" w:hAnsi="仿宋_GB2312" w:cs="仿宋_GB2312"/>
          <w:sz w:val="32"/>
          <w:szCs w:val="32"/>
          <w:u w:val="none"/>
          <w:lang w:val="en-US" w:eastAsia="zh-CN"/>
        </w:rPr>
        <w:t>的事实</w:t>
      </w:r>
      <w:r>
        <w:rPr>
          <w:rFonts w:hint="eastAsia" w:ascii="仿宋_GB2312" w:hAnsi="仿宋_GB2312" w:eastAsia="仿宋_GB2312" w:cs="仿宋_GB2312"/>
          <w:sz w:val="32"/>
          <w:szCs w:val="32"/>
        </w:rPr>
        <w:t>；</w:t>
      </w:r>
    </w:p>
    <w:p w14:paraId="01EAF713">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4.</w:t>
      </w:r>
      <w:r>
        <w:rPr>
          <w:rFonts w:hint="eastAsia" w:ascii="仿宋_GB2312" w:hAnsi="仿宋_GB2312" w:eastAsia="仿宋_GB2312" w:cs="仿宋_GB2312"/>
          <w:sz w:val="32"/>
          <w:szCs w:val="32"/>
        </w:rPr>
        <w:t>现场勘查示意图（</w:t>
      </w:r>
      <w:r>
        <w:rPr>
          <w:rFonts w:hint="eastAsia" w:ascii="Times New Roman" w:hAnsi="Times New Roman" w:eastAsia="仿宋_GB2312" w:cs="Times New Roman"/>
          <w:kern w:val="2"/>
          <w:sz w:val="32"/>
          <w:szCs w:val="32"/>
          <w:u w:val="none" w:color="auto"/>
          <w:lang w:val="en-US" w:eastAsia="zh-CN" w:bidi="ar-SA"/>
        </w:rPr>
        <w:t>2025</w:t>
      </w:r>
      <w:r>
        <w:rPr>
          <w:rFonts w:hint="eastAsia" w:ascii="仿宋_GB2312" w:hAnsi="仿宋_GB2312" w:eastAsia="仿宋_GB2312" w:cs="仿宋_GB2312"/>
          <w:sz w:val="32"/>
          <w:szCs w:val="32"/>
        </w:rPr>
        <w:t>年</w:t>
      </w:r>
      <w:r>
        <w:rPr>
          <w:rFonts w:hint="eastAsia" w:ascii="Times New Roman" w:hAnsi="Times New Roman" w:eastAsia="仿宋_GB2312" w:cs="Times New Roman"/>
          <w:kern w:val="2"/>
          <w:sz w:val="32"/>
          <w:szCs w:val="32"/>
          <w:u w:val="none" w:color="auto"/>
          <w:lang w:val="en-US" w:eastAsia="zh-CN" w:bidi="ar-SA"/>
        </w:rPr>
        <w:t>9</w:t>
      </w:r>
      <w:r>
        <w:rPr>
          <w:rFonts w:hint="eastAsia" w:ascii="仿宋_GB2312" w:hAnsi="仿宋_GB2312" w:eastAsia="仿宋_GB2312" w:cs="仿宋_GB2312"/>
          <w:sz w:val="32"/>
          <w:szCs w:val="32"/>
        </w:rPr>
        <w:t>月</w:t>
      </w:r>
      <w:r>
        <w:rPr>
          <w:rFonts w:hint="eastAsia" w:ascii="Times New Roman" w:hAnsi="Times New Roman" w:eastAsia="仿宋_GB2312" w:cs="Times New Roman"/>
          <w:kern w:val="2"/>
          <w:sz w:val="32"/>
          <w:szCs w:val="32"/>
          <w:u w:val="none" w:color="auto"/>
          <w:lang w:val="en-US" w:eastAsia="zh-CN" w:bidi="ar-SA"/>
        </w:rPr>
        <w:t>3</w:t>
      </w:r>
      <w:r>
        <w:rPr>
          <w:rFonts w:hint="eastAsia" w:ascii="仿宋_GB2312" w:hAnsi="仿宋_GB2312" w:eastAsia="仿宋_GB2312" w:cs="仿宋_GB2312"/>
          <w:sz w:val="32"/>
          <w:szCs w:val="32"/>
        </w:rPr>
        <w:t>日）；</w:t>
      </w:r>
    </w:p>
    <w:p w14:paraId="23D3FB2B">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5.</w:t>
      </w:r>
      <w:r>
        <w:rPr>
          <w:rFonts w:hint="eastAsia" w:ascii="仿宋_GB2312" w:hAnsi="仿宋_GB2312" w:eastAsia="仿宋_GB2312" w:cs="仿宋_GB2312"/>
          <w:sz w:val="32"/>
          <w:szCs w:val="32"/>
        </w:rPr>
        <w:t>营业执照复印件。证明你</w:t>
      </w:r>
      <w:r>
        <w:rPr>
          <w:rFonts w:hint="eastAsia" w:ascii="仿宋_GB2312" w:hAnsi="仿宋_GB2312" w:eastAsia="仿宋_GB2312" w:cs="仿宋_GB2312"/>
          <w:sz w:val="32"/>
          <w:szCs w:val="32"/>
          <w:lang w:eastAsia="zh-CN"/>
        </w:rPr>
        <w:t>公司</w:t>
      </w:r>
      <w:r>
        <w:rPr>
          <w:rFonts w:hint="eastAsia" w:ascii="仿宋_GB2312" w:hAnsi="仿宋_GB2312" w:eastAsia="仿宋_GB2312" w:cs="仿宋_GB2312"/>
          <w:sz w:val="32"/>
          <w:szCs w:val="32"/>
        </w:rPr>
        <w:t>法人主体资格；</w:t>
      </w:r>
    </w:p>
    <w:p w14:paraId="58814377">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6.</w:t>
      </w:r>
      <w:r>
        <w:rPr>
          <w:rFonts w:hint="eastAsia" w:ascii="仿宋_GB2312" w:hAnsi="仿宋_GB2312" w:eastAsia="仿宋_GB2312" w:cs="仿宋_GB2312"/>
          <w:sz w:val="32"/>
          <w:szCs w:val="32"/>
        </w:rPr>
        <w:t>现场照片</w:t>
      </w:r>
      <w:r>
        <w:rPr>
          <w:rFonts w:hint="eastAsia" w:ascii="仿宋_GB2312" w:hAnsi="仿宋_GB2312" w:cs="仿宋_GB2312"/>
          <w:sz w:val="32"/>
          <w:szCs w:val="32"/>
          <w:lang w:eastAsia="zh-CN"/>
        </w:rPr>
        <w:t>、</w:t>
      </w:r>
      <w:r>
        <w:rPr>
          <w:rFonts w:hint="eastAsia" w:ascii="仿宋_GB2312" w:hAnsi="仿宋_GB2312" w:cs="仿宋_GB2312"/>
          <w:sz w:val="32"/>
          <w:szCs w:val="32"/>
          <w:lang w:val="en-US" w:eastAsia="zh-CN"/>
        </w:rPr>
        <w:t>视频</w:t>
      </w:r>
      <w:r>
        <w:rPr>
          <w:rFonts w:hint="eastAsia" w:ascii="仿宋_GB2312" w:hAnsi="仿宋_GB2312" w:eastAsia="仿宋_GB2312" w:cs="仿宋_GB2312"/>
          <w:sz w:val="32"/>
          <w:szCs w:val="32"/>
        </w:rPr>
        <w:t>，证明执法过程现场情况</w:t>
      </w:r>
      <w:r>
        <w:rPr>
          <w:rFonts w:hint="eastAsia" w:ascii="仿宋_GB2312" w:hAnsi="仿宋_GB2312" w:cs="仿宋_GB2312"/>
          <w:sz w:val="32"/>
          <w:szCs w:val="32"/>
          <w:lang w:eastAsia="zh-CN"/>
        </w:rPr>
        <w:t>；</w:t>
      </w:r>
    </w:p>
    <w:p w14:paraId="3C4C1680">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94" w:lineRule="exac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7.年产</w:t>
      </w:r>
      <w:r>
        <w:rPr>
          <w:rFonts w:hint="eastAsia" w:ascii="Times New Roman" w:hAnsi="Times New Roman" w:eastAsia="仿宋_GB2312" w:cs="Times New Roman"/>
          <w:kern w:val="2"/>
          <w:sz w:val="32"/>
          <w:szCs w:val="32"/>
          <w:u w:val="none" w:color="auto"/>
          <w:lang w:val="en-US" w:eastAsia="zh-CN" w:bidi="ar-SA"/>
        </w:rPr>
        <w:t>4000</w:t>
      </w:r>
      <w:r>
        <w:rPr>
          <w:rFonts w:hint="eastAsia" w:ascii="仿宋_GB2312" w:hAnsi="仿宋_GB2312" w:cs="仿宋_GB2312"/>
          <w:sz w:val="32"/>
          <w:szCs w:val="32"/>
          <w:lang w:val="en-US" w:eastAsia="zh-CN"/>
        </w:rPr>
        <w:t>吨氯化石蜡项目建设项目环境影响报告表</w:t>
      </w:r>
      <w:r>
        <w:rPr>
          <w:rFonts w:hint="eastAsia" w:ascii="仿宋_GB2312" w:hAnsi="仿宋_GB2312" w:cs="仿宋_GB2312"/>
          <w:b w:val="0"/>
          <w:bCs w:val="0"/>
          <w:sz w:val="32"/>
          <w:szCs w:val="32"/>
          <w:shd w:val="clear" w:color="auto" w:fill="FFFFFF"/>
          <w:lang w:val="en-US" w:eastAsia="zh-CN"/>
        </w:rPr>
        <w:t>（摘录）及批复文件</w:t>
      </w:r>
      <w:r>
        <w:rPr>
          <w:rFonts w:hint="eastAsia" w:ascii="仿宋_GB2312" w:hAnsi="仿宋_GB2312" w:cs="仿宋_GB2312"/>
          <w:sz w:val="32"/>
          <w:szCs w:val="32"/>
          <w:lang w:val="en-US" w:eastAsia="zh-CN"/>
        </w:rPr>
        <w:t>证明你公司的原辅材料；</w:t>
      </w:r>
    </w:p>
    <w:p w14:paraId="03699814">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94" w:lineRule="exact"/>
        <w:ind w:right="0" w:rightChars="0" w:firstLine="640" w:firstLineChars="200"/>
        <w:jc w:val="both"/>
        <w:textAlignment w:val="bottom"/>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8.年产</w:t>
      </w:r>
      <w:r>
        <w:rPr>
          <w:rFonts w:hint="eastAsia" w:ascii="Times New Roman" w:hAnsi="Times New Roman" w:eastAsia="仿宋_GB2312" w:cs="Times New Roman"/>
          <w:kern w:val="2"/>
          <w:sz w:val="32"/>
          <w:szCs w:val="32"/>
          <w:u w:val="none" w:color="auto"/>
          <w:lang w:val="en-US" w:eastAsia="zh-CN" w:bidi="ar-SA"/>
        </w:rPr>
        <w:t>30000</w:t>
      </w:r>
      <w:r>
        <w:rPr>
          <w:rFonts w:hint="eastAsia" w:ascii="仿宋_GB2312" w:hAnsi="仿宋_GB2312" w:cs="仿宋_GB2312"/>
          <w:sz w:val="32"/>
          <w:szCs w:val="32"/>
          <w:lang w:val="en-US" w:eastAsia="zh-CN"/>
        </w:rPr>
        <w:t>吨聚合氯化铝项目建设项目现状环境影响评估报告（摘录）证明你公司的原辅材料；</w:t>
      </w:r>
    </w:p>
    <w:p w14:paraId="3FC4EC11">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94" w:lineRule="exact"/>
        <w:ind w:right="0" w:rightChars="0" w:firstLine="640" w:firstLineChars="200"/>
        <w:jc w:val="both"/>
        <w:textAlignment w:val="bottom"/>
        <w:rPr>
          <w:rFonts w:hint="default" w:ascii="仿宋_GB2312" w:hAnsi="仿宋_GB2312" w:cs="仿宋_GB2312"/>
          <w:sz w:val="32"/>
          <w:szCs w:val="32"/>
          <w:lang w:val="en-US" w:eastAsia="zh-CN"/>
        </w:rPr>
      </w:pPr>
      <w:r>
        <w:rPr>
          <w:rFonts w:hint="eastAsia" w:ascii="仿宋_GB2312" w:hAnsi="仿宋_GB2312" w:cs="仿宋_GB2312"/>
          <w:b w:val="0"/>
          <w:bCs w:val="0"/>
          <w:sz w:val="32"/>
          <w:szCs w:val="32"/>
          <w:shd w:val="clear" w:color="auto" w:fill="FFFFFF"/>
          <w:lang w:val="en-US" w:eastAsia="zh-CN"/>
        </w:rPr>
        <w:t>9.排污许可证（摘录）</w:t>
      </w:r>
      <w:r>
        <w:rPr>
          <w:rFonts w:hint="eastAsia" w:ascii="仿宋_GB2312" w:hAnsi="仿宋_GB2312" w:eastAsia="仿宋_GB2312" w:cs="仿宋_GB2312"/>
          <w:b w:val="0"/>
          <w:bCs w:val="0"/>
          <w:sz w:val="32"/>
          <w:szCs w:val="32"/>
          <w:shd w:val="clear" w:color="auto" w:fill="FFFFFF"/>
          <w:lang w:val="en-US" w:eastAsia="zh-CN"/>
        </w:rPr>
        <w:t>证明你</w:t>
      </w:r>
      <w:r>
        <w:rPr>
          <w:rFonts w:hint="eastAsia" w:ascii="仿宋_GB2312" w:hAnsi="仿宋_GB2312" w:cs="仿宋_GB2312"/>
          <w:b w:val="0"/>
          <w:bCs w:val="0"/>
          <w:sz w:val="32"/>
          <w:szCs w:val="32"/>
          <w:shd w:val="clear" w:color="auto" w:fill="FFFFFF"/>
          <w:lang w:val="en-US" w:eastAsia="zh-CN"/>
        </w:rPr>
        <w:t>公司应</w:t>
      </w:r>
      <w:r>
        <w:rPr>
          <w:rFonts w:hint="eastAsia" w:ascii="仿宋_GB2312" w:hAnsi="仿宋_GB2312" w:cs="仿宋_GB2312"/>
          <w:sz w:val="32"/>
          <w:szCs w:val="32"/>
          <w:lang w:val="en-US" w:eastAsia="zh-CN"/>
        </w:rPr>
        <w:t>建立的所有台账和环境管理台账记录制度的要求；</w:t>
      </w:r>
    </w:p>
    <w:p w14:paraId="59B0AD9C">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94" w:lineRule="exac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 xml:space="preserve">10.其他证据材料。           </w:t>
      </w:r>
    </w:p>
    <w:p w14:paraId="01990160">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94" w:lineRule="exact"/>
        <w:ind w:right="0" w:rightChars="0" w:firstLine="640" w:firstLineChars="200"/>
        <w:jc w:val="both"/>
        <w:textAlignment w:val="bottom"/>
        <w:rPr>
          <w:rFonts w:hint="eastAsia" w:ascii="仿宋_GB2312" w:hAnsi="仿宋_GB2312" w:eastAsia="仿宋_GB2312" w:cs="仿宋_GB2312"/>
          <w:sz w:val="32"/>
          <w:szCs w:val="32"/>
          <w:u w:val="none" w:color="auto"/>
          <w:lang w:val="en-US" w:eastAsia="zh-CN"/>
        </w:rPr>
      </w:pPr>
      <w:r>
        <w:rPr>
          <w:rFonts w:hint="eastAsia" w:ascii="Times New Roman" w:hAnsi="Times New Roman" w:eastAsia="仿宋_GB2312" w:cs="Times New Roman"/>
          <w:kern w:val="2"/>
          <w:sz w:val="32"/>
          <w:szCs w:val="32"/>
          <w:u w:val="none" w:color="auto"/>
          <w:lang w:val="en-US" w:eastAsia="zh-CN" w:bidi="ar-SA"/>
        </w:rPr>
        <w:t>2025</w:t>
      </w:r>
      <w:r>
        <w:rPr>
          <w:rFonts w:hint="eastAsia" w:ascii="仿宋_GB2312" w:hAnsi="仿宋_GB2312" w:eastAsia="仿宋_GB2312" w:cs="仿宋_GB2312"/>
          <w:color w:val="000000"/>
          <w:kern w:val="0"/>
          <w:sz w:val="32"/>
          <w:szCs w:val="32"/>
          <w:lang w:val="en-US" w:eastAsia="zh-CN" w:bidi="ar"/>
        </w:rPr>
        <w:t>年</w:t>
      </w:r>
      <w:r>
        <w:rPr>
          <w:rFonts w:hint="eastAsia" w:eastAsia="仿宋_GB2312" w:cs="Times New Roman"/>
          <w:kern w:val="2"/>
          <w:sz w:val="32"/>
          <w:szCs w:val="32"/>
          <w:u w:val="none" w:color="auto"/>
          <w:lang w:val="en-US" w:eastAsia="zh-CN" w:bidi="ar-SA"/>
        </w:rPr>
        <w:t>9</w:t>
      </w:r>
      <w:r>
        <w:rPr>
          <w:rFonts w:hint="eastAsia" w:ascii="仿宋_GB2312" w:hAnsi="仿宋_GB2312" w:eastAsia="仿宋_GB2312" w:cs="仿宋_GB2312"/>
          <w:color w:val="000000"/>
          <w:kern w:val="0"/>
          <w:sz w:val="32"/>
          <w:szCs w:val="32"/>
          <w:lang w:val="en-US" w:eastAsia="zh-CN" w:bidi="ar"/>
        </w:rPr>
        <w:t>月</w:t>
      </w:r>
      <w:r>
        <w:rPr>
          <w:rFonts w:hint="eastAsia" w:eastAsia="仿宋_GB2312" w:cs="Times New Roman"/>
          <w:kern w:val="2"/>
          <w:sz w:val="32"/>
          <w:szCs w:val="32"/>
          <w:u w:val="none" w:color="auto"/>
          <w:lang w:val="en-US" w:eastAsia="zh-CN" w:bidi="ar-SA"/>
        </w:rPr>
        <w:t>17</w:t>
      </w:r>
      <w:r>
        <w:rPr>
          <w:rFonts w:hint="eastAsia" w:ascii="仿宋_GB2312" w:hAnsi="仿宋_GB2312" w:eastAsia="仿宋_GB2312" w:cs="仿宋_GB2312"/>
          <w:color w:val="000000"/>
          <w:kern w:val="0"/>
          <w:sz w:val="32"/>
          <w:szCs w:val="32"/>
          <w:lang w:val="en-US" w:eastAsia="zh-CN" w:bidi="ar"/>
        </w:rPr>
        <w:t>日我局向</w:t>
      </w:r>
      <w:r>
        <w:rPr>
          <w:rFonts w:hint="eastAsia" w:ascii="仿宋_GB2312" w:hAnsi="仿宋_GB2312" w:cs="仿宋_GB2312"/>
          <w:color w:val="000000"/>
          <w:kern w:val="0"/>
          <w:sz w:val="32"/>
          <w:szCs w:val="32"/>
          <w:lang w:val="en-US" w:eastAsia="zh-CN" w:bidi="ar"/>
        </w:rPr>
        <w:t>你公司</w:t>
      </w:r>
      <w:r>
        <w:rPr>
          <w:rFonts w:hint="eastAsia" w:ascii="仿宋_GB2312" w:hAnsi="仿宋_GB2312" w:eastAsia="仿宋_GB2312" w:cs="仿宋_GB2312"/>
          <w:color w:val="000000"/>
          <w:kern w:val="0"/>
          <w:sz w:val="32"/>
          <w:szCs w:val="32"/>
          <w:lang w:val="en-US" w:eastAsia="zh-CN" w:bidi="ar"/>
        </w:rPr>
        <w:t>送达了《行政处罚事先（听证）告知书》（焦温环先告〔</w:t>
      </w:r>
      <w:r>
        <w:rPr>
          <w:rFonts w:hint="eastAsia" w:ascii="Times New Roman" w:hAnsi="Times New Roman" w:eastAsia="仿宋_GB2312" w:cs="Times New Roman"/>
          <w:kern w:val="2"/>
          <w:sz w:val="32"/>
          <w:szCs w:val="32"/>
          <w:u w:val="none" w:color="auto"/>
          <w:lang w:val="en-US" w:eastAsia="zh-CN" w:bidi="ar-SA"/>
        </w:rPr>
        <w:t>2025</w:t>
      </w:r>
      <w:r>
        <w:rPr>
          <w:rFonts w:hint="eastAsia" w:ascii="仿宋_GB2312" w:hAnsi="仿宋_GB2312" w:eastAsia="仿宋_GB2312" w:cs="仿宋_GB2312"/>
          <w:color w:val="000000"/>
          <w:kern w:val="0"/>
          <w:sz w:val="32"/>
          <w:szCs w:val="32"/>
          <w:lang w:val="en-US" w:eastAsia="zh-CN" w:bidi="ar"/>
        </w:rPr>
        <w:t>〕</w:t>
      </w:r>
      <w:r>
        <w:rPr>
          <w:rFonts w:hint="eastAsia" w:eastAsia="仿宋_GB2312" w:cs="Times New Roman"/>
          <w:kern w:val="2"/>
          <w:sz w:val="32"/>
          <w:szCs w:val="32"/>
          <w:u w:val="none" w:color="auto"/>
          <w:lang w:val="en-US" w:eastAsia="zh-CN" w:bidi="ar-SA"/>
        </w:rPr>
        <w:t>15</w:t>
      </w:r>
      <w:r>
        <w:rPr>
          <w:rFonts w:hint="eastAsia" w:ascii="仿宋_GB2312" w:hAnsi="仿宋_GB2312" w:eastAsia="仿宋_GB2312" w:cs="仿宋_GB2312"/>
          <w:color w:val="000000"/>
          <w:kern w:val="0"/>
          <w:sz w:val="32"/>
          <w:szCs w:val="32"/>
          <w:lang w:val="en-US" w:eastAsia="zh-CN" w:bidi="ar"/>
        </w:rPr>
        <w:t>号)，告知</w:t>
      </w:r>
      <w:r>
        <w:rPr>
          <w:rFonts w:hint="eastAsia" w:ascii="仿宋_GB2312" w:hAnsi="仿宋_GB2312" w:cs="仿宋_GB2312"/>
          <w:color w:val="000000"/>
          <w:kern w:val="0"/>
          <w:sz w:val="32"/>
          <w:szCs w:val="32"/>
          <w:lang w:val="en-US" w:eastAsia="zh-CN" w:bidi="ar"/>
        </w:rPr>
        <w:t>你</w:t>
      </w:r>
      <w:r>
        <w:rPr>
          <w:rFonts w:hint="eastAsia" w:ascii="仿宋_GB2312" w:hAnsi="仿宋_GB2312" w:eastAsia="仿宋_GB2312" w:cs="仿宋_GB2312"/>
          <w:color w:val="000000"/>
          <w:kern w:val="0"/>
          <w:sz w:val="32"/>
          <w:szCs w:val="32"/>
          <w:lang w:val="en-US" w:eastAsia="zh-CN" w:bidi="ar"/>
        </w:rPr>
        <w:t>公司对我局拟作出的行政处罚有权进行陈述申辩。以上事实有《行政处罚事先（听证）告知书》（焦温环先告〔</w:t>
      </w:r>
      <w:r>
        <w:rPr>
          <w:rFonts w:hint="eastAsia" w:ascii="Times New Roman" w:hAnsi="Times New Roman" w:eastAsia="仿宋_GB2312" w:cs="Times New Roman"/>
          <w:kern w:val="2"/>
          <w:sz w:val="32"/>
          <w:szCs w:val="32"/>
          <w:u w:val="none" w:color="auto"/>
          <w:lang w:val="en-US" w:eastAsia="zh-CN" w:bidi="ar-SA"/>
        </w:rPr>
        <w:t>2025</w:t>
      </w:r>
      <w:r>
        <w:rPr>
          <w:rFonts w:hint="eastAsia" w:ascii="仿宋_GB2312" w:hAnsi="仿宋_GB2312" w:eastAsia="仿宋_GB2312" w:cs="仿宋_GB2312"/>
          <w:color w:val="000000"/>
          <w:kern w:val="0"/>
          <w:sz w:val="32"/>
          <w:szCs w:val="32"/>
          <w:lang w:val="en-US" w:eastAsia="zh-CN" w:bidi="ar"/>
        </w:rPr>
        <w:t>〕</w:t>
      </w:r>
      <w:r>
        <w:rPr>
          <w:rFonts w:hint="eastAsia" w:eastAsia="仿宋_GB2312" w:cs="Times New Roman"/>
          <w:kern w:val="2"/>
          <w:sz w:val="32"/>
          <w:szCs w:val="32"/>
          <w:u w:val="none" w:color="auto"/>
          <w:lang w:val="en-US" w:eastAsia="zh-CN" w:bidi="ar-SA"/>
        </w:rPr>
        <w:t>15</w:t>
      </w:r>
      <w:r>
        <w:rPr>
          <w:rFonts w:hint="eastAsia" w:ascii="仿宋_GB2312" w:hAnsi="仿宋_GB2312" w:eastAsia="仿宋_GB2312" w:cs="仿宋_GB2312"/>
          <w:color w:val="000000"/>
          <w:kern w:val="0"/>
          <w:sz w:val="32"/>
          <w:szCs w:val="32"/>
          <w:lang w:val="en-US" w:eastAsia="zh-CN" w:bidi="ar"/>
        </w:rPr>
        <w:t>号)和《送达回执》等为证，</w:t>
      </w:r>
      <w:r>
        <w:rPr>
          <w:rFonts w:hint="eastAsia" w:ascii="仿宋_GB2312" w:hAnsi="仿宋_GB2312" w:eastAsia="仿宋_GB2312" w:cs="仿宋_GB2312"/>
          <w:sz w:val="32"/>
          <w:szCs w:val="32"/>
        </w:rPr>
        <w:t>你</w:t>
      </w:r>
      <w:r>
        <w:rPr>
          <w:rFonts w:hint="eastAsia" w:ascii="仿宋_GB2312" w:hAnsi="仿宋_GB2312" w:eastAsia="仿宋_GB2312" w:cs="仿宋_GB2312"/>
          <w:sz w:val="32"/>
          <w:szCs w:val="32"/>
          <w:lang w:eastAsia="zh-CN"/>
        </w:rPr>
        <w:t>公司</w:t>
      </w:r>
      <w:r>
        <w:rPr>
          <w:rFonts w:hint="eastAsia" w:ascii="仿宋_GB2312" w:hAnsi="仿宋_GB2312" w:eastAsia="仿宋_GB2312" w:cs="仿宋_GB2312"/>
          <w:sz w:val="32"/>
          <w:szCs w:val="32"/>
        </w:rPr>
        <w:t>在规定的时间内未提出申诉、申辩。我局认为你</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sz w:val="32"/>
          <w:szCs w:val="32"/>
        </w:rPr>
        <w:t>放弃了这些权利</w:t>
      </w:r>
      <w:r>
        <w:rPr>
          <w:rFonts w:hint="eastAsia" w:ascii="仿宋_GB2312" w:hAnsi="仿宋_GB2312" w:eastAsia="仿宋_GB2312" w:cs="仿宋_GB2312"/>
          <w:sz w:val="32"/>
          <w:szCs w:val="32"/>
          <w:u w:val="none" w:color="auto"/>
          <w:lang w:val="en-US" w:eastAsia="zh-CN"/>
        </w:rPr>
        <w:t>。</w:t>
      </w:r>
    </w:p>
    <w:p w14:paraId="7D0724B7">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94" w:lineRule="exact"/>
        <w:ind w:right="0" w:rightChars="0" w:firstLine="640" w:firstLineChars="200"/>
        <w:jc w:val="both"/>
        <w:textAlignment w:val="bottom"/>
        <w:rPr>
          <w:rFonts w:hint="eastAsia" w:ascii="黑体" w:hAnsi="黑体" w:eastAsia="黑体" w:cs="黑体"/>
          <w:sz w:val="32"/>
          <w:szCs w:val="32"/>
          <w:lang w:val="en-US" w:eastAsia="zh-CN"/>
        </w:rPr>
      </w:pPr>
      <w:r>
        <w:rPr>
          <w:rFonts w:hint="eastAsia" w:ascii="黑体" w:hAnsi="黑体" w:eastAsia="黑体" w:cs="黑体"/>
          <w:color w:val="000000"/>
          <w:kern w:val="0"/>
          <w:sz w:val="32"/>
          <w:szCs w:val="32"/>
          <w:lang w:val="en-US" w:eastAsia="zh-CN" w:bidi="ar"/>
        </w:rPr>
        <w:t xml:space="preserve">二、行政处罚的依据、种类 </w:t>
      </w:r>
    </w:p>
    <w:p w14:paraId="4716055B">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594" w:lineRule="exact"/>
        <w:ind w:right="0" w:rightChars="0" w:firstLine="640" w:firstLineChars="200"/>
        <w:textAlignment w:val="auto"/>
        <w:rPr>
          <w:rFonts w:hint="eastAsia" w:ascii="FangSong_GB2312" w:hAnsi="FangSong_GB2312" w:eastAsia="FangSong_GB2312" w:cs="FangSong_GB2312"/>
          <w:sz w:val="32"/>
          <w:szCs w:val="32"/>
        </w:rPr>
      </w:pPr>
      <w:r>
        <w:rPr>
          <w:rFonts w:hint="eastAsia" w:ascii="仿宋_GB2312" w:hAnsi="仿宋_GB2312" w:eastAsia="仿宋_GB2312" w:cs="仿宋_GB2312"/>
          <w:sz w:val="32"/>
          <w:szCs w:val="32"/>
          <w:lang w:val="en-US" w:eastAsia="zh-CN"/>
        </w:rPr>
        <w:t>依据《中华人民共和国行政处罚法》第二十八条第一款和《排污许可管理条例</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第三十七条第一项</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违反本条例规定，排污公司有下列行为之一的，由生态环境主管部门责令改正，处每次5千元以上2万元以下的罚款；法律另有规定的，从其规定：（一）未建立环境管理台账记录制度，或者未按照排污许可证规定记录；</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的规定，</w:t>
      </w:r>
      <w:r>
        <w:rPr>
          <w:rFonts w:hint="eastAsia" w:ascii="FangSong_GB2312" w:hAnsi="FangSong_GB2312" w:eastAsia="FangSong_GB2312" w:cs="FangSong_GB2312"/>
          <w:sz w:val="32"/>
          <w:szCs w:val="32"/>
        </w:rPr>
        <w:t>根据</w:t>
      </w:r>
      <w:r>
        <w:rPr>
          <w:rFonts w:hint="eastAsia" w:ascii="FangSong_GB2312" w:hAnsi="FangSong_GB2312" w:eastAsia="FangSong_GB2312" w:cs="FangSong_GB2312"/>
          <w:sz w:val="32"/>
          <w:szCs w:val="32"/>
          <w:lang w:val="en-US" w:eastAsia="zh-CN"/>
        </w:rPr>
        <w:t>你</w:t>
      </w:r>
      <w:r>
        <w:rPr>
          <w:rFonts w:hint="eastAsia" w:ascii="FangSong_GB2312" w:hAnsi="FangSong_GB2312" w:cs="FangSong_GB2312"/>
          <w:sz w:val="32"/>
          <w:szCs w:val="32"/>
          <w:lang w:val="en-US" w:eastAsia="zh-CN"/>
        </w:rPr>
        <w:t>公司</w:t>
      </w:r>
      <w:r>
        <w:rPr>
          <w:rFonts w:hint="eastAsia" w:ascii="FangSong_GB2312" w:hAnsi="FangSong_GB2312" w:eastAsia="FangSong_GB2312" w:cs="FangSong_GB2312"/>
          <w:sz w:val="32"/>
          <w:szCs w:val="32"/>
        </w:rPr>
        <w:t>违法行为的事实、性质、情节、社会危害程度和相关证据，参照《河南省生态环境行政处罚裁量基准》（豫环</w:t>
      </w:r>
      <w:r>
        <w:rPr>
          <w:rFonts w:hint="eastAsia" w:ascii="FangSong_GB2312" w:hAnsi="FangSong_GB2312" w:cs="FangSong_GB2312"/>
          <w:sz w:val="32"/>
          <w:szCs w:val="32"/>
          <w:lang w:val="en-US" w:eastAsia="zh-CN"/>
        </w:rPr>
        <w:t>办</w:t>
      </w:r>
      <w:r>
        <w:rPr>
          <w:rFonts w:hint="eastAsia" w:ascii="FangSong_GB2312" w:hAnsi="FangSong_GB2312" w:eastAsia="FangSong_GB2312" w:cs="FangSong_GB2312"/>
          <w:sz w:val="32"/>
          <w:szCs w:val="32"/>
        </w:rPr>
        <w:t xml:space="preserve"> 〔2022〕72 号），结合当事人该违法行为事实，裁量内容如下：</w:t>
      </w:r>
    </w:p>
    <w:p w14:paraId="4676AD84">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94"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A.★</w:t>
      </w:r>
      <w:r>
        <w:rPr>
          <w:rFonts w:hint="eastAsia" w:ascii="仿宋_GB2312" w:hAnsi="仿宋_GB2312" w:cs="仿宋_GB2312"/>
          <w:sz w:val="32"/>
          <w:szCs w:val="32"/>
          <w:u w:val="none"/>
          <w:lang w:val="en-US" w:eastAsia="zh-CN"/>
        </w:rPr>
        <w:t>违法事实</w:t>
      </w:r>
      <w:r>
        <w:rPr>
          <w:rFonts w:hint="eastAsia" w:ascii="仿宋_GB2312" w:hAnsi="仿宋_GB2312" w:eastAsia="仿宋_GB2312" w:cs="仿宋_GB2312"/>
          <w:sz w:val="32"/>
          <w:szCs w:val="32"/>
          <w:u w:val="none"/>
        </w:rPr>
        <w:t>：环境管理台账记录不全，裁量等级为</w:t>
      </w:r>
      <w:r>
        <w:rPr>
          <w:rFonts w:hint="eastAsia" w:ascii="仿宋_GB2312" w:hAnsi="仿宋_GB2312" w:cs="仿宋_GB2312"/>
          <w:sz w:val="32"/>
          <w:szCs w:val="32"/>
          <w:u w:val="none"/>
          <w:lang w:val="en-US" w:eastAsia="zh-CN"/>
        </w:rPr>
        <w:t>2</w:t>
      </w:r>
      <w:r>
        <w:rPr>
          <w:rFonts w:hint="eastAsia" w:ascii="仿宋_GB2312" w:hAnsi="仿宋_GB2312" w:eastAsia="仿宋_GB2312" w:cs="仿宋_GB2312"/>
          <w:sz w:val="32"/>
          <w:szCs w:val="32"/>
          <w:u w:val="none"/>
        </w:rPr>
        <w:t xml:space="preserve">； </w:t>
      </w:r>
    </w:p>
    <w:p w14:paraId="19B43F15">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94"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B1.企业规模</w:t>
      </w:r>
      <w:r>
        <w:rPr>
          <w:rFonts w:hint="eastAsia" w:ascii="仿宋_GB2312" w:hAnsi="仿宋_GB2312" w:cs="仿宋_GB2312"/>
          <w:sz w:val="32"/>
          <w:szCs w:val="32"/>
          <w:u w:val="none"/>
          <w:lang w:eastAsia="zh-CN"/>
        </w:rPr>
        <w:t>：微型企业，</w:t>
      </w:r>
      <w:r>
        <w:rPr>
          <w:rFonts w:hint="eastAsia" w:ascii="仿宋_GB2312" w:hAnsi="仿宋_GB2312" w:eastAsia="仿宋_GB2312" w:cs="仿宋_GB2312"/>
          <w:sz w:val="32"/>
          <w:szCs w:val="32"/>
          <w:u w:val="none"/>
        </w:rPr>
        <w:t xml:space="preserve">裁量等级为 </w:t>
      </w:r>
      <w:r>
        <w:rPr>
          <w:rFonts w:hint="eastAsia" w:ascii="仿宋_GB2312" w:hAnsi="仿宋_GB2312" w:cs="仿宋_GB2312"/>
          <w:sz w:val="32"/>
          <w:szCs w:val="32"/>
          <w:u w:val="none"/>
          <w:lang w:val="en-US" w:eastAsia="zh-CN"/>
        </w:rPr>
        <w:t>1</w:t>
      </w:r>
      <w:r>
        <w:rPr>
          <w:rFonts w:hint="eastAsia" w:ascii="仿宋_GB2312" w:hAnsi="仿宋_GB2312" w:eastAsia="仿宋_GB2312" w:cs="仿宋_GB2312"/>
          <w:sz w:val="32"/>
          <w:szCs w:val="32"/>
          <w:u w:val="none"/>
        </w:rPr>
        <w:t>；</w:t>
      </w:r>
    </w:p>
    <w:p w14:paraId="4627FC18">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94"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B2.</w:t>
      </w:r>
      <w:r>
        <w:rPr>
          <w:rFonts w:hint="eastAsia" w:ascii="仿宋_GB2312" w:hAnsi="仿宋_GB2312" w:cs="仿宋_GB2312"/>
          <w:sz w:val="32"/>
          <w:szCs w:val="32"/>
          <w:u w:val="none"/>
          <w:lang w:val="en-US" w:eastAsia="zh-CN"/>
        </w:rPr>
        <w:t>管理类别</w:t>
      </w:r>
      <w:r>
        <w:rPr>
          <w:rFonts w:hint="eastAsia" w:ascii="仿宋_GB2312" w:hAnsi="仿宋_GB2312" w:eastAsia="仿宋_GB2312" w:cs="仿宋_GB2312"/>
          <w:sz w:val="32"/>
          <w:szCs w:val="32"/>
          <w:u w:val="none"/>
        </w:rPr>
        <w:t>：重点管理，裁量等级为</w:t>
      </w:r>
      <w:r>
        <w:rPr>
          <w:rFonts w:hint="eastAsia" w:ascii="仿宋_GB2312" w:hAnsi="仿宋_GB2312" w:cs="仿宋_GB2312"/>
          <w:sz w:val="32"/>
          <w:szCs w:val="32"/>
          <w:u w:val="none"/>
          <w:lang w:val="en-US" w:eastAsia="zh-CN"/>
        </w:rPr>
        <w:t>3</w:t>
      </w:r>
      <w:r>
        <w:rPr>
          <w:rFonts w:hint="eastAsia" w:ascii="仿宋_GB2312" w:hAnsi="仿宋_GB2312" w:eastAsia="仿宋_GB2312" w:cs="仿宋_GB2312"/>
          <w:sz w:val="32"/>
          <w:szCs w:val="32"/>
          <w:u w:val="none"/>
        </w:rPr>
        <w:t xml:space="preserve">； </w:t>
      </w:r>
    </w:p>
    <w:p w14:paraId="48EBCBAC">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94" w:lineRule="exact"/>
        <w:ind w:right="0" w:rightChars="0" w:firstLine="640" w:firstLineChars="200"/>
        <w:jc w:val="both"/>
        <w:textAlignment w:val="bottom"/>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sz w:val="32"/>
          <w:szCs w:val="32"/>
          <w:u w:val="none"/>
        </w:rPr>
        <w:t>B3.污染物类别</w:t>
      </w:r>
      <w:r>
        <w:rPr>
          <w:rFonts w:hint="eastAsia" w:ascii="仿宋_GB2312" w:hAnsi="仿宋_GB2312" w:cs="仿宋_GB2312"/>
          <w:sz w:val="32"/>
          <w:szCs w:val="32"/>
          <w:u w:val="none"/>
          <w:lang w:eastAsia="zh-CN"/>
        </w:rPr>
        <w:t>：一般工业废气/含恶臭污染物的废气/医疗废气/实验室废气/一般工业废水，</w:t>
      </w:r>
      <w:r>
        <w:rPr>
          <w:rFonts w:hint="eastAsia" w:ascii="仿宋_GB2312" w:hAnsi="仿宋_GB2312" w:eastAsia="仿宋_GB2312" w:cs="仿宋_GB2312"/>
          <w:sz w:val="32"/>
          <w:szCs w:val="32"/>
          <w:u w:val="none"/>
        </w:rPr>
        <w:t>裁量等级为</w:t>
      </w:r>
      <w:r>
        <w:rPr>
          <w:rFonts w:hint="eastAsia" w:ascii="仿宋_GB2312" w:hAnsi="仿宋_GB2312" w:cs="仿宋_GB2312"/>
          <w:sz w:val="32"/>
          <w:szCs w:val="32"/>
          <w:u w:val="none"/>
          <w:lang w:val="en-US" w:eastAsia="zh-CN"/>
        </w:rPr>
        <w:t>3</w:t>
      </w:r>
      <w:r>
        <w:rPr>
          <w:rFonts w:hint="eastAsia" w:ascii="仿宋_GB2312" w:hAnsi="仿宋_GB2312" w:eastAsia="仿宋_GB2312" w:cs="仿宋_GB2312"/>
          <w:sz w:val="32"/>
          <w:szCs w:val="32"/>
          <w:u w:val="none"/>
        </w:rPr>
        <w:t>；</w:t>
      </w:r>
    </w:p>
    <w:p w14:paraId="02E6F9D2">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94"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B4.</w:t>
      </w:r>
      <w:r>
        <w:rPr>
          <w:rFonts w:hint="eastAsia" w:ascii="仿宋_GB2312" w:hAnsi="仿宋_GB2312" w:cs="仿宋_GB2312"/>
          <w:sz w:val="32"/>
          <w:szCs w:val="32"/>
          <w:u w:val="none"/>
          <w:lang w:val="en-US" w:eastAsia="zh-CN"/>
        </w:rPr>
        <w:t>违法行为持续时间</w:t>
      </w:r>
      <w:r>
        <w:rPr>
          <w:rFonts w:hint="eastAsia" w:ascii="仿宋_GB2312" w:hAnsi="仿宋_GB2312" w:eastAsia="仿宋_GB2312" w:cs="仿宋_GB2312"/>
          <w:sz w:val="32"/>
          <w:szCs w:val="32"/>
          <w:u w:val="none"/>
        </w:rPr>
        <w:t>：6个月以上1年以下的，裁量等级为</w:t>
      </w:r>
      <w:r>
        <w:rPr>
          <w:rFonts w:hint="eastAsia" w:ascii="仿宋_GB2312" w:hAnsi="仿宋_GB2312" w:cs="仿宋_GB2312"/>
          <w:sz w:val="32"/>
          <w:szCs w:val="32"/>
          <w:u w:val="none"/>
          <w:lang w:val="en-US" w:eastAsia="zh-CN"/>
        </w:rPr>
        <w:t>4</w:t>
      </w:r>
      <w:r>
        <w:rPr>
          <w:rFonts w:hint="eastAsia" w:ascii="仿宋_GB2312" w:hAnsi="仿宋_GB2312" w:eastAsia="仿宋_GB2312" w:cs="仿宋_GB2312"/>
          <w:sz w:val="32"/>
          <w:szCs w:val="32"/>
          <w:u w:val="none"/>
        </w:rPr>
        <w:t xml:space="preserve">； </w:t>
      </w:r>
    </w:p>
    <w:p w14:paraId="1945F031">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94"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B5</w:t>
      </w:r>
      <w:r>
        <w:rPr>
          <w:rFonts w:hint="eastAsia" w:ascii="仿宋_GB2312" w:hAnsi="仿宋_GB2312" w:cs="仿宋_GB2312"/>
          <w:sz w:val="32"/>
          <w:szCs w:val="32"/>
          <w:u w:val="none"/>
          <w:lang w:val="en-US" w:eastAsia="zh-CN"/>
        </w:rPr>
        <w:t>.</w:t>
      </w:r>
      <w:r>
        <w:rPr>
          <w:rFonts w:hint="eastAsia" w:ascii="仿宋_GB2312" w:hAnsi="仿宋_GB2312" w:eastAsia="仿宋_GB2312" w:cs="仿宋_GB2312"/>
          <w:sz w:val="32"/>
          <w:szCs w:val="32"/>
          <w:u w:val="none"/>
        </w:rPr>
        <w:t xml:space="preserve">受处罚次数：两年内未受到同类处罚，裁量等级为 1； </w:t>
      </w:r>
    </w:p>
    <w:p w14:paraId="14AE8800">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94"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w:t>
      </w:r>
      <w:r>
        <w:rPr>
          <w:rFonts w:hint="eastAsia" w:ascii="仿宋_GB2312" w:hAnsi="仿宋_GB2312" w:cs="仿宋_GB2312"/>
          <w:sz w:val="32"/>
          <w:szCs w:val="32"/>
          <w:u w:val="none"/>
          <w:lang w:val="en-US" w:eastAsia="zh-CN"/>
        </w:rPr>
        <w:t>6</w:t>
      </w:r>
      <w:r>
        <w:rPr>
          <w:rFonts w:hint="eastAsia" w:ascii="仿宋_GB2312" w:hAnsi="仿宋_GB2312" w:eastAsia="仿宋_GB2312" w:cs="仿宋_GB2312"/>
          <w:sz w:val="32"/>
          <w:szCs w:val="32"/>
          <w:u w:val="none"/>
        </w:rPr>
        <w:t xml:space="preserve">.是否配合执法检查：配合调查，裁量等级为 1。 </w:t>
      </w:r>
    </w:p>
    <w:p w14:paraId="2D769C38">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100" w:line="594"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处罚金额计算 结合本案案情，将各项裁量因素等级套入公式中进行计算得出：</w:t>
      </w:r>
    </w:p>
    <w:tbl>
      <w:tblPr>
        <w:tblStyle w:val="5"/>
        <w:tblW w:w="76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4"/>
        <w:gridCol w:w="908"/>
        <w:gridCol w:w="780"/>
        <w:gridCol w:w="510"/>
        <w:gridCol w:w="540"/>
        <w:gridCol w:w="555"/>
        <w:gridCol w:w="630"/>
        <w:gridCol w:w="633"/>
        <w:gridCol w:w="732"/>
        <w:gridCol w:w="675"/>
        <w:gridCol w:w="615"/>
      </w:tblGrid>
      <w:tr w14:paraId="47CAB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074" w:type="dxa"/>
            <w:noWrap w:val="0"/>
            <w:vAlign w:val="top"/>
          </w:tcPr>
          <w:p w14:paraId="6AA1B80F">
            <w:pPr>
              <w:keepNext w:val="0"/>
              <w:keepLines w:val="0"/>
              <w:pageBreakBefore w:val="0"/>
              <w:widowControl w:val="0"/>
              <w:kinsoku/>
              <w:wordWrap/>
              <w:overflowPunct/>
              <w:topLinePunct w:val="0"/>
              <w:autoSpaceDE/>
              <w:autoSpaceDN/>
              <w:bidi w:val="0"/>
              <w:spacing w:before="0" w:beforeLines="0" w:after="0" w:afterLines="0" w:line="594" w:lineRule="exact"/>
              <w:ind w:left="0" w:leftChars="0" w:right="0" w:rightChars="0" w:firstLine="0" w:firstLineChars="0"/>
              <w:jc w:val="both"/>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参数</w:t>
            </w:r>
          </w:p>
        </w:tc>
        <w:tc>
          <w:tcPr>
            <w:tcW w:w="908" w:type="dxa"/>
            <w:noWrap w:val="0"/>
            <w:vAlign w:val="top"/>
          </w:tcPr>
          <w:p w14:paraId="1F906FEA">
            <w:pPr>
              <w:keepNext w:val="0"/>
              <w:keepLines w:val="0"/>
              <w:pageBreakBefore w:val="0"/>
              <w:widowControl w:val="0"/>
              <w:kinsoku/>
              <w:wordWrap/>
              <w:overflowPunct/>
              <w:topLinePunct w:val="0"/>
              <w:autoSpaceDE/>
              <w:autoSpaceDN/>
              <w:bidi w:val="0"/>
              <w:spacing w:before="0" w:beforeLines="0" w:after="0" w:afterLines="0" w:line="594"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N</w:t>
            </w:r>
          </w:p>
        </w:tc>
        <w:tc>
          <w:tcPr>
            <w:tcW w:w="780" w:type="dxa"/>
            <w:noWrap w:val="0"/>
            <w:vAlign w:val="top"/>
          </w:tcPr>
          <w:p w14:paraId="12D2CC0C">
            <w:pPr>
              <w:keepNext w:val="0"/>
              <w:keepLines w:val="0"/>
              <w:pageBreakBefore w:val="0"/>
              <w:widowControl w:val="0"/>
              <w:kinsoku/>
              <w:wordWrap/>
              <w:overflowPunct/>
              <w:topLinePunct w:val="0"/>
              <w:autoSpaceDE/>
              <w:autoSpaceDN/>
              <w:bidi w:val="0"/>
              <w:spacing w:before="0" w:beforeLines="0" w:after="0" w:afterLines="0" w:line="594"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M</w:t>
            </w:r>
          </w:p>
        </w:tc>
        <w:tc>
          <w:tcPr>
            <w:tcW w:w="510" w:type="dxa"/>
            <w:noWrap w:val="0"/>
            <w:vAlign w:val="top"/>
          </w:tcPr>
          <w:p w14:paraId="215E1C1D">
            <w:pPr>
              <w:keepNext w:val="0"/>
              <w:keepLines w:val="0"/>
              <w:pageBreakBefore w:val="0"/>
              <w:widowControl w:val="0"/>
              <w:kinsoku/>
              <w:wordWrap/>
              <w:overflowPunct/>
              <w:topLinePunct w:val="0"/>
              <w:autoSpaceDE/>
              <w:autoSpaceDN/>
              <w:bidi w:val="0"/>
              <w:spacing w:before="0" w:beforeLines="0" w:after="0" w:afterLines="0" w:line="594"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A</w:t>
            </w:r>
          </w:p>
        </w:tc>
        <w:tc>
          <w:tcPr>
            <w:tcW w:w="540" w:type="dxa"/>
            <w:noWrap w:val="0"/>
            <w:vAlign w:val="top"/>
          </w:tcPr>
          <w:p w14:paraId="0FE4F211">
            <w:pPr>
              <w:keepNext w:val="0"/>
              <w:keepLines w:val="0"/>
              <w:pageBreakBefore w:val="0"/>
              <w:widowControl w:val="0"/>
              <w:kinsoku/>
              <w:wordWrap/>
              <w:overflowPunct/>
              <w:topLinePunct w:val="0"/>
              <w:autoSpaceDE/>
              <w:autoSpaceDN/>
              <w:bidi w:val="0"/>
              <w:spacing w:before="0" w:beforeLines="0" w:after="0" w:afterLines="0" w:line="594"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n</w:t>
            </w:r>
          </w:p>
        </w:tc>
        <w:tc>
          <w:tcPr>
            <w:tcW w:w="555" w:type="dxa"/>
            <w:noWrap w:val="0"/>
            <w:vAlign w:val="top"/>
          </w:tcPr>
          <w:p w14:paraId="15AD7E3F">
            <w:pPr>
              <w:keepNext w:val="0"/>
              <w:keepLines w:val="0"/>
              <w:pageBreakBefore w:val="0"/>
              <w:widowControl w:val="0"/>
              <w:kinsoku/>
              <w:wordWrap/>
              <w:overflowPunct/>
              <w:topLinePunct w:val="0"/>
              <w:autoSpaceDE/>
              <w:autoSpaceDN/>
              <w:bidi w:val="0"/>
              <w:spacing w:before="0" w:beforeLines="0" w:after="0" w:afterLines="0" w:line="594"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lang w:eastAsia="zh-CN"/>
              </w:rPr>
            </w:pPr>
            <w:r>
              <w:rPr>
                <w:rFonts w:hint="eastAsia" w:ascii="FangSong_GB2312" w:hAnsi="FangSong_GB2312" w:eastAsia="FangSong_GB2312" w:cs="FangSong_GB2312"/>
                <w:color w:val="3E3E3E"/>
                <w:kern w:val="0"/>
                <w:sz w:val="32"/>
                <w:szCs w:val="32"/>
                <w:u w:val="none"/>
                <w:shd w:val="clear" w:color="auto" w:fill="FFFFFF"/>
              </w:rPr>
              <w:t>B</w:t>
            </w:r>
            <w:r>
              <w:rPr>
                <w:rFonts w:hint="eastAsia" w:ascii="FangSong_GB2312" w:hAnsi="FangSong_GB2312" w:eastAsia="FangSong_GB2312" w:cs="FangSong_GB2312"/>
                <w:color w:val="3E3E3E"/>
                <w:kern w:val="0"/>
                <w:sz w:val="32"/>
                <w:szCs w:val="32"/>
                <w:u w:val="none"/>
                <w:shd w:val="clear" w:color="auto" w:fill="FFFFFF"/>
                <w:lang w:val="en-US" w:eastAsia="zh-CN"/>
              </w:rPr>
              <w:t>1</w:t>
            </w:r>
          </w:p>
        </w:tc>
        <w:tc>
          <w:tcPr>
            <w:tcW w:w="630" w:type="dxa"/>
            <w:noWrap w:val="0"/>
            <w:vAlign w:val="top"/>
          </w:tcPr>
          <w:p w14:paraId="7F1D40F4">
            <w:pPr>
              <w:keepNext w:val="0"/>
              <w:keepLines w:val="0"/>
              <w:pageBreakBefore w:val="0"/>
              <w:widowControl w:val="0"/>
              <w:kinsoku/>
              <w:wordWrap/>
              <w:overflowPunct/>
              <w:topLinePunct w:val="0"/>
              <w:autoSpaceDE/>
              <w:autoSpaceDN/>
              <w:bidi w:val="0"/>
              <w:spacing w:before="0" w:beforeLines="0" w:after="0" w:afterLines="0" w:line="594"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lang w:eastAsia="zh-CN"/>
              </w:rPr>
            </w:pPr>
            <w:r>
              <w:rPr>
                <w:rFonts w:hint="eastAsia" w:ascii="FangSong_GB2312" w:hAnsi="FangSong_GB2312" w:eastAsia="FangSong_GB2312" w:cs="FangSong_GB2312"/>
                <w:color w:val="3E3E3E"/>
                <w:kern w:val="0"/>
                <w:sz w:val="32"/>
                <w:szCs w:val="32"/>
                <w:u w:val="none"/>
                <w:shd w:val="clear" w:color="auto" w:fill="FFFFFF"/>
              </w:rPr>
              <w:t>B</w:t>
            </w:r>
            <w:r>
              <w:rPr>
                <w:rFonts w:hint="eastAsia" w:ascii="FangSong_GB2312" w:hAnsi="FangSong_GB2312" w:eastAsia="FangSong_GB2312" w:cs="FangSong_GB2312"/>
                <w:color w:val="3E3E3E"/>
                <w:kern w:val="0"/>
                <w:sz w:val="32"/>
                <w:szCs w:val="32"/>
                <w:u w:val="none"/>
                <w:shd w:val="clear" w:color="auto" w:fill="FFFFFF"/>
                <w:lang w:val="en-US" w:eastAsia="zh-CN"/>
              </w:rPr>
              <w:t>2</w:t>
            </w:r>
          </w:p>
        </w:tc>
        <w:tc>
          <w:tcPr>
            <w:tcW w:w="633" w:type="dxa"/>
            <w:noWrap w:val="0"/>
            <w:vAlign w:val="top"/>
          </w:tcPr>
          <w:p w14:paraId="119BE87C">
            <w:pPr>
              <w:keepNext w:val="0"/>
              <w:keepLines w:val="0"/>
              <w:pageBreakBefore w:val="0"/>
              <w:widowControl w:val="0"/>
              <w:kinsoku/>
              <w:wordWrap/>
              <w:overflowPunct/>
              <w:topLinePunct w:val="0"/>
              <w:autoSpaceDE/>
              <w:autoSpaceDN/>
              <w:bidi w:val="0"/>
              <w:spacing w:before="0" w:beforeLines="0" w:after="0" w:afterLines="0" w:line="594"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lang w:eastAsia="zh-CN"/>
              </w:rPr>
            </w:pPr>
            <w:r>
              <w:rPr>
                <w:rFonts w:hint="eastAsia" w:ascii="FangSong_GB2312" w:hAnsi="FangSong_GB2312" w:eastAsia="FangSong_GB2312" w:cs="FangSong_GB2312"/>
                <w:color w:val="3E3E3E"/>
                <w:kern w:val="0"/>
                <w:sz w:val="32"/>
                <w:szCs w:val="32"/>
                <w:u w:val="none"/>
                <w:shd w:val="clear" w:color="auto" w:fill="FFFFFF"/>
              </w:rPr>
              <w:t>B</w:t>
            </w:r>
            <w:r>
              <w:rPr>
                <w:rFonts w:hint="eastAsia" w:ascii="FangSong_GB2312" w:hAnsi="FangSong_GB2312" w:eastAsia="FangSong_GB2312" w:cs="FangSong_GB2312"/>
                <w:color w:val="3E3E3E"/>
                <w:kern w:val="0"/>
                <w:sz w:val="32"/>
                <w:szCs w:val="32"/>
                <w:u w:val="none"/>
                <w:shd w:val="clear" w:color="auto" w:fill="FFFFFF"/>
                <w:lang w:val="en-US" w:eastAsia="zh-CN"/>
              </w:rPr>
              <w:t>3</w:t>
            </w:r>
          </w:p>
        </w:tc>
        <w:tc>
          <w:tcPr>
            <w:tcW w:w="732" w:type="dxa"/>
            <w:noWrap w:val="0"/>
            <w:vAlign w:val="top"/>
          </w:tcPr>
          <w:p w14:paraId="50515F99">
            <w:pPr>
              <w:keepNext w:val="0"/>
              <w:keepLines w:val="0"/>
              <w:pageBreakBefore w:val="0"/>
              <w:widowControl w:val="0"/>
              <w:kinsoku/>
              <w:wordWrap/>
              <w:overflowPunct/>
              <w:topLinePunct w:val="0"/>
              <w:autoSpaceDE/>
              <w:autoSpaceDN/>
              <w:bidi w:val="0"/>
              <w:spacing w:before="0" w:beforeLines="0" w:after="0" w:afterLines="0" w:line="594"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B4</w:t>
            </w:r>
          </w:p>
        </w:tc>
        <w:tc>
          <w:tcPr>
            <w:tcW w:w="675" w:type="dxa"/>
            <w:noWrap w:val="0"/>
            <w:vAlign w:val="top"/>
          </w:tcPr>
          <w:p w14:paraId="55E2DC12">
            <w:pPr>
              <w:keepNext w:val="0"/>
              <w:keepLines w:val="0"/>
              <w:pageBreakBefore w:val="0"/>
              <w:widowControl w:val="0"/>
              <w:kinsoku/>
              <w:wordWrap/>
              <w:overflowPunct/>
              <w:topLinePunct w:val="0"/>
              <w:autoSpaceDE/>
              <w:autoSpaceDN/>
              <w:bidi w:val="0"/>
              <w:spacing w:before="0" w:beforeLines="0" w:after="0" w:afterLines="0" w:line="594"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B5</w:t>
            </w:r>
          </w:p>
        </w:tc>
        <w:tc>
          <w:tcPr>
            <w:tcW w:w="615" w:type="dxa"/>
            <w:noWrap w:val="0"/>
            <w:vAlign w:val="top"/>
          </w:tcPr>
          <w:p w14:paraId="414B0933">
            <w:pPr>
              <w:keepNext w:val="0"/>
              <w:keepLines w:val="0"/>
              <w:pageBreakBefore w:val="0"/>
              <w:widowControl w:val="0"/>
              <w:kinsoku/>
              <w:wordWrap/>
              <w:overflowPunct/>
              <w:topLinePunct w:val="0"/>
              <w:autoSpaceDE/>
              <w:autoSpaceDN/>
              <w:bidi w:val="0"/>
              <w:spacing w:before="0" w:beforeLines="0" w:after="0" w:afterLines="0" w:line="594"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B6</w:t>
            </w:r>
          </w:p>
        </w:tc>
      </w:tr>
      <w:tr w14:paraId="471C9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074" w:type="dxa"/>
            <w:noWrap w:val="0"/>
            <w:vAlign w:val="top"/>
          </w:tcPr>
          <w:p w14:paraId="2BC0B4EC">
            <w:pPr>
              <w:keepNext w:val="0"/>
              <w:keepLines w:val="0"/>
              <w:pageBreakBefore w:val="0"/>
              <w:widowControl w:val="0"/>
              <w:kinsoku/>
              <w:wordWrap/>
              <w:overflowPunct/>
              <w:topLinePunct w:val="0"/>
              <w:autoSpaceDE/>
              <w:autoSpaceDN/>
              <w:bidi w:val="0"/>
              <w:spacing w:before="0" w:beforeLines="0" w:after="0" w:afterLines="0" w:line="594" w:lineRule="exact"/>
              <w:ind w:left="0" w:leftChars="0" w:right="0" w:rightChars="0" w:firstLine="0" w:firstLineChars="0"/>
              <w:jc w:val="both"/>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取值</w:t>
            </w:r>
          </w:p>
        </w:tc>
        <w:tc>
          <w:tcPr>
            <w:tcW w:w="908" w:type="dxa"/>
            <w:noWrap w:val="0"/>
            <w:vAlign w:val="top"/>
          </w:tcPr>
          <w:p w14:paraId="3DACCE86">
            <w:pPr>
              <w:keepNext w:val="0"/>
              <w:keepLines w:val="0"/>
              <w:pageBreakBefore w:val="0"/>
              <w:widowControl w:val="0"/>
              <w:kinsoku/>
              <w:wordWrap/>
              <w:overflowPunct/>
              <w:topLinePunct w:val="0"/>
              <w:autoSpaceDE/>
              <w:autoSpaceDN/>
              <w:bidi w:val="0"/>
              <w:spacing w:before="0" w:beforeLines="0" w:after="0" w:afterLines="0" w:line="594"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0.5</w:t>
            </w:r>
          </w:p>
        </w:tc>
        <w:tc>
          <w:tcPr>
            <w:tcW w:w="780" w:type="dxa"/>
            <w:noWrap w:val="0"/>
            <w:vAlign w:val="top"/>
          </w:tcPr>
          <w:p w14:paraId="7E9B1D1F">
            <w:pPr>
              <w:keepNext w:val="0"/>
              <w:keepLines w:val="0"/>
              <w:pageBreakBefore w:val="0"/>
              <w:widowControl w:val="0"/>
              <w:kinsoku/>
              <w:wordWrap/>
              <w:overflowPunct/>
              <w:topLinePunct w:val="0"/>
              <w:autoSpaceDE/>
              <w:autoSpaceDN/>
              <w:bidi w:val="0"/>
              <w:spacing w:before="0" w:beforeLines="0" w:after="0" w:afterLines="0" w:line="594"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2</w:t>
            </w:r>
          </w:p>
        </w:tc>
        <w:tc>
          <w:tcPr>
            <w:tcW w:w="510" w:type="dxa"/>
            <w:noWrap w:val="0"/>
            <w:vAlign w:val="top"/>
          </w:tcPr>
          <w:p w14:paraId="341AE722">
            <w:pPr>
              <w:keepNext w:val="0"/>
              <w:keepLines w:val="0"/>
              <w:pageBreakBefore w:val="0"/>
              <w:widowControl w:val="0"/>
              <w:kinsoku/>
              <w:wordWrap/>
              <w:overflowPunct/>
              <w:topLinePunct w:val="0"/>
              <w:autoSpaceDE/>
              <w:autoSpaceDN/>
              <w:bidi w:val="0"/>
              <w:spacing w:before="0" w:beforeLines="0" w:after="0" w:afterLines="0" w:line="594"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2</w:t>
            </w:r>
          </w:p>
        </w:tc>
        <w:tc>
          <w:tcPr>
            <w:tcW w:w="540" w:type="dxa"/>
            <w:noWrap w:val="0"/>
            <w:vAlign w:val="top"/>
          </w:tcPr>
          <w:p w14:paraId="7554F74E">
            <w:pPr>
              <w:keepNext w:val="0"/>
              <w:keepLines w:val="0"/>
              <w:pageBreakBefore w:val="0"/>
              <w:widowControl w:val="0"/>
              <w:kinsoku/>
              <w:wordWrap/>
              <w:overflowPunct/>
              <w:topLinePunct w:val="0"/>
              <w:autoSpaceDE/>
              <w:autoSpaceDN/>
              <w:bidi w:val="0"/>
              <w:spacing w:before="0" w:beforeLines="0" w:after="0" w:afterLines="0" w:line="594"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6</w:t>
            </w:r>
          </w:p>
        </w:tc>
        <w:tc>
          <w:tcPr>
            <w:tcW w:w="555" w:type="dxa"/>
            <w:noWrap w:val="0"/>
            <w:vAlign w:val="top"/>
          </w:tcPr>
          <w:p w14:paraId="2A44903F">
            <w:pPr>
              <w:keepNext w:val="0"/>
              <w:keepLines w:val="0"/>
              <w:pageBreakBefore w:val="0"/>
              <w:widowControl w:val="0"/>
              <w:kinsoku/>
              <w:wordWrap/>
              <w:overflowPunct/>
              <w:topLinePunct w:val="0"/>
              <w:autoSpaceDE/>
              <w:autoSpaceDN/>
              <w:bidi w:val="0"/>
              <w:spacing w:before="0" w:beforeLines="0" w:after="0" w:afterLines="0" w:line="594"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1</w:t>
            </w:r>
          </w:p>
        </w:tc>
        <w:tc>
          <w:tcPr>
            <w:tcW w:w="630" w:type="dxa"/>
            <w:noWrap w:val="0"/>
            <w:vAlign w:val="top"/>
          </w:tcPr>
          <w:p w14:paraId="2332E2B5">
            <w:pPr>
              <w:keepNext w:val="0"/>
              <w:keepLines w:val="0"/>
              <w:pageBreakBefore w:val="0"/>
              <w:widowControl w:val="0"/>
              <w:kinsoku/>
              <w:wordWrap/>
              <w:overflowPunct/>
              <w:topLinePunct w:val="0"/>
              <w:autoSpaceDE/>
              <w:autoSpaceDN/>
              <w:bidi w:val="0"/>
              <w:spacing w:before="0" w:beforeLines="0" w:after="0" w:afterLines="0" w:line="594"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lang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3</w:t>
            </w:r>
          </w:p>
        </w:tc>
        <w:tc>
          <w:tcPr>
            <w:tcW w:w="633" w:type="dxa"/>
            <w:noWrap w:val="0"/>
            <w:vAlign w:val="top"/>
          </w:tcPr>
          <w:p w14:paraId="4BBFB998">
            <w:pPr>
              <w:keepNext w:val="0"/>
              <w:keepLines w:val="0"/>
              <w:pageBreakBefore w:val="0"/>
              <w:widowControl w:val="0"/>
              <w:kinsoku/>
              <w:wordWrap/>
              <w:overflowPunct/>
              <w:topLinePunct w:val="0"/>
              <w:autoSpaceDE/>
              <w:autoSpaceDN/>
              <w:bidi w:val="0"/>
              <w:spacing w:before="0" w:beforeLines="0" w:after="0" w:afterLines="0" w:line="594"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lang w:eastAsia="zh-CN"/>
              </w:rPr>
            </w:pPr>
            <w:r>
              <w:rPr>
                <w:rFonts w:hint="eastAsia" w:ascii="FangSong_GB2312" w:hAnsi="FangSong_GB2312" w:cs="FangSong_GB2312"/>
                <w:color w:val="3E3E3E"/>
                <w:kern w:val="0"/>
                <w:sz w:val="32"/>
                <w:szCs w:val="32"/>
                <w:u w:val="none"/>
                <w:shd w:val="clear" w:color="auto" w:fill="FFFFFF"/>
                <w:lang w:val="en-US" w:eastAsia="zh-CN"/>
              </w:rPr>
              <w:t>3</w:t>
            </w:r>
          </w:p>
        </w:tc>
        <w:tc>
          <w:tcPr>
            <w:tcW w:w="732" w:type="dxa"/>
            <w:noWrap w:val="0"/>
            <w:vAlign w:val="top"/>
          </w:tcPr>
          <w:p w14:paraId="47BDA7AF">
            <w:pPr>
              <w:keepNext w:val="0"/>
              <w:keepLines w:val="0"/>
              <w:pageBreakBefore w:val="0"/>
              <w:widowControl w:val="0"/>
              <w:kinsoku/>
              <w:wordWrap/>
              <w:overflowPunct/>
              <w:topLinePunct w:val="0"/>
              <w:autoSpaceDE/>
              <w:autoSpaceDN/>
              <w:bidi w:val="0"/>
              <w:spacing w:before="0" w:beforeLines="0" w:after="0" w:afterLines="0" w:line="594"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4</w:t>
            </w:r>
          </w:p>
        </w:tc>
        <w:tc>
          <w:tcPr>
            <w:tcW w:w="675" w:type="dxa"/>
            <w:noWrap w:val="0"/>
            <w:vAlign w:val="top"/>
          </w:tcPr>
          <w:p w14:paraId="35DEFB30">
            <w:pPr>
              <w:keepNext w:val="0"/>
              <w:keepLines w:val="0"/>
              <w:pageBreakBefore w:val="0"/>
              <w:widowControl w:val="0"/>
              <w:kinsoku/>
              <w:wordWrap/>
              <w:overflowPunct/>
              <w:topLinePunct w:val="0"/>
              <w:autoSpaceDE/>
              <w:autoSpaceDN/>
              <w:bidi w:val="0"/>
              <w:spacing w:before="0" w:beforeLines="0" w:after="0" w:afterLines="0" w:line="594"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1</w:t>
            </w:r>
          </w:p>
        </w:tc>
        <w:tc>
          <w:tcPr>
            <w:tcW w:w="615" w:type="dxa"/>
            <w:noWrap w:val="0"/>
            <w:vAlign w:val="top"/>
          </w:tcPr>
          <w:p w14:paraId="71C1A57A">
            <w:pPr>
              <w:keepNext w:val="0"/>
              <w:keepLines w:val="0"/>
              <w:pageBreakBefore w:val="0"/>
              <w:widowControl w:val="0"/>
              <w:kinsoku/>
              <w:wordWrap/>
              <w:overflowPunct/>
              <w:topLinePunct w:val="0"/>
              <w:autoSpaceDE/>
              <w:autoSpaceDN/>
              <w:bidi w:val="0"/>
              <w:spacing w:before="0" w:beforeLines="0" w:after="0" w:afterLines="0" w:line="594"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1</w:t>
            </w:r>
          </w:p>
        </w:tc>
      </w:tr>
    </w:tbl>
    <w:p w14:paraId="5FE706F1">
      <w:pPr>
        <w:keepNext w:val="0"/>
        <w:keepLines w:val="0"/>
        <w:pageBreakBefore w:val="0"/>
        <w:widowControl w:val="0"/>
        <w:kinsoku/>
        <w:wordWrap/>
        <w:overflowPunct/>
        <w:topLinePunct w:val="0"/>
        <w:autoSpaceDE/>
        <w:autoSpaceDN/>
        <w:bidi w:val="0"/>
        <w:adjustRightInd w:val="0"/>
        <w:snapToGrid w:val="0"/>
        <w:spacing w:before="0" w:beforeLines="100" w:after="0" w:afterLines="0" w:line="594" w:lineRule="exact"/>
        <w:ind w:left="0" w:right="0" w:rightChars="0" w:firstLine="420"/>
        <w:jc w:val="left"/>
        <w:textAlignment w:val="auto"/>
        <w:outlineLvl w:val="9"/>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2"/>
          <w:sz w:val="32"/>
          <w:szCs w:val="32"/>
          <w:u w:val="none"/>
          <w:lang w:val="en-US" w:eastAsia="en-US" w:bidi="ar-SA"/>
        </w:rPr>
        <w:t>X=</w:t>
      </w:r>
      <w:r>
        <w:rPr>
          <w:rFonts w:hint="eastAsia" w:ascii="仿宋_GB2312" w:hAnsi="仿宋_GB2312" w:eastAsia="仿宋_GB2312" w:cs="仿宋_GB2312"/>
          <w:kern w:val="2"/>
          <w:sz w:val="32"/>
          <w:szCs w:val="32"/>
          <w:u w:val="none"/>
          <w:lang w:val="en-US" w:eastAsia="zh-CN" w:bidi="ar-SA"/>
        </w:rPr>
        <w:t>2</w:t>
      </w:r>
      <w:r>
        <w:rPr>
          <w:rFonts w:hint="eastAsia" w:ascii="仿宋_GB2312" w:hAnsi="仿宋_GB2312" w:eastAsia="仿宋_GB2312" w:cs="仿宋_GB2312"/>
          <w:kern w:val="2"/>
          <w:sz w:val="32"/>
          <w:szCs w:val="32"/>
          <w:u w:val="none"/>
          <w:lang w:val="en-US" w:eastAsia="en-US" w:bidi="ar-SA"/>
        </w:rPr>
        <w:t>+（</w:t>
      </w:r>
      <w:r>
        <w:rPr>
          <w:rFonts w:hint="eastAsia" w:ascii="仿宋_GB2312" w:hAnsi="仿宋_GB2312" w:eastAsia="仿宋_GB2312" w:cs="仿宋_GB2312"/>
          <w:kern w:val="2"/>
          <w:sz w:val="32"/>
          <w:szCs w:val="32"/>
          <w:u w:val="none"/>
          <w:lang w:val="en-US" w:eastAsia="zh-CN" w:bidi="ar-SA"/>
        </w:rPr>
        <w:t>20</w:t>
      </w:r>
      <w:r>
        <w:rPr>
          <w:rFonts w:hint="eastAsia" w:ascii="仿宋_GB2312" w:hAnsi="仿宋_GB2312" w:eastAsia="仿宋_GB2312" w:cs="仿宋_GB2312"/>
          <w:kern w:val="2"/>
          <w:sz w:val="32"/>
          <w:szCs w:val="32"/>
          <w:u w:val="none"/>
          <w:lang w:val="en-US" w:eastAsia="en-US" w:bidi="ar-SA"/>
        </w:rPr>
        <w:t>-</w:t>
      </w:r>
      <w:r>
        <w:rPr>
          <w:rFonts w:hint="eastAsia" w:ascii="仿宋_GB2312" w:hAnsi="仿宋_GB2312" w:eastAsia="仿宋_GB2312" w:cs="仿宋_GB2312"/>
          <w:kern w:val="2"/>
          <w:sz w:val="32"/>
          <w:szCs w:val="32"/>
          <w:u w:val="none"/>
          <w:lang w:val="en-US" w:eastAsia="zh-CN" w:bidi="ar-SA"/>
        </w:rPr>
        <w:t>2</w:t>
      </w:r>
      <w:r>
        <w:rPr>
          <w:rFonts w:hint="eastAsia" w:ascii="仿宋_GB2312" w:hAnsi="仿宋_GB2312" w:eastAsia="仿宋_GB2312" w:cs="仿宋_GB2312"/>
          <w:kern w:val="2"/>
          <w:sz w:val="32"/>
          <w:szCs w:val="32"/>
          <w:u w:val="none"/>
          <w:lang w:val="en-US" w:eastAsia="en-US" w:bidi="ar-SA"/>
        </w:rPr>
        <w:t>）×[</w:t>
      </w:r>
      <w:r>
        <w:rPr>
          <w:rFonts w:hint="eastAsia" w:ascii="仿宋_GB2312" w:hAnsi="仿宋_GB2312" w:eastAsia="仿宋_GB2312" w:cs="仿宋_GB2312"/>
          <w:kern w:val="2"/>
          <w:sz w:val="32"/>
          <w:szCs w:val="32"/>
          <w:u w:val="none"/>
          <w:lang w:val="en-US" w:eastAsia="zh-CN" w:bidi="ar-SA"/>
        </w:rPr>
        <w:t>(1</w:t>
      </w:r>
      <w:r>
        <w:rPr>
          <w:rFonts w:hint="eastAsia" w:ascii="仿宋_GB2312" w:hAnsi="仿宋_GB2312" w:eastAsia="仿宋_GB2312" w:cs="仿宋_GB2312"/>
          <w:kern w:val="2"/>
          <w:sz w:val="32"/>
          <w:szCs w:val="32"/>
          <w:u w:val="none"/>
          <w:lang w:val="en-US" w:eastAsia="en-US" w:bidi="ar-SA"/>
        </w:rPr>
        <w:t>/</w:t>
      </w:r>
      <w:r>
        <w:rPr>
          <w:rFonts w:hint="eastAsia" w:ascii="仿宋_GB2312" w:hAnsi="仿宋_GB2312" w:eastAsia="仿宋_GB2312" w:cs="仿宋_GB2312"/>
          <w:kern w:val="2"/>
          <w:sz w:val="32"/>
          <w:szCs w:val="32"/>
          <w:u w:val="none"/>
          <w:lang w:val="en-US" w:eastAsia="zh-CN" w:bidi="ar-SA"/>
        </w:rPr>
        <w:t>5</w:t>
      </w:r>
      <w:r>
        <w:rPr>
          <w:rFonts w:hint="eastAsia" w:ascii="仿宋_GB2312" w:hAnsi="仿宋_GB2312" w:eastAsia="仿宋_GB2312" w:cs="仿宋_GB2312"/>
          <w:kern w:val="2"/>
          <w:sz w:val="32"/>
          <w:szCs w:val="32"/>
          <w:u w:val="none"/>
          <w:vertAlign w:val="superscript"/>
          <w:lang w:val="en-US" w:eastAsia="zh-CN" w:bidi="ar-SA"/>
        </w:rPr>
        <w:t>2</w:t>
      </w:r>
      <w:r>
        <w:rPr>
          <w:rFonts w:hint="eastAsia" w:ascii="仿宋_GB2312" w:hAnsi="仿宋_GB2312" w:eastAsia="仿宋_GB2312" w:cs="仿宋_GB2312"/>
          <w:kern w:val="2"/>
          <w:sz w:val="32"/>
          <w:szCs w:val="32"/>
          <w:u w:val="none"/>
          <w:lang w:val="en-US" w:eastAsia="en-US" w:bidi="ar-SA"/>
        </w:rPr>
        <w:t>+</w:t>
      </w:r>
      <w:r>
        <w:rPr>
          <w:rFonts w:hint="eastAsia" w:ascii="仿宋_GB2312" w:hAnsi="仿宋_GB2312" w:eastAsia="仿宋_GB2312" w:cs="仿宋_GB2312"/>
          <w:kern w:val="2"/>
          <w:sz w:val="32"/>
          <w:szCs w:val="32"/>
          <w:u w:val="none"/>
          <w:lang w:val="en-US" w:eastAsia="zh-CN" w:bidi="ar-SA"/>
        </w:rPr>
        <w:t>（1+1+1+1+1+1+1）</w:t>
      </w:r>
      <w:r>
        <w:rPr>
          <w:rFonts w:hint="eastAsia" w:ascii="仿宋_GB2312" w:hAnsi="仿宋_GB2312" w:eastAsia="仿宋_GB2312" w:cs="仿宋_GB2312"/>
          <w:kern w:val="2"/>
          <w:sz w:val="32"/>
          <w:szCs w:val="32"/>
          <w:u w:val="none"/>
          <w:lang w:val="en-US" w:eastAsia="en-US" w:bidi="ar-SA"/>
        </w:rPr>
        <w:t>/（</w:t>
      </w:r>
      <w:r>
        <w:rPr>
          <w:rFonts w:hint="eastAsia" w:ascii="仿宋_GB2312" w:hAnsi="仿宋_GB2312" w:eastAsia="仿宋_GB2312" w:cs="仿宋_GB2312"/>
          <w:kern w:val="2"/>
          <w:sz w:val="32"/>
          <w:szCs w:val="32"/>
          <w:u w:val="none"/>
          <w:lang w:val="en-US" w:eastAsia="zh-CN" w:bidi="ar-SA"/>
        </w:rPr>
        <w:t>5</w:t>
      </w:r>
      <w:r>
        <w:rPr>
          <w:rFonts w:hint="eastAsia" w:ascii="仿宋_GB2312" w:hAnsi="仿宋_GB2312" w:eastAsia="仿宋_GB2312" w:cs="仿宋_GB2312"/>
          <w:kern w:val="2"/>
          <w:sz w:val="32"/>
          <w:szCs w:val="32"/>
          <w:u w:val="none"/>
          <w:vertAlign w:val="superscript"/>
          <w:lang w:val="en-US" w:eastAsia="zh-CN" w:bidi="ar-SA"/>
        </w:rPr>
        <w:t>2</w:t>
      </w:r>
      <w:r>
        <w:rPr>
          <w:rFonts w:hint="eastAsia" w:ascii="仿宋_GB2312" w:hAnsi="仿宋_GB2312" w:eastAsia="仿宋_GB2312" w:cs="仿宋_GB2312"/>
          <w:kern w:val="2"/>
          <w:sz w:val="32"/>
          <w:szCs w:val="32"/>
          <w:u w:val="none"/>
          <w:lang w:val="en-US" w:eastAsia="en-US" w:bidi="ar-SA"/>
        </w:rPr>
        <w:t>×</w:t>
      </w:r>
      <w:r>
        <w:rPr>
          <w:rFonts w:hint="eastAsia" w:ascii="仿宋_GB2312" w:hAnsi="仿宋_GB2312" w:eastAsia="仿宋_GB2312" w:cs="仿宋_GB2312"/>
          <w:kern w:val="2"/>
          <w:sz w:val="32"/>
          <w:szCs w:val="32"/>
          <w:u w:val="none"/>
          <w:lang w:val="en-US" w:eastAsia="zh-CN" w:bidi="ar-SA"/>
        </w:rPr>
        <w:t>7</w:t>
      </w:r>
      <w:r>
        <w:rPr>
          <w:rFonts w:hint="eastAsia" w:ascii="仿宋_GB2312" w:hAnsi="仿宋_GB2312" w:eastAsia="仿宋_GB2312" w:cs="仿宋_GB2312"/>
          <w:kern w:val="2"/>
          <w:sz w:val="32"/>
          <w:szCs w:val="32"/>
          <w:u w:val="none"/>
          <w:lang w:val="en-US" w:eastAsia="en-US" w:bidi="ar-SA"/>
        </w:rPr>
        <w:t>）]×50%=</w:t>
      </w:r>
      <w:r>
        <w:rPr>
          <w:rFonts w:hint="eastAsia" w:ascii="仿宋_GB2312" w:hAnsi="仿宋_GB2312" w:eastAsia="仿宋_GB2312" w:cs="仿宋_GB2312"/>
          <w:kern w:val="2"/>
          <w:sz w:val="32"/>
          <w:szCs w:val="32"/>
          <w:u w:val="none"/>
          <w:lang w:val="en-US" w:eastAsia="zh-CN" w:bidi="ar-SA"/>
        </w:rPr>
        <w:t>0.805万元</w:t>
      </w:r>
      <w:r>
        <w:rPr>
          <w:rFonts w:hint="eastAsia" w:ascii="仿宋_GB2312" w:hAnsi="仿宋_GB2312" w:eastAsia="仿宋_GB2312" w:cs="仿宋_GB2312"/>
          <w:kern w:val="0"/>
          <w:sz w:val="32"/>
          <w:szCs w:val="32"/>
          <w:lang w:val="en-US" w:eastAsia="zh-CN"/>
        </w:rPr>
        <w:t xml:space="preserve">  </w:t>
      </w:r>
    </w:p>
    <w:p w14:paraId="2444CC44">
      <w:pPr>
        <w:keepNext w:val="0"/>
        <w:keepLines w:val="0"/>
        <w:pageBreakBefore w:val="0"/>
        <w:widowControl w:val="0"/>
        <w:kinsoku/>
        <w:wordWrap/>
        <w:overflowPunct/>
        <w:topLinePunct w:val="0"/>
        <w:autoSpaceDE/>
        <w:autoSpaceDN/>
        <w:bidi w:val="0"/>
        <w:adjustRightInd w:val="0"/>
        <w:snapToGrid w:val="0"/>
        <w:spacing w:before="0" w:beforeLines="0" w:line="594" w:lineRule="exact"/>
        <w:ind w:firstLine="640" w:firstLineChars="200"/>
        <w:jc w:val="left"/>
        <w:rPr>
          <w:rFonts w:hint="default" w:ascii="Times New Roman" w:hAnsi="Times New Roman" w:eastAsia="仿宋_GB2312" w:cs="Times New Roman"/>
          <w:sz w:val="32"/>
          <w:szCs w:val="32"/>
        </w:rPr>
      </w:pPr>
      <w:r>
        <w:rPr>
          <w:rFonts w:hint="eastAsia" w:ascii="仿宋_GB2312" w:hAnsi="仿宋_GB2312" w:eastAsia="仿宋_GB2312" w:cs="仿宋_GB2312"/>
          <w:kern w:val="0"/>
          <w:sz w:val="32"/>
          <w:szCs w:val="32"/>
          <w:lang w:val="en-US" w:eastAsia="zh-CN"/>
        </w:rPr>
        <w:t>经局负责人集体讨论，对你公司未建立环境管理台账记录制度的违法行为作出以下处理决定</w:t>
      </w:r>
      <w:r>
        <w:rPr>
          <w:rFonts w:hint="default" w:ascii="Times New Roman" w:hAnsi="Times New Roman" w:eastAsia="仿宋_GB2312" w:cs="Times New Roman"/>
          <w:sz w:val="32"/>
          <w:szCs w:val="32"/>
        </w:rPr>
        <w:t>：</w:t>
      </w:r>
    </w:p>
    <w:p w14:paraId="41A827AD">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94" w:lineRule="exact"/>
        <w:ind w:right="0" w:rightChars="0"/>
        <w:jc w:val="both"/>
        <w:textAlignment w:val="bottom"/>
        <w:rPr>
          <w:rFonts w:hint="eastAsia" w:ascii="仿宋_GB2312" w:hAnsi="仿宋_GB2312" w:eastAsia="仿宋_GB2312"/>
          <w:sz w:val="32"/>
          <w:szCs w:val="32"/>
        </w:rPr>
      </w:pPr>
      <w:r>
        <w:rPr>
          <w:rFonts w:hint="eastAsia" w:ascii="仿宋_GB2312" w:hAnsi="仿宋_GB2312" w:eastAsia="仿宋_GB2312" w:cs="仿宋_GB2312"/>
          <w:color w:val="auto"/>
          <w:sz w:val="32"/>
          <w:szCs w:val="32"/>
          <w:u w:val="none"/>
        </w:rPr>
        <w:t>处</w:t>
      </w:r>
      <w:r>
        <w:rPr>
          <w:rFonts w:hint="eastAsia" w:ascii="仿宋_GB2312" w:hAnsi="仿宋_GB2312" w:eastAsia="仿宋_GB2312" w:cs="仿宋_GB2312"/>
          <w:color w:val="auto"/>
          <w:sz w:val="32"/>
          <w:szCs w:val="32"/>
          <w:u w:val="none"/>
          <w:lang w:val="en-US" w:eastAsia="zh-CN"/>
        </w:rPr>
        <w:t>捌仟零伍拾元</w:t>
      </w:r>
      <w:r>
        <w:rPr>
          <w:rFonts w:hint="eastAsia" w:ascii="仿宋_GB2312" w:hAnsi="仿宋_GB2312" w:eastAsia="仿宋_GB2312" w:cs="仿宋_GB2312"/>
          <w:color w:val="auto"/>
          <w:sz w:val="32"/>
          <w:szCs w:val="32"/>
          <w:u w:val="none"/>
        </w:rPr>
        <w:t>罚款（</w:t>
      </w:r>
      <w:r>
        <w:rPr>
          <w:rFonts w:hint="eastAsia" w:ascii="仿宋_GB2312" w:hAnsi="仿宋_GB2312" w:eastAsia="仿宋_GB2312" w:cs="仿宋_GB2312"/>
          <w:color w:val="auto"/>
          <w:sz w:val="32"/>
          <w:szCs w:val="32"/>
          <w:u w:val="none"/>
          <w:lang w:val="en-US" w:eastAsia="zh-CN"/>
        </w:rPr>
        <w:t>0.805</w:t>
      </w:r>
      <w:r>
        <w:rPr>
          <w:rFonts w:hint="eastAsia" w:ascii="仿宋_GB2312" w:hAnsi="仿宋_GB2312" w:eastAsia="仿宋_GB2312" w:cs="仿宋_GB2312"/>
          <w:color w:val="auto"/>
          <w:sz w:val="32"/>
          <w:szCs w:val="32"/>
          <w:u w:val="none"/>
        </w:rPr>
        <w:t>万元）</w:t>
      </w:r>
      <w:r>
        <w:rPr>
          <w:rFonts w:hint="eastAsia" w:ascii="仿宋_GB2312" w:hAnsi="仿宋_GB2312" w:eastAsia="仿宋_GB2312" w:cs="仿宋_GB2312"/>
          <w:color w:val="auto"/>
          <w:sz w:val="32"/>
          <w:szCs w:val="32"/>
          <w:u w:val="none"/>
          <w:lang w:eastAsia="zh-CN"/>
        </w:rPr>
        <w:t>。</w:t>
      </w:r>
    </w:p>
    <w:p w14:paraId="4D1634AF">
      <w:pPr>
        <w:keepNext w:val="0"/>
        <w:keepLines w:val="0"/>
        <w:pageBreakBefore w:val="0"/>
        <w:widowControl/>
        <w:suppressLineNumbers w:val="0"/>
        <w:kinsoku/>
        <w:wordWrap/>
        <w:overflowPunct/>
        <w:topLinePunct w:val="0"/>
        <w:autoSpaceDE/>
        <w:bidi w:val="0"/>
        <w:spacing w:line="594" w:lineRule="exact"/>
        <w:ind w:firstLine="640" w:firstLineChars="200"/>
        <w:jc w:val="left"/>
      </w:pPr>
      <w:r>
        <w:rPr>
          <w:rFonts w:hint="eastAsia" w:ascii="方正小标宋简体" w:hAnsi="方正小标宋简体" w:eastAsia="方正小标宋简体" w:cs="方正小标宋简体"/>
          <w:color w:val="000000"/>
          <w:kern w:val="0"/>
          <w:sz w:val="32"/>
          <w:szCs w:val="32"/>
          <w:lang w:val="en-US" w:eastAsia="zh-CN" w:bidi="ar"/>
        </w:rPr>
        <w:t>三、行政处罚决定的履行方式和期限</w:t>
      </w:r>
      <w:r>
        <w:rPr>
          <w:rFonts w:ascii="FZHTK--GBK1-0" w:hAnsi="FZHTK--GBK1-0" w:eastAsia="FZHTK--GBK1-0" w:cs="FZHTK--GBK1-0"/>
          <w:color w:val="000000"/>
          <w:kern w:val="0"/>
          <w:sz w:val="32"/>
          <w:szCs w:val="32"/>
          <w:lang w:val="en-US" w:eastAsia="zh-CN" w:bidi="ar"/>
        </w:rPr>
        <w:t xml:space="preserve"> </w:t>
      </w:r>
    </w:p>
    <w:p w14:paraId="6D884D7E">
      <w:pPr>
        <w:keepNext w:val="0"/>
        <w:keepLines w:val="0"/>
        <w:pageBreakBefore w:val="0"/>
        <w:widowControl w:val="0"/>
        <w:suppressLineNumbers w:val="0"/>
        <w:kinsoku/>
        <w:wordWrap/>
        <w:overflowPunct/>
        <w:topLinePunct w:val="0"/>
        <w:autoSpaceDE/>
        <w:bidi w:val="0"/>
        <w:adjustRightInd/>
        <w:snapToGrid/>
        <w:spacing w:line="594" w:lineRule="exact"/>
        <w:ind w:firstLine="640" w:firstLineChars="200"/>
        <w:jc w:val="both"/>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color w:val="000000"/>
          <w:kern w:val="0"/>
          <w:sz w:val="32"/>
          <w:szCs w:val="32"/>
          <w:lang w:val="en-US" w:eastAsia="zh-CN" w:bidi="ar"/>
        </w:rPr>
        <w:t>根据《中华人民共和国行政处罚法》和《罚款决定与罚款收缴分离实施办法》的规定，你</w:t>
      </w:r>
      <w:r>
        <w:rPr>
          <w:rFonts w:hint="eastAsia" w:eastAsia="仿宋_GB2312" w:cs="Times New Roman"/>
          <w:color w:val="000000"/>
          <w:kern w:val="0"/>
          <w:sz w:val="32"/>
          <w:szCs w:val="32"/>
          <w:lang w:val="en-US" w:eastAsia="zh-CN" w:bidi="ar"/>
        </w:rPr>
        <w:t>公司</w:t>
      </w:r>
      <w:r>
        <w:rPr>
          <w:rFonts w:hint="default" w:ascii="Times New Roman" w:hAnsi="Times New Roman" w:eastAsia="仿宋_GB2312" w:cs="Times New Roman"/>
          <w:color w:val="000000"/>
          <w:kern w:val="0"/>
          <w:sz w:val="32"/>
          <w:szCs w:val="32"/>
          <w:lang w:val="en-US" w:eastAsia="zh-CN" w:bidi="ar"/>
        </w:rPr>
        <w:t>应当自收到本决定书之日起15日内将罚款缴至指定银行和账号</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shd w:val="clear" w:color="auto" w:fill="FFFFFF"/>
        </w:rPr>
        <w:t> </w:t>
      </w:r>
    </w:p>
    <w:p w14:paraId="317476BD">
      <w:pPr>
        <w:keepNext w:val="0"/>
        <w:keepLines w:val="0"/>
        <w:pageBreakBefore w:val="0"/>
        <w:widowControl w:val="0"/>
        <w:kinsoku/>
        <w:wordWrap/>
        <w:overflowPunct/>
        <w:topLinePunct w:val="0"/>
        <w:autoSpaceDE/>
        <w:bidi w:val="0"/>
        <w:adjustRightInd/>
        <w:snapToGrid/>
        <w:spacing w:before="0" w:beforeLines="0" w:after="0" w:afterLines="0" w:line="594" w:lineRule="exact"/>
        <w:ind w:left="0" w:leftChars="0" w:right="0" w:rightChars="0" w:firstLine="640" w:firstLineChars="200"/>
        <w:textAlignment w:val="auto"/>
        <w:outlineLvl w:val="9"/>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户  名：焦作市财政局非税收入财政专户。</w:t>
      </w:r>
    </w:p>
    <w:p w14:paraId="666A703B">
      <w:pPr>
        <w:keepNext w:val="0"/>
        <w:keepLines w:val="0"/>
        <w:pageBreakBefore w:val="0"/>
        <w:widowControl w:val="0"/>
        <w:kinsoku/>
        <w:wordWrap/>
        <w:overflowPunct/>
        <w:topLinePunct w:val="0"/>
        <w:autoSpaceDE/>
        <w:bidi w:val="0"/>
        <w:adjustRightInd/>
        <w:snapToGrid/>
        <w:spacing w:before="0" w:beforeLines="0" w:after="0" w:afterLines="0" w:line="594" w:lineRule="exact"/>
        <w:ind w:left="0" w:leftChars="0" w:right="0" w:rightChars="0" w:firstLine="640" w:firstLineChars="200"/>
        <w:textAlignment w:val="auto"/>
        <w:outlineLvl w:val="9"/>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开户行：邮政储蓄银行民主南路支行；</w:t>
      </w:r>
    </w:p>
    <w:p w14:paraId="2ED0511E">
      <w:pPr>
        <w:keepNext w:val="0"/>
        <w:keepLines w:val="0"/>
        <w:pageBreakBefore w:val="0"/>
        <w:widowControl w:val="0"/>
        <w:kinsoku/>
        <w:wordWrap/>
        <w:overflowPunct/>
        <w:topLinePunct w:val="0"/>
        <w:autoSpaceDE/>
        <w:bidi w:val="0"/>
        <w:adjustRightInd/>
        <w:snapToGrid/>
        <w:spacing w:before="0" w:beforeLines="0" w:after="0" w:afterLines="0" w:line="594" w:lineRule="exact"/>
        <w:ind w:left="0" w:leftChars="0"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shd w:val="clear" w:color="auto" w:fill="FFFFFF"/>
        </w:rPr>
        <w:t>银行账号：100195545980010001</w:t>
      </w:r>
    </w:p>
    <w:p w14:paraId="2725DE3F">
      <w:pPr>
        <w:keepNext w:val="0"/>
        <w:keepLines w:val="0"/>
        <w:pageBreakBefore w:val="0"/>
        <w:shd w:val="solid" w:color="FFFFFF" w:fill="auto"/>
        <w:kinsoku/>
        <w:wordWrap/>
        <w:overflowPunct/>
        <w:topLinePunct w:val="0"/>
        <w:autoSpaceDE/>
        <w:autoSpaceDN w:val="0"/>
        <w:bidi w:val="0"/>
        <w:spacing w:before="0" w:beforeLines="0" w:after="0" w:afterLines="0" w:line="594" w:lineRule="exact"/>
        <w:ind w:left="0" w:leftChars="0" w:right="0" w:rightChars="0" w:firstLine="640" w:firstLineChars="200"/>
        <w:jc w:val="left"/>
        <w:textAlignment w:val="auto"/>
        <w:outlineLvl w:val="9"/>
        <w:rPr>
          <w:rFonts w:hint="eastAsia" w:ascii="黑体" w:hAnsi="宋体" w:eastAsia="黑体"/>
          <w:sz w:val="32"/>
          <w:szCs w:val="32"/>
        </w:rPr>
      </w:pPr>
      <w:r>
        <w:rPr>
          <w:rFonts w:hint="default" w:ascii="Times New Roman" w:hAnsi="Times New Roman" w:eastAsia="仿宋_GB2312" w:cs="Times New Roman"/>
          <w:color w:val="000000"/>
          <w:sz w:val="32"/>
          <w:szCs w:val="32"/>
          <w:shd w:val="clear" w:color="auto" w:fill="FFFFFF"/>
        </w:rPr>
        <w:t>缴纳罚款后，应将缴款凭据报送我局备案。逾期不缴纳罚款的，我局将依法采取行政强制措施。</w:t>
      </w:r>
      <w:r>
        <w:rPr>
          <w:rFonts w:hint="eastAsia" w:ascii="黑体" w:hAnsi="宋体" w:eastAsia="黑体"/>
          <w:sz w:val="32"/>
          <w:szCs w:val="32"/>
        </w:rPr>
        <w:t xml:space="preserve"> </w:t>
      </w:r>
    </w:p>
    <w:p w14:paraId="00772D2D">
      <w:pPr>
        <w:keepNext w:val="0"/>
        <w:keepLines w:val="0"/>
        <w:pageBreakBefore w:val="0"/>
        <w:widowControl/>
        <w:suppressLineNumbers w:val="0"/>
        <w:kinsoku/>
        <w:wordWrap/>
        <w:overflowPunct/>
        <w:topLinePunct w:val="0"/>
        <w:autoSpaceDE/>
        <w:bidi w:val="0"/>
        <w:spacing w:line="594" w:lineRule="exact"/>
        <w:ind w:firstLine="640" w:firstLineChars="200"/>
        <w:jc w:val="left"/>
        <w:rPr>
          <w:rFonts w:hint="eastAsia" w:ascii="方正小标宋简体" w:hAnsi="方正小标宋简体" w:eastAsia="方正小标宋简体" w:cs="方正小标宋简体"/>
        </w:rPr>
      </w:pPr>
      <w:r>
        <w:rPr>
          <w:rFonts w:hint="eastAsia" w:ascii="方正小标宋简体" w:hAnsi="方正小标宋简体" w:eastAsia="方正小标宋简体" w:cs="方正小标宋简体"/>
          <w:color w:val="000000"/>
          <w:kern w:val="0"/>
          <w:sz w:val="32"/>
          <w:szCs w:val="32"/>
          <w:lang w:val="en-US" w:eastAsia="zh-CN" w:bidi="ar"/>
        </w:rPr>
        <w:t>四、申请行政复议或提起行政诉讼的途径和期限</w:t>
      </w:r>
    </w:p>
    <w:p w14:paraId="7555538D">
      <w:pPr>
        <w:keepNext w:val="0"/>
        <w:keepLines w:val="0"/>
        <w:pageBreakBefore w:val="0"/>
        <w:shd w:val="solid" w:color="FFFFFF" w:fill="auto"/>
        <w:kinsoku/>
        <w:wordWrap/>
        <w:overflowPunct/>
        <w:topLinePunct w:val="0"/>
        <w:autoSpaceDE/>
        <w:autoSpaceDN w:val="0"/>
        <w:bidi w:val="0"/>
        <w:spacing w:before="0" w:beforeLines="0" w:after="0" w:afterLines="0" w:line="594" w:lineRule="exact"/>
        <w:ind w:left="0" w:leftChars="0" w:right="0" w:rightChars="0" w:firstLine="640" w:firstLineChars="200"/>
        <w:jc w:val="left"/>
        <w:textAlignment w:val="auto"/>
        <w:outlineLvl w:val="9"/>
        <w:rPr>
          <w:rFonts w:hint="eastAsia" w:ascii="仿宋_GB2312" w:hAnsi="仿宋_GB2312" w:eastAsia="仿宋_GB2312" w:cs="仿宋_GB2312"/>
          <w:color w:val="000000"/>
          <w:sz w:val="32"/>
          <w:szCs w:val="32"/>
          <w:shd w:val="clear" w:color="auto" w:fill="FFFFFF"/>
          <w:lang w:eastAsia="zh-CN"/>
        </w:rPr>
      </w:pPr>
      <w:r>
        <w:rPr>
          <w:rFonts w:hint="eastAsia" w:ascii="仿宋_GB2312" w:hAnsi="仿宋_GB2312" w:eastAsia="仿宋_GB2312" w:cs="仿宋_GB2312"/>
          <w:color w:val="000000"/>
          <w:sz w:val="32"/>
          <w:szCs w:val="32"/>
          <w:shd w:val="clear" w:color="auto" w:fill="FFFFFF"/>
          <w:lang w:eastAsia="zh-CN"/>
        </w:rPr>
        <w:t>你公司如不服本决定，可以自收到本决定书之日起六十日内向焦作市人民政府申请行政复议；也可以在接到本决定书之日起</w:t>
      </w:r>
      <w:r>
        <w:rPr>
          <w:rFonts w:hint="eastAsia" w:ascii="仿宋_GB2312" w:hAnsi="仿宋_GB2312" w:eastAsia="仿宋_GB2312" w:cs="仿宋_GB2312"/>
          <w:color w:val="000000"/>
          <w:sz w:val="32"/>
          <w:szCs w:val="32"/>
          <w:shd w:val="clear" w:color="auto" w:fill="FFFFFF"/>
          <w:lang w:val="en-US" w:eastAsia="zh-CN"/>
        </w:rPr>
        <w:t>6个月</w:t>
      </w:r>
      <w:r>
        <w:rPr>
          <w:rFonts w:hint="eastAsia" w:ascii="仿宋_GB2312" w:hAnsi="仿宋_GB2312" w:eastAsia="仿宋_GB2312" w:cs="仿宋_GB2312"/>
          <w:color w:val="000000"/>
          <w:sz w:val="32"/>
          <w:szCs w:val="32"/>
          <w:shd w:val="clear" w:color="auto" w:fill="FFFFFF"/>
          <w:lang w:eastAsia="zh-CN"/>
        </w:rPr>
        <w:t>内向</w:t>
      </w:r>
      <w:r>
        <w:rPr>
          <w:rFonts w:hint="eastAsia" w:ascii="仿宋_GB2312" w:hAnsi="仿宋_GB2312" w:eastAsia="仿宋_GB2312" w:cs="仿宋_GB2312"/>
          <w:color w:val="000000"/>
          <w:sz w:val="32"/>
          <w:szCs w:val="32"/>
          <w:shd w:val="clear" w:color="auto" w:fill="FFFFFF"/>
          <w:lang w:val="en-US" w:eastAsia="zh-CN"/>
        </w:rPr>
        <w:t>郑州</w:t>
      </w:r>
      <w:r>
        <w:rPr>
          <w:rFonts w:hint="eastAsia" w:ascii="仿宋_GB2312" w:hAnsi="仿宋_GB2312" w:eastAsia="仿宋_GB2312" w:cs="仿宋_GB2312"/>
          <w:color w:val="000000"/>
          <w:sz w:val="32"/>
          <w:szCs w:val="32"/>
          <w:shd w:val="clear" w:color="auto" w:fill="FFFFFF"/>
          <w:lang w:eastAsia="zh-CN"/>
        </w:rPr>
        <w:t>铁路运输法院提起行政诉讼。申请行政复议或者提起行政诉讼，不停止行政处罚决定的执行。</w:t>
      </w:r>
    </w:p>
    <w:p w14:paraId="60BBD873">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94" w:lineRule="exact"/>
        <w:ind w:right="0" w:rightChars="0" w:firstLine="640" w:firstLineChars="200"/>
        <w:jc w:val="both"/>
        <w:textAlignment w:val="bottom"/>
        <w:rPr>
          <w:rFonts w:hint="eastAsia"/>
          <w:sz w:val="32"/>
          <w:lang w:val="en-US" w:eastAsia="zh-CN"/>
        </w:rPr>
      </w:pPr>
      <w:r>
        <w:rPr>
          <w:rFonts w:hint="eastAsia" w:ascii="仿宋_GB2312" w:hAnsi="仿宋_GB2312" w:eastAsia="仿宋_GB2312" w:cs="仿宋_GB2312"/>
          <w:color w:val="000000"/>
          <w:sz w:val="32"/>
          <w:szCs w:val="32"/>
          <w:shd w:val="clear" w:color="auto" w:fill="FFFFFF"/>
          <w:lang w:eastAsia="zh-CN"/>
        </w:rPr>
        <w:t>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14:paraId="4B558C0D">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94" w:lineRule="exact"/>
        <w:ind w:right="0" w:rightChars="0"/>
        <w:jc w:val="both"/>
        <w:textAlignment w:val="bottom"/>
        <w:rPr>
          <w:rFonts w:hint="eastAsia"/>
          <w:sz w:val="32"/>
          <w:lang w:val="en-US" w:eastAsia="zh-CN"/>
        </w:rPr>
      </w:pPr>
    </w:p>
    <w:p w14:paraId="65243B1A">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94" w:lineRule="exact"/>
        <w:ind w:right="0" w:rightChars="0"/>
        <w:jc w:val="both"/>
        <w:textAlignment w:val="bottom"/>
        <w:rPr>
          <w:rFonts w:hint="eastAsia"/>
          <w:sz w:val="32"/>
          <w:lang w:val="en-US" w:eastAsia="zh-CN"/>
        </w:rPr>
      </w:pPr>
    </w:p>
    <w:p w14:paraId="67434715">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94" w:lineRule="exact"/>
        <w:ind w:right="0" w:rightChars="0"/>
        <w:jc w:val="both"/>
        <w:textAlignment w:val="bottom"/>
        <w:rPr>
          <w:rFonts w:hint="eastAsia"/>
          <w:sz w:val="32"/>
          <w:lang w:val="en-US" w:eastAsia="zh-CN"/>
        </w:rPr>
      </w:pPr>
    </w:p>
    <w:p w14:paraId="759BAB19">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94" w:lineRule="exact"/>
        <w:ind w:right="0" w:rightChars="0" w:firstLine="5120" w:firstLineChars="1600"/>
        <w:jc w:val="both"/>
        <w:textAlignment w:val="bottom"/>
        <w:rPr>
          <w:rFonts w:hint="eastAsia"/>
          <w:sz w:val="32"/>
          <w:lang w:val="en-US" w:eastAsia="zh-CN"/>
        </w:rPr>
      </w:pPr>
      <w:r>
        <w:rPr>
          <w:rFonts w:hint="eastAsia"/>
          <w:sz w:val="32"/>
          <w:lang w:val="en-US" w:eastAsia="zh-CN"/>
        </w:rPr>
        <w:t>2025年10月</w:t>
      </w:r>
      <w:r>
        <w:rPr>
          <w:rFonts w:hint="eastAsia" w:cs="Times New Roman"/>
          <w:sz w:val="32"/>
          <w:szCs w:val="32"/>
          <w:lang w:val="en-US" w:eastAsia="zh-CN"/>
        </w:rPr>
        <w:t>31</w:t>
      </w:r>
      <w:r>
        <w:rPr>
          <w:rFonts w:hint="eastAsia"/>
          <w:sz w:val="32"/>
          <w:lang w:val="en-US" w:eastAsia="zh-CN"/>
        </w:rPr>
        <w:t>日</w:t>
      </w:r>
    </w:p>
    <w:p w14:paraId="496182B8">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50" w:lineRule="exact"/>
        <w:ind w:right="0" w:rightChars="0"/>
        <w:jc w:val="both"/>
        <w:textAlignment w:val="bottom"/>
        <w:rPr>
          <w:rFonts w:hint="eastAsia"/>
          <w:sz w:val="32"/>
          <w:lang w:val="en-US" w:eastAsia="zh-CN"/>
        </w:rPr>
      </w:pPr>
    </w:p>
    <w:p w14:paraId="6CDD7412">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70" w:lineRule="exact"/>
        <w:ind w:right="0" w:rightChars="0" w:firstLine="4800" w:firstLineChars="1500"/>
        <w:jc w:val="both"/>
        <w:textAlignment w:val="bottom"/>
        <w:rPr>
          <w:rFonts w:hint="eastAsia"/>
          <w:sz w:val="32"/>
          <w:lang w:val="en-US" w:eastAsia="zh-CN"/>
        </w:rPr>
      </w:pPr>
    </w:p>
    <w:sectPr>
      <w:headerReference r:id="rId5" w:type="default"/>
      <w:footerReference r:id="rId6" w:type="default"/>
      <w:footnotePr>
        <w:numFmt w:val="decimalHalfWidth"/>
      </w:footnotePr>
      <w:endnotePr>
        <w:numFmt w:val="chineseCounting"/>
      </w:endnotePr>
      <w:pgSz w:w="11905" w:h="16837"/>
      <w:pgMar w:top="2154" w:right="1474" w:bottom="1984" w:left="1587" w:header="566" w:footer="1474" w:gutter="0"/>
      <w:pgNumType w:fmt="decimal" w:start="1"/>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FZHTK--GBK1-0">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7E4B91">
    <w:pPr>
      <w:spacing w:line="1" w:lineRule="atLeast"/>
      <w:ind w:left="0" w:leftChars="0" w:firstLine="0" w:firstLineChars="0"/>
    </w:pPr>
  </w:p>
  <w:p w14:paraId="16A86651">
    <w:pPr>
      <w:spacing w:line="1" w:lineRule="atLeast"/>
      <w:jc w:val="left"/>
    </w:pPr>
    <w:r>
      <mc:AlternateContent>
        <mc:Choice Requires="wps">
          <w:drawing>
            <wp:anchor distT="0" distB="0" distL="114300" distR="114300" simplePos="0" relativeHeight="251661312" behindDoc="0" locked="1" layoutInCell="1" allowOverlap="1">
              <wp:simplePos x="0" y="0"/>
              <wp:positionH relativeFrom="column">
                <wp:posOffset>1296670</wp:posOffset>
              </wp:positionH>
              <wp:positionV relativeFrom="paragraph">
                <wp:posOffset>0</wp:posOffset>
              </wp:positionV>
              <wp:extent cx="2335530" cy="251460"/>
              <wp:effectExtent l="0" t="0" r="0" b="0"/>
              <wp:wrapNone/>
              <wp:docPr id="3" name="文本框 3"/>
              <wp:cNvGraphicFramePr/>
              <a:graphic xmlns:a="http://schemas.openxmlformats.org/drawingml/2006/main">
                <a:graphicData uri="http://schemas.microsoft.com/office/word/2010/wordprocessingShape">
                  <wps:wsp>
                    <wps:cNvSpPr txBox="1"/>
                    <wps:spPr>
                      <a:xfrm>
                        <a:off x="0" y="0"/>
                        <a:ext cx="2335530" cy="251460"/>
                      </a:xfrm>
                      <a:prstGeom prst="rect">
                        <a:avLst/>
                      </a:prstGeom>
                      <a:noFill/>
                      <a:ln w="7200">
                        <a:noFill/>
                      </a:ln>
                    </wps:spPr>
                    <wps:txbx>
                      <w:txbxContent>
                        <w:p w14:paraId="03259744">
                          <w:pPr>
                            <w:ind w:left="0" w:leftChars="0" w:firstLine="0" w:firstLineChars="0"/>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102.1pt;margin-top:0pt;height:19.8pt;width:183.9pt;z-index:251661312;mso-width-relative:page;mso-height-relative:page;" filled="f" stroked="f" coordsize="21600,21600" o:gfxdata="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qnVWL9cAAAAHAQAADwAAAAAAAAABACAAAAAiAAAAZHJzL2Rvd25yZXYu&#10;eG1sUEsBAhQAFAAAAAgAh07iQLUZ+pfDAQAAewMAAA4AAAAAAAAAAQAgAAAAJgEAAGRycy9lMm9E&#10;b2MueG1sUEsFBgAAAAAGAAYAWQEAAFsFAAAAAA==&#10;">
              <v:fill on="f" focussize="0,0"/>
              <v:stroke on="f" weight="0.566929133858268pt"/>
              <v:imagedata o:title=""/>
              <o:lock v:ext="edit" aspectratio="f"/>
              <v:textbox inset="0mm,0mm,0mm,0mm">
                <w:txbxContent>
                  <w:p w14:paraId="03259744">
                    <w:pPr>
                      <w:ind w:left="0" w:leftChars="0" w:firstLine="0" w:firstLineChars="0"/>
                      <w:rPr>
                        <w:rFonts w:hint="eastAsia"/>
                      </w:rPr>
                    </w:pPr>
                  </w:p>
                </w:txbxContent>
              </v:textbox>
              <w10:anchorlock/>
            </v:shape>
          </w:pict>
        </mc:Fallback>
      </mc:AlternateContent>
    </w:r>
    <w:r>
      <mc:AlternateContent>
        <mc:Choice Requires="wps">
          <w:drawing>
            <wp:inline distT="0" distB="0" distL="114300" distR="114300">
              <wp:extent cx="5471795" cy="251460"/>
              <wp:effectExtent l="0" t="0" r="0" b="0"/>
              <wp:docPr id="4" name="矩形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XtoNB7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B97822">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5FD8FD86">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0288;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5FD8FD86">
                    <w:pPr>
                      <w:widowControl w:val="0"/>
                      <w:spacing w:line="272" w:lineRule="atLeast"/>
                      <w:rPr>
                        <w:rFonts w:hint="eastAsia"/>
                      </w:rPr>
                    </w:pPr>
                  </w:p>
                </w:txbxContent>
              </v:textbox>
              <w10:anchorlock/>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7BE3AE"/>
    <w:multiLevelType w:val="multilevel"/>
    <w:tmpl w:val="607BE3AE"/>
    <w:lvl w:ilvl="0" w:tentative="0">
      <w:start w:val="1"/>
      <w:numFmt w:val="chineseCountingThousand"/>
      <w:pStyle w:val="3"/>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hZWYzZTg1MjgwM2JkYjE3N2EwZmNkZDJhMDc1MWYifQ=="/>
    <w:docVar w:name="KSO_WPS_MARK_KEY" w:val="9dee9a19-ff29-4c73-8f12-6e9ff17e4eac"/>
  </w:docVars>
  <w:rsids>
    <w:rsidRoot w:val="7DC5315A"/>
    <w:rsid w:val="03056030"/>
    <w:rsid w:val="0A705454"/>
    <w:rsid w:val="0B696D19"/>
    <w:rsid w:val="113C0659"/>
    <w:rsid w:val="136D03B8"/>
    <w:rsid w:val="13EB21F9"/>
    <w:rsid w:val="15771AFC"/>
    <w:rsid w:val="158522BE"/>
    <w:rsid w:val="15BF6185"/>
    <w:rsid w:val="17377504"/>
    <w:rsid w:val="18D80A24"/>
    <w:rsid w:val="19F9518D"/>
    <w:rsid w:val="1B6A132D"/>
    <w:rsid w:val="1C1943F5"/>
    <w:rsid w:val="1EE56B5A"/>
    <w:rsid w:val="1F0855AB"/>
    <w:rsid w:val="20751B7E"/>
    <w:rsid w:val="20825C93"/>
    <w:rsid w:val="211679C4"/>
    <w:rsid w:val="26176E7E"/>
    <w:rsid w:val="26F543A3"/>
    <w:rsid w:val="277C4387"/>
    <w:rsid w:val="28C055AB"/>
    <w:rsid w:val="2B162E29"/>
    <w:rsid w:val="2FA55ECC"/>
    <w:rsid w:val="2FF918ED"/>
    <w:rsid w:val="3044759B"/>
    <w:rsid w:val="30D836AE"/>
    <w:rsid w:val="314279F6"/>
    <w:rsid w:val="320E7DF5"/>
    <w:rsid w:val="340D18C0"/>
    <w:rsid w:val="35C879EF"/>
    <w:rsid w:val="36B92A29"/>
    <w:rsid w:val="39B71124"/>
    <w:rsid w:val="3FE16C80"/>
    <w:rsid w:val="40CE6F8C"/>
    <w:rsid w:val="417D0085"/>
    <w:rsid w:val="43FB7987"/>
    <w:rsid w:val="44203197"/>
    <w:rsid w:val="44717AD0"/>
    <w:rsid w:val="457F0BF8"/>
    <w:rsid w:val="47486902"/>
    <w:rsid w:val="475F46D7"/>
    <w:rsid w:val="47C47A6D"/>
    <w:rsid w:val="493C25D4"/>
    <w:rsid w:val="4A186A9A"/>
    <w:rsid w:val="4E4361C3"/>
    <w:rsid w:val="4EEF5D9A"/>
    <w:rsid w:val="4FBE01E7"/>
    <w:rsid w:val="4FE2732D"/>
    <w:rsid w:val="501E304B"/>
    <w:rsid w:val="51207B48"/>
    <w:rsid w:val="51211B2A"/>
    <w:rsid w:val="51795695"/>
    <w:rsid w:val="52253514"/>
    <w:rsid w:val="52B07B8F"/>
    <w:rsid w:val="532C785A"/>
    <w:rsid w:val="53AB047C"/>
    <w:rsid w:val="563E342F"/>
    <w:rsid w:val="572E3365"/>
    <w:rsid w:val="5A134177"/>
    <w:rsid w:val="5B527D19"/>
    <w:rsid w:val="5C6E5EA1"/>
    <w:rsid w:val="5EFD4BE8"/>
    <w:rsid w:val="5F6C6D3B"/>
    <w:rsid w:val="60236652"/>
    <w:rsid w:val="60D333C6"/>
    <w:rsid w:val="61056FD5"/>
    <w:rsid w:val="62506DE3"/>
    <w:rsid w:val="6380470F"/>
    <w:rsid w:val="65B97E2E"/>
    <w:rsid w:val="6C2216A6"/>
    <w:rsid w:val="6CCD205A"/>
    <w:rsid w:val="6DC43E9F"/>
    <w:rsid w:val="6E535B46"/>
    <w:rsid w:val="6F084870"/>
    <w:rsid w:val="6F8C5880"/>
    <w:rsid w:val="70D80416"/>
    <w:rsid w:val="7A4D113E"/>
    <w:rsid w:val="7AA85DC8"/>
    <w:rsid w:val="7AD56D72"/>
    <w:rsid w:val="7BB10F6C"/>
    <w:rsid w:val="7DC5315A"/>
    <w:rsid w:val="7E0E6DE9"/>
    <w:rsid w:val="7FAF51E9"/>
    <w:rsid w:val="7FD140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FangSong_GB2312" w:cs="Times New Roman"/>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szCs w:val="21"/>
    </w:rPr>
  </w:style>
  <w:style w:type="paragraph" w:styleId="3">
    <w:name w:val="Body Text 2"/>
    <w:basedOn w:val="1"/>
    <w:qFormat/>
    <w:uiPriority w:val="0"/>
    <w:pPr>
      <w:numPr>
        <w:ilvl w:val="0"/>
        <w:numId w:val="1"/>
      </w:numPr>
      <w:spacing w:before="156" w:beforeLines="50" w:line="336" w:lineRule="auto"/>
      <w:ind w:left="0" w:firstLine="0"/>
    </w:pPr>
    <w:rPr>
      <w:rFonts w:ascii="Times New Roman" w:hAnsi="Times New Roman" w:eastAsia="FangSong_GB2312" w:cs="仿宋"/>
      <w:szCs w:val="20"/>
      <w:lang w:eastAsia="en-US"/>
    </w:rPr>
  </w:style>
  <w:style w:type="paragraph" w:styleId="4">
    <w:name w:val="footer"/>
    <w:basedOn w:val="1"/>
    <w:qFormat/>
    <w:uiPriority w:val="0"/>
    <w:pPr>
      <w:tabs>
        <w:tab w:val="center" w:pos="4153"/>
        <w:tab w:val="right" w:pos="8306"/>
      </w:tabs>
      <w:snapToGrid w:val="0"/>
      <w:jc w:val="left"/>
    </w:pPr>
    <w:rPr>
      <w:sz w:val="18"/>
    </w:rPr>
  </w:style>
  <w:style w:type="character" w:styleId="7">
    <w:name w:val="Emphasis"/>
    <w:basedOn w:val="6"/>
    <w:qFormat/>
    <w:uiPriority w:val="0"/>
    <w:rPr>
      <w:i/>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2206</Words>
  <Characters>2404</Characters>
  <Lines>0</Lines>
  <Paragraphs>0</Paragraphs>
  <TotalTime>3</TotalTime>
  <ScaleCrop>false</ScaleCrop>
  <LinksUpToDate>false</LinksUpToDate>
  <CharactersWithSpaces>2434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2023-02-25T01:58:00Z</dcterms:created>
  <dc:creator>冯春有</dc:creator>
  <cp:lastModifiedBy>小可爱1999。</cp:lastModifiedBy>
  <cp:lastPrinted>2025-10-30T12:46:00Z</cp:lastPrinted>
  <dcterms:modified xsi:type="dcterms:W3CDTF">2025-10-31T10:51:09Z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1D905B0D547845CE9E5341F80F6DFD09_13</vt:lpwstr>
  </property>
  <property fmtid="{D5CDD505-2E9C-101B-9397-08002B2CF9AE}" pid="4" name="KSOTemplateDocerSaveRecord">
    <vt:lpwstr>eyJoZGlkIjoiZTQyN2M1M2U3YjFhNzg3ZTlhZGQwMGM5ODcyZDJlZWIiLCJ1c2VySWQiOiI0MTgxMzM4MDgifQ==</vt:lpwstr>
  </property>
</Properties>
</file>