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〔2025〕</w:t>
      </w:r>
      <w:r>
        <w:rPr>
          <w:rFonts w:hint="eastAsia" w:cs="Times New Roman"/>
          <w:sz w:val="32"/>
          <w:szCs w:val="32"/>
          <w:lang w:val="en-US" w:eastAsia="zh-CN"/>
        </w:rPr>
        <w:t>308</w:t>
      </w:r>
      <w:bookmarkStart w:id="0" w:name="_GoBack"/>
      <w:bookmarkEnd w:id="0"/>
      <w:r>
        <w:rPr>
          <w:rFonts w:hint="eastAsia" w:ascii="仿宋_GB2312" w:hAnsi="仿宋_GB2312" w:eastAsia="仿宋_GB2312" w:cs="仿宋_GB2312"/>
          <w:lang w:val="en-US" w:eastAsia="zh-CN"/>
        </w:rPr>
        <w:t>号</w:t>
      </w:r>
    </w:p>
    <w:p w14:paraId="0594AD1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46"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河南简梵木业有限公司</w:t>
      </w:r>
    </w:p>
    <w:p w14:paraId="43F27F7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Times New Roman" w:hAnsi="Times New Roman" w:cs="Times New Roman"/>
          <w:sz w:val="32"/>
          <w:szCs w:val="32"/>
          <w:lang w:val="en-US" w:eastAsia="zh-CN"/>
        </w:rPr>
        <w:t>91410825MA460DHJ9B</w:t>
      </w:r>
    </w:p>
    <w:p w14:paraId="2FFEF78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地址：焦作市温县产业集聚区谷黄路西段南侧</w:t>
      </w:r>
    </w:p>
    <w:p w14:paraId="0CFA80B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法定代表人（负责人）：韩长瑞</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6F752076">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Times New Roman" w:hAnsi="Times New Roman" w:eastAsia="FangSong_GB2312" w:cs="Times New Roman"/>
          <w:sz w:val="32"/>
          <w:szCs w:val="32"/>
          <w:lang w:val="en-US" w:eastAsia="zh-CN"/>
        </w:rPr>
        <w:t>025年9月12日，我局执法人员对你单位进行了现场检查，你单位项目名称为年产5000套实木复合门、15000平方饰面板、衣柜5000套项目，你项目环评报告表于2020年3月19日经原温县环境保护局审批，审批文号温环审〔2020〕11号，已完成项目竣工验收。你单位主要产污环节和配套的污染防治设施有：机加工（开料、开槽、排孔）废气，主要污染物为颗粒物，配套安装了中央除尘系统；打磨废气，主要污染物为颗粒物，配套安装了袋式除尘器；贴面、封边、喷漆废气，主要污染物为颗粒物和非甲烷总烃，配套安</w:t>
      </w:r>
      <w:r>
        <w:rPr>
          <w:rFonts w:hint="eastAsia" w:ascii="仿宋_GB2312" w:hAnsi="仿宋_GB2312" w:eastAsia="仿宋_GB2312" w:cs="仿宋_GB2312"/>
          <w:sz w:val="32"/>
          <w:szCs w:val="32"/>
        </w:rPr>
        <w:t>装的处理设施为干式漆雾过滤器+UV光解废气处理装置+活性炭处理设施。现场检查时</w:t>
      </w:r>
      <w:r>
        <w:rPr>
          <w:rFonts w:hint="eastAsia" w:ascii="仿宋_GB2312" w:hAnsi="仿宋_GB2312" w:cs="仿宋_GB2312"/>
          <w:sz w:val="32"/>
          <w:szCs w:val="32"/>
          <w:lang w:eastAsia="zh-CN"/>
        </w:rPr>
        <w:t>你</w:t>
      </w:r>
      <w:r>
        <w:rPr>
          <w:rFonts w:hint="eastAsia" w:ascii="仿宋_GB2312" w:hAnsi="仿宋_GB2312" w:eastAsia="仿宋_GB2312" w:cs="仿宋_GB2312"/>
          <w:sz w:val="32"/>
          <w:szCs w:val="32"/>
        </w:rPr>
        <w:t>企业已对贴面、封边、喷漆工序产生有机废气配套的处理设施进行了提升改造，将有机废气处理设施改造为催化燃烧(RC0)处理设施。现场检查时</w:t>
      </w:r>
      <w:r>
        <w:rPr>
          <w:rFonts w:hint="eastAsia" w:ascii="仿宋_GB2312" w:hAnsi="仿宋_GB2312" w:cs="仿宋_GB2312"/>
          <w:sz w:val="32"/>
          <w:szCs w:val="32"/>
          <w:lang w:eastAsia="zh-CN"/>
        </w:rPr>
        <w:t>你</w:t>
      </w:r>
      <w:r>
        <w:rPr>
          <w:rFonts w:hint="eastAsia" w:ascii="仿宋_GB2312" w:hAnsi="仿宋_GB2312" w:eastAsia="仿宋_GB2312" w:cs="仿宋_GB2312"/>
          <w:sz w:val="32"/>
          <w:szCs w:val="32"/>
        </w:rPr>
        <w:t>企业封边机正在运行，产生的废气未经管道连接至改造好的催化燃烧(RC0)进行处理，喷漆房内有喷漆完成正在晾干的板材、漆迹未干的板材和待喷漆的板材，贴面工序正在生产，配套的有机废气处理设施风机未运行，查看催化燃烧处理设施电子运行记录，无任何运行记录显示，存在未按规定使用有机废气处理设施的行为。</w:t>
      </w:r>
    </w:p>
    <w:p w14:paraId="1802F57F">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你</w:t>
      </w:r>
      <w:r>
        <w:rPr>
          <w:rFonts w:hint="eastAsia" w:ascii="仿宋_GB2312" w:hAnsi="仿宋_GB2312" w:eastAsia="仿宋_GB2312" w:cs="仿宋_GB2312"/>
          <w:sz w:val="32"/>
          <w:szCs w:val="32"/>
        </w:rPr>
        <w:t>单位上述行为违反了《中华人民共和国大气污染防治法》第四十五条“产生含挥发性有机物废气的生产和服务活动，应当在密闭空间或设备中进行，并按照规定安装、使用污染防治设施；无法密闭的，应当采取措施减少废气排放。”的规定。</w:t>
      </w:r>
    </w:p>
    <w:p w14:paraId="7CD93B0E">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3E60764C">
      <w:pPr>
        <w:keepNext w:val="0"/>
        <w:keepLines w:val="0"/>
        <w:pageBreakBefore w:val="0"/>
        <w:widowControl w:val="0"/>
        <w:kinsoku/>
        <w:wordWrap/>
        <w:overflowPunct/>
        <w:topLinePunct w:val="0"/>
        <w:autoSpaceDE/>
        <w:autoSpaceDN/>
        <w:bidi w:val="0"/>
        <w:adjustRightInd/>
        <w:snapToGrid/>
        <w:spacing w:line="546" w:lineRule="atLeas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现场检查（勘察）</w:t>
      </w:r>
      <w:r>
        <w:rPr>
          <w:rFonts w:hint="eastAsia" w:ascii="Times New Roman" w:hAnsi="Times New Roman" w:eastAsia="FangSong_GB2312" w:cs="Times New Roman"/>
          <w:sz w:val="32"/>
          <w:szCs w:val="32"/>
          <w:lang w:val="en-US" w:eastAsia="zh-CN"/>
        </w:rPr>
        <w:t>笔录（2025年9月12日），证明你单位喷漆房内有喷漆完成正在晾干的板材、漆迹未干的板材和待喷漆的板材，贴面工序正在生产，</w:t>
      </w:r>
      <w:r>
        <w:rPr>
          <w:rFonts w:hint="eastAsia" w:ascii="仿宋_GB2312" w:hAnsi="仿宋_GB2312" w:eastAsia="仿宋_GB2312" w:cs="仿宋_GB2312"/>
          <w:sz w:val="32"/>
          <w:szCs w:val="32"/>
        </w:rPr>
        <w:t>配套的有机废气处理设施风机未运行，查看催化燃烧处理设施电子运行记录，无任何运行记录显示，存在未按规定使用有机废气处理设施的行为</w:t>
      </w:r>
      <w:r>
        <w:rPr>
          <w:rFonts w:hint="eastAsia" w:ascii="仿宋_GB2312" w:hAnsi="仿宋_GB2312" w:cs="仿宋_GB2312"/>
          <w:sz w:val="32"/>
          <w:szCs w:val="32"/>
          <w:u w:val="none"/>
          <w:lang w:eastAsia="zh-CN"/>
        </w:rPr>
        <w:t>；</w:t>
      </w:r>
    </w:p>
    <w:p w14:paraId="7528164C">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调查询问笔录（</w:t>
      </w:r>
      <w:r>
        <w:rPr>
          <w:rFonts w:hint="eastAsia" w:ascii="Times New Roman" w:hAnsi="Times New Roman" w:eastAsia="FangSong_GB2312" w:cs="Times New Roman"/>
          <w:sz w:val="32"/>
          <w:szCs w:val="32"/>
          <w:lang w:val="en-US" w:eastAsia="zh-CN"/>
        </w:rPr>
        <w:t>2025年9月19日对你公司财务马倩的调查询问笔录），证明你单位未按</w:t>
      </w:r>
      <w:r>
        <w:rPr>
          <w:rFonts w:hint="eastAsia" w:ascii="仿宋_GB2312" w:hAnsi="仿宋_GB2312" w:eastAsia="仿宋_GB2312" w:cs="仿宋_GB2312"/>
          <w:sz w:val="32"/>
          <w:szCs w:val="32"/>
        </w:rPr>
        <w:t>规定使用有机废气处理设施的</w:t>
      </w:r>
      <w:r>
        <w:rPr>
          <w:rFonts w:hint="eastAsia" w:ascii="仿宋_GB2312" w:hAnsi="仿宋_GB2312" w:cs="仿宋_GB2312"/>
          <w:sz w:val="32"/>
          <w:szCs w:val="32"/>
          <w:u w:val="none"/>
          <w:lang w:val="en-US" w:eastAsia="zh-CN"/>
        </w:rPr>
        <w:t>事实</w:t>
      </w:r>
      <w:r>
        <w:rPr>
          <w:rFonts w:hint="eastAsia" w:ascii="仿宋_GB2312" w:hAnsi="仿宋_GB2312" w:eastAsia="仿宋_GB2312" w:cs="仿宋_GB2312"/>
          <w:sz w:val="32"/>
          <w:szCs w:val="32"/>
        </w:rPr>
        <w:t>；</w:t>
      </w:r>
    </w:p>
    <w:p w14:paraId="022239EA">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现场勘查示意</w:t>
      </w:r>
      <w:r>
        <w:rPr>
          <w:rFonts w:hint="eastAsia" w:ascii="Times New Roman" w:hAnsi="Times New Roman" w:eastAsia="FangSong_GB2312" w:cs="Times New Roman"/>
          <w:sz w:val="32"/>
          <w:szCs w:val="32"/>
          <w:lang w:val="en-US" w:eastAsia="zh-CN"/>
        </w:rPr>
        <w:t>图（2025年9月12日）</w:t>
      </w:r>
      <w:r>
        <w:rPr>
          <w:rFonts w:hint="eastAsia" w:ascii="仿宋_GB2312" w:hAnsi="仿宋_GB2312" w:eastAsia="仿宋_GB2312" w:cs="仿宋_GB2312"/>
          <w:sz w:val="32"/>
          <w:szCs w:val="32"/>
        </w:rPr>
        <w:t>；</w:t>
      </w:r>
    </w:p>
    <w:p w14:paraId="3B488632">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营业执照复印件。证明你单位主体资格；</w:t>
      </w:r>
    </w:p>
    <w:p w14:paraId="23FAE7CF">
      <w:pPr>
        <w:keepNext w:val="0"/>
        <w:keepLines w:val="0"/>
        <w:pageBreakBefore w:val="0"/>
        <w:widowControl w:val="0"/>
        <w:numPr>
          <w:ilvl w:val="0"/>
          <w:numId w:val="0"/>
        </w:numPr>
        <w:kinsoku/>
        <w:wordWrap/>
        <w:overflowPunct/>
        <w:topLinePunct w:val="0"/>
        <w:autoSpaceDE/>
        <w:autoSpaceDN/>
        <w:bidi w:val="0"/>
        <w:adjustRightInd w:val="0"/>
        <w:snapToGrid w:val="0"/>
        <w:spacing w:line="546"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现场照片</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视频</w:t>
      </w:r>
      <w:r>
        <w:rPr>
          <w:rFonts w:hint="eastAsia" w:ascii="仿宋_GB2312" w:hAnsi="仿宋_GB2312" w:eastAsia="仿宋_GB2312" w:cs="仿宋_GB2312"/>
          <w:sz w:val="32"/>
          <w:szCs w:val="32"/>
        </w:rPr>
        <w:t>，证明执法过程现场情况</w:t>
      </w:r>
      <w:r>
        <w:rPr>
          <w:rFonts w:hint="eastAsia" w:ascii="仿宋_GB2312" w:hAnsi="仿宋_GB2312" w:cs="仿宋_GB2312"/>
          <w:sz w:val="32"/>
          <w:szCs w:val="32"/>
          <w:lang w:eastAsia="zh-CN"/>
        </w:rPr>
        <w:t>；</w:t>
      </w:r>
    </w:p>
    <w:p w14:paraId="3505361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6.年产年产</w:t>
      </w:r>
      <w:r>
        <w:rPr>
          <w:rFonts w:hint="eastAsia" w:ascii="Times New Roman" w:hAnsi="Times New Roman" w:cs="Times New Roman"/>
          <w:sz w:val="32"/>
          <w:szCs w:val="32"/>
          <w:lang w:val="en-US" w:eastAsia="zh-CN"/>
        </w:rPr>
        <w:t>5000套实木复合门、15000平方饰面板、衣柜5000套项目环境影响报告表（摘录）及批复文</w:t>
      </w:r>
      <w:r>
        <w:rPr>
          <w:rFonts w:hint="eastAsia" w:ascii="仿宋_GB2312" w:hAnsi="仿宋_GB2312" w:cs="仿宋_GB2312"/>
          <w:b w:val="0"/>
          <w:bCs w:val="0"/>
          <w:sz w:val="32"/>
          <w:szCs w:val="32"/>
          <w:shd w:val="clear" w:color="auto" w:fill="FFFFFF"/>
          <w:lang w:val="en-US" w:eastAsia="zh-CN"/>
        </w:rPr>
        <w:t>件</w:t>
      </w:r>
      <w:r>
        <w:rPr>
          <w:rFonts w:hint="eastAsia" w:ascii="仿宋_GB2312" w:hAnsi="仿宋_GB2312" w:cs="仿宋_GB2312"/>
          <w:sz w:val="32"/>
          <w:szCs w:val="32"/>
          <w:lang w:val="en-US" w:eastAsia="zh-CN"/>
        </w:rPr>
        <w:t>证明你单位工艺及配套的污染防治设施；</w:t>
      </w:r>
    </w:p>
    <w:p w14:paraId="3F3A960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7.</w:t>
      </w:r>
      <w:r>
        <w:rPr>
          <w:rFonts w:hint="eastAsia" w:ascii="FangSong_GB2312" w:hAnsi="FangSong_GB2312" w:cs="FangSong_GB2312"/>
          <w:sz w:val="32"/>
          <w:szCs w:val="32"/>
          <w:lang w:val="en-US" w:eastAsia="zh-CN"/>
        </w:rPr>
        <w:t>固定污染源排污许可登记回执证明你公司的管理类别</w:t>
      </w:r>
      <w:r>
        <w:rPr>
          <w:rFonts w:hint="eastAsia" w:ascii="仿宋_GB2312" w:hAnsi="仿宋_GB2312" w:cs="仿宋_GB2312"/>
          <w:sz w:val="32"/>
          <w:szCs w:val="32"/>
          <w:lang w:val="en-US" w:eastAsia="zh-CN"/>
        </w:rPr>
        <w:t>；</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Times New Roman" w:hAnsi="Times New Roman" w:eastAsia="FangSong_GB2312" w:cs="Times New Roman"/>
          <w:sz w:val="32"/>
          <w:szCs w:val="32"/>
          <w:lang w:val="en-US" w:eastAsia="zh-CN"/>
        </w:rPr>
      </w:pPr>
      <w:r>
        <w:rPr>
          <w:rFonts w:hint="eastAsia" w:ascii="仿宋_GB2312" w:hAnsi="仿宋_GB2312" w:cs="仿宋_GB2312"/>
          <w:b w:val="0"/>
          <w:bCs w:val="0"/>
          <w:sz w:val="32"/>
          <w:szCs w:val="32"/>
          <w:shd w:val="clear" w:color="auto" w:fill="FFFFFF"/>
          <w:lang w:val="en-US" w:eastAsia="zh-CN"/>
        </w:rPr>
        <w:t>8.</w:t>
      </w:r>
      <w:r>
        <w:rPr>
          <w:rFonts w:hint="eastAsia" w:ascii="仿宋_GB2312" w:hAnsi="仿宋_GB2312" w:cs="仿宋_GB2312"/>
          <w:sz w:val="32"/>
          <w:szCs w:val="32"/>
          <w:lang w:val="en-US" w:eastAsia="zh-CN"/>
        </w:rPr>
        <w:t>其他证据材料。</w:t>
      </w:r>
      <w:r>
        <w:rPr>
          <w:rFonts w:hint="eastAsia" w:ascii="Times New Roman" w:hAnsi="Times New Roman" w:eastAsia="FangSong_GB2312" w:cs="Times New Roman"/>
          <w:sz w:val="32"/>
          <w:szCs w:val="32"/>
          <w:lang w:val="en-US" w:eastAsia="zh-CN"/>
        </w:rPr>
        <w:t xml:space="preserve">           </w:t>
      </w:r>
    </w:p>
    <w:p w14:paraId="019901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10</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9</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你公司</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22</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公司对我局拟作出的行政处罚有权进行陈述申辩。以上事实有《行政处罚事先（听证）告知书》（焦温环先告〔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22</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在规定的时间内未提出申诉、申辩。我局认为你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45B2D7C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依据《中华人民共和国行政处罚法》第二十八条第一款和</w:t>
      </w:r>
      <w:r>
        <w:rPr>
          <w:rFonts w:hint="eastAsia" w:ascii="仿宋_GB2312" w:hAnsi="仿宋_GB2312" w:eastAsia="仿宋_GB2312" w:cs="仿宋_GB2312"/>
          <w:sz w:val="32"/>
          <w:szCs w:val="32"/>
          <w:lang w:val="en-US" w:eastAsia="zh-CN"/>
        </w:rPr>
        <w:t>《中</w:t>
      </w:r>
    </w:p>
    <w:p w14:paraId="1970462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华人民共和国大气污染防治法》第一百零八条第一项“违反本法</w:t>
      </w:r>
    </w:p>
    <w:p w14:paraId="0CB0C85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规定，有下列行为之一的，由县级以上人民政府生态环境主管部</w:t>
      </w:r>
    </w:p>
    <w:p w14:paraId="3F82885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门责令改正，处二万元以上二十万元以下的罚款；拒不改正的，</w:t>
      </w:r>
    </w:p>
    <w:p w14:paraId="55FE4F4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lang w:val="en-US" w:eastAsia="zh-CN"/>
        </w:rPr>
        <w:t>责令停产整治：（一）产生含挥发性有机物废气的生产和服务活动，未在密闭空间或者设备中进行，未按照规定安装、使用污染防治设施，或者未采取减少废气排放措施的；”的规定，</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w:t>
      </w:r>
      <w:r>
        <w:rPr>
          <w:rFonts w:hint="eastAsia" w:ascii="Times New Roman" w:hAnsi="Times New Roman" w:cs="Times New Roman"/>
          <w:sz w:val="32"/>
          <w:szCs w:val="32"/>
          <w:lang w:val="en-US" w:eastAsia="zh-CN"/>
        </w:rPr>
        <w:t>（豫环办 〔2022〕72 号），结合当事人该违法行为事实，裁量</w:t>
      </w:r>
      <w:r>
        <w:rPr>
          <w:rFonts w:hint="eastAsia" w:ascii="仿宋_GB2312" w:hAnsi="仿宋_GB2312" w:eastAsia="仿宋_GB2312" w:cs="仿宋_GB2312"/>
          <w:sz w:val="32"/>
          <w:szCs w:val="32"/>
          <w:u w:val="none"/>
        </w:rPr>
        <w:t>内容如下：</w:t>
      </w:r>
    </w:p>
    <w:p w14:paraId="4AF5D2F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A.★违法事实判定标准：未按要求密闭/未规范使用污染防治设施，裁量等级为 1； </w:t>
      </w:r>
    </w:p>
    <w:p w14:paraId="694F994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B1.涉及行业：涂装、印刷、包装、粘合等含挥发性有机物的产品使用，基础化学原料制造、化学药品原料药制造等含挥发性有机物的产品生产，裁量等级为2；</w:t>
      </w:r>
    </w:p>
    <w:p w14:paraId="2A680EA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B2.生产和服务活动地点：符合环境功能区划，裁量等级为 1； </w:t>
      </w:r>
    </w:p>
    <w:p w14:paraId="68F94E8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B3.企业规模判定标准：</w:t>
      </w:r>
      <w:r>
        <w:rPr>
          <w:rFonts w:hint="eastAsia" w:ascii="仿宋_GB2312" w:hAnsi="仿宋_GB2312" w:cs="仿宋_GB2312"/>
          <w:sz w:val="32"/>
          <w:szCs w:val="32"/>
          <w:lang w:val="en-US" w:eastAsia="zh-CN"/>
        </w:rPr>
        <w:t>微</w:t>
      </w:r>
      <w:r>
        <w:rPr>
          <w:rFonts w:hint="eastAsia" w:ascii="仿宋_GB2312" w:hAnsi="仿宋_GB2312" w:eastAsia="仿宋_GB2312" w:cs="仿宋_GB2312"/>
          <w:sz w:val="32"/>
          <w:szCs w:val="32"/>
        </w:rPr>
        <w:t>型企业，裁量等级为</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 </w:t>
      </w:r>
    </w:p>
    <w:p w14:paraId="2F76824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B4.管理类别：</w:t>
      </w:r>
      <w:r>
        <w:rPr>
          <w:rFonts w:hint="eastAsia" w:ascii="仿宋_GB2312" w:hAnsi="仿宋_GB2312" w:cs="仿宋_GB2312"/>
          <w:sz w:val="32"/>
          <w:szCs w:val="32"/>
          <w:lang w:val="en-US" w:eastAsia="zh-CN"/>
        </w:rPr>
        <w:t>登记</w:t>
      </w:r>
      <w:r>
        <w:rPr>
          <w:rFonts w:hint="eastAsia" w:ascii="仿宋_GB2312" w:hAnsi="仿宋_GB2312" w:eastAsia="仿宋_GB2312" w:cs="仿宋_GB2312"/>
          <w:sz w:val="32"/>
          <w:szCs w:val="32"/>
        </w:rPr>
        <w:t>管理，裁量等级为</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 </w:t>
      </w:r>
    </w:p>
    <w:p w14:paraId="166EA3A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B5.违法行为持续时间：1个月以下，裁量等级为1； </w:t>
      </w:r>
    </w:p>
    <w:p w14:paraId="75B7E42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B6.超过限期改正时间：限期改正，裁量等级为1； </w:t>
      </w:r>
    </w:p>
    <w:p w14:paraId="53082B9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B7.受处罚次数：两年内未受到同类处罚，裁量等级为1； </w:t>
      </w:r>
    </w:p>
    <w:p w14:paraId="3A0C741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B8.是否配合执法检查：配合调查，裁量等级为1。 </w:t>
      </w:r>
    </w:p>
    <w:p w14:paraId="46F99172">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处罚金额计算 结合本案案情，将各项裁量因素等级套入公式中进行计算得出：</w:t>
      </w:r>
    </w:p>
    <w:tbl>
      <w:tblPr>
        <w:tblStyle w:val="5"/>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gridCol w:w="687"/>
      </w:tblGrid>
      <w:tr w14:paraId="3845D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noWrap w:val="0"/>
            <w:vAlign w:val="top"/>
          </w:tcPr>
          <w:p w14:paraId="2E84A501">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参数</w:t>
            </w:r>
          </w:p>
        </w:tc>
        <w:tc>
          <w:tcPr>
            <w:tcW w:w="600" w:type="dxa"/>
            <w:noWrap w:val="0"/>
            <w:vAlign w:val="top"/>
          </w:tcPr>
          <w:p w14:paraId="38E17F39">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615" w:type="dxa"/>
            <w:noWrap w:val="0"/>
            <w:vAlign w:val="top"/>
          </w:tcPr>
          <w:p w14:paraId="6AF743E4">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M</w:t>
            </w:r>
          </w:p>
        </w:tc>
        <w:tc>
          <w:tcPr>
            <w:tcW w:w="480" w:type="dxa"/>
            <w:noWrap w:val="0"/>
            <w:vAlign w:val="top"/>
          </w:tcPr>
          <w:p w14:paraId="0F6836AC">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A</w:t>
            </w:r>
          </w:p>
        </w:tc>
        <w:tc>
          <w:tcPr>
            <w:tcW w:w="561" w:type="dxa"/>
            <w:noWrap w:val="0"/>
            <w:vAlign w:val="top"/>
          </w:tcPr>
          <w:p w14:paraId="42EEB6D0">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573" w:type="dxa"/>
            <w:noWrap w:val="0"/>
            <w:vAlign w:val="top"/>
          </w:tcPr>
          <w:p w14:paraId="0812D6FF">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43AA3EC9">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2</w:t>
            </w:r>
          </w:p>
        </w:tc>
        <w:tc>
          <w:tcPr>
            <w:tcW w:w="690" w:type="dxa"/>
            <w:noWrap w:val="0"/>
            <w:vAlign w:val="top"/>
          </w:tcPr>
          <w:p w14:paraId="248B0852">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3</w:t>
            </w:r>
          </w:p>
        </w:tc>
        <w:tc>
          <w:tcPr>
            <w:tcW w:w="675" w:type="dxa"/>
            <w:noWrap w:val="0"/>
            <w:vAlign w:val="top"/>
          </w:tcPr>
          <w:p w14:paraId="5239BDFB">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B4</w:t>
            </w:r>
          </w:p>
        </w:tc>
        <w:tc>
          <w:tcPr>
            <w:tcW w:w="645" w:type="dxa"/>
            <w:noWrap w:val="0"/>
            <w:vAlign w:val="top"/>
          </w:tcPr>
          <w:p w14:paraId="641E38FB">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B5</w:t>
            </w:r>
          </w:p>
        </w:tc>
        <w:tc>
          <w:tcPr>
            <w:tcW w:w="609" w:type="dxa"/>
            <w:noWrap w:val="0"/>
            <w:vAlign w:val="top"/>
          </w:tcPr>
          <w:p w14:paraId="1C98323F">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B6</w:t>
            </w:r>
          </w:p>
        </w:tc>
        <w:tc>
          <w:tcPr>
            <w:tcW w:w="672" w:type="dxa"/>
            <w:noWrap w:val="0"/>
            <w:vAlign w:val="top"/>
          </w:tcPr>
          <w:p w14:paraId="7316FC8C">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B7</w:t>
            </w:r>
          </w:p>
        </w:tc>
        <w:tc>
          <w:tcPr>
            <w:tcW w:w="687" w:type="dxa"/>
            <w:noWrap w:val="0"/>
            <w:vAlign w:val="top"/>
          </w:tcPr>
          <w:p w14:paraId="1B97CA77">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B8</w:t>
            </w:r>
          </w:p>
        </w:tc>
      </w:tr>
      <w:tr w14:paraId="49385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noWrap w:val="0"/>
            <w:vAlign w:val="top"/>
          </w:tcPr>
          <w:p w14:paraId="2090DCA9">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取值</w:t>
            </w:r>
          </w:p>
        </w:tc>
        <w:tc>
          <w:tcPr>
            <w:tcW w:w="600" w:type="dxa"/>
            <w:noWrap w:val="0"/>
            <w:vAlign w:val="top"/>
          </w:tcPr>
          <w:p w14:paraId="7B35FEF9">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1C83DCD8">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20</w:t>
            </w:r>
          </w:p>
        </w:tc>
        <w:tc>
          <w:tcPr>
            <w:tcW w:w="480" w:type="dxa"/>
            <w:noWrap w:val="0"/>
            <w:vAlign w:val="top"/>
          </w:tcPr>
          <w:p w14:paraId="2B93AF2E">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561" w:type="dxa"/>
            <w:noWrap w:val="0"/>
            <w:vAlign w:val="top"/>
          </w:tcPr>
          <w:p w14:paraId="142AB6AB">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8</w:t>
            </w:r>
          </w:p>
        </w:tc>
        <w:tc>
          <w:tcPr>
            <w:tcW w:w="573" w:type="dxa"/>
            <w:noWrap w:val="0"/>
            <w:vAlign w:val="top"/>
          </w:tcPr>
          <w:p w14:paraId="1286739D">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7199C3AD">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1</w:t>
            </w:r>
          </w:p>
        </w:tc>
        <w:tc>
          <w:tcPr>
            <w:tcW w:w="690" w:type="dxa"/>
            <w:noWrap w:val="0"/>
            <w:vAlign w:val="top"/>
          </w:tcPr>
          <w:p w14:paraId="18B76F47">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cs="仿宋_GB2312"/>
                <w:color w:val="3E3E3E"/>
                <w:kern w:val="0"/>
                <w:sz w:val="32"/>
                <w:szCs w:val="32"/>
                <w:shd w:val="clear" w:color="auto" w:fill="FFFFFF"/>
                <w:lang w:val="en-US" w:eastAsia="zh-CN"/>
              </w:rPr>
              <w:t>1</w:t>
            </w:r>
          </w:p>
        </w:tc>
        <w:tc>
          <w:tcPr>
            <w:tcW w:w="675" w:type="dxa"/>
            <w:noWrap w:val="0"/>
            <w:vAlign w:val="top"/>
          </w:tcPr>
          <w:p w14:paraId="7C063E12">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cs="仿宋_GB2312"/>
                <w:color w:val="3E3E3E"/>
                <w:kern w:val="0"/>
                <w:sz w:val="32"/>
                <w:szCs w:val="32"/>
                <w:shd w:val="clear" w:color="auto" w:fill="FFFFFF"/>
                <w:lang w:val="en-US" w:eastAsia="zh-CN"/>
              </w:rPr>
              <w:t>1</w:t>
            </w:r>
          </w:p>
        </w:tc>
        <w:tc>
          <w:tcPr>
            <w:tcW w:w="645" w:type="dxa"/>
            <w:noWrap w:val="0"/>
            <w:vAlign w:val="top"/>
          </w:tcPr>
          <w:p w14:paraId="427578F6">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09" w:type="dxa"/>
            <w:noWrap w:val="0"/>
            <w:vAlign w:val="top"/>
          </w:tcPr>
          <w:p w14:paraId="46347CC6">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2" w:type="dxa"/>
            <w:noWrap w:val="0"/>
            <w:vAlign w:val="top"/>
          </w:tcPr>
          <w:p w14:paraId="196D3194">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87" w:type="dxa"/>
            <w:noWrap w:val="0"/>
            <w:vAlign w:val="top"/>
          </w:tcPr>
          <w:p w14:paraId="26768B0E">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r>
    </w:tbl>
    <w:p w14:paraId="1FEDF553">
      <w:pPr>
        <w:keepNext w:val="0"/>
        <w:keepLines w:val="0"/>
        <w:pageBreakBefore w:val="0"/>
        <w:widowControl w:val="0"/>
        <w:kinsoku/>
        <w:wordWrap/>
        <w:overflowPunct/>
        <w:topLinePunct w:val="0"/>
        <w:autoSpaceDE/>
        <w:autoSpaceDN/>
        <w:bidi w:val="0"/>
        <w:adjustRightInd w:val="0"/>
        <w:snapToGrid w:val="0"/>
        <w:spacing w:before="0" w:beforeLines="0" w:after="0" w:afterLines="0" w:line="546" w:lineRule="atLeast"/>
        <w:ind w:left="0" w:leftChars="0" w:right="0" w:rightChars="0" w:firstLine="0" w:firstLineChars="0"/>
        <w:jc w:val="left"/>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X=</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20</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lang w:val="en-US" w:eastAsia="zh-CN"/>
        </w:rPr>
        <w:t>+1+1+</w:t>
      </w:r>
      <w:r>
        <w:rPr>
          <w:rFonts w:hint="eastAsia" w:ascii="仿宋_GB2312" w:hAnsi="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lang w:val="en-US" w:eastAsia="zh-CN"/>
        </w:rPr>
        <w:t>+1+1+1+1</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8</w:t>
      </w:r>
      <w:r>
        <w:rPr>
          <w:rFonts w:hint="eastAsia" w:ascii="仿宋_GB2312" w:hAnsi="仿宋_GB2312" w:eastAsia="仿宋_GB2312" w:cs="仿宋_GB2312"/>
          <w:color w:val="3E3E3E"/>
          <w:kern w:val="0"/>
          <w:sz w:val="32"/>
          <w:szCs w:val="32"/>
          <w:shd w:val="clear" w:color="auto" w:fill="FFFFFF"/>
        </w:rPr>
        <w:t>）]×50%</w:t>
      </w:r>
    </w:p>
    <w:p w14:paraId="0A4DFC74">
      <w:pPr>
        <w:keepNext w:val="0"/>
        <w:keepLines w:val="0"/>
        <w:pageBreakBefore w:val="0"/>
        <w:widowControl w:val="0"/>
        <w:kinsoku/>
        <w:wordWrap/>
        <w:overflowPunct/>
        <w:topLinePunct w:val="0"/>
        <w:autoSpaceDE/>
        <w:autoSpaceDN/>
        <w:bidi w:val="0"/>
        <w:spacing w:before="0" w:beforeLines="0" w:after="0" w:afterLines="0" w:line="546" w:lineRule="atLeast"/>
        <w:ind w:left="0" w:leftChars="0" w:right="0" w:rightChars="0" w:firstLine="0" w:firstLineChars="0"/>
        <w:textAlignment w:val="auto"/>
        <w:outlineLvl w:val="9"/>
        <w:rPr>
          <w:rFonts w:hint="eastAsia" w:ascii="仿宋_GB2312" w:hAnsi="仿宋_GB2312" w:eastAsia="仿宋_GB2312" w:cs="仿宋_GB2312"/>
          <w:kern w:val="2"/>
          <w:sz w:val="32"/>
          <w:szCs w:val="32"/>
          <w:u w:val="none"/>
          <w:lang w:val="en-US" w:eastAsia="zh-CN" w:bidi="ar-SA"/>
        </w:rPr>
      </w:pPr>
      <w:r>
        <w:rPr>
          <w:rFonts w:hint="eastAsia" w:ascii="仿宋_GB2312" w:hAnsi="仿宋_GB2312" w:cs="仿宋_GB2312"/>
          <w:color w:val="3E3E3E"/>
          <w:kern w:val="0"/>
          <w:sz w:val="32"/>
          <w:szCs w:val="32"/>
          <w:shd w:val="clear" w:color="auto" w:fill="FFFFFF"/>
          <w:lang w:val="en-US" w:eastAsia="zh-CN"/>
        </w:rPr>
        <w:t xml:space="preserve"> </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cs="仿宋_GB2312"/>
          <w:color w:val="3E3E3E"/>
          <w:kern w:val="0"/>
          <w:sz w:val="32"/>
          <w:szCs w:val="32"/>
          <w:shd w:val="clear" w:color="auto" w:fill="FFFFFF"/>
          <w:lang w:val="en-US" w:eastAsia="zh-CN"/>
        </w:rPr>
        <w:t>2.855</w:t>
      </w:r>
      <w:r>
        <w:rPr>
          <w:rFonts w:hint="eastAsia" w:ascii="仿宋_GB2312" w:hAnsi="仿宋_GB2312" w:eastAsia="仿宋_GB2312" w:cs="仿宋_GB2312"/>
          <w:color w:val="3E3E3E"/>
          <w:kern w:val="0"/>
          <w:sz w:val="32"/>
          <w:szCs w:val="32"/>
          <w:shd w:val="clear" w:color="auto" w:fill="FFFFFF"/>
        </w:rPr>
        <w:t>万元</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46" w:lineRule="atLeas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经局负责人集体讨论，对你公司未按要求使用有机废气处理设施的违法行为作出以下处理决定</w:t>
      </w:r>
      <w:r>
        <w:rPr>
          <w:rFonts w:hint="default" w:ascii="Times New Roman" w:hAnsi="Times New Roman" w:eastAsia="仿宋_GB2312" w:cs="Times New Roman"/>
          <w:sz w:val="32"/>
          <w:szCs w:val="32"/>
        </w:rPr>
        <w:t>：</w:t>
      </w:r>
    </w:p>
    <w:p w14:paraId="41A827A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6" w:lineRule="atLeast"/>
        <w:ind w:right="0" w:rightChars="0" w:firstLine="640" w:firstLineChars="200"/>
        <w:jc w:val="both"/>
        <w:textAlignment w:val="bottom"/>
        <w:rPr>
          <w:rFonts w:hint="eastAsia" w:ascii="Times New Roman" w:hAnsi="Times New Roman" w:cs="Times New Roman"/>
          <w:sz w:val="32"/>
          <w:szCs w:val="32"/>
          <w:lang w:val="en-US" w:eastAsia="zh-CN"/>
        </w:rPr>
      </w:pPr>
      <w:r>
        <w:rPr>
          <w:rFonts w:hint="eastAsia" w:ascii="仿宋_GB2312" w:hAnsi="仿宋_GB2312" w:eastAsia="仿宋_GB2312" w:cs="仿宋_GB2312"/>
          <w:sz w:val="32"/>
          <w:szCs w:val="32"/>
        </w:rPr>
        <w:t>处</w:t>
      </w:r>
      <w:r>
        <w:rPr>
          <w:rFonts w:hint="eastAsia" w:ascii="仿宋_GB2312" w:hAnsi="仿宋_GB2312" w:eastAsia="仿宋_GB2312" w:cs="仿宋_GB2312"/>
          <w:sz w:val="32"/>
          <w:szCs w:val="32"/>
          <w:lang w:val="en-US" w:eastAsia="zh-CN"/>
        </w:rPr>
        <w:t>贰万</w:t>
      </w:r>
      <w:r>
        <w:rPr>
          <w:rFonts w:hint="eastAsia" w:ascii="仿宋_GB2312" w:hAnsi="仿宋_GB2312" w:cs="仿宋_GB2312"/>
          <w:sz w:val="32"/>
          <w:szCs w:val="32"/>
          <w:lang w:val="en-US" w:eastAsia="zh-CN"/>
        </w:rPr>
        <w:t>捌</w:t>
      </w:r>
      <w:r>
        <w:rPr>
          <w:rFonts w:hint="eastAsia" w:ascii="仿宋_GB2312" w:hAnsi="仿宋_GB2312" w:eastAsia="仿宋_GB2312" w:cs="仿宋_GB2312"/>
          <w:sz w:val="32"/>
          <w:szCs w:val="32"/>
          <w:lang w:val="en-US" w:eastAsia="zh-CN"/>
        </w:rPr>
        <w:t>仟</w:t>
      </w:r>
      <w:r>
        <w:rPr>
          <w:rFonts w:hint="eastAsia" w:ascii="仿宋_GB2312" w:hAnsi="仿宋_GB2312" w:cs="仿宋_GB2312"/>
          <w:sz w:val="32"/>
          <w:szCs w:val="32"/>
          <w:lang w:val="en-US" w:eastAsia="zh-CN"/>
        </w:rPr>
        <w:t>伍佰伍拾</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罚款</w:t>
      </w:r>
      <w:r>
        <w:rPr>
          <w:rFonts w:hint="eastAsia" w:ascii="Times New Roman" w:hAnsi="Times New Roman" w:cs="Times New Roman"/>
          <w:sz w:val="32"/>
          <w:szCs w:val="32"/>
          <w:lang w:val="en-US" w:eastAsia="zh-CN"/>
        </w:rPr>
        <w:t>（2.855万元）。</w:t>
      </w:r>
    </w:p>
    <w:p w14:paraId="4D1634AF">
      <w:pPr>
        <w:keepNext w:val="0"/>
        <w:keepLines w:val="0"/>
        <w:pageBreakBefore w:val="0"/>
        <w:widowControl/>
        <w:suppressLineNumbers w:val="0"/>
        <w:kinsoku/>
        <w:wordWrap/>
        <w:overflowPunct/>
        <w:topLinePunct w:val="0"/>
        <w:autoSpaceDE/>
        <w:bidi w:val="0"/>
        <w:spacing w:line="546" w:lineRule="atLeas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46" w:lineRule="atLeas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公司</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46"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46"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46" w:lineRule="atLeast"/>
        <w:ind w:left="0" w:leftChars="0" w:right="0" w:rightChars="0" w:firstLine="640" w:firstLineChars="200"/>
        <w:textAlignment w:val="auto"/>
        <w:outlineLvl w:val="9"/>
        <w:rPr>
          <w:rFonts w:hint="default" w:ascii="Times New Roman" w:hAnsi="Times New Roman" w:eastAsia="FangSong_GB2312" w:cs="Times New Roman"/>
          <w:sz w:val="32"/>
          <w:szCs w:val="32"/>
          <w:lang w:val="en-US" w:eastAsia="zh-CN"/>
        </w:rPr>
      </w:pPr>
      <w:r>
        <w:rPr>
          <w:rFonts w:hint="default" w:ascii="Times New Roman" w:hAnsi="Times New Roman" w:eastAsia="仿宋_GB2312" w:cs="Times New Roman"/>
          <w:sz w:val="32"/>
          <w:szCs w:val="32"/>
          <w:shd w:val="clear" w:color="auto" w:fill="FFFFFF"/>
        </w:rPr>
        <w:t>银行</w:t>
      </w:r>
      <w:r>
        <w:rPr>
          <w:rFonts w:hint="default" w:ascii="Times New Roman" w:hAnsi="Times New Roman" w:eastAsia="FangSong_GB2312" w:cs="Times New Roman"/>
          <w:sz w:val="32"/>
          <w:szCs w:val="32"/>
          <w:lang w:val="en-US" w:eastAsia="zh-CN"/>
        </w:rPr>
        <w:t>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46" w:lineRule="atLeas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FangSong_GB2312" w:cs="Times New Roman"/>
          <w:sz w:val="32"/>
          <w:szCs w:val="32"/>
          <w:lang w:val="en-US" w:eastAsia="zh-CN"/>
        </w:rPr>
        <w:t>缴纳罚款后，应将缴款凭</w:t>
      </w:r>
      <w:r>
        <w:rPr>
          <w:rFonts w:hint="default" w:ascii="Times New Roman" w:hAnsi="Times New Roman" w:eastAsia="仿宋_GB2312" w:cs="Times New Roman"/>
          <w:color w:val="000000"/>
          <w:sz w:val="32"/>
          <w:szCs w:val="32"/>
          <w:shd w:val="clear" w:color="auto" w:fill="FFFFFF"/>
        </w:rPr>
        <w:t>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46" w:lineRule="atLeas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46" w:lineRule="atLeast"/>
        <w:ind w:left="0" w:leftChars="0" w:right="0" w:rightChars="0" w:firstLine="640" w:firstLineChars="200"/>
        <w:jc w:val="left"/>
        <w:textAlignment w:val="auto"/>
        <w:outlineLvl w:val="9"/>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color w:val="000000"/>
          <w:sz w:val="32"/>
          <w:szCs w:val="32"/>
          <w:shd w:val="clear" w:color="auto" w:fill="FFFFFF"/>
          <w:lang w:eastAsia="zh-CN"/>
        </w:rPr>
        <w:t>你公司如不服本决定，可以自收到本决定书之日起六十日内向焦作市人民政府申请行政复议；也可以在接到本决定书之日起</w:t>
      </w:r>
      <w:r>
        <w:rPr>
          <w:rFonts w:hint="eastAsia" w:ascii="Times New Roman" w:hAnsi="Times New Roman" w:eastAsia="FangSong_GB2312" w:cs="Times New Roman"/>
          <w:sz w:val="32"/>
          <w:szCs w:val="32"/>
          <w:lang w:val="en-US" w:eastAsia="zh-CN"/>
        </w:rPr>
        <w:t>6个月内向郑州铁路运输法院提起行政诉讼。申请行政复议或者提起行政诉讼，不停止行政处罚决定的执行。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6" w:lineRule="atLeas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6" w:lineRule="atLeas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6" w:lineRule="atLeas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6" w:lineRule="atLeas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46" w:lineRule="atLeast"/>
        <w:ind w:right="0" w:rightChars="0" w:firstLine="5120" w:firstLineChars="1600"/>
        <w:jc w:val="both"/>
        <w:textAlignment w:val="bottom"/>
        <w:rPr>
          <w:rFonts w:hint="eastAsia"/>
          <w:sz w:val="32"/>
          <w:lang w:val="en-US" w:eastAsia="zh-CN"/>
        </w:rPr>
      </w:pPr>
      <w:r>
        <w:rPr>
          <w:rFonts w:hint="eastAsia"/>
          <w:sz w:val="32"/>
          <w:lang w:val="en-US" w:eastAsia="zh-CN"/>
        </w:rPr>
        <w:t>2025年10月</w:t>
      </w:r>
      <w:r>
        <w:rPr>
          <w:rFonts w:hint="eastAsia" w:cs="Times New Roman"/>
          <w:sz w:val="32"/>
          <w:szCs w:val="32"/>
          <w:lang w:val="en-US" w:eastAsia="zh-CN"/>
        </w:rPr>
        <w:t>31</w:t>
      </w:r>
      <w:r>
        <w:rPr>
          <w:rFonts w:hint="eastAsia"/>
          <w:sz w:val="32"/>
          <w:lang w:val="en-US" w:eastAsia="zh-CN"/>
        </w:rPr>
        <w:t>日</w:t>
      </w:r>
    </w:p>
    <w:sectPr>
      <w:headerReference r:id="rId5" w:type="default"/>
      <w:footerReference r:id="rId6" w:type="default"/>
      <w:footnotePr>
        <w:numFmt w:val="decimalHalfWidth"/>
      </w:footnotePr>
      <w:endnotePr>
        <w:numFmt w:val="chineseCounting"/>
      </w:endnotePr>
      <w:pgSz w:w="11905" w:h="16837"/>
      <w:pgMar w:top="2154" w:right="1474" w:bottom="1984" w:left="1587" w:header="566" w:footer="1474"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37462"/>
    <w:multiLevelType w:val="singleLevel"/>
    <w:tmpl w:val="8D637462"/>
    <w:lvl w:ilvl="0" w:tentative="0">
      <w:start w:val="2"/>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0F03F2"/>
    <w:rsid w:val="03056030"/>
    <w:rsid w:val="0A705454"/>
    <w:rsid w:val="0B696D19"/>
    <w:rsid w:val="0F4D2EE2"/>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6176E7E"/>
    <w:rsid w:val="26F543A3"/>
    <w:rsid w:val="277C4387"/>
    <w:rsid w:val="28C055AB"/>
    <w:rsid w:val="2B162E29"/>
    <w:rsid w:val="2FA55ECC"/>
    <w:rsid w:val="2FF918ED"/>
    <w:rsid w:val="3044759B"/>
    <w:rsid w:val="30D836AE"/>
    <w:rsid w:val="314279F6"/>
    <w:rsid w:val="320E7DF5"/>
    <w:rsid w:val="340D18C0"/>
    <w:rsid w:val="35C879EF"/>
    <w:rsid w:val="36B92A29"/>
    <w:rsid w:val="39B71124"/>
    <w:rsid w:val="3FE16C80"/>
    <w:rsid w:val="40CE6F8C"/>
    <w:rsid w:val="417D0085"/>
    <w:rsid w:val="43FB7987"/>
    <w:rsid w:val="44203197"/>
    <w:rsid w:val="44717AD0"/>
    <w:rsid w:val="457F0BF8"/>
    <w:rsid w:val="47486902"/>
    <w:rsid w:val="475F46D7"/>
    <w:rsid w:val="47C47A6D"/>
    <w:rsid w:val="493C25D4"/>
    <w:rsid w:val="4A186A9A"/>
    <w:rsid w:val="4E4361C3"/>
    <w:rsid w:val="4EEF5D9A"/>
    <w:rsid w:val="4FBE01E7"/>
    <w:rsid w:val="4FE2732D"/>
    <w:rsid w:val="51207B48"/>
    <w:rsid w:val="51211B2A"/>
    <w:rsid w:val="51795695"/>
    <w:rsid w:val="52253514"/>
    <w:rsid w:val="52B07B8F"/>
    <w:rsid w:val="532C785A"/>
    <w:rsid w:val="53AB047C"/>
    <w:rsid w:val="563E342F"/>
    <w:rsid w:val="572E3365"/>
    <w:rsid w:val="5A134177"/>
    <w:rsid w:val="5B527D19"/>
    <w:rsid w:val="5C6E5EA1"/>
    <w:rsid w:val="5EFD4BE8"/>
    <w:rsid w:val="5F6C6D3B"/>
    <w:rsid w:val="60236652"/>
    <w:rsid w:val="60D333C6"/>
    <w:rsid w:val="61056FD5"/>
    <w:rsid w:val="62506DE3"/>
    <w:rsid w:val="6380470F"/>
    <w:rsid w:val="65B97E2E"/>
    <w:rsid w:val="68861701"/>
    <w:rsid w:val="6C2216A6"/>
    <w:rsid w:val="6CCD205A"/>
    <w:rsid w:val="6DC43E9F"/>
    <w:rsid w:val="6E535B46"/>
    <w:rsid w:val="6F8C5880"/>
    <w:rsid w:val="70D80416"/>
    <w:rsid w:val="70E60C6C"/>
    <w:rsid w:val="7A4D113E"/>
    <w:rsid w:val="7AA85DC8"/>
    <w:rsid w:val="7AD56D72"/>
    <w:rsid w:val="7BB10F6C"/>
    <w:rsid w:val="7DC5315A"/>
    <w:rsid w:val="7E0E6DE9"/>
    <w:rsid w:val="7FAF51E9"/>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2240</Words>
  <Characters>2429</Characters>
  <Lines>0</Lines>
  <Paragraphs>0</Paragraphs>
  <TotalTime>4</TotalTime>
  <ScaleCrop>false</ScaleCrop>
  <LinksUpToDate>false</LinksUpToDate>
  <CharactersWithSpaces>2461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2025-10-30T12:46:00Z</cp:lastPrinted>
  <dcterms:modified xsi:type="dcterms:W3CDTF">2025-10-31T10:50:45Z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EBACFA5C4F4C400E92A05C7F39BFB60C_13</vt:lpwstr>
  </property>
  <property fmtid="{D5CDD505-2E9C-101B-9397-08002B2CF9AE}" pid="4" name="KSOTemplateDocerSaveRecord">
    <vt:lpwstr>eyJoZGlkIjoiZTQyN2M1M2U3YjFhNzg3ZTlhZGQwMGM5ODcyZDJlZWIiLCJ1c2VySWQiOiI0MTgxMzM4MDgifQ==</vt:lpwstr>
  </property>
</Properties>
</file>