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wordWrap/>
        <w:adjustRightInd/>
        <w:snapToGrid/>
        <w:spacing w:line="700" w:lineRule="exact"/>
        <w:ind w:left="0" w:leftChars="0" w:right="0" w:firstLine="0" w:firstLineChars="0"/>
        <w:jc w:val="both"/>
        <w:textAlignment w:val="auto"/>
        <w:outlineLvl w:val="9"/>
        <w:rPr>
          <w:rFonts w:hint="eastAsia" w:ascii="仿宋" w:hAnsi="仿宋" w:eastAsia="仿宋" w:cs="仿宋"/>
          <w:b/>
          <w:bCs/>
          <w:color w:val="000000"/>
          <w:kern w:val="0"/>
          <w:sz w:val="44"/>
          <w:szCs w:val="44"/>
          <w:lang w:val="en-US" w:eastAsia="zh-CN"/>
        </w:rPr>
      </w:pPr>
    </w:p>
    <w:p>
      <w:pPr>
        <w:widowControl/>
        <w:wordWrap/>
        <w:adjustRightInd/>
        <w:snapToGrid/>
        <w:spacing w:line="700" w:lineRule="exact"/>
        <w:ind w:left="0" w:leftChars="0" w:right="0" w:firstLine="0" w:firstLineChars="0"/>
        <w:jc w:val="both"/>
        <w:textAlignment w:val="auto"/>
        <w:outlineLvl w:val="9"/>
        <w:rPr>
          <w:rFonts w:hint="eastAsia" w:ascii="仿宋" w:hAnsi="仿宋" w:eastAsia="仿宋" w:cs="仿宋"/>
          <w:b/>
          <w:bCs/>
          <w:color w:val="000000"/>
          <w:kern w:val="0"/>
          <w:sz w:val="44"/>
          <w:szCs w:val="44"/>
          <w:lang w:val="en-US" w:eastAsia="zh-CN"/>
        </w:rPr>
      </w:pPr>
    </w:p>
    <w:p>
      <w:pPr>
        <w:wordWrap/>
        <w:adjustRightInd/>
        <w:snapToGrid/>
        <w:spacing w:line="560" w:lineRule="exact"/>
        <w:jc w:val="center"/>
        <w:textAlignment w:val="auto"/>
        <w:rPr>
          <w:rFonts w:hint="eastAsia" w:ascii="方正小标宋_GBK" w:hAnsi="华文中宋" w:eastAsia="方正小标宋_GBK" w:cs="Times New Roman"/>
          <w:sz w:val="44"/>
          <w:szCs w:val="44"/>
        </w:rPr>
      </w:pPr>
      <w:r>
        <w:rPr>
          <w:rFonts w:hint="eastAsia" w:ascii="方正小标宋_GBK" w:hAnsi="华文中宋" w:eastAsia="方正小标宋_GBK" w:cs="Times New Roman"/>
          <w:sz w:val="44"/>
          <w:szCs w:val="44"/>
        </w:rPr>
        <w:t>焦作市生态环境局</w:t>
      </w:r>
    </w:p>
    <w:p>
      <w:pPr>
        <w:wordWrap/>
        <w:adjustRightInd/>
        <w:snapToGrid/>
        <w:spacing w:line="560" w:lineRule="exact"/>
        <w:jc w:val="center"/>
        <w:textAlignment w:val="auto"/>
        <w:rPr>
          <w:rFonts w:hint="eastAsia" w:ascii="方正小标宋_GBK" w:hAnsi="华文中宋" w:eastAsia="方正小标宋_GBK" w:cs="Times New Roman"/>
          <w:sz w:val="44"/>
          <w:szCs w:val="44"/>
        </w:rPr>
      </w:pPr>
      <w:bookmarkStart w:id="0" w:name="_GoBack"/>
      <w:bookmarkEnd w:id="0"/>
      <w:r>
        <w:rPr>
          <w:rFonts w:hint="eastAsia" w:ascii="方正小标宋_GBK" w:hAnsi="华文中宋" w:eastAsia="方正小标宋_GBK" w:cs="Times New Roman"/>
          <w:sz w:val="44"/>
          <w:szCs w:val="44"/>
          <w:lang w:val="en-US" w:eastAsia="zh-CN"/>
        </w:rPr>
        <w:t>行政处罚决定书</w:t>
      </w:r>
    </w:p>
    <w:p>
      <w:pPr>
        <w:wordWrap/>
        <w:adjustRightInd/>
        <w:snapToGrid/>
        <w:spacing w:line="560" w:lineRule="exact"/>
        <w:jc w:val="center"/>
        <w:textAlignment w:val="auto"/>
        <w:rPr>
          <w:rFonts w:hint="eastAsia" w:ascii="方正小标宋_GBK" w:hAnsi="华文中宋" w:eastAsia="方正小标宋_GBK" w:cs="Times New Roman"/>
          <w:color w:val="auto"/>
          <w:sz w:val="44"/>
          <w:szCs w:val="44"/>
          <w:lang w:eastAsia="zh-CN"/>
        </w:rPr>
      </w:pPr>
      <w:r>
        <w:rPr>
          <w:rFonts w:hint="eastAsia" w:ascii="楷体" w:hAnsi="楷体" w:eastAsia="楷体" w:cs="Times New Roman"/>
          <w:sz w:val="32"/>
          <w:szCs w:val="32"/>
          <w:lang w:val="en-US" w:eastAsia="zh-CN"/>
        </w:rPr>
        <w:t>焦</w:t>
      </w:r>
      <w:r>
        <w:rPr>
          <w:rFonts w:hint="eastAsia" w:ascii="楷体" w:hAnsi="楷体" w:eastAsia="楷体" w:cs="Times New Roman"/>
          <w:color w:val="auto"/>
          <w:sz w:val="32"/>
          <w:szCs w:val="32"/>
          <w:lang w:val="en-US" w:eastAsia="zh-CN"/>
        </w:rPr>
        <w:t>环罚〔2025〕220号</w:t>
      </w:r>
    </w:p>
    <w:p>
      <w:pPr>
        <w:widowControl/>
        <w:wordWrap/>
        <w:spacing w:line="540" w:lineRule="exact"/>
        <w:jc w:val="left"/>
        <w:textAlignment w:val="auto"/>
        <w:rPr>
          <w:rFonts w:hint="eastAsia" w:ascii="仿宋" w:hAnsi="仿宋" w:eastAsia="仿宋" w:cs="仿宋"/>
          <w:color w:val="000000"/>
          <w:kern w:val="0"/>
          <w:sz w:val="32"/>
          <w:szCs w:val="32"/>
          <w:lang w:val="en-US" w:eastAsia="zh-CN"/>
        </w:rPr>
      </w:pPr>
    </w:p>
    <w:p>
      <w:pPr>
        <w:widowControl w:val="0"/>
        <w:wordWrap/>
        <w:adjustRightInd/>
        <w:snapToGrid/>
        <w:spacing w:line="560" w:lineRule="exact"/>
        <w:jc w:val="left"/>
        <w:textAlignment w:val="auto"/>
        <w:rPr>
          <w:rFonts w:hint="eastAsia" w:ascii="仿宋_GB2312" w:hAnsi="仿宋_GB2312" w:eastAsia="仿宋_GB2312" w:cs="仿宋_GB2312"/>
          <w:color w:val="auto"/>
          <w:sz w:val="32"/>
          <w:szCs w:val="32"/>
          <w:u w:val="none"/>
          <w:lang w:eastAsia="zh-CN"/>
        </w:rPr>
      </w:pPr>
      <w:r>
        <w:rPr>
          <w:rFonts w:hint="eastAsia" w:ascii="黑体" w:hAnsi="黑体" w:eastAsia="黑体" w:cs="黑体"/>
          <w:color w:val="auto"/>
          <w:sz w:val="32"/>
          <w:szCs w:val="32"/>
        </w:rPr>
        <w:t>单位名称：</w:t>
      </w:r>
      <w:r>
        <w:rPr>
          <w:rFonts w:hint="eastAsia" w:ascii="仿宋_GB2312" w:hAnsi="仿宋_GB2312" w:eastAsia="仿宋_GB2312" w:cs="仿宋_GB2312"/>
          <w:color w:val="auto"/>
          <w:sz w:val="32"/>
          <w:szCs w:val="32"/>
          <w:u w:val="none"/>
          <w:lang w:val="en-US" w:eastAsia="zh-CN"/>
        </w:rPr>
        <w:t>沁阳市咪琦物资经营部</w:t>
      </w:r>
    </w:p>
    <w:p>
      <w:pPr>
        <w:widowControl w:val="0"/>
        <w:wordWrap/>
        <w:adjustRightInd/>
        <w:snapToGrid/>
        <w:spacing w:line="560" w:lineRule="exact"/>
        <w:jc w:val="left"/>
        <w:textAlignment w:val="auto"/>
        <w:rPr>
          <w:rFonts w:hint="eastAsia" w:ascii="仿宋_GB2312" w:hAnsi="仿宋_GB2312" w:eastAsia="仿宋_GB2312" w:cs="仿宋_GB2312"/>
          <w:color w:val="auto"/>
          <w:sz w:val="32"/>
          <w:szCs w:val="32"/>
        </w:rPr>
      </w:pPr>
      <w:r>
        <w:rPr>
          <w:rFonts w:hint="eastAsia" w:ascii="黑体" w:hAnsi="黑体" w:eastAsia="黑体" w:cs="黑体"/>
          <w:color w:val="auto"/>
          <w:sz w:val="32"/>
          <w:szCs w:val="32"/>
        </w:rPr>
        <w:t>统一社会信用代码：</w:t>
      </w:r>
      <w:r>
        <w:rPr>
          <w:rFonts w:hint="eastAsia" w:ascii="仿宋_GB2312" w:hAnsi="仿宋_GB2312" w:eastAsia="仿宋_GB2312" w:cs="仿宋_GB2312"/>
          <w:color w:val="auto"/>
          <w:sz w:val="32"/>
          <w:szCs w:val="32"/>
          <w:u w:val="none"/>
          <w:lang w:val="en-US" w:eastAsia="zh-CN"/>
        </w:rPr>
        <w:t xml:space="preserve">91410882MACR6DCD4W    </w:t>
      </w:r>
      <w:r>
        <w:rPr>
          <w:rFonts w:hint="eastAsia" w:ascii="仿宋_GB2312" w:hAnsi="仿宋_GB2312" w:eastAsia="仿宋_GB2312" w:cs="仿宋_GB2312"/>
          <w:color w:val="auto"/>
          <w:sz w:val="32"/>
          <w:szCs w:val="32"/>
        </w:rPr>
        <w:t xml:space="preserve">       </w:t>
      </w:r>
    </w:p>
    <w:p>
      <w:pPr>
        <w:widowControl w:val="0"/>
        <w:wordWrap/>
        <w:adjustRightInd/>
        <w:snapToGrid/>
        <w:spacing w:line="56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负责人</w:t>
      </w:r>
      <w:r>
        <w:rPr>
          <w:rFonts w:hint="eastAsia" w:ascii="黑体" w:hAnsi="黑体" w:eastAsia="黑体" w:cs="黑体"/>
          <w:color w:val="auto"/>
          <w:sz w:val="32"/>
          <w:szCs w:val="32"/>
          <w:lang w:val="en-US" w:eastAsia="zh-CN"/>
        </w:rPr>
        <w:t>：</w:t>
      </w:r>
      <w:r>
        <w:rPr>
          <w:rFonts w:hint="eastAsia" w:ascii="仿宋_GB2312" w:hAnsi="仿宋_GB2312" w:eastAsia="仿宋_GB2312" w:cs="仿宋_GB2312"/>
          <w:color w:val="auto"/>
          <w:sz w:val="32"/>
          <w:szCs w:val="32"/>
          <w:u w:val="none"/>
          <w:lang w:val="en-US" w:eastAsia="zh-CN"/>
        </w:rPr>
        <w:t xml:space="preserve">田亚芳 </w:t>
      </w:r>
    </w:p>
    <w:p>
      <w:pPr>
        <w:widowControl w:val="0"/>
        <w:wordWrap/>
        <w:adjustRightInd/>
        <w:snapToGrid/>
        <w:spacing w:line="56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rPr>
        <w:t>地址：</w:t>
      </w:r>
      <w:r>
        <w:rPr>
          <w:rFonts w:hint="eastAsia" w:ascii="仿宋_GB2312" w:hAnsi="仿宋_GB2312" w:eastAsia="仿宋_GB2312" w:cs="仿宋_GB2312"/>
          <w:color w:val="auto"/>
          <w:sz w:val="32"/>
          <w:szCs w:val="32"/>
          <w:u w:val="none"/>
          <w:lang w:val="en-US" w:eastAsia="zh-CN"/>
        </w:rPr>
        <w:t>焦作市中站区河口村北</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000000"/>
          <w:kern w:val="0"/>
          <w:sz w:val="32"/>
          <w:szCs w:val="32"/>
          <w:lang w:val="en-US" w:eastAsia="zh-CN"/>
        </w:rPr>
        <w:t xml:space="preserve">环境违法事实和证据 </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我</w:t>
      </w:r>
      <w:r>
        <w:rPr>
          <w:rFonts w:hint="eastAsia" w:ascii="仿宋_GB2312" w:hAnsi="仿宋_GB2312" w:eastAsia="仿宋_GB2312" w:cs="仿宋_GB2312"/>
          <w:color w:val="auto"/>
          <w:sz w:val="32"/>
          <w:szCs w:val="32"/>
          <w:u w:val="none"/>
          <w:lang w:eastAsia="zh-CN"/>
        </w:rPr>
        <w:t>局</w:t>
      </w:r>
      <w:r>
        <w:rPr>
          <w:rFonts w:hint="eastAsia" w:ascii="仿宋_GB2312" w:hAnsi="仿宋_GB2312" w:eastAsia="仿宋_GB2312" w:cs="仿宋_GB2312"/>
          <w:color w:val="auto"/>
          <w:sz w:val="32"/>
          <w:szCs w:val="32"/>
          <w:u w:val="none"/>
        </w:rPr>
        <w:t>于</w:t>
      </w:r>
      <w:r>
        <w:rPr>
          <w:rFonts w:hint="eastAsia" w:ascii="仿宋_GB2312" w:hAnsi="仿宋_GB2312" w:eastAsia="仿宋_GB2312" w:cs="仿宋_GB2312"/>
          <w:color w:val="auto"/>
          <w:sz w:val="32"/>
          <w:szCs w:val="32"/>
          <w:u w:val="none"/>
          <w:lang w:val="en-US" w:eastAsia="zh-CN"/>
        </w:rPr>
        <w:t>2025</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rPr>
        <w:t>月</w:t>
      </w:r>
      <w:r>
        <w:rPr>
          <w:rFonts w:hint="eastAsia" w:ascii="仿宋_GB2312" w:hAnsi="仿宋_GB2312" w:eastAsia="仿宋_GB2312" w:cs="仿宋_GB2312"/>
          <w:color w:val="auto"/>
          <w:sz w:val="32"/>
          <w:szCs w:val="32"/>
          <w:u w:val="none"/>
          <w:lang w:val="en-US" w:eastAsia="zh-CN"/>
        </w:rPr>
        <w:t>18</w:t>
      </w:r>
      <w:r>
        <w:rPr>
          <w:rFonts w:hint="eastAsia" w:ascii="仿宋_GB2312" w:hAnsi="仿宋_GB2312" w:eastAsia="仿宋_GB2312" w:cs="仿宋_GB2312"/>
          <w:color w:val="auto"/>
          <w:sz w:val="32"/>
          <w:szCs w:val="32"/>
          <w:u w:val="none"/>
        </w:rPr>
        <w:t>日对你单位进行了调查，发现你单位实施了以下环境违法行为：</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2025</w:t>
      </w:r>
      <w:r>
        <w:rPr>
          <w:rFonts w:hint="eastAsia" w:ascii="仿宋_GB2312" w:hAnsi="仿宋_GB2312" w:eastAsia="仿宋_GB2312" w:cs="仿宋_GB2312"/>
          <w:color w:val="auto"/>
          <w:sz w:val="32"/>
          <w:szCs w:val="32"/>
          <w:u w:val="none"/>
        </w:rPr>
        <w:t>年</w:t>
      </w: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rPr>
        <w:t>月</w:t>
      </w:r>
      <w:r>
        <w:rPr>
          <w:rFonts w:hint="eastAsia" w:ascii="仿宋_GB2312" w:hAnsi="仿宋_GB2312" w:eastAsia="仿宋_GB2312" w:cs="仿宋_GB2312"/>
          <w:color w:val="auto"/>
          <w:sz w:val="32"/>
          <w:szCs w:val="32"/>
          <w:u w:val="none"/>
          <w:lang w:val="en-US" w:eastAsia="zh-CN"/>
        </w:rPr>
        <w:t>18</w:t>
      </w:r>
      <w:r>
        <w:rPr>
          <w:rFonts w:hint="eastAsia" w:ascii="仿宋_GB2312" w:hAnsi="仿宋_GB2312" w:eastAsia="仿宋_GB2312" w:cs="仿宋_GB2312"/>
          <w:color w:val="auto"/>
          <w:sz w:val="32"/>
          <w:szCs w:val="32"/>
          <w:u w:val="none"/>
        </w:rPr>
        <w:t>日</w:t>
      </w:r>
      <w:r>
        <w:rPr>
          <w:rFonts w:hint="eastAsia" w:ascii="仿宋_GB2312" w:hAnsi="仿宋_GB2312" w:eastAsia="仿宋_GB2312" w:cs="仿宋_GB2312"/>
          <w:color w:val="auto"/>
          <w:sz w:val="32"/>
          <w:szCs w:val="32"/>
          <w:u w:val="none"/>
          <w:lang w:eastAsia="zh-CN"/>
        </w:rPr>
        <w:t>下午生态环境执法人员对</w:t>
      </w:r>
      <w:r>
        <w:rPr>
          <w:rFonts w:hint="eastAsia" w:ascii="仿宋_GB2312" w:hAnsi="仿宋_GB2312" w:eastAsia="仿宋_GB2312" w:cs="仿宋_GB2312"/>
          <w:color w:val="auto"/>
          <w:sz w:val="32"/>
          <w:szCs w:val="32"/>
          <w:u w:val="none"/>
          <w:lang w:val="en-US" w:eastAsia="zh-CN"/>
        </w:rPr>
        <w:t>你单位承租经营的年产20万吨不定型耐火材料项目进行检查，检查时该项目1号、2号中高温窑停产，3号中高温窑正常生产，出料口有煅烧过的耐火材料，中高温窑配套的的污染治理设施脱硝塔＋脱硫塔+湿电除尘器正在运行。该项目3台中高温窑上料口和出料口安装有集气罩，集气罩管道在车间底部汇合后没有连接污染治理设施烟气主管道，管道断口里面是封堵状态，你单位未按规定使用废气集中收集设施，造成中高温窑上料和出料时产生的颗粒物未经集中收集处理排放。上述行为存在未采取集中收集处理、密闭、洒水等措施，控制、减少粉尘和气态污染物排放的环境违法行为。</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单位上述行为违反了《河南省大气污染防治条例》第三十六条：“排污单位应当加强大气污染物排放精细化管理，对不经过大气污染物排放口集中排放的大气污染物，应当采取密闭、封闭、集中收集、覆盖、吸附、分解等处理措施，严格控制生产过程以及内部物料堆存、传输、装卸等环节产生的粉尘和气态污染物的排放。”的规定。以上事实及证据如下：</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1.沁阳市咪琦物资经营部委托书1份、《营业执照》复印件1份、法定代表人身份证复印件1份、被询问人身份证复印件1份，证明你单位的基本情况和被询问人员身份。</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2.焦作市福翔新型材料有限公司委托书1份、《营业执照》复印件1份、法定代表人身份证复印件1份、被询问人身份证复印件1份，证明焦作市福翔新型材料有限公司的基本情况和被询问人员身份。</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3.《租赁合同》复印件一份，租金和电费转账汇款单打印件，证明你单位和作市福翔新型材料有限公司的租赁关系和违法行为的责任划分情况。</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焦作市友翔新型材料有限公司年产20万吨不定型耐火材料项目建设项目环境影响报告表》节选复印件1份、《焦作市友翔新型材料有限公司年产20万吨不定型耐火材料项目环境影响报告表变更报告》节选复印件1份，证明该项目中高温窑生产期间产污情况和污染治理要求。</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《关于加强工业企业无组织排放治理的通知》（中区环〔2019〕4号）节选复印件1份和《关于对辖区企业实施停产整治的通知》复印件1份，证明该项目中高温窑上料口和出料口无组织排放污染治理要求。</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18</w:t>
      </w:r>
      <w:r>
        <w:rPr>
          <w:rFonts w:hint="default" w:ascii="仿宋_GB2312" w:hAnsi="仿宋_GB2312" w:eastAsia="仿宋_GB2312" w:cs="仿宋_GB2312"/>
          <w:color w:val="auto"/>
          <w:sz w:val="32"/>
          <w:szCs w:val="32"/>
          <w:u w:val="none"/>
          <w:lang w:val="en-US" w:eastAsia="zh-CN"/>
        </w:rPr>
        <w:t>日《焦作市生态环境局现场检查（勘察）笔录》1份,证明</w:t>
      </w:r>
      <w:r>
        <w:rPr>
          <w:rFonts w:hint="eastAsia" w:ascii="仿宋_GB2312" w:hAnsi="仿宋_GB2312" w:eastAsia="仿宋_GB2312" w:cs="仿宋_GB2312"/>
          <w:color w:val="auto"/>
          <w:sz w:val="32"/>
          <w:szCs w:val="32"/>
          <w:u w:val="none"/>
          <w:lang w:val="en-US" w:eastAsia="zh-CN"/>
        </w:rPr>
        <w:t>你单位当时生产情况、中高温窑上料和出料集气罩管道未连接污染治理设施烟气主管道造成上料和出料时产生的颗粒物未经集中收集处理排放的情况</w:t>
      </w:r>
      <w:r>
        <w:rPr>
          <w:rFonts w:hint="default" w:ascii="仿宋_GB2312" w:hAnsi="仿宋_GB2312" w:eastAsia="仿宋_GB2312" w:cs="仿宋_GB2312"/>
          <w:color w:val="auto"/>
          <w:sz w:val="32"/>
          <w:szCs w:val="32"/>
          <w:u w:val="none"/>
          <w:lang w:val="en-US" w:eastAsia="zh-CN"/>
        </w:rPr>
        <w:t>。</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18</w:t>
      </w:r>
      <w:r>
        <w:rPr>
          <w:rFonts w:hint="default" w:ascii="仿宋_GB2312" w:hAnsi="仿宋_GB2312" w:eastAsia="仿宋_GB2312" w:cs="仿宋_GB2312"/>
          <w:color w:val="auto"/>
          <w:sz w:val="32"/>
          <w:szCs w:val="32"/>
          <w:u w:val="none"/>
          <w:lang w:val="en-US" w:eastAsia="zh-CN"/>
        </w:rPr>
        <w:t>日《焦作市生态环境局调查询问笔录》1份，证明</w:t>
      </w:r>
      <w:r>
        <w:rPr>
          <w:rFonts w:hint="eastAsia" w:ascii="仿宋_GB2312" w:hAnsi="仿宋_GB2312" w:eastAsia="仿宋_GB2312" w:cs="仿宋_GB2312"/>
          <w:color w:val="auto"/>
          <w:sz w:val="32"/>
          <w:szCs w:val="32"/>
          <w:u w:val="none"/>
          <w:lang w:val="en-US" w:eastAsia="zh-CN"/>
        </w:rPr>
        <w:t>你单位当时生产情况、中高温窑上料和出料集中收集设施未使用造成上料和出料时产生的颗粒物未经集中收集处理排放的情况</w:t>
      </w:r>
      <w:r>
        <w:rPr>
          <w:rFonts w:hint="default" w:ascii="仿宋_GB2312" w:hAnsi="仿宋_GB2312" w:eastAsia="仿宋_GB2312" w:cs="仿宋_GB2312"/>
          <w:color w:val="auto"/>
          <w:sz w:val="32"/>
          <w:szCs w:val="32"/>
          <w:u w:val="none"/>
          <w:lang w:val="en-US" w:eastAsia="zh-CN"/>
        </w:rPr>
        <w:t>。</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《固定污染源排污登记回执》打印件1份，证明该单位管理类别为登记管理。</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9</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你单位3份职工保险保单复印件、税务报表（利润表）1份和《统计上大中小微型企业划分标准》1份，证明你单位企业规模为微型企业。</w:t>
      </w:r>
    </w:p>
    <w:p>
      <w:pPr>
        <w:widowControl w:val="0"/>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10.</w:t>
      </w:r>
      <w:r>
        <w:rPr>
          <w:rFonts w:hint="default" w:ascii="仿宋_GB2312" w:hAnsi="仿宋_GB2312" w:eastAsia="仿宋_GB2312" w:cs="仿宋_GB2312"/>
          <w:color w:val="auto"/>
          <w:sz w:val="32"/>
          <w:szCs w:val="32"/>
          <w:u w:val="none"/>
          <w:lang w:val="en-US" w:eastAsia="zh-CN"/>
        </w:rPr>
        <w:t>现场照片</w:t>
      </w: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张，证明</w:t>
      </w:r>
      <w:r>
        <w:rPr>
          <w:rFonts w:hint="eastAsia" w:ascii="仿宋_GB2312" w:hAnsi="仿宋_GB2312" w:eastAsia="仿宋_GB2312" w:cs="仿宋_GB2312"/>
          <w:color w:val="auto"/>
          <w:sz w:val="32"/>
          <w:szCs w:val="32"/>
          <w:u w:val="none"/>
          <w:lang w:val="en-US" w:eastAsia="zh-CN"/>
        </w:rPr>
        <w:t>检查时该单位污染治理设施情况、3号中高温窑生产情况、上料口和出料口集气罩管道未连接烟气主管道以及管道封堵情况</w:t>
      </w:r>
      <w:r>
        <w:rPr>
          <w:rFonts w:hint="default" w:ascii="仿宋_GB2312" w:hAnsi="仿宋_GB2312" w:eastAsia="仿宋_GB2312" w:cs="仿宋_GB2312"/>
          <w:color w:val="auto"/>
          <w:sz w:val="32"/>
          <w:szCs w:val="32"/>
          <w:u w:val="none"/>
          <w:lang w:val="en-US" w:eastAsia="zh-CN"/>
        </w:rPr>
        <w:t>。</w:t>
      </w:r>
    </w:p>
    <w:p>
      <w:pPr>
        <w:widowControl w:val="0"/>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11.</w:t>
      </w:r>
      <w:r>
        <w:rPr>
          <w:rFonts w:hint="default" w:ascii="仿宋_GB2312" w:hAnsi="仿宋_GB2312" w:eastAsia="仿宋_GB2312" w:cs="仿宋_GB2312"/>
          <w:color w:val="auto"/>
          <w:sz w:val="32"/>
          <w:szCs w:val="32"/>
          <w:u w:val="none"/>
          <w:lang w:val="en-US" w:eastAsia="zh-CN"/>
        </w:rPr>
        <w:t>执法人员的执法证复印件，证明执法人员的身份和资格。</w:t>
      </w:r>
    </w:p>
    <w:p>
      <w:pPr>
        <w:widowControl/>
        <w:wordWrap/>
        <w:adjustRightInd/>
        <w:snapToGrid/>
        <w:spacing w:line="560" w:lineRule="exact"/>
        <w:ind w:firstLine="640" w:firstLineChars="200"/>
        <w:jc w:val="left"/>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u w:val="none"/>
          <w:lang w:val="en-US" w:eastAsia="zh-CN"/>
        </w:rPr>
        <w:t>我局于2025年7月8日直接送达《行政处罚事先（听证）告知书》（</w:t>
      </w:r>
      <w:r>
        <w:rPr>
          <w:rFonts w:hint="eastAsia" w:ascii="仿宋_GB2312" w:hAnsi="仿宋_GB2312" w:eastAsia="仿宋_GB2312" w:cs="仿宋_GB2312"/>
          <w:color w:val="auto"/>
          <w:kern w:val="2"/>
          <w:sz w:val="32"/>
          <w:szCs w:val="32"/>
          <w:u w:val="none"/>
          <w:lang w:val="en-US" w:eastAsia="zh-CN" w:bidi="ar-SA"/>
        </w:rPr>
        <w:t>焦环先告〔2025〕201号</w:t>
      </w:r>
      <w:r>
        <w:rPr>
          <w:rFonts w:hint="eastAsia" w:ascii="仿宋_GB2312" w:hAnsi="仿宋_GB2312" w:eastAsia="仿宋_GB2312" w:cs="仿宋_GB2312"/>
          <w:color w:val="auto"/>
          <w:sz w:val="32"/>
          <w:szCs w:val="32"/>
          <w:u w:val="none"/>
          <w:lang w:val="en-US" w:eastAsia="zh-CN"/>
        </w:rPr>
        <w:t>）告知你单位陈述、申辩权和听证申请权,你单位</w:t>
      </w:r>
      <w:r>
        <w:rPr>
          <w:rFonts w:hint="eastAsia" w:ascii="仿宋_GB2312" w:hAnsi="仿宋_GB2312" w:eastAsia="仿宋_GB2312" w:cs="仿宋_GB2312"/>
          <w:color w:val="auto"/>
          <w:kern w:val="2"/>
          <w:sz w:val="32"/>
          <w:szCs w:val="32"/>
          <w:u w:val="none"/>
          <w:lang w:val="en-US" w:eastAsia="zh-CN" w:bidi="ar-SA"/>
        </w:rPr>
        <w:t>在法定期限内未提出陈述、申辩，也未申请听证。</w:t>
      </w:r>
    </w:p>
    <w:p>
      <w:pPr>
        <w:widowControl/>
        <w:numPr>
          <w:numId w:val="0"/>
        </w:numPr>
        <w:wordWrap/>
        <w:adjustRightInd/>
        <w:snapToGrid/>
        <w:spacing w:line="56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color w:val="000000"/>
          <w:kern w:val="0"/>
          <w:sz w:val="32"/>
          <w:szCs w:val="32"/>
          <w:lang w:val="en-US" w:eastAsia="zh-CN"/>
        </w:rPr>
        <w:t>二、</w:t>
      </w:r>
      <w:r>
        <w:rPr>
          <w:rFonts w:hint="eastAsia" w:ascii="黑体" w:hAnsi="黑体" w:eastAsia="黑体" w:cs="黑体"/>
          <w:b w:val="0"/>
          <w:bCs w:val="0"/>
          <w:color w:val="000000"/>
          <w:kern w:val="0"/>
          <w:sz w:val="32"/>
          <w:szCs w:val="32"/>
          <w:lang w:val="en-US" w:eastAsia="zh-CN"/>
        </w:rPr>
        <w:t xml:space="preserve">行政处罚的依据、种类 </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根据你单位违法行为的事实、性质、情节、社会危害程度和相关证据，参照《河南省生态环境行政处罚裁量基准》大气污染防治</w:t>
      </w:r>
      <w:r>
        <w:rPr>
          <w:rFonts w:hint="default" w:ascii="仿宋_GB2312" w:hAnsi="仿宋_GB2312" w:eastAsia="仿宋_GB2312" w:cs="仿宋_GB2312"/>
          <w:color w:val="auto"/>
          <w:sz w:val="32"/>
          <w:szCs w:val="32"/>
          <w:u w:val="none"/>
          <w:lang w:val="en-US" w:eastAsia="zh-CN"/>
        </w:rPr>
        <w:t>类</w:t>
      </w:r>
      <w:r>
        <w:rPr>
          <w:rFonts w:hint="eastAsia" w:ascii="仿宋_GB2312" w:hAnsi="仿宋_GB2312" w:eastAsia="仿宋_GB2312" w:cs="仿宋_GB2312"/>
          <w:color w:val="auto"/>
          <w:kern w:val="2"/>
          <w:sz w:val="32"/>
          <w:szCs w:val="32"/>
          <w:u w:val="none"/>
          <w:lang w:val="en-US" w:eastAsia="zh-CN" w:bidi="ar-SA"/>
        </w:rPr>
        <w:t>裁量基准的规定</w:t>
      </w:r>
      <w:r>
        <w:rPr>
          <w:rFonts w:hint="eastAsia" w:ascii="仿宋_GB2312" w:hAnsi="仿宋_GB2312" w:eastAsia="仿宋_GB2312" w:cs="仿宋_GB2312"/>
          <w:color w:val="auto"/>
          <w:sz w:val="32"/>
          <w:szCs w:val="32"/>
          <w:u w:val="none"/>
          <w:lang w:val="en-US" w:eastAsia="zh-CN"/>
        </w:rPr>
        <w:t>，裁量如下：</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kern w:val="2"/>
          <w:sz w:val="32"/>
          <w:szCs w:val="32"/>
          <w:u w:val="none"/>
          <w:lang w:val="en-US" w:eastAsia="zh-CN" w:bidi="ar-SA"/>
        </w:rPr>
        <w:t>1、</w:t>
      </w:r>
      <w:r>
        <w:rPr>
          <w:rFonts w:hint="eastAsia" w:ascii="仿宋_GB2312" w:hAnsi="仿宋_GB2312" w:eastAsia="仿宋_GB2312" w:cs="仿宋_GB2312"/>
          <w:color w:val="auto"/>
          <w:kern w:val="2"/>
          <w:sz w:val="32"/>
          <w:szCs w:val="32"/>
          <w:u w:val="none"/>
          <w:lang w:val="en-US" w:eastAsia="zh-CN" w:bidi="ar-SA"/>
        </w:rPr>
        <w:t>首要裁量因素：违法事实，内容：已落实污染防治措施，但未按规定使用或管理，造成少量</w:t>
      </w:r>
      <w:r>
        <w:rPr>
          <w:rFonts w:hint="default" w:ascii="仿宋_GB2312" w:hAnsi="仿宋_GB2312" w:eastAsia="仿宋_GB2312" w:cs="仿宋_GB2312"/>
          <w:color w:val="auto"/>
          <w:kern w:val="2"/>
          <w:sz w:val="32"/>
          <w:szCs w:val="32"/>
          <w:u w:val="none"/>
          <w:lang w:val="en-US" w:bidi="ar-SA"/>
        </w:rPr>
        <w:t>大气</w:t>
      </w:r>
      <w:r>
        <w:rPr>
          <w:rFonts w:hint="default" w:ascii="仿宋_GB2312" w:hAnsi="仿宋_GB2312" w:eastAsia="仿宋_GB2312" w:cs="仿宋_GB2312"/>
          <w:color w:val="auto"/>
          <w:kern w:val="2"/>
          <w:sz w:val="32"/>
          <w:szCs w:val="32"/>
          <w:u w:val="none"/>
          <w:lang w:val="en-US" w:eastAsia="zh-CN" w:bidi="ar-SA"/>
        </w:rPr>
        <w:t>污染物排放，裁量等级：</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 xml:space="preserve"> </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kern w:val="2"/>
          <w:sz w:val="32"/>
          <w:szCs w:val="32"/>
          <w:u w:val="none"/>
          <w:lang w:val="en-US" w:eastAsia="zh-CN" w:bidi="ar-SA"/>
        </w:rPr>
        <w:t>2、裁量因素：</w:t>
      </w:r>
      <w:r>
        <w:rPr>
          <w:rFonts w:hint="eastAsia" w:ascii="仿宋_GB2312" w:hAnsi="仿宋_GB2312" w:eastAsia="仿宋_GB2312" w:cs="仿宋_GB2312"/>
          <w:color w:val="auto"/>
          <w:kern w:val="2"/>
          <w:sz w:val="32"/>
          <w:szCs w:val="32"/>
          <w:u w:val="none"/>
          <w:lang w:val="en-US" w:eastAsia="zh-CN" w:bidi="ar-SA"/>
        </w:rPr>
        <w:t>废气类别</w:t>
      </w:r>
      <w:r>
        <w:rPr>
          <w:rFonts w:hint="default" w:ascii="仿宋_GB2312" w:hAnsi="仿宋_GB2312" w:eastAsia="仿宋_GB2312" w:cs="仿宋_GB2312"/>
          <w:color w:val="auto"/>
          <w:kern w:val="2"/>
          <w:sz w:val="32"/>
          <w:szCs w:val="32"/>
          <w:u w:val="none"/>
          <w:lang w:val="en-US" w:eastAsia="zh-CN" w:bidi="ar-SA"/>
        </w:rPr>
        <w:t>，内容：一般工业废气/含恶臭污染物的废气/医疗废气/实验室废气，裁量等级：</w:t>
      </w:r>
      <w:r>
        <w:rPr>
          <w:rFonts w:hint="eastAsia" w:ascii="仿宋_GB2312" w:hAnsi="仿宋_GB2312" w:eastAsia="仿宋_GB2312" w:cs="仿宋_GB2312"/>
          <w:color w:val="auto"/>
          <w:kern w:val="2"/>
          <w:sz w:val="32"/>
          <w:szCs w:val="32"/>
          <w:u w:val="none"/>
          <w:lang w:val="en-US" w:eastAsia="zh-CN" w:bidi="ar-SA"/>
        </w:rPr>
        <w:t>3；</w:t>
      </w:r>
      <w:r>
        <w:rPr>
          <w:rFonts w:hint="default" w:ascii="仿宋_GB2312" w:hAnsi="仿宋_GB2312" w:eastAsia="仿宋_GB2312" w:cs="仿宋_GB2312"/>
          <w:color w:val="auto"/>
          <w:kern w:val="2"/>
          <w:sz w:val="32"/>
          <w:szCs w:val="32"/>
          <w:u w:val="none"/>
          <w:lang w:val="en-US" w:eastAsia="zh-CN" w:bidi="ar-SA"/>
        </w:rPr>
        <w:t xml:space="preserve"> </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kern w:val="2"/>
          <w:sz w:val="32"/>
          <w:szCs w:val="32"/>
          <w:u w:val="none"/>
          <w:lang w:val="en-US" w:eastAsia="zh-CN" w:bidi="ar-SA"/>
        </w:rPr>
        <w:t>3、裁量因素：</w:t>
      </w:r>
      <w:r>
        <w:rPr>
          <w:rFonts w:hint="eastAsia" w:ascii="仿宋_GB2312" w:hAnsi="仿宋_GB2312" w:eastAsia="仿宋_GB2312" w:cs="仿宋_GB2312"/>
          <w:color w:val="auto"/>
          <w:kern w:val="2"/>
          <w:sz w:val="32"/>
          <w:szCs w:val="32"/>
          <w:u w:val="none"/>
          <w:lang w:val="en-US" w:eastAsia="zh-CN" w:bidi="ar-SA"/>
        </w:rPr>
        <w:t>企业规模</w:t>
      </w:r>
      <w:r>
        <w:rPr>
          <w:rFonts w:hint="default" w:ascii="仿宋_GB2312" w:hAnsi="仿宋_GB2312" w:eastAsia="仿宋_GB2312" w:cs="仿宋_GB2312"/>
          <w:color w:val="auto"/>
          <w:kern w:val="2"/>
          <w:sz w:val="32"/>
          <w:szCs w:val="32"/>
          <w:u w:val="none"/>
          <w:lang w:val="en-US" w:eastAsia="zh-CN" w:bidi="ar-SA"/>
        </w:rPr>
        <w:t>，内容：</w:t>
      </w:r>
      <w:r>
        <w:rPr>
          <w:rFonts w:hint="eastAsia" w:ascii="仿宋_GB2312" w:hAnsi="仿宋_GB2312" w:eastAsia="仿宋_GB2312" w:cs="仿宋_GB2312"/>
          <w:color w:val="auto"/>
          <w:kern w:val="2"/>
          <w:sz w:val="32"/>
          <w:szCs w:val="32"/>
          <w:u w:val="none"/>
          <w:lang w:val="en-US" w:eastAsia="zh-CN" w:bidi="ar-SA"/>
        </w:rPr>
        <w:t>微型企业</w:t>
      </w:r>
      <w:r>
        <w:rPr>
          <w:rFonts w:hint="default" w:ascii="仿宋_GB2312" w:hAnsi="仿宋_GB2312" w:eastAsia="仿宋_GB2312" w:cs="仿宋_GB2312"/>
          <w:color w:val="auto"/>
          <w:kern w:val="2"/>
          <w:sz w:val="32"/>
          <w:szCs w:val="32"/>
          <w:u w:val="none"/>
          <w:lang w:val="en-US" w:eastAsia="zh-CN" w:bidi="ar-SA"/>
        </w:rPr>
        <w:t>，裁量等级：</w:t>
      </w:r>
      <w:r>
        <w:rPr>
          <w:rFonts w:hint="eastAsia" w:ascii="仿宋_GB2312" w:hAnsi="仿宋_GB2312" w:eastAsia="仿宋_GB2312" w:cs="仿宋_GB2312"/>
          <w:color w:val="auto"/>
          <w:kern w:val="2"/>
          <w:sz w:val="32"/>
          <w:szCs w:val="32"/>
          <w:u w:val="none"/>
          <w:lang w:val="en-US" w:eastAsia="zh-CN" w:bidi="ar-SA"/>
        </w:rPr>
        <w:t>1；</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4、</w:t>
      </w:r>
      <w:r>
        <w:rPr>
          <w:rFonts w:hint="default" w:ascii="仿宋_GB2312" w:hAnsi="仿宋_GB2312" w:eastAsia="仿宋_GB2312" w:cs="仿宋_GB2312"/>
          <w:color w:val="auto"/>
          <w:kern w:val="2"/>
          <w:sz w:val="32"/>
          <w:szCs w:val="32"/>
          <w:u w:val="none"/>
          <w:lang w:val="en-US" w:eastAsia="zh-CN" w:bidi="ar-SA"/>
        </w:rPr>
        <w:t>裁量因素：</w:t>
      </w:r>
      <w:r>
        <w:rPr>
          <w:rFonts w:hint="eastAsia" w:ascii="仿宋_GB2312" w:hAnsi="仿宋_GB2312" w:eastAsia="仿宋_GB2312" w:cs="仿宋_GB2312"/>
          <w:color w:val="auto"/>
          <w:kern w:val="2"/>
          <w:sz w:val="32"/>
          <w:szCs w:val="32"/>
          <w:u w:val="none"/>
          <w:lang w:val="en-US" w:eastAsia="zh-CN" w:bidi="ar-SA"/>
        </w:rPr>
        <w:t>管理类别，</w:t>
      </w:r>
      <w:r>
        <w:rPr>
          <w:rFonts w:hint="default" w:ascii="仿宋_GB2312" w:hAnsi="仿宋_GB2312" w:eastAsia="仿宋_GB2312" w:cs="仿宋_GB2312"/>
          <w:color w:val="auto"/>
          <w:kern w:val="2"/>
          <w:sz w:val="32"/>
          <w:szCs w:val="32"/>
          <w:u w:val="none"/>
          <w:lang w:val="en-US" w:eastAsia="zh-CN" w:bidi="ar-SA"/>
        </w:rPr>
        <w:t>内容：登记管理</w:t>
      </w:r>
      <w:r>
        <w:rPr>
          <w:rFonts w:hint="eastAsia" w:ascii="仿宋_GB2312" w:hAnsi="仿宋_GB2312" w:eastAsia="仿宋_GB2312" w:cs="仿宋_GB2312"/>
          <w:color w:val="auto"/>
          <w:kern w:val="2"/>
          <w:sz w:val="32"/>
          <w:szCs w:val="32"/>
          <w:u w:val="none"/>
          <w:lang w:val="en-US" w:eastAsia="zh-CN" w:bidi="ar-SA"/>
        </w:rPr>
        <w:t>，</w:t>
      </w:r>
      <w:r>
        <w:rPr>
          <w:rFonts w:hint="default" w:ascii="仿宋_GB2312" w:hAnsi="仿宋_GB2312" w:eastAsia="仿宋_GB2312" w:cs="仿宋_GB2312"/>
          <w:color w:val="auto"/>
          <w:kern w:val="2"/>
          <w:sz w:val="32"/>
          <w:szCs w:val="32"/>
          <w:u w:val="none"/>
          <w:lang w:val="en-US" w:eastAsia="zh-CN" w:bidi="ar-SA"/>
        </w:rPr>
        <w:t>裁量等级：</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 xml:space="preserve"> </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5、</w:t>
      </w:r>
      <w:r>
        <w:rPr>
          <w:rFonts w:hint="default" w:ascii="仿宋_GB2312" w:hAnsi="仿宋_GB2312" w:eastAsia="仿宋_GB2312" w:cs="仿宋_GB2312"/>
          <w:color w:val="auto"/>
          <w:kern w:val="2"/>
          <w:sz w:val="32"/>
          <w:szCs w:val="32"/>
          <w:u w:val="none"/>
          <w:lang w:val="en-US" w:eastAsia="zh-CN" w:bidi="ar-SA"/>
        </w:rPr>
        <w:t>裁量因素：违法行为发生时期环境敏感度，内容：</w:t>
      </w:r>
      <w:r>
        <w:rPr>
          <w:rFonts w:hint="eastAsia" w:ascii="仿宋_GB2312" w:hAnsi="仿宋_GB2312" w:eastAsia="仿宋_GB2312" w:cs="仿宋_GB2312"/>
          <w:color w:val="auto"/>
          <w:kern w:val="2"/>
          <w:sz w:val="32"/>
          <w:szCs w:val="32"/>
          <w:u w:val="none"/>
          <w:lang w:val="en-US" w:eastAsia="zh-CN" w:bidi="ar-SA"/>
        </w:rPr>
        <w:t>一般期间，</w:t>
      </w:r>
      <w:r>
        <w:rPr>
          <w:rFonts w:hint="default" w:ascii="仿宋_GB2312" w:hAnsi="仿宋_GB2312" w:eastAsia="仿宋_GB2312" w:cs="仿宋_GB2312"/>
          <w:color w:val="auto"/>
          <w:kern w:val="2"/>
          <w:sz w:val="32"/>
          <w:szCs w:val="32"/>
          <w:u w:val="none"/>
          <w:lang w:val="en-US" w:eastAsia="zh-CN" w:bidi="ar-SA"/>
        </w:rPr>
        <w:t>裁量等级：</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 xml:space="preserve"> </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6</w:t>
      </w:r>
      <w:r>
        <w:rPr>
          <w:rFonts w:hint="default" w:ascii="仿宋_GB2312" w:hAnsi="仿宋_GB2312" w:eastAsia="仿宋_GB2312" w:cs="仿宋_GB2312"/>
          <w:color w:val="auto"/>
          <w:kern w:val="2"/>
          <w:sz w:val="32"/>
          <w:szCs w:val="32"/>
          <w:u w:val="none"/>
          <w:lang w:val="en-US" w:eastAsia="zh-CN" w:bidi="ar-SA"/>
        </w:rPr>
        <w:t>、裁量因素：</w:t>
      </w:r>
      <w:r>
        <w:rPr>
          <w:rFonts w:hint="default" w:ascii="仿宋_GB2312" w:hAnsi="仿宋_GB2312" w:eastAsia="仿宋_GB2312" w:cs="仿宋_GB2312"/>
          <w:color w:val="auto"/>
          <w:kern w:val="2"/>
          <w:sz w:val="32"/>
          <w:szCs w:val="32"/>
          <w:u w:val="none"/>
          <w:lang w:val="en-US" w:bidi="ar-SA"/>
        </w:rPr>
        <w:t>超过限期改正时间</w:t>
      </w:r>
      <w:r>
        <w:rPr>
          <w:rFonts w:hint="default" w:ascii="仿宋_GB2312" w:hAnsi="仿宋_GB2312" w:eastAsia="仿宋_GB2312" w:cs="仿宋_GB2312"/>
          <w:color w:val="auto"/>
          <w:kern w:val="2"/>
          <w:sz w:val="32"/>
          <w:szCs w:val="32"/>
          <w:u w:val="none"/>
          <w:lang w:val="en-US" w:eastAsia="zh-CN" w:bidi="ar-SA"/>
        </w:rPr>
        <w:t>，内容：</w:t>
      </w:r>
      <w:r>
        <w:rPr>
          <w:rFonts w:hint="eastAsia" w:ascii="仿宋_GB2312" w:hAnsi="仿宋_GB2312" w:eastAsia="仿宋_GB2312" w:cs="仿宋_GB2312"/>
          <w:color w:val="auto"/>
          <w:kern w:val="2"/>
          <w:sz w:val="32"/>
          <w:szCs w:val="32"/>
          <w:u w:val="none"/>
          <w:lang w:val="en-US" w:eastAsia="zh-CN" w:bidi="ar-SA"/>
        </w:rPr>
        <w:t>限期改正，</w:t>
      </w:r>
      <w:r>
        <w:rPr>
          <w:rFonts w:hint="default" w:ascii="仿宋_GB2312" w:hAnsi="仿宋_GB2312" w:eastAsia="仿宋_GB2312" w:cs="仿宋_GB2312"/>
          <w:color w:val="auto"/>
          <w:kern w:val="2"/>
          <w:sz w:val="32"/>
          <w:szCs w:val="32"/>
          <w:u w:val="none"/>
          <w:lang w:val="en-US" w:eastAsia="zh-CN" w:bidi="ar-SA"/>
        </w:rPr>
        <w:t>裁量等级：</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 xml:space="preserve"> </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7</w:t>
      </w:r>
      <w:r>
        <w:rPr>
          <w:rFonts w:hint="default" w:ascii="仿宋_GB2312" w:hAnsi="仿宋_GB2312" w:eastAsia="仿宋_GB2312" w:cs="仿宋_GB2312"/>
          <w:color w:val="auto"/>
          <w:kern w:val="2"/>
          <w:sz w:val="32"/>
          <w:szCs w:val="32"/>
          <w:u w:val="none"/>
          <w:lang w:val="en-US" w:eastAsia="zh-CN" w:bidi="ar-SA"/>
        </w:rPr>
        <w:t>、裁量因素：违法行为持续时间，内容：1个月</w:t>
      </w:r>
      <w:r>
        <w:rPr>
          <w:rFonts w:hint="default" w:ascii="仿宋_GB2312" w:hAnsi="仿宋_GB2312" w:eastAsia="仿宋_GB2312" w:cs="仿宋_GB2312"/>
          <w:color w:val="auto"/>
          <w:kern w:val="2"/>
          <w:sz w:val="32"/>
          <w:szCs w:val="32"/>
          <w:u w:val="none"/>
          <w:lang w:val="en-US" w:bidi="ar-SA"/>
        </w:rPr>
        <w:t>以下</w:t>
      </w:r>
      <w:r>
        <w:rPr>
          <w:rFonts w:hint="default" w:ascii="仿宋_GB2312" w:hAnsi="仿宋_GB2312" w:eastAsia="仿宋_GB2312" w:cs="仿宋_GB2312"/>
          <w:color w:val="auto"/>
          <w:kern w:val="2"/>
          <w:sz w:val="32"/>
          <w:szCs w:val="32"/>
          <w:u w:val="none"/>
          <w:lang w:val="en-US" w:eastAsia="zh-CN" w:bidi="ar-SA"/>
        </w:rPr>
        <w:t>，裁量等级：</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 xml:space="preserve"> </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8</w:t>
      </w:r>
      <w:r>
        <w:rPr>
          <w:rFonts w:hint="default" w:ascii="仿宋_GB2312" w:hAnsi="仿宋_GB2312" w:eastAsia="仿宋_GB2312" w:cs="仿宋_GB2312"/>
          <w:color w:val="auto"/>
          <w:kern w:val="2"/>
          <w:sz w:val="32"/>
          <w:szCs w:val="32"/>
          <w:u w:val="none"/>
          <w:lang w:val="en-US" w:eastAsia="zh-CN" w:bidi="ar-SA"/>
        </w:rPr>
        <w:t>、裁量因素：受处罚</w:t>
      </w:r>
      <w:r>
        <w:rPr>
          <w:rFonts w:hint="eastAsia" w:ascii="仿宋_GB2312" w:hAnsi="仿宋_GB2312" w:eastAsia="仿宋_GB2312" w:cs="仿宋_GB2312"/>
          <w:color w:val="auto"/>
          <w:kern w:val="2"/>
          <w:sz w:val="32"/>
          <w:szCs w:val="32"/>
          <w:u w:val="none"/>
          <w:lang w:val="en-US" w:eastAsia="zh-CN" w:bidi="ar-SA"/>
        </w:rPr>
        <w:t>次数</w:t>
      </w:r>
      <w:r>
        <w:rPr>
          <w:rFonts w:hint="default" w:ascii="仿宋_GB2312" w:hAnsi="仿宋_GB2312" w:eastAsia="仿宋_GB2312" w:cs="仿宋_GB2312"/>
          <w:color w:val="auto"/>
          <w:kern w:val="2"/>
          <w:sz w:val="32"/>
          <w:szCs w:val="32"/>
          <w:u w:val="none"/>
          <w:lang w:val="en-US" w:eastAsia="zh-CN" w:bidi="ar-SA"/>
        </w:rPr>
        <w:t>，内容：</w:t>
      </w:r>
      <w:r>
        <w:rPr>
          <w:rFonts w:hint="eastAsia" w:ascii="仿宋_GB2312" w:hAnsi="仿宋_GB2312" w:eastAsia="仿宋_GB2312" w:cs="仿宋_GB2312"/>
          <w:color w:val="auto"/>
          <w:kern w:val="2"/>
          <w:sz w:val="32"/>
          <w:szCs w:val="32"/>
          <w:u w:val="none"/>
          <w:lang w:val="en-US" w:eastAsia="zh-CN" w:bidi="ar-SA"/>
        </w:rPr>
        <w:t>两年内未受到过同类处罚，</w:t>
      </w:r>
      <w:r>
        <w:rPr>
          <w:rFonts w:hint="default" w:ascii="仿宋_GB2312" w:hAnsi="仿宋_GB2312" w:eastAsia="仿宋_GB2312" w:cs="仿宋_GB2312"/>
          <w:color w:val="auto"/>
          <w:kern w:val="2"/>
          <w:sz w:val="32"/>
          <w:szCs w:val="32"/>
          <w:u w:val="none"/>
          <w:lang w:val="en-US" w:eastAsia="zh-CN" w:bidi="ar-SA"/>
        </w:rPr>
        <w:t>裁量等级：</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 xml:space="preserve"> </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kern w:val="2"/>
          <w:sz w:val="32"/>
          <w:szCs w:val="32"/>
          <w:u w:val="none"/>
          <w:lang w:val="en-US" w:eastAsia="zh-CN" w:bidi="ar-SA"/>
        </w:rPr>
        <w:t>9</w:t>
      </w:r>
      <w:r>
        <w:rPr>
          <w:rFonts w:hint="default" w:ascii="仿宋_GB2312" w:hAnsi="仿宋_GB2312" w:eastAsia="仿宋_GB2312" w:cs="仿宋_GB2312"/>
          <w:color w:val="auto"/>
          <w:kern w:val="2"/>
          <w:sz w:val="32"/>
          <w:szCs w:val="32"/>
          <w:u w:val="none"/>
          <w:lang w:val="en-US" w:eastAsia="zh-CN" w:bidi="ar-SA"/>
        </w:rPr>
        <w:t>、裁量因素：是否配合执法检查，内容：配合调查，裁量等级：1</w:t>
      </w:r>
      <w:r>
        <w:rPr>
          <w:rFonts w:hint="eastAsia" w:ascii="仿宋_GB2312" w:hAnsi="仿宋_GB2312" w:eastAsia="仿宋_GB2312" w:cs="仿宋_GB2312"/>
          <w:color w:val="auto"/>
          <w:kern w:val="2"/>
          <w:sz w:val="32"/>
          <w:szCs w:val="32"/>
          <w:u w:val="none"/>
          <w:lang w:val="en-US" w:eastAsia="zh-CN" w:bidi="ar-SA"/>
        </w:rPr>
        <w:t>。</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kern w:val="2"/>
          <w:sz w:val="32"/>
          <w:szCs w:val="32"/>
          <w:u w:val="none"/>
          <w:lang w:val="en-US" w:eastAsia="zh-CN" w:bidi="ar-SA"/>
        </w:rPr>
        <w:t>法定处罚金额上限：</w:t>
      </w:r>
      <w:r>
        <w:rPr>
          <w:rFonts w:hint="eastAsia" w:ascii="仿宋_GB2312" w:hAnsi="仿宋_GB2312" w:eastAsia="仿宋_GB2312" w:cs="仿宋_GB2312"/>
          <w:color w:val="auto"/>
          <w:kern w:val="2"/>
          <w:sz w:val="32"/>
          <w:szCs w:val="32"/>
          <w:u w:val="none"/>
          <w:lang w:val="en-US" w:eastAsia="zh-CN" w:bidi="ar-SA"/>
        </w:rPr>
        <w:t>200000</w:t>
      </w:r>
      <w:r>
        <w:rPr>
          <w:rFonts w:hint="default" w:ascii="仿宋_GB2312" w:hAnsi="仿宋_GB2312" w:eastAsia="仿宋_GB2312" w:cs="仿宋_GB2312"/>
          <w:color w:val="auto"/>
          <w:kern w:val="2"/>
          <w:sz w:val="32"/>
          <w:szCs w:val="32"/>
          <w:u w:val="none"/>
          <w:lang w:val="en-US" w:eastAsia="zh-CN" w:bidi="ar-SA"/>
        </w:rPr>
        <w:t>，法定处罚金额下限：</w:t>
      </w:r>
      <w:r>
        <w:rPr>
          <w:rFonts w:hint="eastAsia" w:ascii="仿宋_GB2312" w:hAnsi="仿宋_GB2312" w:eastAsia="仿宋_GB2312" w:cs="仿宋_GB2312"/>
          <w:color w:val="auto"/>
          <w:kern w:val="2"/>
          <w:sz w:val="32"/>
          <w:szCs w:val="32"/>
          <w:u w:val="none"/>
          <w:lang w:val="en-US" w:eastAsia="zh-CN" w:bidi="ar-SA"/>
        </w:rPr>
        <w:t>20000</w:t>
      </w:r>
      <w:r>
        <w:rPr>
          <w:rFonts w:hint="default" w:ascii="仿宋_GB2312" w:hAnsi="仿宋_GB2312" w:eastAsia="仿宋_GB2312" w:cs="仿宋_GB2312"/>
          <w:color w:val="auto"/>
          <w:kern w:val="2"/>
          <w:sz w:val="32"/>
          <w:szCs w:val="32"/>
          <w:u w:val="none"/>
          <w:lang w:val="en-US" w:eastAsia="zh-CN" w:bidi="ar-SA"/>
        </w:rPr>
        <w:t>，首要裁量因素裁量等级：</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，其余裁量因素个数：</w:t>
      </w:r>
      <w:r>
        <w:rPr>
          <w:rFonts w:hint="eastAsia" w:ascii="仿宋_GB2312" w:hAnsi="仿宋_GB2312" w:eastAsia="仿宋_GB2312" w:cs="仿宋_GB2312"/>
          <w:color w:val="auto"/>
          <w:kern w:val="2"/>
          <w:sz w:val="32"/>
          <w:szCs w:val="32"/>
          <w:u w:val="none"/>
          <w:lang w:val="en-US" w:eastAsia="zh-CN" w:bidi="ar-SA"/>
        </w:rPr>
        <w:t>8</w:t>
      </w:r>
      <w:r>
        <w:rPr>
          <w:rFonts w:hint="default" w:ascii="仿宋_GB2312" w:hAnsi="仿宋_GB2312" w:eastAsia="仿宋_GB2312" w:cs="仿宋_GB2312"/>
          <w:color w:val="auto"/>
          <w:kern w:val="2"/>
          <w:sz w:val="32"/>
          <w:szCs w:val="32"/>
          <w:u w:val="none"/>
          <w:lang w:val="en-US" w:eastAsia="zh-CN" w:bidi="ar-SA"/>
        </w:rPr>
        <w:t>，其余裁量因素裁量等级：</w:t>
      </w:r>
      <w:r>
        <w:rPr>
          <w:rFonts w:hint="eastAsia" w:ascii="仿宋_GB2312" w:hAnsi="仿宋_GB2312" w:eastAsia="仿宋_GB2312" w:cs="仿宋_GB2312"/>
          <w:color w:val="auto"/>
          <w:kern w:val="2"/>
          <w:sz w:val="32"/>
          <w:szCs w:val="32"/>
          <w:u w:val="none"/>
          <w:lang w:val="en-US" w:eastAsia="zh-CN" w:bidi="ar-SA"/>
        </w:rPr>
        <w:t>3、1、1、1、</w:t>
      </w:r>
      <w:r>
        <w:rPr>
          <w:rFonts w:hint="default" w:ascii="仿宋_GB2312" w:hAnsi="仿宋_GB2312" w:eastAsia="仿宋_GB2312" w:cs="仿宋_GB2312"/>
          <w:color w:val="auto"/>
          <w:kern w:val="2"/>
          <w:sz w:val="32"/>
          <w:szCs w:val="32"/>
          <w:u w:val="none"/>
          <w:lang w:val="en-US" w:eastAsia="zh-CN" w:bidi="ar-SA"/>
        </w:rPr>
        <w:t>1</w:t>
      </w:r>
      <w:r>
        <w:rPr>
          <w:rFonts w:hint="eastAsia" w:ascii="仿宋_GB2312" w:hAnsi="仿宋_GB2312" w:eastAsia="仿宋_GB2312" w:cs="仿宋_GB2312"/>
          <w:color w:val="auto"/>
          <w:kern w:val="2"/>
          <w:sz w:val="32"/>
          <w:szCs w:val="32"/>
          <w:u w:val="none"/>
          <w:lang w:val="en-US" w:eastAsia="zh-CN" w:bidi="ar-SA"/>
        </w:rPr>
        <w:t>、</w:t>
      </w:r>
      <w:r>
        <w:rPr>
          <w:rFonts w:hint="default" w:ascii="仿宋_GB2312" w:hAnsi="仿宋_GB2312" w:eastAsia="仿宋_GB2312" w:cs="仿宋_GB2312"/>
          <w:color w:val="auto"/>
          <w:kern w:val="2"/>
          <w:sz w:val="32"/>
          <w:szCs w:val="32"/>
          <w:u w:val="none"/>
          <w:lang w:val="en-US" w:eastAsia="zh-CN" w:bidi="ar-SA"/>
        </w:rPr>
        <w:t>1</w:t>
      </w:r>
      <w:r>
        <w:rPr>
          <w:rFonts w:hint="eastAsia" w:ascii="仿宋_GB2312" w:hAnsi="仿宋_GB2312" w:eastAsia="仿宋_GB2312" w:cs="仿宋_GB2312"/>
          <w:color w:val="auto"/>
          <w:kern w:val="2"/>
          <w:sz w:val="32"/>
          <w:szCs w:val="32"/>
          <w:u w:val="none"/>
          <w:lang w:val="en-US" w:eastAsia="zh-CN" w:bidi="ar-SA"/>
        </w:rPr>
        <w:t>、1、1。</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kern w:val="2"/>
          <w:sz w:val="32"/>
          <w:szCs w:val="32"/>
          <w:u w:val="none"/>
          <w:lang w:val="en-US" w:eastAsia="zh-CN" w:bidi="ar-SA"/>
        </w:rPr>
      </w:pPr>
      <w:r>
        <w:rPr>
          <w:rFonts w:hint="default" w:ascii="仿宋_GB2312" w:hAnsi="仿宋_GB2312" w:eastAsia="仿宋_GB2312" w:cs="仿宋_GB2312"/>
          <w:color w:val="auto"/>
          <w:kern w:val="2"/>
          <w:sz w:val="32"/>
          <w:szCs w:val="32"/>
          <w:u w:val="none"/>
          <w:lang w:val="en-US" w:eastAsia="zh-CN" w:bidi="ar-SA"/>
        </w:rPr>
        <w:t>代入公式：</w:t>
      </w:r>
    </w:p>
    <w:p>
      <w:pPr>
        <w:widowControl w:val="0"/>
        <w:wordWrap/>
        <w:adjustRightInd w:val="0"/>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u w:val="none"/>
          <w:lang w:val="en-US" w:eastAsia="zh-CN" w:bidi="ar-SA"/>
        </w:rPr>
        <w:t>20000</w:t>
      </w:r>
      <w:r>
        <w:rPr>
          <w:rFonts w:hint="default"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color w:val="auto"/>
          <w:kern w:val="2"/>
          <w:sz w:val="32"/>
          <w:szCs w:val="32"/>
          <w:u w:val="none"/>
          <w:lang w:val="en-US" w:eastAsia="zh-CN" w:bidi="ar-SA"/>
        </w:rPr>
        <w:t>200000</w:t>
      </w:r>
      <w:r>
        <w:rPr>
          <w:rFonts w:hint="default"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color w:val="auto"/>
          <w:kern w:val="2"/>
          <w:sz w:val="32"/>
          <w:szCs w:val="32"/>
          <w:u w:val="none"/>
          <w:lang w:val="en-US" w:eastAsia="zh-CN" w:bidi="ar-SA"/>
        </w:rPr>
        <w:t>20000</w:t>
      </w:r>
      <w:r>
        <w:rPr>
          <w:rFonts w:hint="default" w:ascii="仿宋_GB2312" w:hAnsi="仿宋_GB2312" w:eastAsia="仿宋_GB2312" w:cs="仿宋_GB2312"/>
          <w:color w:val="auto"/>
          <w:kern w:val="2"/>
          <w:sz w:val="32"/>
          <w:szCs w:val="32"/>
          <w:u w:val="none"/>
          <w:lang w:val="en-US" w:eastAsia="zh-CN" w:bidi="ar-SA"/>
        </w:rPr>
        <w:t>)x[(</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/5)²+(</w:t>
      </w:r>
      <w:r>
        <w:rPr>
          <w:rFonts w:hint="eastAsia" w:ascii="仿宋_GB2312" w:hAnsi="仿宋_GB2312" w:eastAsia="仿宋_GB2312" w:cs="仿宋_GB2312"/>
          <w:color w:val="auto"/>
          <w:kern w:val="2"/>
          <w:sz w:val="32"/>
          <w:szCs w:val="32"/>
          <w:u w:val="none"/>
          <w:lang w:val="en-US" w:eastAsia="zh-CN" w:bidi="ar-SA"/>
        </w:rPr>
        <w:t>3</w:t>
      </w:r>
      <w:r>
        <w:rPr>
          <w:rFonts w:hint="default" w:ascii="仿宋_GB2312" w:hAnsi="仿宋_GB2312" w:eastAsia="仿宋_GB2312" w:cs="仿宋_GB2312"/>
          <w:color w:val="auto"/>
          <w:kern w:val="2"/>
          <w:sz w:val="32"/>
          <w:szCs w:val="32"/>
          <w:u w:val="none"/>
          <w:lang w:val="en-US" w:eastAsia="zh-CN" w:bidi="ar-SA"/>
        </w:rPr>
        <w:t>²+1²+</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²+1²+1²+1²+</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²+</w:t>
      </w:r>
      <w:r>
        <w:rPr>
          <w:rFonts w:hint="eastAsia" w:ascii="仿宋_GB2312" w:hAnsi="仿宋_GB2312" w:eastAsia="仿宋_GB2312" w:cs="仿宋_GB2312"/>
          <w:color w:val="auto"/>
          <w:kern w:val="2"/>
          <w:sz w:val="32"/>
          <w:szCs w:val="32"/>
          <w:u w:val="none"/>
          <w:lang w:val="en-US" w:eastAsia="zh-CN" w:bidi="ar-SA"/>
        </w:rPr>
        <w:t>1</w:t>
      </w:r>
      <w:r>
        <w:rPr>
          <w:rFonts w:hint="default" w:ascii="仿宋_GB2312" w:hAnsi="仿宋_GB2312" w:eastAsia="仿宋_GB2312" w:cs="仿宋_GB2312"/>
          <w:color w:val="auto"/>
          <w:kern w:val="2"/>
          <w:sz w:val="32"/>
          <w:szCs w:val="32"/>
          <w:u w:val="none"/>
          <w:lang w:val="en-US" w:eastAsia="zh-CN" w:bidi="ar-SA"/>
        </w:rPr>
        <w:t>² )/(5²x</w:t>
      </w:r>
      <w:r>
        <w:rPr>
          <w:rFonts w:hint="eastAsia" w:ascii="仿宋_GB2312" w:hAnsi="仿宋_GB2312" w:eastAsia="仿宋_GB2312" w:cs="仿宋_GB2312"/>
          <w:color w:val="auto"/>
          <w:kern w:val="2"/>
          <w:sz w:val="32"/>
          <w:szCs w:val="32"/>
          <w:u w:val="none"/>
          <w:lang w:val="en-US" w:eastAsia="zh-CN" w:bidi="ar-SA"/>
        </w:rPr>
        <w:t>8</w:t>
      </w:r>
      <w:r>
        <w:rPr>
          <w:rFonts w:hint="default" w:ascii="仿宋_GB2312" w:hAnsi="仿宋_GB2312" w:eastAsia="仿宋_GB2312" w:cs="仿宋_GB2312"/>
          <w:color w:val="auto"/>
          <w:kern w:val="2"/>
          <w:sz w:val="32"/>
          <w:szCs w:val="32"/>
          <w:u w:val="none"/>
          <w:lang w:val="en-US" w:eastAsia="zh-CN" w:bidi="ar-SA"/>
        </w:rPr>
        <w:t>)]x50%</w:t>
      </w:r>
      <w:r>
        <w:rPr>
          <w:rFonts w:hint="eastAsia" w:ascii="仿宋_GB2312" w:hAnsi="仿宋_GB2312" w:eastAsia="仿宋_GB2312" w:cs="仿宋_GB2312"/>
          <w:color w:val="auto"/>
          <w:kern w:val="2"/>
          <w:sz w:val="32"/>
          <w:szCs w:val="32"/>
          <w:u w:val="none"/>
          <w:lang w:val="en-US" w:eastAsia="zh-CN" w:bidi="ar-SA"/>
        </w:rPr>
        <w:t>=30800</w:t>
      </w:r>
    </w:p>
    <w:p>
      <w:pPr>
        <w:widowControl/>
        <w:wordWrap/>
        <w:adjustRightInd/>
        <w:snapToGrid/>
        <w:spacing w:line="56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自定义裁量计算值：0，</w:t>
      </w:r>
      <w:r>
        <w:rPr>
          <w:rFonts w:hint="default" w:ascii="仿宋_GB2312" w:hAnsi="仿宋_GB2312" w:eastAsia="仿宋_GB2312" w:cs="仿宋_GB2312"/>
          <w:color w:val="auto"/>
          <w:sz w:val="32"/>
          <w:szCs w:val="32"/>
          <w:u w:val="none"/>
          <w:lang w:val="en-US" w:eastAsia="zh-CN"/>
        </w:rPr>
        <w:t>最终裁量金额：</w:t>
      </w:r>
      <w:r>
        <w:rPr>
          <w:rFonts w:hint="eastAsia" w:ascii="仿宋_GB2312" w:hAnsi="仿宋_GB2312" w:eastAsia="仿宋_GB2312" w:cs="仿宋_GB2312"/>
          <w:color w:val="auto"/>
          <w:sz w:val="32"/>
          <w:szCs w:val="32"/>
          <w:lang w:val="en-US" w:eastAsia="zh-CN"/>
        </w:rPr>
        <w:t>30800</w:t>
      </w:r>
      <w:r>
        <w:rPr>
          <w:rFonts w:hint="default" w:ascii="仿宋_GB2312" w:hAnsi="仿宋_GB2312" w:eastAsia="仿宋_GB2312" w:cs="仿宋_GB2312"/>
          <w:color w:val="auto"/>
          <w:sz w:val="32"/>
          <w:szCs w:val="32"/>
          <w:u w:val="none"/>
          <w:lang w:val="en-US" w:eastAsia="zh-CN"/>
        </w:rPr>
        <w:t>元。</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河南省大气污染防治条例》第七十二条第一项：“有下列行为之一的，由县级以上人民政府环境保护主管部门责令改正，处二万元以上二十万元以下罚款；拒不改正的，责令停产整治：（一）违反本条例第三十六条规定，排污单位未按照规定对不经过大气污染物排放口集中排放的大气污染物采取必要的污染防治措施的；”的规定，经研究，我局对你单位未采取集中收集处理、密闭、洒水等措施，控制、减少粉尘和气态污染物排放</w:t>
      </w:r>
      <w:r>
        <w:rPr>
          <w:rFonts w:hint="eastAsia" w:ascii="仿宋_GB2312" w:hAnsi="CESI仿宋-GB2312" w:eastAsia="仿宋_GB2312" w:cs="CESI仿宋-GB2312"/>
          <w:color w:val="auto"/>
          <w:kern w:val="0"/>
          <w:sz w:val="32"/>
          <w:szCs w:val="32"/>
          <w:u w:val="none"/>
          <w:lang w:val="en-US" w:eastAsia="zh-CN"/>
        </w:rPr>
        <w:t>的环境违法行为</w:t>
      </w:r>
      <w:r>
        <w:rPr>
          <w:rFonts w:hint="eastAsia" w:ascii="仿宋_GB2312" w:hAnsi="仿宋_GB2312" w:eastAsia="仿宋_GB2312" w:cs="仿宋_GB2312"/>
          <w:color w:val="auto"/>
          <w:sz w:val="32"/>
          <w:szCs w:val="32"/>
          <w:u w:val="none"/>
          <w:lang w:val="en-US" w:eastAsia="zh-CN"/>
        </w:rPr>
        <w:t xml:space="preserve">作出以下处理决定： </w:t>
      </w:r>
    </w:p>
    <w:p>
      <w:pPr>
        <w:widowControl w:val="0"/>
        <w:wordWrap/>
        <w:spacing w:line="560" w:lineRule="exact"/>
        <w:ind w:left="0" w:leftChars="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eastAsia="zh-CN"/>
        </w:rPr>
        <w:t>罚款</w:t>
      </w:r>
      <w:r>
        <w:rPr>
          <w:rFonts w:hint="eastAsia" w:ascii="仿宋_GB2312" w:hAnsi="仿宋_GB2312" w:eastAsia="仿宋_GB2312" w:cs="仿宋_GB2312"/>
          <w:color w:val="auto"/>
          <w:sz w:val="32"/>
          <w:szCs w:val="32"/>
          <w:u w:val="none"/>
          <w:lang w:val="en-US" w:eastAsia="zh-CN"/>
        </w:rPr>
        <w:t>叁万零捌佰元整</w:t>
      </w:r>
      <w:r>
        <w:rPr>
          <w:rFonts w:hint="eastAsia" w:ascii="仿宋_GB2312" w:hAnsi="仿宋_GB2312" w:eastAsia="仿宋_GB2312" w:cs="仿宋_GB2312"/>
          <w:color w:val="auto"/>
          <w:kern w:val="2"/>
          <w:sz w:val="32"/>
          <w:szCs w:val="32"/>
          <w:u w:val="none"/>
          <w:lang w:val="en-US" w:eastAsia="zh-CN" w:bidi="ar-SA"/>
        </w:rPr>
        <w:t>（30800元）。</w:t>
      </w:r>
    </w:p>
    <w:p>
      <w:pPr>
        <w:widowControl/>
        <w:numPr>
          <w:numId w:val="0"/>
        </w:numPr>
        <w:wordWrap/>
        <w:adjustRightInd/>
        <w:snapToGrid/>
        <w:spacing w:line="560" w:lineRule="exact"/>
        <w:ind w:leftChars="0" w:firstLine="640" w:firstLineChars="200"/>
        <w:jc w:val="left"/>
        <w:textAlignment w:val="auto"/>
        <w:rPr>
          <w:rFonts w:hint="eastAsia" w:ascii="仿宋" w:hAnsi="仿宋" w:eastAsia="仿宋" w:cs="仿宋"/>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三、行政处罚决定的履行方式和期限</w:t>
      </w:r>
      <w:r>
        <w:rPr>
          <w:rFonts w:hint="eastAsia" w:ascii="仿宋" w:hAnsi="仿宋" w:eastAsia="仿宋" w:cs="仿宋"/>
          <w:color w:val="000000"/>
          <w:kern w:val="0"/>
          <w:sz w:val="32"/>
          <w:szCs w:val="32"/>
          <w:lang w:val="en-US" w:eastAsia="zh-CN"/>
        </w:rPr>
        <w:t xml:space="preserve"> </w:t>
      </w:r>
    </w:p>
    <w:p>
      <w:pPr>
        <w:widowControl/>
        <w:numPr>
          <w:numId w:val="0"/>
        </w:numPr>
        <w:wordWrap/>
        <w:adjustRightInd/>
        <w:snapToGrid/>
        <w:spacing w:line="560" w:lineRule="exact"/>
        <w:ind w:leftChars="0"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根据《中华人民共和国行政处罚法》和《罚款决定与罚款收缴分离实施办法》的规定，你单位应当自收到本处罚决定书之日起15日内将罚款缴至指定银行和账号：</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收款银行：邮政储蓄银行民主南路支行；</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银行账号：100195545980010001；</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户名：焦作市财政局非税收入财政专户。</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款项缴清后，请持银行受理回单到我局索取罚款收据，并将缴款凭据报送我局备案。 </w:t>
      </w:r>
    </w:p>
    <w:p>
      <w:pPr>
        <w:widowControl/>
        <w:wordWrap/>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rPr>
        <w:t xml:space="preserve">四、申请行政复议或提起行政诉讼的途径和期限 </w:t>
      </w:r>
    </w:p>
    <w:p>
      <w:pPr>
        <w:widowControl/>
        <w:wordWrap/>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你单位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逾期不申请行政复议，不提起行政诉讼，又不履行本处罚决定的，我局将依法申请人民法院强制执行。 </w:t>
      </w:r>
    </w:p>
    <w:p>
      <w:pPr>
        <w:widowControl/>
        <w:wordWrap/>
        <w:adjustRightInd/>
        <w:snapToGrid/>
        <w:spacing w:line="560" w:lineRule="exact"/>
        <w:jc w:val="left"/>
        <w:textAlignment w:val="auto"/>
        <w:rPr>
          <w:rFonts w:hint="eastAsia" w:ascii="仿宋" w:hAnsi="仿宋" w:eastAsia="仿宋" w:cs="仿宋"/>
          <w:color w:val="000000"/>
          <w:kern w:val="0"/>
          <w:sz w:val="32"/>
          <w:szCs w:val="32"/>
          <w:lang w:val="en-US" w:eastAsia="zh-CN"/>
        </w:rPr>
      </w:pPr>
    </w:p>
    <w:p>
      <w:pPr>
        <w:widowControl/>
        <w:wordWrap/>
        <w:adjustRightInd/>
        <w:snapToGrid/>
        <w:spacing w:line="560" w:lineRule="exact"/>
        <w:jc w:val="left"/>
        <w:textAlignment w:val="auto"/>
        <w:rPr>
          <w:rFonts w:hint="eastAsia" w:ascii="仿宋" w:hAnsi="仿宋" w:eastAsia="仿宋" w:cs="仿宋"/>
          <w:color w:val="000000"/>
          <w:kern w:val="0"/>
          <w:sz w:val="32"/>
          <w:szCs w:val="32"/>
          <w:lang w:val="en-US" w:eastAsia="zh-CN"/>
        </w:rPr>
      </w:pPr>
    </w:p>
    <w:p>
      <w:pPr>
        <w:widowControl/>
        <w:wordWrap/>
        <w:adjustRightInd/>
        <w:snapToGrid/>
        <w:spacing w:line="560" w:lineRule="exact"/>
        <w:ind w:firstLine="5440" w:firstLineChars="1700"/>
        <w:jc w:val="left"/>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rPr>
        <w:t>2025年8月5日</w:t>
      </w:r>
    </w:p>
    <w:sectPr>
      <w:footerReference r:id="rId4" w:type="default"/>
      <w:pgSz w:w="11906" w:h="16838"/>
      <w:pgMar w:top="1984" w:right="1474" w:bottom="1928"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auto"/>
    <w:pitch w:val="default"/>
    <w:sig w:usb0="A00002BF" w:usb1="38CF7CFA" w:usb2="00082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黑体"/>
        <w:kern w:val="2"/>
        <w:sz w:val="18"/>
        <w:szCs w:val="24"/>
        <w:lang w:val="en-US" w:eastAsia="zh-CN" w:bidi="ar-SA"/>
      </w:rPr>
      <w:pict>
        <v:rect id="文本框 3" o:spid="_x0000_s1025" style="position:absolute;left:0;margin-top:0pt;height:144pt;width:144pt;mso-position-horizontal:right;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2"/>
                </w:pPr>
                <w:r>
                  <w:rPr>
                    <w:sz w:val="28"/>
                    <w:szCs w:val="28"/>
                  </w:rPr>
                  <w:fldChar w:fldCharType="begin"/>
                </w:r>
                <w:r>
                  <w:rPr>
                    <w:sz w:val="28"/>
                    <w:szCs w:val="28"/>
                  </w:rPr>
                  <w:instrText xml:space="preserve"> PAGE  \* MERGEFORMAT </w:instrText>
                </w:r>
                <w:r>
                  <w:rPr>
                    <w:sz w:val="28"/>
                    <w:szCs w:val="28"/>
                  </w:rPr>
                  <w:fldChar w:fldCharType="separate"/>
                </w:r>
                <w:r>
                  <w:t>- 1 -</w:t>
                </w:r>
                <w:r>
                  <w:rPr>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OWExYTc1MmRlODczYjhhN2YxMDEzODJmYTA4ODRlZDIifQ=="/>
  </w:docVars>
  <w:rsids>
    <w:rsidRoot w:val="00000000"/>
    <w:rsid w:val="00135135"/>
    <w:rsid w:val="01C42B8B"/>
    <w:rsid w:val="01CF1530"/>
    <w:rsid w:val="01DC1F93"/>
    <w:rsid w:val="025739FF"/>
    <w:rsid w:val="027C5214"/>
    <w:rsid w:val="031A4A2D"/>
    <w:rsid w:val="034D6BB0"/>
    <w:rsid w:val="035A2350"/>
    <w:rsid w:val="043A3F7F"/>
    <w:rsid w:val="04C93D38"/>
    <w:rsid w:val="050D7603"/>
    <w:rsid w:val="055F2BCB"/>
    <w:rsid w:val="07097292"/>
    <w:rsid w:val="07366C2D"/>
    <w:rsid w:val="07707311"/>
    <w:rsid w:val="077C7570"/>
    <w:rsid w:val="07F07552"/>
    <w:rsid w:val="07F41CF0"/>
    <w:rsid w:val="0804406F"/>
    <w:rsid w:val="094445B2"/>
    <w:rsid w:val="095F2B82"/>
    <w:rsid w:val="09DA3522"/>
    <w:rsid w:val="0AC41E4E"/>
    <w:rsid w:val="0B723658"/>
    <w:rsid w:val="0B8247A8"/>
    <w:rsid w:val="0BC32105"/>
    <w:rsid w:val="0BEB36B6"/>
    <w:rsid w:val="0C1C4E42"/>
    <w:rsid w:val="0EA37FCC"/>
    <w:rsid w:val="0F2C1D70"/>
    <w:rsid w:val="0FA12ED9"/>
    <w:rsid w:val="10D26947"/>
    <w:rsid w:val="11125559"/>
    <w:rsid w:val="11166833"/>
    <w:rsid w:val="11C24DB9"/>
    <w:rsid w:val="12BE7183"/>
    <w:rsid w:val="131F7C1A"/>
    <w:rsid w:val="136E0BA9"/>
    <w:rsid w:val="13963C5C"/>
    <w:rsid w:val="139C3D90"/>
    <w:rsid w:val="141D25CF"/>
    <w:rsid w:val="14221993"/>
    <w:rsid w:val="15280A08"/>
    <w:rsid w:val="153B777B"/>
    <w:rsid w:val="162C5FD5"/>
    <w:rsid w:val="169C3C7F"/>
    <w:rsid w:val="19434886"/>
    <w:rsid w:val="196C3361"/>
    <w:rsid w:val="1B0F0EC3"/>
    <w:rsid w:val="1B3F0488"/>
    <w:rsid w:val="1BF14125"/>
    <w:rsid w:val="1C2D25EA"/>
    <w:rsid w:val="1CB810E7"/>
    <w:rsid w:val="1D3952EA"/>
    <w:rsid w:val="1DB23D88"/>
    <w:rsid w:val="1F850636"/>
    <w:rsid w:val="1FAA740D"/>
    <w:rsid w:val="20967991"/>
    <w:rsid w:val="209B1936"/>
    <w:rsid w:val="21E309B4"/>
    <w:rsid w:val="23104D3E"/>
    <w:rsid w:val="2355009E"/>
    <w:rsid w:val="23580F2E"/>
    <w:rsid w:val="23BF71FF"/>
    <w:rsid w:val="242805EF"/>
    <w:rsid w:val="24822706"/>
    <w:rsid w:val="26056D25"/>
    <w:rsid w:val="267C4F33"/>
    <w:rsid w:val="28C64B8B"/>
    <w:rsid w:val="2A7C17D7"/>
    <w:rsid w:val="2BED61CA"/>
    <w:rsid w:val="2DCB6456"/>
    <w:rsid w:val="2E4B1573"/>
    <w:rsid w:val="2ECD27D0"/>
    <w:rsid w:val="2F212B1B"/>
    <w:rsid w:val="2F2B0E3D"/>
    <w:rsid w:val="2F37309F"/>
    <w:rsid w:val="2FBF1468"/>
    <w:rsid w:val="2FD00438"/>
    <w:rsid w:val="30EE07A4"/>
    <w:rsid w:val="32902492"/>
    <w:rsid w:val="32C51A10"/>
    <w:rsid w:val="33272EB9"/>
    <w:rsid w:val="34B63817"/>
    <w:rsid w:val="353B5773"/>
    <w:rsid w:val="35897678"/>
    <w:rsid w:val="362F1321"/>
    <w:rsid w:val="36455341"/>
    <w:rsid w:val="36F0565E"/>
    <w:rsid w:val="376932B2"/>
    <w:rsid w:val="37DC3A83"/>
    <w:rsid w:val="38244D74"/>
    <w:rsid w:val="3864654A"/>
    <w:rsid w:val="388F6D48"/>
    <w:rsid w:val="3928108D"/>
    <w:rsid w:val="396803DC"/>
    <w:rsid w:val="3A064DE8"/>
    <w:rsid w:val="3B255741"/>
    <w:rsid w:val="3B516536"/>
    <w:rsid w:val="3BDA2B5B"/>
    <w:rsid w:val="3D441CBF"/>
    <w:rsid w:val="3EBB6D22"/>
    <w:rsid w:val="3F493A88"/>
    <w:rsid w:val="3FA94B93"/>
    <w:rsid w:val="41D25BC6"/>
    <w:rsid w:val="41F320F5"/>
    <w:rsid w:val="42AE426E"/>
    <w:rsid w:val="42F02AD9"/>
    <w:rsid w:val="43187C81"/>
    <w:rsid w:val="43482856"/>
    <w:rsid w:val="439F6030"/>
    <w:rsid w:val="441D5B50"/>
    <w:rsid w:val="45AA28B2"/>
    <w:rsid w:val="45B914F0"/>
    <w:rsid w:val="462135D6"/>
    <w:rsid w:val="46B02CAB"/>
    <w:rsid w:val="4A356AF2"/>
    <w:rsid w:val="4A563B69"/>
    <w:rsid w:val="4E604FB7"/>
    <w:rsid w:val="4FBF7ABB"/>
    <w:rsid w:val="50CF1F80"/>
    <w:rsid w:val="527F424D"/>
    <w:rsid w:val="54B41BB8"/>
    <w:rsid w:val="55380DEE"/>
    <w:rsid w:val="554867E0"/>
    <w:rsid w:val="55F12998"/>
    <w:rsid w:val="564C1E6A"/>
    <w:rsid w:val="56935C96"/>
    <w:rsid w:val="579B2BBB"/>
    <w:rsid w:val="585F6DF5"/>
    <w:rsid w:val="58967E45"/>
    <w:rsid w:val="59D83276"/>
    <w:rsid w:val="5B2F1F99"/>
    <w:rsid w:val="5E327412"/>
    <w:rsid w:val="5E9F5BCB"/>
    <w:rsid w:val="5ECB647C"/>
    <w:rsid w:val="5F564316"/>
    <w:rsid w:val="5FFF389A"/>
    <w:rsid w:val="60B53531"/>
    <w:rsid w:val="60DD4245"/>
    <w:rsid w:val="612E4AA0"/>
    <w:rsid w:val="613100ED"/>
    <w:rsid w:val="61D03DA9"/>
    <w:rsid w:val="620A18F0"/>
    <w:rsid w:val="633A597E"/>
    <w:rsid w:val="64515AA2"/>
    <w:rsid w:val="667C153E"/>
    <w:rsid w:val="66D63C10"/>
    <w:rsid w:val="676034DA"/>
    <w:rsid w:val="67B473BE"/>
    <w:rsid w:val="67FD341E"/>
    <w:rsid w:val="684D7F02"/>
    <w:rsid w:val="6B8A4FC9"/>
    <w:rsid w:val="6CC30793"/>
    <w:rsid w:val="6D154D66"/>
    <w:rsid w:val="6E45376A"/>
    <w:rsid w:val="6E906D9A"/>
    <w:rsid w:val="6EB05D06"/>
    <w:rsid w:val="6EDD3240"/>
    <w:rsid w:val="6F4B00EC"/>
    <w:rsid w:val="6F52416F"/>
    <w:rsid w:val="705D30C6"/>
    <w:rsid w:val="70BC408C"/>
    <w:rsid w:val="71C91292"/>
    <w:rsid w:val="72B15F9C"/>
    <w:rsid w:val="73C3376E"/>
    <w:rsid w:val="73CD266E"/>
    <w:rsid w:val="751678CE"/>
    <w:rsid w:val="75CA35C8"/>
    <w:rsid w:val="76A71125"/>
    <w:rsid w:val="777930D2"/>
    <w:rsid w:val="777F79AC"/>
    <w:rsid w:val="77FF289B"/>
    <w:rsid w:val="7863107C"/>
    <w:rsid w:val="78B611AB"/>
    <w:rsid w:val="798B6ADC"/>
    <w:rsid w:val="7BFD7A10"/>
    <w:rsid w:val="7CB85610"/>
    <w:rsid w:val="7D2F3738"/>
    <w:rsid w:val="7D5A47C1"/>
    <w:rsid w:val="7E1C7D03"/>
    <w:rsid w:val="7EC67583"/>
    <w:rsid w:val="7F81443E"/>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Style w:val="5"/>
      <w:tblLayout w:type="fixed"/>
      <w:tblCellMar>
        <w:top w:w="0" w:type="dxa"/>
        <w:left w:w="108" w:type="dxa"/>
        <w:bottom w:w="0" w:type="dxa"/>
        <w:right w:w="108" w:type="dxa"/>
      </w:tblCellMar>
    </w:tblPr>
    <w:tcPr>
      <w:textDirection w:val="lrTb"/>
    </w:tc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2044</Words>
  <Characters>2213</Characters>
  <Lines>0</Lines>
  <Paragraphs>0</Paragraphs>
  <TotalTime>0</TotalTime>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2025-08-05T02:35:05Z</cp:lastPrinted>
  <dcterms:modified xsi:type="dcterms:W3CDTF">2025-08-05T02:36:30Z</dcterms:modified>
  <dc:title>焦作市生态环境局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y fmtid="{D5CDD505-2E9C-101B-9397-08002B2CF9AE}" pid="3" name="ICV">
    <vt:lpwstr>305A3F1FEEA8421F87554FA3528EFFA1</vt:lpwstr>
  </property>
  <property fmtid="{D5CDD505-2E9C-101B-9397-08002B2CF9AE}" pid="4" name="KSOTemplateDocerSaveRecord">
    <vt:lpwstr>eyJoZGlkIjoiOWExYTc1MmRlODczYjhhN2YxMDEzODJmYTA4ODRlZDIiLCJ1c2VySWQiOiIzNDYwNjExMzgifQ==</vt:lpwstr>
  </property>
</Properties>
</file>