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040FE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bookmarkStart w:id="0" w:name="_Toc5078"/>
    </w:p>
    <w:p w14:paraId="706BE7A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p>
    <w:p w14:paraId="7EEFAB39">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简体" w:hAnsi="方正小标宋简体" w:eastAsia="方正小标宋简体" w:cs="方正小标宋简体"/>
          <w:b w:val="0"/>
          <w:bCs/>
          <w:color w:val="000000"/>
          <w:kern w:val="0"/>
          <w:sz w:val="44"/>
          <w:szCs w:val="44"/>
          <w:lang w:eastAsia="zh-CN"/>
        </w:rPr>
      </w:pPr>
      <w:r>
        <w:rPr>
          <w:rFonts w:hint="eastAsia" w:ascii="方正小标宋简体" w:hAnsi="方正小标宋简体" w:eastAsia="方正小标宋简体" w:cs="方正小标宋简体"/>
          <w:b w:val="0"/>
          <w:bCs/>
          <w:color w:val="000000"/>
          <w:kern w:val="0"/>
          <w:sz w:val="44"/>
          <w:szCs w:val="44"/>
          <w:lang w:eastAsia="zh-CN"/>
        </w:rPr>
        <w:t>焦作市生态环境局</w:t>
      </w:r>
    </w:p>
    <w:p w14:paraId="7B81D16F">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sz w:val="44"/>
          <w:szCs w:val="44"/>
        </w:rPr>
      </w:pPr>
      <w:r>
        <w:rPr>
          <w:rFonts w:hint="eastAsia" w:ascii="方正小标宋简体" w:hAnsi="方正小标宋简体" w:eastAsia="方正小标宋简体" w:cs="方正小标宋简体"/>
          <w:sz w:val="44"/>
          <w:szCs w:val="44"/>
        </w:rPr>
        <w:t>行政处罚</w:t>
      </w:r>
      <w:r>
        <w:rPr>
          <w:rFonts w:hint="eastAsia" w:ascii="方正小标宋简体" w:hAnsi="方正小标宋简体" w:eastAsia="方正小标宋简体" w:cs="方正小标宋简体"/>
          <w:sz w:val="44"/>
          <w:szCs w:val="44"/>
          <w:lang w:eastAsia="zh-CN"/>
        </w:rPr>
        <w:t>决定</w:t>
      </w:r>
      <w:r>
        <w:rPr>
          <w:rFonts w:hint="eastAsia" w:ascii="方正小标宋简体" w:hAnsi="方正小标宋简体" w:eastAsia="方正小标宋简体" w:cs="方正小标宋简体"/>
          <w:sz w:val="44"/>
          <w:szCs w:val="44"/>
        </w:rPr>
        <w:t>书</w:t>
      </w:r>
      <w:bookmarkEnd w:id="0"/>
    </w:p>
    <w:p w14:paraId="664E301D">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焦环罚〔202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21</w:t>
      </w:r>
      <w:r>
        <w:rPr>
          <w:rFonts w:hint="default" w:ascii="Times New Roman" w:hAnsi="Times New Roman" w:eastAsia="仿宋_GB2312" w:cs="Times New Roman"/>
          <w:color w:val="000000"/>
          <w:kern w:val="0"/>
          <w:sz w:val="32"/>
          <w:szCs w:val="32"/>
        </w:rPr>
        <w:t>号</w:t>
      </w:r>
    </w:p>
    <w:p w14:paraId="4309098E">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eastAsia="Times New Roman" w:cs="Times New Roman"/>
          <w:color w:val="000000"/>
          <w:sz w:val="32"/>
          <w:szCs w:val="32"/>
          <w:u w:val="single"/>
        </w:rPr>
      </w:pPr>
    </w:p>
    <w:p w14:paraId="103E9F67">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lang w:val="en-US" w:eastAsia="zh-CN"/>
        </w:rPr>
      </w:pPr>
      <w:r>
        <w:rPr>
          <w:rFonts w:hint="default" w:ascii="Times New Roman" w:hAnsi="Times New Roman" w:eastAsia="黑体" w:cs="Times New Roman"/>
          <w:sz w:val="32"/>
          <w:szCs w:val="32"/>
        </w:rPr>
        <w:t>当事人名称或姓名：</w:t>
      </w:r>
      <w:r>
        <w:rPr>
          <w:rFonts w:hint="eastAsia" w:ascii="仿宋_GB2312" w:hAnsi="仿宋_GB2312" w:eastAsia="仿宋_GB2312" w:cs="仿宋_GB2312"/>
          <w:b w:val="0"/>
          <w:bCs w:val="0"/>
          <w:sz w:val="32"/>
          <w:szCs w:val="32"/>
          <w:lang w:val="en-US" w:eastAsia="zh-CN"/>
        </w:rPr>
        <w:t xml:space="preserve">焦作市鹏宇汽车运输有限公司 </w:t>
      </w:r>
    </w:p>
    <w:p w14:paraId="57E487BE">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法定代表人（负责人）</w:t>
      </w:r>
      <w:r>
        <w:rPr>
          <w:rFonts w:hint="eastAsia" w:ascii="黑体" w:hAnsi="黑体" w:eastAsia="黑体" w:cs="黑体"/>
          <w:b w:val="0"/>
          <w:bCs w:val="0"/>
          <w:sz w:val="32"/>
          <w:szCs w:val="32"/>
        </w:rPr>
        <w:t>：</w:t>
      </w:r>
      <w:r>
        <w:rPr>
          <w:rFonts w:hint="eastAsia" w:ascii="Times New Roman" w:hAnsi="Times New Roman" w:eastAsia="仿宋_GB2312" w:cs="Times New Roman"/>
          <w:b w:val="0"/>
          <w:bCs w:val="0"/>
          <w:sz w:val="32"/>
          <w:szCs w:val="32"/>
          <w:lang w:val="en-US" w:eastAsia="zh-CN"/>
        </w:rPr>
        <w:t>刘永明</w:t>
      </w:r>
    </w:p>
    <w:p w14:paraId="593C34C5">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eastAsia="zh-CN"/>
        </w:rPr>
        <w:t>统一</w:t>
      </w:r>
      <w:r>
        <w:rPr>
          <w:rFonts w:hint="eastAsia" w:ascii="黑体" w:hAnsi="黑体" w:eastAsia="黑体" w:cs="黑体"/>
          <w:b w:val="0"/>
          <w:bCs w:val="0"/>
          <w:sz w:val="32"/>
          <w:szCs w:val="32"/>
        </w:rPr>
        <w:t>社会信用代码：</w:t>
      </w:r>
      <w:r>
        <w:rPr>
          <w:rFonts w:hint="default" w:ascii="Times New Roman" w:hAnsi="Times New Roman" w:eastAsia="仿宋_GB2312" w:cs="Times New Roman"/>
          <w:b w:val="0"/>
          <w:bCs w:val="0"/>
          <w:sz w:val="32"/>
          <w:szCs w:val="32"/>
          <w:lang w:val="en-US" w:eastAsia="zh-CN"/>
        </w:rPr>
        <w:t>91410</w:t>
      </w:r>
      <w:r>
        <w:rPr>
          <w:rFonts w:hint="eastAsia" w:ascii="Times New Roman" w:hAnsi="Times New Roman" w:eastAsia="仿宋_GB2312" w:cs="Times New Roman"/>
          <w:b w:val="0"/>
          <w:bCs w:val="0"/>
          <w:sz w:val="32"/>
          <w:szCs w:val="32"/>
          <w:lang w:val="en-US" w:eastAsia="zh-CN"/>
        </w:rPr>
        <w:t>8</w:t>
      </w:r>
      <w:bookmarkStart w:id="1" w:name="_GoBack"/>
      <w:bookmarkEnd w:id="1"/>
      <w:r>
        <w:rPr>
          <w:rFonts w:hint="default" w:ascii="Times New Roman" w:hAnsi="Times New Roman" w:eastAsia="仿宋_GB2312" w:cs="Times New Roman"/>
          <w:b w:val="0"/>
          <w:bCs w:val="0"/>
          <w:sz w:val="32"/>
          <w:szCs w:val="32"/>
          <w:lang w:val="en-US" w:eastAsia="zh-CN"/>
        </w:rPr>
        <w:t>25733879868K</w:t>
      </w:r>
    </w:p>
    <w:p w14:paraId="0874ADE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eastAsia="zh-CN"/>
        </w:rPr>
        <w:t>住</w:t>
      </w:r>
      <w:r>
        <w:rPr>
          <w:rFonts w:hint="eastAsia" w:ascii="黑体" w:hAnsi="黑体" w:eastAsia="黑体" w:cs="黑体"/>
          <w:b w:val="0"/>
          <w:bCs w:val="0"/>
          <w:sz w:val="32"/>
          <w:szCs w:val="32"/>
        </w:rPr>
        <w:t>址：</w:t>
      </w:r>
      <w:r>
        <w:rPr>
          <w:rFonts w:hint="default" w:ascii="Times New Roman" w:hAnsi="Times New Roman" w:eastAsia="仿宋_GB2312" w:cs="Times New Roman"/>
          <w:b w:val="0"/>
          <w:bCs w:val="0"/>
          <w:sz w:val="32"/>
          <w:szCs w:val="32"/>
          <w:lang w:val="en-US" w:eastAsia="zh-CN"/>
        </w:rPr>
        <w:t>焦作市马村区建设东路4496号1号楼206室</w:t>
      </w:r>
      <w:r>
        <w:rPr>
          <w:rFonts w:hint="eastAsia" w:ascii="仿宋_GB2312" w:hAnsi="仿宋_GB2312" w:eastAsia="仿宋_GB2312" w:cs="仿宋_GB2312"/>
          <w:b w:val="0"/>
          <w:bCs w:val="0"/>
          <w:sz w:val="32"/>
          <w:szCs w:val="32"/>
        </w:rPr>
        <w:t xml:space="preserve"> </w:t>
      </w:r>
    </w:p>
    <w:p w14:paraId="106DFF3E">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一、环境违法事实和证据</w:t>
      </w:r>
    </w:p>
    <w:p w14:paraId="71FEE1E5">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2024年7月21日，生态环境局执法人员在文昌路东丰收路北焦运集团聚源物流园区院内检查时，发现焦作市鹏宇汽车运输有限公司豫HP5981、豫HP5998、豫HP8011、豫HP9977、豫HP9599等5辆重型半挂牵引车的SCR系统温度传感器加装垫高螺母。其中，豫HP8011、豫HP9977、豫HP9599等3辆因没有货源2024年4月9日在焦作市道路运输服务中心物流科办理了营运停运手续，2024年4月12日经审批后停运至今，对该3辆重型半挂牵引车不予行政处罚。上述行为违反了《中华人民共和国大气污染防治法》第五十五条第三款：“禁止机动车所有人以临时更换机动车污染控制装置等弄虚作假的方式通过机动车排放检验。禁止机动车维修单位提供该类维修服务。禁止破坏机动车车载排放诊断系统。”</w:t>
      </w:r>
      <w:r>
        <w:rPr>
          <w:rFonts w:hint="eastAsia" w:ascii="Times New Roman" w:hAnsi="Times New Roman" w:eastAsia="仿宋_GB2312" w:cs="Times New Roman"/>
          <w:bCs/>
          <w:color w:val="000000"/>
          <w:sz w:val="32"/>
          <w:szCs w:val="32"/>
          <w:shd w:val="clear" w:color="auto" w:fill="FFFFFF"/>
          <w:lang w:val="en-US" w:eastAsia="zh-CN"/>
        </w:rPr>
        <w:t>的</w:t>
      </w:r>
      <w:r>
        <w:rPr>
          <w:rFonts w:hint="default" w:ascii="Times New Roman" w:hAnsi="Times New Roman" w:eastAsia="仿宋_GB2312" w:cs="Times New Roman"/>
          <w:bCs/>
          <w:color w:val="000000"/>
          <w:sz w:val="32"/>
          <w:szCs w:val="32"/>
          <w:shd w:val="clear" w:color="auto" w:fill="FFFFFF"/>
          <w:lang w:val="en-US" w:eastAsia="zh-CN"/>
        </w:rPr>
        <w:t>规定</w:t>
      </w:r>
      <w:r>
        <w:rPr>
          <w:rFonts w:hint="eastAsia" w:ascii="Times New Roman" w:hAnsi="Times New Roman" w:eastAsia="仿宋_GB2312" w:cs="Times New Roman"/>
          <w:bCs/>
          <w:color w:val="000000"/>
          <w:sz w:val="32"/>
          <w:szCs w:val="32"/>
          <w:shd w:val="clear" w:color="auto" w:fill="FFFFFF"/>
          <w:lang w:val="en-US" w:eastAsia="zh-CN"/>
        </w:rPr>
        <w:t>，已构成违法。以上事实及证据如下：</w:t>
      </w:r>
    </w:p>
    <w:p w14:paraId="7FAE6A50">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default" w:ascii="Times New Roman" w:hAnsi="Times New Roman" w:eastAsia="仿宋_GB2312" w:cs="Times New Roman"/>
          <w:bCs/>
          <w:color w:val="auto"/>
          <w:sz w:val="32"/>
          <w:szCs w:val="32"/>
          <w:shd w:val="clear" w:color="auto" w:fill="FFFFFF"/>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《营业执照》复印件1份、《授权委托书》1份、闫小磊身份证复印件1份，</w:t>
      </w:r>
      <w:r>
        <w:rPr>
          <w:rFonts w:hint="default" w:ascii="Times New Roman" w:hAnsi="Times New Roman" w:eastAsia="仿宋_GB2312" w:cs="Times New Roman"/>
          <w:b w:val="0"/>
          <w:bCs w:val="0"/>
          <w:sz w:val="32"/>
          <w:szCs w:val="32"/>
          <w:lang w:val="en-US" w:eastAsia="zh-CN"/>
        </w:rPr>
        <w:t>证明你单位的基本情况和被询问人员身份。</w:t>
      </w:r>
    </w:p>
    <w:p w14:paraId="46EBAE1B">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t>2.《焦作市生态环境局</w:t>
      </w:r>
      <w:r>
        <w:rPr>
          <w:rFonts w:hint="default" w:ascii="Times New Roman" w:hAnsi="Times New Roman" w:eastAsia="仿宋_GB2312" w:cs="Times New Roman"/>
          <w:bCs/>
          <w:color w:val="000000"/>
          <w:sz w:val="32"/>
          <w:szCs w:val="32"/>
          <w:shd w:val="clear" w:color="auto" w:fill="FFFFFF"/>
          <w:lang w:val="en-US" w:eastAsia="zh-CN"/>
        </w:rPr>
        <w:t>现场检查（勘验）笔录</w:t>
      </w:r>
      <w:r>
        <w:rPr>
          <w:rFonts w:hint="default" w:ascii="Times New Roman" w:hAnsi="Times New Roman" w:eastAsia="仿宋_GB2312" w:cs="Times New Roman"/>
          <w:b w:val="0"/>
          <w:bCs w:val="0"/>
          <w:sz w:val="32"/>
          <w:szCs w:val="32"/>
          <w:u w:val="none"/>
          <w:lang w:val="en-US" w:eastAsia="zh-CN"/>
        </w:rPr>
        <w:t>》1份，证明你单位基本情况和现场检查情况。</w:t>
      </w:r>
    </w:p>
    <w:p w14:paraId="167CFEE2">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t>3.《焦作市生态环境局</w:t>
      </w:r>
      <w:r>
        <w:rPr>
          <w:rFonts w:hint="default" w:ascii="Times New Roman" w:hAnsi="Times New Roman" w:eastAsia="仿宋_GB2312" w:cs="Times New Roman"/>
          <w:bCs/>
          <w:color w:val="000000"/>
          <w:sz w:val="32"/>
          <w:szCs w:val="32"/>
          <w:shd w:val="clear" w:color="auto" w:fill="FFFFFF"/>
          <w:lang w:val="en-US" w:eastAsia="zh-CN"/>
        </w:rPr>
        <w:t>调查询问笔录</w:t>
      </w:r>
      <w:r>
        <w:rPr>
          <w:rFonts w:hint="default" w:ascii="Times New Roman" w:hAnsi="Times New Roman" w:eastAsia="仿宋_GB2312" w:cs="Times New Roman"/>
          <w:b w:val="0"/>
          <w:bCs w:val="0"/>
          <w:sz w:val="32"/>
          <w:szCs w:val="32"/>
          <w:u w:val="none"/>
          <w:lang w:val="en-US" w:eastAsia="zh-CN"/>
        </w:rPr>
        <w:t>》1份，证明你单位基本情况和</w:t>
      </w:r>
      <w:r>
        <w:rPr>
          <w:rFonts w:hint="default" w:ascii="Times New Roman" w:hAnsi="Times New Roman" w:eastAsia="仿宋_GB2312" w:cs="Times New Roman"/>
          <w:bCs/>
          <w:color w:val="000000"/>
          <w:sz w:val="32"/>
          <w:szCs w:val="32"/>
          <w:shd w:val="clear" w:color="auto" w:fill="FFFFFF"/>
          <w:lang w:val="en-US" w:eastAsia="zh-CN"/>
        </w:rPr>
        <w:t>车辆使用情况。</w:t>
      </w:r>
    </w:p>
    <w:p w14:paraId="5BFAF6ED">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t>4.现场照片11张，证明你单位</w:t>
      </w:r>
      <w:r>
        <w:rPr>
          <w:rFonts w:hint="default" w:ascii="Times New Roman" w:hAnsi="Times New Roman" w:eastAsia="仿宋_GB2312" w:cs="Times New Roman"/>
          <w:bCs/>
          <w:color w:val="000000"/>
          <w:sz w:val="32"/>
          <w:szCs w:val="32"/>
          <w:shd w:val="clear" w:color="auto" w:fill="FFFFFF"/>
          <w:lang w:val="en-US" w:eastAsia="zh-CN"/>
        </w:rPr>
        <w:t>车辆</w:t>
      </w:r>
      <w:r>
        <w:rPr>
          <w:rFonts w:hint="eastAsia" w:ascii="Times New Roman" w:hAnsi="Times New Roman" w:eastAsia="仿宋_GB2312" w:cs="Times New Roman"/>
          <w:bCs/>
          <w:color w:val="auto"/>
          <w:sz w:val="32"/>
          <w:szCs w:val="32"/>
          <w:shd w:val="clear" w:color="auto" w:fill="FFFFFF"/>
          <w:lang w:val="en-US" w:eastAsia="zh-CN"/>
        </w:rPr>
        <w:t>SCR温度传感器使用螺母垫高</w:t>
      </w:r>
      <w:r>
        <w:rPr>
          <w:rFonts w:hint="default" w:ascii="Times New Roman" w:hAnsi="Times New Roman" w:eastAsia="仿宋_GB2312" w:cs="Times New Roman"/>
          <w:bCs/>
          <w:color w:val="000000"/>
          <w:sz w:val="32"/>
          <w:szCs w:val="32"/>
          <w:shd w:val="clear" w:color="auto" w:fill="FFFFFF"/>
          <w:lang w:val="en-US" w:eastAsia="zh-CN"/>
        </w:rPr>
        <w:t>。</w:t>
      </w:r>
    </w:p>
    <w:p w14:paraId="601DD1B5">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t>5.车辆行驶证5份，证明</w:t>
      </w:r>
      <w:r>
        <w:rPr>
          <w:rFonts w:hint="default" w:ascii="Times New Roman" w:hAnsi="Times New Roman" w:eastAsia="仿宋_GB2312" w:cs="Times New Roman"/>
          <w:bCs/>
          <w:color w:val="000000"/>
          <w:sz w:val="32"/>
          <w:szCs w:val="32"/>
          <w:shd w:val="clear" w:color="auto" w:fill="FFFFFF"/>
          <w:lang w:val="en-US" w:eastAsia="zh-CN"/>
        </w:rPr>
        <w:t>车辆和你单位关系。</w:t>
      </w:r>
    </w:p>
    <w:p w14:paraId="39AE6C8E">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t>6.《道路运输日常管理业务办理结果通知书》3份，证明</w:t>
      </w:r>
      <w:r>
        <w:rPr>
          <w:rFonts w:hint="default" w:ascii="Times New Roman" w:hAnsi="Times New Roman" w:eastAsia="仿宋_GB2312" w:cs="Times New Roman"/>
          <w:bCs/>
          <w:color w:val="000000"/>
          <w:sz w:val="32"/>
          <w:szCs w:val="32"/>
          <w:shd w:val="clear" w:color="auto" w:fill="FFFFFF"/>
          <w:lang w:val="en-US" w:eastAsia="zh-CN"/>
        </w:rPr>
        <w:t>豫HP8011、豫HP9977、豫HP9599等3辆柴油货车2024年4月12日经审批后停运。</w:t>
      </w:r>
    </w:p>
    <w:p w14:paraId="190C038F">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t>7.</w:t>
      </w:r>
      <w:r>
        <w:rPr>
          <w:rFonts w:hint="default" w:ascii="Times New Roman" w:hAnsi="Times New Roman" w:eastAsia="仿宋_GB2312" w:cs="Times New Roman"/>
          <w:bCs/>
          <w:color w:val="000000"/>
          <w:sz w:val="32"/>
          <w:szCs w:val="32"/>
          <w:shd w:val="clear" w:color="auto" w:fill="FFFFFF"/>
          <w:lang w:val="en-US" w:eastAsia="zh-CN"/>
        </w:rPr>
        <w:t>《生态环境部夏季移动源专项监督帮扶检查要点》1份，证明温度传感器加装垫高螺母属于破坏机动车车载排放诊断系统。</w:t>
      </w:r>
    </w:p>
    <w:p w14:paraId="2788128F">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t>8.《焦作市生态环境局关于破坏柴油货车OBD诊断系统的行政处罚论证意见》1份，</w:t>
      </w:r>
      <w:r>
        <w:rPr>
          <w:rFonts w:hint="default" w:ascii="Times New Roman" w:hAnsi="Times New Roman" w:eastAsia="仿宋_GB2312" w:cs="Times New Roman"/>
          <w:bCs/>
          <w:color w:val="000000"/>
          <w:sz w:val="32"/>
          <w:szCs w:val="32"/>
          <w:shd w:val="clear" w:color="auto" w:fill="FFFFFF"/>
          <w:lang w:val="en-US" w:eastAsia="zh-CN"/>
        </w:rPr>
        <w:t>证明温度传感器加装垫高螺母属于破坏机动车车载排放诊断系统。</w:t>
      </w:r>
    </w:p>
    <w:p w14:paraId="31FA37E3">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 w:val="0"/>
          <w:bCs w:val="0"/>
          <w:sz w:val="32"/>
          <w:szCs w:val="32"/>
          <w:u w:val="none"/>
          <w:lang w:val="en-US" w:eastAsia="zh-CN"/>
        </w:rPr>
        <w:t>9.</w:t>
      </w:r>
      <w:r>
        <w:rPr>
          <w:rFonts w:hint="eastAsia" w:ascii="Times New Roman" w:hAnsi="Times New Roman" w:eastAsia="仿宋_GB2312" w:cs="Times New Roman"/>
          <w:bCs/>
          <w:color w:val="auto"/>
          <w:sz w:val="32"/>
          <w:szCs w:val="32"/>
          <w:shd w:val="clear" w:color="auto" w:fill="FFFFFF"/>
          <w:lang w:val="en-US" w:eastAsia="zh-CN"/>
        </w:rPr>
        <w:t>柴油货车SCR温度传感器使用螺母垫高的比对实验说明1份，</w:t>
      </w:r>
      <w:r>
        <w:rPr>
          <w:rFonts w:hint="default" w:ascii="Times New Roman" w:hAnsi="Times New Roman" w:eastAsia="仿宋_GB2312" w:cs="Times New Roman"/>
          <w:bCs/>
          <w:color w:val="000000"/>
          <w:sz w:val="32"/>
          <w:szCs w:val="32"/>
          <w:shd w:val="clear" w:color="auto" w:fill="FFFFFF"/>
          <w:lang w:val="en-US" w:eastAsia="zh-CN"/>
        </w:rPr>
        <w:t>证明温度传感器加装垫高螺母</w:t>
      </w:r>
      <w:r>
        <w:rPr>
          <w:rFonts w:hint="eastAsia" w:ascii="Times New Roman" w:hAnsi="Times New Roman" w:eastAsia="仿宋_GB2312" w:cs="Times New Roman"/>
          <w:bCs/>
          <w:color w:val="000000"/>
          <w:sz w:val="32"/>
          <w:szCs w:val="32"/>
          <w:shd w:val="clear" w:color="auto" w:fill="FFFFFF"/>
          <w:lang w:val="en-US" w:eastAsia="zh-CN"/>
        </w:rPr>
        <w:t>会导致SCR处理氮氧化物的效率降低。</w:t>
      </w:r>
    </w:p>
    <w:p w14:paraId="2C6D2ECB">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b w:val="0"/>
          <w:bCs w:val="0"/>
          <w:sz w:val="32"/>
          <w:szCs w:val="32"/>
          <w:u w:val="none"/>
          <w:lang w:val="en-US" w:eastAsia="zh-CN"/>
        </w:rPr>
      </w:pPr>
      <w:r>
        <w:rPr>
          <w:rFonts w:hint="eastAsia" w:ascii="Times New Roman" w:hAnsi="Times New Roman" w:eastAsia="仿宋_GB2312" w:cs="Times New Roman"/>
          <w:bCs/>
          <w:color w:val="000000"/>
          <w:sz w:val="32"/>
          <w:szCs w:val="32"/>
          <w:shd w:val="clear" w:color="auto" w:fill="FFFFFF"/>
          <w:lang w:val="en-US" w:eastAsia="zh-CN"/>
        </w:rPr>
        <w:t>10.</w:t>
      </w:r>
      <w:r>
        <w:rPr>
          <w:rFonts w:hint="eastAsia" w:ascii="Times New Roman" w:hAnsi="Times New Roman" w:eastAsia="仿宋_GB2312" w:cs="Times New Roman"/>
          <w:bCs/>
          <w:color w:val="auto"/>
          <w:sz w:val="32"/>
          <w:szCs w:val="32"/>
          <w:shd w:val="clear" w:color="auto" w:fill="FFFFFF"/>
          <w:lang w:val="en-US" w:eastAsia="zh-CN"/>
        </w:rPr>
        <w:t>比对检测机构资质1份，证明</w:t>
      </w:r>
      <w:r>
        <w:rPr>
          <w:rFonts w:hint="default" w:ascii="Times New Roman" w:hAnsi="Times New Roman" w:eastAsia="仿宋_GB2312" w:cs="Times New Roman"/>
          <w:bCs/>
          <w:color w:val="000000"/>
          <w:sz w:val="32"/>
          <w:szCs w:val="32"/>
          <w:shd w:val="clear" w:color="auto" w:fill="FFFFFF"/>
          <w:lang w:val="en-US" w:eastAsia="zh-CN"/>
        </w:rPr>
        <w:t>其具备从事检测活动的能力和资格</w:t>
      </w:r>
      <w:r>
        <w:rPr>
          <w:rFonts w:hint="eastAsia" w:ascii="Times New Roman" w:hAnsi="Times New Roman" w:eastAsia="仿宋_GB2312" w:cs="Times New Roman"/>
          <w:bCs/>
          <w:color w:val="000000"/>
          <w:sz w:val="32"/>
          <w:szCs w:val="32"/>
          <w:shd w:val="clear" w:color="auto" w:fill="FFFFFF"/>
          <w:lang w:val="en-US" w:eastAsia="zh-CN"/>
        </w:rPr>
        <w:t>。</w:t>
      </w:r>
    </w:p>
    <w:p w14:paraId="5043D384">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eastAsia" w:ascii="Times New Roman" w:hAnsi="Times New Roman" w:eastAsia="仿宋_GB2312" w:cs="Times New Roman"/>
          <w:bCs/>
          <w:color w:val="000000"/>
          <w:sz w:val="32"/>
          <w:szCs w:val="32"/>
          <w:shd w:val="clear" w:color="auto" w:fill="FFFFFF"/>
          <w:lang w:val="en-US" w:eastAsia="zh-CN"/>
        </w:rPr>
        <w:t>11.</w:t>
      </w:r>
      <w:r>
        <w:rPr>
          <w:rFonts w:hint="default" w:ascii="Times New Roman" w:hAnsi="Times New Roman" w:eastAsia="仿宋_GB2312" w:cs="Times New Roman"/>
          <w:bCs/>
          <w:color w:val="000000"/>
          <w:sz w:val="32"/>
          <w:szCs w:val="32"/>
          <w:shd w:val="clear" w:color="auto" w:fill="FFFFFF"/>
          <w:lang w:val="en-US" w:eastAsia="zh-CN"/>
        </w:rPr>
        <w:t>执法人员的执法证复印件，证明执法人员的身份和资格。</w:t>
      </w:r>
    </w:p>
    <w:p w14:paraId="4A2A6DA7">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仿宋_GB2312" w:cs="Times New Roman"/>
          <w:b w:val="0"/>
          <w:bCs w:val="0"/>
          <w:sz w:val="32"/>
          <w:szCs w:val="32"/>
          <w:u w:val="none"/>
          <w:lang w:val="en-US" w:eastAsia="zh-CN"/>
        </w:rPr>
      </w:pPr>
      <w:r>
        <w:rPr>
          <w:rFonts w:hint="eastAsia" w:ascii="Times New Roman" w:hAnsi="Times New Roman" w:eastAsia="仿宋_GB2312" w:cs="Times New Roman"/>
          <w:b w:val="0"/>
          <w:bCs w:val="0"/>
          <w:sz w:val="32"/>
          <w:szCs w:val="32"/>
          <w:u w:val="none"/>
          <w:lang w:eastAsia="zh-CN"/>
        </w:rPr>
        <w:t>该案已于</w:t>
      </w:r>
      <w:r>
        <w:rPr>
          <w:rFonts w:hint="default" w:ascii="Times New Roman" w:hAnsi="Times New Roman" w:eastAsia="仿宋_GB2312" w:cs="Times New Roman"/>
          <w:b w:val="0"/>
          <w:bCs w:val="0"/>
          <w:sz w:val="32"/>
          <w:szCs w:val="32"/>
          <w:u w:val="none"/>
        </w:rPr>
        <w:t>2024年11月22日</w:t>
      </w:r>
      <w:r>
        <w:rPr>
          <w:rFonts w:hint="eastAsia" w:ascii="Times New Roman" w:hAnsi="Times New Roman" w:eastAsia="仿宋_GB2312" w:cs="Times New Roman"/>
          <w:b w:val="0"/>
          <w:bCs w:val="0"/>
          <w:sz w:val="32"/>
          <w:szCs w:val="32"/>
          <w:u w:val="none"/>
          <w:lang w:eastAsia="zh-CN"/>
        </w:rPr>
        <w:t>依法</w:t>
      </w:r>
      <w:r>
        <w:rPr>
          <w:rFonts w:hint="default" w:ascii="Times New Roman" w:hAnsi="Times New Roman" w:eastAsia="仿宋_GB2312" w:cs="Times New Roman"/>
          <w:b w:val="0"/>
          <w:bCs w:val="0"/>
          <w:sz w:val="32"/>
          <w:szCs w:val="32"/>
          <w:u w:val="none"/>
        </w:rPr>
        <w:t>撤销</w:t>
      </w:r>
      <w:r>
        <w:rPr>
          <w:rFonts w:hint="eastAsia" w:ascii="Times New Roman" w:hAnsi="Times New Roman" w:eastAsia="仿宋_GB2312" w:cs="Times New Roman"/>
          <w:b w:val="0"/>
          <w:bCs w:val="0"/>
          <w:sz w:val="32"/>
          <w:szCs w:val="32"/>
          <w:u w:val="none"/>
          <w:lang w:eastAsia="zh-CN"/>
        </w:rPr>
        <w:t>原</w:t>
      </w:r>
      <w:r>
        <w:rPr>
          <w:rFonts w:hint="default" w:ascii="Times New Roman" w:hAnsi="Times New Roman" w:eastAsia="仿宋_GB2312" w:cs="Times New Roman"/>
          <w:b w:val="0"/>
          <w:bCs w:val="0"/>
          <w:sz w:val="32"/>
          <w:szCs w:val="32"/>
          <w:u w:val="none"/>
        </w:rPr>
        <w:t>行政处罚</w:t>
      </w:r>
      <w:r>
        <w:rPr>
          <w:rFonts w:hint="default" w:ascii="Times New Roman" w:hAnsi="Times New Roman" w:eastAsia="仿宋_GB2312" w:cs="Times New Roman"/>
          <w:b w:val="0"/>
          <w:bCs w:val="0"/>
          <w:sz w:val="32"/>
          <w:szCs w:val="32"/>
          <w:u w:val="none"/>
          <w:lang w:eastAsia="zh-CN"/>
        </w:rPr>
        <w:t>，</w:t>
      </w:r>
      <w:r>
        <w:rPr>
          <w:rFonts w:hint="eastAsia" w:ascii="Times New Roman" w:hAnsi="Times New Roman" w:eastAsia="仿宋_GB2312" w:cs="Times New Roman"/>
          <w:b w:val="0"/>
          <w:bCs w:val="0"/>
          <w:sz w:val="32"/>
          <w:szCs w:val="32"/>
          <w:u w:val="none"/>
          <w:lang w:eastAsia="zh-CN"/>
        </w:rPr>
        <w:t>经</w:t>
      </w:r>
      <w:r>
        <w:rPr>
          <w:rFonts w:hint="default" w:ascii="Times New Roman" w:hAnsi="Times New Roman" w:eastAsia="仿宋_GB2312" w:cs="Times New Roman"/>
          <w:b w:val="0"/>
          <w:bCs w:val="0"/>
          <w:sz w:val="32"/>
          <w:szCs w:val="32"/>
          <w:u w:val="none"/>
          <w:lang w:eastAsia="zh-CN"/>
        </w:rPr>
        <w:t>补充证据后重新立案查处</w:t>
      </w:r>
      <w:r>
        <w:rPr>
          <w:rFonts w:hint="eastAsia" w:eastAsia="仿宋_GB2312" w:cs="Times New Roman"/>
          <w:b w:val="0"/>
          <w:bCs w:val="0"/>
          <w:sz w:val="32"/>
          <w:szCs w:val="32"/>
          <w:u w:val="none"/>
          <w:lang w:eastAsia="zh-CN"/>
        </w:rPr>
        <w:t>。</w:t>
      </w:r>
    </w:p>
    <w:p w14:paraId="38327738">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u w:val="none"/>
          <w:lang w:val="en-US" w:eastAsia="zh-CN"/>
        </w:rPr>
        <w:t>2025年1月15日，生态环境执法人员对当事人送达了《焦作市生态环境局行政处罚事先（听证）告知书》（焦环先告〔2025〕28号），告知书告知你单位对我局拟作出的行政处罚有权进行陈述申辩和申请听证。以上事实有我局</w:t>
      </w:r>
      <w:r>
        <w:rPr>
          <w:rFonts w:hint="default" w:ascii="Times New Roman" w:hAnsi="Times New Roman" w:eastAsia="仿宋_GB2312" w:cs="Times New Roman"/>
          <w:b w:val="0"/>
          <w:bCs/>
          <w:color w:val="auto"/>
          <w:sz w:val="32"/>
          <w:szCs w:val="32"/>
          <w:lang w:val="en-US" w:eastAsia="zh-CN"/>
        </w:rPr>
        <w:t>《焦作市生态环境局行政处罚事先（听证）告知书》（焦环先告〔2025〕28号）</w:t>
      </w:r>
      <w:r>
        <w:rPr>
          <w:rFonts w:hint="default" w:ascii="Times New Roman" w:hAnsi="Times New Roman" w:eastAsia="仿宋_GB2312" w:cs="Times New Roman"/>
          <w:b w:val="0"/>
          <w:bCs w:val="0"/>
          <w:color w:val="auto"/>
          <w:sz w:val="32"/>
          <w:szCs w:val="32"/>
          <w:u w:val="none"/>
          <w:lang w:val="en-US" w:eastAsia="zh-CN"/>
        </w:rPr>
        <w:t>和《送达回证》等为证。你单位在规定的时间内未提出陈述、申辨，也未提出听证申请</w:t>
      </w:r>
      <w:r>
        <w:rPr>
          <w:rFonts w:hint="eastAsia" w:ascii="Times New Roman" w:hAnsi="Times New Roman" w:eastAsia="仿宋_GB2312" w:cs="Times New Roman"/>
          <w:b w:val="0"/>
          <w:bCs w:val="0"/>
          <w:color w:val="auto"/>
          <w:sz w:val="32"/>
          <w:szCs w:val="32"/>
          <w:u w:val="none"/>
          <w:lang w:val="en-US" w:eastAsia="zh-CN"/>
        </w:rPr>
        <w:t>。</w:t>
      </w:r>
    </w:p>
    <w:p w14:paraId="717FB801">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二、行政处罚的依据、种类</w:t>
      </w:r>
    </w:p>
    <w:p w14:paraId="179F04AC">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根据你单位违法行为的事实、性质、情节、社会危害程度和相关证据</w:t>
      </w:r>
      <w:r>
        <w:rPr>
          <w:rFonts w:hint="eastAsia"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lang w:val="en-US" w:eastAsia="zh-CN"/>
        </w:rPr>
        <w:t>依据《中华人民共和国大气污染防治法》第一百一十二条第三款：“违反本法规定，以临时更换机动车污染控制装置等弄虚作假的方式通过机动车排放检验或者破坏机动车车载排放诊断系统的，由县级以上人民政府生态环境主管部门责令改正，对机动车所有人处五千元的罚款；对机动车维修单位处每辆机动车五千元的罚款。”的规定。</w:t>
      </w:r>
      <w:r>
        <w:rPr>
          <w:rFonts w:hint="eastAsia" w:ascii="Times New Roman" w:hAnsi="Times New Roman" w:eastAsia="仿宋_GB2312" w:cs="Times New Roman"/>
          <w:color w:val="000000"/>
          <w:sz w:val="32"/>
          <w:szCs w:val="32"/>
          <w:lang w:val="en-US" w:eastAsia="zh-CN"/>
        </w:rPr>
        <w:t>经集体研究，我局对你单位</w:t>
      </w:r>
      <w:r>
        <w:rPr>
          <w:rFonts w:hint="default" w:ascii="Times New Roman" w:hAnsi="Times New Roman" w:eastAsia="仿宋_GB2312" w:cs="Times New Roman"/>
          <w:bCs/>
          <w:color w:val="000000"/>
          <w:sz w:val="32"/>
          <w:szCs w:val="32"/>
          <w:shd w:val="clear" w:color="auto" w:fill="FFFFFF"/>
          <w:lang w:val="en-US" w:eastAsia="zh-CN"/>
        </w:rPr>
        <w:t>破坏机动车车载排放诊断系统</w:t>
      </w:r>
      <w:r>
        <w:rPr>
          <w:rFonts w:hint="eastAsia" w:ascii="Times New Roman" w:hAnsi="Times New Roman" w:eastAsia="仿宋_GB2312" w:cs="Times New Roman"/>
          <w:bCs/>
          <w:color w:val="000000"/>
          <w:sz w:val="32"/>
          <w:szCs w:val="32"/>
          <w:shd w:val="clear" w:color="auto" w:fill="FFFFFF"/>
          <w:lang w:val="en-US" w:eastAsia="zh-CN"/>
        </w:rPr>
        <w:t>的环境违法行为作出以下处理决定：</w:t>
      </w:r>
    </w:p>
    <w:p w14:paraId="0156DFD0">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罚款</w:t>
      </w:r>
      <w:r>
        <w:rPr>
          <w:rFonts w:hint="eastAsia" w:ascii="仿宋_GB2312" w:hAnsi="仿宋_GB2312" w:eastAsia="仿宋_GB2312" w:cs="仿宋_GB2312"/>
          <w:color w:val="auto"/>
          <w:sz w:val="32"/>
          <w:szCs w:val="32"/>
          <w:u w:val="none"/>
          <w:lang w:val="en-US" w:eastAsia="zh-CN"/>
        </w:rPr>
        <w:t>伍仟元整。</w:t>
      </w:r>
    </w:p>
    <w:p w14:paraId="666FBB27">
      <w:pPr>
        <w:keepNext w:val="0"/>
        <w:keepLines w:val="0"/>
        <w:pageBreakBefore w:val="0"/>
        <w:widowControl w:val="0"/>
        <w:suppressLineNumbers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b w:val="0"/>
          <w:bCs w:val="0"/>
          <w:color w:val="000000"/>
          <w:kern w:val="0"/>
          <w:sz w:val="32"/>
          <w:szCs w:val="32"/>
          <w:lang w:val="en-US" w:eastAsia="zh-CN" w:bidi="ar"/>
        </w:rPr>
        <w:t>三、行政处罚决定的履行方式和期限</w:t>
      </w:r>
      <w:r>
        <w:rPr>
          <w:rFonts w:hint="default" w:ascii="Times New Roman" w:hAnsi="Times New Roman" w:eastAsia="黑体" w:cs="Times New Roman"/>
          <w:color w:val="000000"/>
          <w:kern w:val="0"/>
          <w:sz w:val="32"/>
          <w:szCs w:val="32"/>
          <w:lang w:val="en-US" w:eastAsia="zh-CN" w:bidi="ar"/>
        </w:rPr>
        <w:t xml:space="preserve"> </w:t>
      </w:r>
    </w:p>
    <w:p w14:paraId="5F91DA09">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val="0"/>
          <w:bCs w:val="0"/>
          <w:color w:val="000000"/>
          <w:kern w:val="0"/>
          <w:sz w:val="32"/>
          <w:szCs w:val="32"/>
          <w:lang w:val="en-US" w:eastAsia="zh-CN" w:bidi="ar"/>
        </w:rPr>
        <w:t>根据《中华人民共和国行政处罚法》和《罚款决定与罚款收缴分离实施办法》的规定，你单位应当自收到本处罚决定书之日起15日内将罚款缴至邮政储蓄银行民主南路支行；银行账号：100195545980010001；户名：焦作市财政局非税收入财政专户。款项缴清后，请持银行受理回单到我局索取罚款收据。</w:t>
      </w:r>
    </w:p>
    <w:p w14:paraId="4DF6969A">
      <w:pPr>
        <w:keepNext w:val="0"/>
        <w:keepLines w:val="0"/>
        <w:pageBreakBefore w:val="0"/>
        <w:widowControl w:val="0"/>
        <w:suppressLineNumbers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32"/>
          <w:szCs w:val="32"/>
          <w:lang w:val="en-US" w:eastAsia="zh-CN" w:bidi="ar"/>
        </w:rPr>
        <w:t xml:space="preserve">四、申请行政复议或提起行政诉讼的途径和期限 </w:t>
      </w:r>
    </w:p>
    <w:p w14:paraId="4C88AC19">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你单位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逾期不申请行政复议，不提起行政诉讼，又不履行本处罚决定的，我局将依法申请人民法院强制执行</w:t>
      </w:r>
      <w:r>
        <w:rPr>
          <w:rFonts w:hint="default" w:ascii="Times New Roman" w:hAnsi="Times New Roman" w:eastAsia="仿宋_GB2312" w:cs="Times New Roman"/>
          <w:color w:val="000000"/>
          <w:kern w:val="0"/>
          <w:sz w:val="32"/>
          <w:szCs w:val="32"/>
        </w:rPr>
        <w:t xml:space="preserve">。              </w:t>
      </w:r>
    </w:p>
    <w:p w14:paraId="07946A7A">
      <w:pPr>
        <w:keepNext w:val="0"/>
        <w:keepLines w:val="0"/>
        <w:pageBreakBefore w:val="0"/>
        <w:widowControl w:val="0"/>
        <w:kinsoku/>
        <w:wordWrap/>
        <w:overflowPunct/>
        <w:topLinePunct w:val="0"/>
        <w:autoSpaceDE/>
        <w:autoSpaceDN/>
        <w:bidi w:val="0"/>
        <w:adjustRightInd/>
        <w:spacing w:line="560" w:lineRule="exact"/>
        <w:jc w:val="both"/>
        <w:textAlignment w:val="auto"/>
        <w:rPr>
          <w:rFonts w:hint="default" w:ascii="Times New Roman" w:hAnsi="Times New Roman" w:eastAsia="仿宋_GB2312" w:cs="Times New Roman"/>
          <w:color w:val="000000"/>
          <w:kern w:val="0"/>
          <w:sz w:val="32"/>
          <w:szCs w:val="32"/>
        </w:rPr>
      </w:pPr>
    </w:p>
    <w:p w14:paraId="45ACA538">
      <w:pPr>
        <w:keepNext w:val="0"/>
        <w:keepLines w:val="0"/>
        <w:pageBreakBefore w:val="0"/>
        <w:widowControl w:val="0"/>
        <w:kinsoku/>
        <w:wordWrap/>
        <w:overflowPunct/>
        <w:topLinePunct w:val="0"/>
        <w:autoSpaceDE/>
        <w:autoSpaceDN/>
        <w:bidi w:val="0"/>
        <w:adjustRightInd/>
        <w:spacing w:line="560" w:lineRule="exact"/>
        <w:jc w:val="both"/>
        <w:textAlignment w:val="auto"/>
        <w:rPr>
          <w:rFonts w:hint="default" w:ascii="Times New Roman" w:hAnsi="Times New Roman" w:eastAsia="仿宋_GB2312" w:cs="Times New Roman"/>
          <w:color w:val="000000"/>
          <w:kern w:val="0"/>
          <w:sz w:val="32"/>
          <w:szCs w:val="32"/>
        </w:rPr>
      </w:pPr>
    </w:p>
    <w:p w14:paraId="1CF22A5F">
      <w:pPr>
        <w:keepNext w:val="0"/>
        <w:keepLines w:val="0"/>
        <w:pageBreakBefore w:val="0"/>
        <w:widowControl w:val="0"/>
        <w:kinsoku/>
        <w:wordWrap/>
        <w:overflowPunct/>
        <w:topLinePunct w:val="0"/>
        <w:autoSpaceDE/>
        <w:autoSpaceDN/>
        <w:bidi w:val="0"/>
        <w:adjustRightInd/>
        <w:spacing w:line="560" w:lineRule="exact"/>
        <w:jc w:val="both"/>
        <w:textAlignment w:val="auto"/>
        <w:rPr>
          <w:rFonts w:hint="default" w:ascii="Times New Roman" w:hAnsi="Times New Roman" w:eastAsia="仿宋_GB2312" w:cs="Times New Roman"/>
          <w:color w:val="000000"/>
          <w:kern w:val="0"/>
          <w:sz w:val="32"/>
          <w:szCs w:val="32"/>
        </w:rPr>
      </w:pPr>
    </w:p>
    <w:p w14:paraId="74E40BEF">
      <w:pPr>
        <w:keepNext w:val="0"/>
        <w:keepLines w:val="0"/>
        <w:pageBreakBefore w:val="0"/>
        <w:widowControl w:val="0"/>
        <w:kinsoku/>
        <w:wordWrap/>
        <w:overflowPunct/>
        <w:topLinePunct w:val="0"/>
        <w:autoSpaceDE/>
        <w:autoSpaceDN/>
        <w:bidi w:val="0"/>
        <w:adjustRightInd/>
        <w:spacing w:line="560" w:lineRule="exact"/>
        <w:ind w:firstLine="5120" w:firstLineChars="16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202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年</w:t>
      </w:r>
      <w:r>
        <w:rPr>
          <w:rFonts w:hint="eastAsia" w:ascii="Times New Roman" w:hAnsi="Times New Roman" w:eastAsia="仿宋_GB2312" w:cs="Times New Roman"/>
          <w:color w:val="000000"/>
          <w:kern w:val="0"/>
          <w:sz w:val="32"/>
          <w:szCs w:val="32"/>
          <w:lang w:val="en-US" w:eastAsia="zh-CN"/>
        </w:rPr>
        <w:t>1</w:t>
      </w:r>
      <w:r>
        <w:rPr>
          <w:rFonts w:hint="default" w:ascii="Times New Roman" w:hAnsi="Times New Roman" w:eastAsia="仿宋_GB2312" w:cs="Times New Roman"/>
          <w:color w:val="000000"/>
          <w:kern w:val="0"/>
          <w:sz w:val="32"/>
          <w:szCs w:val="32"/>
        </w:rPr>
        <w:t>月</w:t>
      </w:r>
      <w:r>
        <w:rPr>
          <w:rFonts w:hint="eastAsia" w:ascii="Times New Roman" w:hAnsi="Times New Roman" w:eastAsia="仿宋_GB2312" w:cs="Times New Roman"/>
          <w:color w:val="000000"/>
          <w:kern w:val="0"/>
          <w:sz w:val="32"/>
          <w:szCs w:val="32"/>
          <w:lang w:val="en-US" w:eastAsia="zh-CN"/>
        </w:rPr>
        <w:t>24</w:t>
      </w:r>
      <w:r>
        <w:rPr>
          <w:rFonts w:hint="default" w:ascii="Times New Roman" w:hAnsi="Times New Roman" w:eastAsia="仿宋_GB2312" w:cs="Times New Roman"/>
          <w:color w:val="000000"/>
          <w:kern w:val="0"/>
          <w:sz w:val="32"/>
          <w:szCs w:val="32"/>
        </w:rPr>
        <w:t>日</w:t>
      </w:r>
    </w:p>
    <w:p w14:paraId="1F863892">
      <w:pPr>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仿宋_GB2312" w:cs="Times New Roman"/>
          <w:color w:val="000000"/>
          <w:kern w:val="0"/>
          <w:sz w:val="32"/>
          <w:szCs w:val="32"/>
        </w:rPr>
      </w:pPr>
    </w:p>
    <w:p w14:paraId="5CAAFFCE">
      <w:pPr>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仿宋_GB2312" w:cs="Times New Roman"/>
          <w:color w:val="000000"/>
          <w:kern w:val="0"/>
          <w:sz w:val="32"/>
          <w:szCs w:val="32"/>
        </w:rPr>
      </w:pPr>
    </w:p>
    <w:p w14:paraId="1DCD693C">
      <w:pPr>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仿宋_GB2312" w:cs="Times New Roman"/>
          <w:color w:val="000000"/>
          <w:kern w:val="0"/>
          <w:sz w:val="32"/>
          <w:szCs w:val="32"/>
        </w:rPr>
      </w:pPr>
    </w:p>
    <w:p w14:paraId="5B955CEA">
      <w:pPr>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仿宋_GB2312" w:cs="Times New Roman"/>
          <w:color w:val="000000"/>
          <w:kern w:val="0"/>
          <w:sz w:val="32"/>
          <w:szCs w:val="32"/>
        </w:rPr>
      </w:pPr>
    </w:p>
    <w:p w14:paraId="17D48730">
      <w:pPr>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仿宋_GB2312" w:cs="Times New Roman"/>
          <w:color w:val="000000"/>
          <w:kern w:val="0"/>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2154"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方正小标宋_GBK">
    <w:altName w:val="宋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FD3FF">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96BE2">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4FA3B">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AF7D7">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AB3B5">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A5760">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ZjI5YTFkMzlhNjVhODQwNTI3NDQwYTcxNTUzNmQifQ=="/>
  </w:docVars>
  <w:rsids>
    <w:rsidRoot w:val="7E7F512A"/>
    <w:rsid w:val="00064BE2"/>
    <w:rsid w:val="001270FC"/>
    <w:rsid w:val="00151D09"/>
    <w:rsid w:val="001756F0"/>
    <w:rsid w:val="00180661"/>
    <w:rsid w:val="001E470C"/>
    <w:rsid w:val="002610F4"/>
    <w:rsid w:val="002D6E19"/>
    <w:rsid w:val="002D7A42"/>
    <w:rsid w:val="0031565E"/>
    <w:rsid w:val="003A0A3A"/>
    <w:rsid w:val="003E5430"/>
    <w:rsid w:val="004B62C7"/>
    <w:rsid w:val="004F4A17"/>
    <w:rsid w:val="00595695"/>
    <w:rsid w:val="00633D3D"/>
    <w:rsid w:val="00660D30"/>
    <w:rsid w:val="006D7ECC"/>
    <w:rsid w:val="006E7362"/>
    <w:rsid w:val="008E0ED0"/>
    <w:rsid w:val="008F3EF9"/>
    <w:rsid w:val="00913D19"/>
    <w:rsid w:val="009430FA"/>
    <w:rsid w:val="00963970"/>
    <w:rsid w:val="009E0CC5"/>
    <w:rsid w:val="00B80472"/>
    <w:rsid w:val="00C446D7"/>
    <w:rsid w:val="00D74B39"/>
    <w:rsid w:val="00DA2FD2"/>
    <w:rsid w:val="00DA3316"/>
    <w:rsid w:val="00E50E57"/>
    <w:rsid w:val="00E72CCF"/>
    <w:rsid w:val="00FD4375"/>
    <w:rsid w:val="00FF25E5"/>
    <w:rsid w:val="07F56CDC"/>
    <w:rsid w:val="0C746E55"/>
    <w:rsid w:val="0D38378B"/>
    <w:rsid w:val="0EB86F32"/>
    <w:rsid w:val="11307E91"/>
    <w:rsid w:val="136670F9"/>
    <w:rsid w:val="15C14092"/>
    <w:rsid w:val="15C31A47"/>
    <w:rsid w:val="16A83DE2"/>
    <w:rsid w:val="17C20A6E"/>
    <w:rsid w:val="18432B19"/>
    <w:rsid w:val="1B26620D"/>
    <w:rsid w:val="1B461DDD"/>
    <w:rsid w:val="1B873C44"/>
    <w:rsid w:val="1BD24619"/>
    <w:rsid w:val="1CE06F93"/>
    <w:rsid w:val="1F6B4533"/>
    <w:rsid w:val="1F6FA7E2"/>
    <w:rsid w:val="23B20BFB"/>
    <w:rsid w:val="24CA0CD3"/>
    <w:rsid w:val="27495A23"/>
    <w:rsid w:val="278E3F28"/>
    <w:rsid w:val="27D84BB0"/>
    <w:rsid w:val="289F526B"/>
    <w:rsid w:val="2A741495"/>
    <w:rsid w:val="2C3E5124"/>
    <w:rsid w:val="2DA134D1"/>
    <w:rsid w:val="2EDF4E20"/>
    <w:rsid w:val="32561CF5"/>
    <w:rsid w:val="32CC65EB"/>
    <w:rsid w:val="33232813"/>
    <w:rsid w:val="33C70FDD"/>
    <w:rsid w:val="33E32377"/>
    <w:rsid w:val="34FC051F"/>
    <w:rsid w:val="39FFD837"/>
    <w:rsid w:val="3A5F748F"/>
    <w:rsid w:val="3E2441CF"/>
    <w:rsid w:val="3F1B8258"/>
    <w:rsid w:val="3F5E6CBB"/>
    <w:rsid w:val="3F9BC840"/>
    <w:rsid w:val="3FFF25F8"/>
    <w:rsid w:val="43F61193"/>
    <w:rsid w:val="44510F56"/>
    <w:rsid w:val="44774FBF"/>
    <w:rsid w:val="44793592"/>
    <w:rsid w:val="45DF26B5"/>
    <w:rsid w:val="4613720A"/>
    <w:rsid w:val="47081CEF"/>
    <w:rsid w:val="487F3C18"/>
    <w:rsid w:val="4C8E75EA"/>
    <w:rsid w:val="4F71BCB4"/>
    <w:rsid w:val="4FD940E8"/>
    <w:rsid w:val="4FE336C7"/>
    <w:rsid w:val="52673888"/>
    <w:rsid w:val="55246F3B"/>
    <w:rsid w:val="596461AE"/>
    <w:rsid w:val="5BA9494E"/>
    <w:rsid w:val="5BC04579"/>
    <w:rsid w:val="5FD7389B"/>
    <w:rsid w:val="5FF32B2A"/>
    <w:rsid w:val="65DD14E3"/>
    <w:rsid w:val="673C0589"/>
    <w:rsid w:val="69084724"/>
    <w:rsid w:val="6BDD8FB3"/>
    <w:rsid w:val="6EB03FA3"/>
    <w:rsid w:val="6F9FC132"/>
    <w:rsid w:val="6FEF0A03"/>
    <w:rsid w:val="6FFF8DD6"/>
    <w:rsid w:val="719A133C"/>
    <w:rsid w:val="73371F28"/>
    <w:rsid w:val="749A4A4A"/>
    <w:rsid w:val="74F76EED"/>
    <w:rsid w:val="777BAFC3"/>
    <w:rsid w:val="777F42D2"/>
    <w:rsid w:val="77C32C3A"/>
    <w:rsid w:val="77E943E1"/>
    <w:rsid w:val="79FD3F0D"/>
    <w:rsid w:val="7B4F958F"/>
    <w:rsid w:val="7B5A1447"/>
    <w:rsid w:val="7DC36A29"/>
    <w:rsid w:val="7E1001F8"/>
    <w:rsid w:val="7E7F512A"/>
    <w:rsid w:val="7F4F87E6"/>
    <w:rsid w:val="B137FAF6"/>
    <w:rsid w:val="B2DF9874"/>
    <w:rsid w:val="B7F7F4E3"/>
    <w:rsid w:val="BF6FE333"/>
    <w:rsid w:val="BFEF2805"/>
    <w:rsid w:val="CDCF404C"/>
    <w:rsid w:val="CF7C6F27"/>
    <w:rsid w:val="DFFF4B14"/>
    <w:rsid w:val="EAF7F34F"/>
    <w:rsid w:val="EF3E2A00"/>
    <w:rsid w:val="F1A79038"/>
    <w:rsid w:val="F6FA14BE"/>
    <w:rsid w:val="F77A4073"/>
    <w:rsid w:val="F7F3632A"/>
    <w:rsid w:val="FAFDADB6"/>
    <w:rsid w:val="FB7B3F05"/>
    <w:rsid w:val="FCAB3816"/>
    <w:rsid w:val="FD757E0B"/>
    <w:rsid w:val="FFDE7EB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8"/>
    <w:qFormat/>
    <w:locked/>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19"/>
    <w:semiHidden/>
    <w:unhideWhenUsed/>
    <w:qFormat/>
    <w:locked/>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20"/>
    <w:semiHidden/>
    <w:unhideWhenUsed/>
    <w:qFormat/>
    <w:locked/>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link w:val="21"/>
    <w:semiHidden/>
    <w:unhideWhenUsed/>
    <w:qFormat/>
    <w:locked/>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99"/>
  </w:style>
  <w:style w:type="table" w:default="1" w:styleId="10">
    <w:name w:val="Normal Table"/>
    <w:unhideWhenUsed/>
    <w:qFormat/>
    <w:uiPriority w:val="99"/>
    <w:tblPr>
      <w:tblCellMar>
        <w:top w:w="0" w:type="dxa"/>
        <w:left w:w="108" w:type="dxa"/>
        <w:bottom w:w="0" w:type="dxa"/>
        <w:right w:w="108" w:type="dxa"/>
      </w:tblCellMar>
    </w:tblPr>
  </w:style>
  <w:style w:type="paragraph" w:customStyle="1" w:styleId="2">
    <w:name w:val="_Style 1"/>
    <w:basedOn w:val="1"/>
    <w:qFormat/>
    <w:uiPriority w:val="0"/>
    <w:pPr>
      <w:spacing w:line="481" w:lineRule="atLeast"/>
      <w:ind w:firstLine="623"/>
      <w:textAlignment w:val="baseline"/>
    </w:pPr>
    <w:rPr>
      <w:rFonts w:ascii="Calibri" w:hAnsi="Calibri" w:eastAsia="仿宋_GB2312" w:cs="Times New Roman"/>
      <w:color w:val="000000"/>
      <w:sz w:val="31"/>
    </w:rPr>
  </w:style>
  <w:style w:type="paragraph" w:styleId="7">
    <w:name w:val="footer"/>
    <w:basedOn w:val="1"/>
    <w:link w:val="12"/>
    <w:qFormat/>
    <w:uiPriority w:val="99"/>
    <w:pPr>
      <w:tabs>
        <w:tab w:val="center" w:pos="4153"/>
        <w:tab w:val="right" w:pos="8306"/>
      </w:tabs>
      <w:snapToGrid w:val="0"/>
      <w:jc w:val="left"/>
    </w:pPr>
    <w:rPr>
      <w:sz w:val="18"/>
      <w:szCs w:val="18"/>
    </w:rPr>
  </w:style>
  <w:style w:type="paragraph" w:styleId="8">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Autospacing="1"/>
      <w:ind w:firstLine="420"/>
    </w:pPr>
    <w:rPr>
      <w:rFonts w:ascii="宋体" w:hAnsi="宋体"/>
      <w:kern w:val="0"/>
      <w:sz w:val="20"/>
      <w:szCs w:val="20"/>
    </w:rPr>
  </w:style>
  <w:style w:type="character" w:customStyle="1" w:styleId="12">
    <w:name w:val="Footer Char"/>
    <w:basedOn w:val="11"/>
    <w:link w:val="7"/>
    <w:qFormat/>
    <w:locked/>
    <w:uiPriority w:val="99"/>
    <w:rPr>
      <w:rFonts w:ascii="Calibri" w:hAnsi="Calibri" w:cs="Times New Roman"/>
      <w:kern w:val="2"/>
      <w:sz w:val="18"/>
      <w:szCs w:val="18"/>
    </w:rPr>
  </w:style>
  <w:style w:type="character" w:customStyle="1" w:styleId="13">
    <w:name w:val="Header Char"/>
    <w:basedOn w:val="11"/>
    <w:link w:val="8"/>
    <w:qFormat/>
    <w:locked/>
    <w:uiPriority w:val="99"/>
    <w:rPr>
      <w:rFonts w:ascii="Calibri" w:hAnsi="Calibri" w:eastAsia="宋体" w:cs="Times New Roman"/>
      <w:kern w:val="2"/>
      <w:sz w:val="18"/>
      <w:szCs w:val="18"/>
      <w:lang w:val="en-US" w:eastAsia="zh-CN" w:bidi="ar-SA"/>
    </w:rPr>
  </w:style>
  <w:style w:type="character" w:customStyle="1" w:styleId="14">
    <w:name w:val="Header Char1"/>
    <w:basedOn w:val="11"/>
    <w:qFormat/>
    <w:locked/>
    <w:uiPriority w:val="99"/>
    <w:rPr>
      <w:rFonts w:ascii="Calibri" w:hAnsi="Calibri" w:cs="Times New Roman"/>
      <w:kern w:val="2"/>
      <w:sz w:val="18"/>
      <w:szCs w:val="18"/>
    </w:rPr>
  </w:style>
  <w:style w:type="paragraph" w:customStyle="1" w:styleId="15">
    <w:name w:val="Default"/>
    <w:qForma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16">
    <w:name w:val="Char"/>
    <w:basedOn w:val="1"/>
    <w:semiHidden/>
    <w:qFormat/>
    <w:locked/>
    <w:uiPriority w:val="99"/>
    <w:pPr>
      <w:spacing w:line="360" w:lineRule="auto"/>
    </w:pPr>
    <w:rPr>
      <w:rFonts w:ascii="宋体" w:hAnsi="Times New Roman"/>
      <w:sz w:val="24"/>
      <w:szCs w:val="24"/>
    </w:rPr>
  </w:style>
  <w:style w:type="paragraph" w:customStyle="1" w:styleId="17">
    <w:name w:val="p0"/>
    <w:basedOn w:val="1"/>
    <w:qFormat/>
    <w:uiPriority w:val="99"/>
    <w:pPr>
      <w:widowControl/>
    </w:pPr>
    <w:rPr>
      <w:rFonts w:cs="宋体"/>
      <w:kern w:val="0"/>
      <w:szCs w:val="21"/>
    </w:rPr>
  </w:style>
  <w:style w:type="character" w:customStyle="1" w:styleId="18">
    <w:name w:val="标题 1 Char"/>
    <w:link w:val="3"/>
    <w:qFormat/>
    <w:uiPriority w:val="0"/>
    <w:rPr>
      <w:b/>
      <w:kern w:val="44"/>
      <w:sz w:val="44"/>
    </w:rPr>
  </w:style>
  <w:style w:type="character" w:customStyle="1" w:styleId="19">
    <w:name w:val="标题 2 Char"/>
    <w:link w:val="4"/>
    <w:qFormat/>
    <w:uiPriority w:val="0"/>
    <w:rPr>
      <w:rFonts w:ascii="Arial" w:hAnsi="Arial" w:eastAsia="黑体"/>
      <w:b/>
      <w:sz w:val="32"/>
    </w:rPr>
  </w:style>
  <w:style w:type="character" w:customStyle="1" w:styleId="20">
    <w:name w:val="标题 3 Char"/>
    <w:link w:val="5"/>
    <w:qFormat/>
    <w:uiPriority w:val="0"/>
    <w:rPr>
      <w:b/>
      <w:sz w:val="32"/>
    </w:rPr>
  </w:style>
  <w:style w:type="character" w:customStyle="1" w:styleId="21">
    <w:name w:val="标题 4 Char"/>
    <w:link w:val="6"/>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lcx\C:\home\zhidui\C:\home\guoyatao\Desktop\&#27827;&#21335;&#27859;&#20918;&#28966;&#20316;&#24066;&#29983;&#24577;&#29615;&#22659;&#23616;&#36131;&#20196;&#25913;&#27491;&#20915;&#23450;&#20070;&#20915;&#23450;&#20070;5.6doc.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河南泓冶焦作市生态环境局责令改正决定书决定书5.6doc</Template>
  <Pages>4</Pages>
  <Words>1637</Words>
  <Characters>1796</Characters>
  <Lines>0</Lines>
  <Paragraphs>0</Paragraphs>
  <TotalTime>5</TotalTime>
  <ScaleCrop>false</ScaleCrop>
  <LinksUpToDate>false</LinksUpToDate>
  <CharactersWithSpaces>1814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2021-07-14T00:57:00Z</dcterms:created>
  <dc:creator>guoyatao</dc:creator>
  <cp:lastModifiedBy>Administrator</cp:lastModifiedBy>
  <cp:lastPrinted>2024-08-15T02:38:00Z</cp:lastPrinted>
  <dcterms:modified xsi:type="dcterms:W3CDTF">2025-01-24T03:05:59Z</dcterms:modified>
  <dc:title>焦作市环境保护局</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234C9DB68C384C86A2B9DB852BCD8F6D_13</vt:lpwstr>
  </property>
  <property fmtid="{D5CDD505-2E9C-101B-9397-08002B2CF9AE}" pid="4" name="KSOTemplateDocerSaveRecord">
    <vt:lpwstr>eyJoZGlkIjoiYjU4ZjI5YTFkMzlhNjVhODQwNTI3NDQwYTcxNTUzNmQiLCJ1c2VySWQiOiI1OTI0ODc4MzgifQ==</vt:lpwstr>
  </property>
</Properties>
</file>