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7F62FB">
      <w:pPr>
        <w:keepNext w:val="0"/>
        <w:keepLines w:val="0"/>
        <w:pageBreakBefore w:val="0"/>
        <w:widowControl w:val="0"/>
        <w:kinsoku/>
        <w:wordWrap/>
        <w:overflowPunct/>
        <w:topLinePunct w:val="0"/>
        <w:autoSpaceDE/>
        <w:autoSpaceDN/>
        <w:bidi w:val="0"/>
        <w:adjustRightInd/>
        <w:snapToGrid w:val="0"/>
        <w:spacing w:line="560" w:lineRule="exact"/>
        <w:ind w:left="0" w:leftChars="0"/>
        <w:jc w:val="center"/>
        <w:textAlignment w:val="auto"/>
        <w:rPr>
          <w:rFonts w:hint="eastAsia" w:ascii="Times New Roman" w:hAnsi="Times New Roman" w:eastAsia="方正小标宋_GBK" w:cs="Times New Roman"/>
          <w:b w:val="0"/>
          <w:bCs/>
          <w:color w:val="auto"/>
          <w:sz w:val="44"/>
          <w:szCs w:val="44"/>
          <w:lang w:eastAsia="zh-CN"/>
        </w:rPr>
      </w:pPr>
    </w:p>
    <w:p w14:paraId="4F5A8D66">
      <w:pPr>
        <w:keepNext w:val="0"/>
        <w:keepLines w:val="0"/>
        <w:pageBreakBefore w:val="0"/>
        <w:widowControl w:val="0"/>
        <w:kinsoku/>
        <w:wordWrap/>
        <w:overflowPunct/>
        <w:topLinePunct w:val="0"/>
        <w:autoSpaceDE/>
        <w:autoSpaceDN/>
        <w:bidi w:val="0"/>
        <w:adjustRightInd/>
        <w:snapToGrid w:val="0"/>
        <w:spacing w:line="560" w:lineRule="exact"/>
        <w:ind w:left="0" w:leftChars="0"/>
        <w:jc w:val="center"/>
        <w:textAlignment w:val="auto"/>
        <w:rPr>
          <w:rFonts w:hint="eastAsia" w:ascii="Times New Roman" w:hAnsi="Times New Roman" w:eastAsia="方正小标宋_GBK" w:cs="Times New Roman"/>
          <w:b w:val="0"/>
          <w:bCs/>
          <w:color w:val="auto"/>
          <w:sz w:val="44"/>
          <w:szCs w:val="44"/>
          <w:lang w:eastAsia="zh-CN"/>
        </w:rPr>
      </w:pPr>
    </w:p>
    <w:p w14:paraId="1C906593">
      <w:pPr>
        <w:keepNext w:val="0"/>
        <w:keepLines w:val="0"/>
        <w:pageBreakBefore w:val="0"/>
        <w:widowControl w:val="0"/>
        <w:kinsoku/>
        <w:wordWrap/>
        <w:overflowPunct/>
        <w:topLinePunct w:val="0"/>
        <w:autoSpaceDE/>
        <w:autoSpaceDN/>
        <w:bidi w:val="0"/>
        <w:adjustRightInd/>
        <w:snapToGrid w:val="0"/>
        <w:spacing w:line="560" w:lineRule="exact"/>
        <w:ind w:left="0" w:leftChars="0"/>
        <w:jc w:val="center"/>
        <w:textAlignment w:val="auto"/>
        <w:rPr>
          <w:rFonts w:hint="default" w:ascii="Times New Roman" w:hAnsi="Times New Roman" w:eastAsia="方正小标宋_GBK" w:cs="Times New Roman"/>
          <w:b w:val="0"/>
          <w:bCs/>
          <w:color w:val="auto"/>
          <w:sz w:val="44"/>
          <w:szCs w:val="44"/>
        </w:rPr>
      </w:pPr>
      <w:r>
        <w:rPr>
          <w:rFonts w:hint="eastAsia" w:ascii="Times New Roman" w:hAnsi="Times New Roman" w:eastAsia="方正小标宋_GBK" w:cs="Times New Roman"/>
          <w:b w:val="0"/>
          <w:bCs/>
          <w:color w:val="auto"/>
          <w:sz w:val="44"/>
          <w:szCs w:val="44"/>
          <w:lang w:eastAsia="zh-CN"/>
        </w:rPr>
        <w:t>焦作市</w:t>
      </w:r>
      <w:r>
        <w:rPr>
          <w:rFonts w:hint="default" w:ascii="Times New Roman" w:hAnsi="Times New Roman" w:eastAsia="方正小标宋_GBK" w:cs="Times New Roman"/>
          <w:b w:val="0"/>
          <w:bCs/>
          <w:color w:val="auto"/>
          <w:sz w:val="44"/>
          <w:szCs w:val="44"/>
        </w:rPr>
        <w:t>生态环境局</w:t>
      </w:r>
    </w:p>
    <w:p w14:paraId="26B5C8DE">
      <w:pPr>
        <w:keepNext w:val="0"/>
        <w:keepLines w:val="0"/>
        <w:pageBreakBefore w:val="0"/>
        <w:widowControl w:val="0"/>
        <w:kinsoku/>
        <w:wordWrap/>
        <w:overflowPunct/>
        <w:topLinePunct w:val="0"/>
        <w:autoSpaceDE/>
        <w:autoSpaceDN/>
        <w:bidi w:val="0"/>
        <w:adjustRightInd/>
        <w:snapToGrid w:val="0"/>
        <w:spacing w:line="560" w:lineRule="exact"/>
        <w:ind w:left="0" w:leftChars="0"/>
        <w:jc w:val="center"/>
        <w:textAlignment w:val="auto"/>
        <w:outlineLvl w:val="0"/>
        <w:rPr>
          <w:rFonts w:hint="eastAsia" w:ascii="仿宋" w:hAnsi="仿宋" w:eastAsia="仿宋" w:cs="仿宋"/>
          <w:sz w:val="32"/>
          <w:szCs w:val="32"/>
        </w:rPr>
      </w:pPr>
      <w:bookmarkStart w:id="0" w:name="_Toc5085"/>
      <w:bookmarkStart w:id="1" w:name="_Toc21336"/>
      <w:bookmarkStart w:id="2" w:name="_Toc24038"/>
      <w:r>
        <w:rPr>
          <w:rFonts w:hint="default" w:ascii="Times New Roman" w:hAnsi="Times New Roman" w:eastAsia="方正小标宋_GBK" w:cs="Times New Roman"/>
          <w:b w:val="0"/>
          <w:bCs/>
          <w:color w:val="auto"/>
          <w:sz w:val="44"/>
          <w:szCs w:val="44"/>
        </w:rPr>
        <w:t>行政处罚决定书</w:t>
      </w:r>
      <w:bookmarkEnd w:id="0"/>
      <w:bookmarkEnd w:id="1"/>
      <w:bookmarkEnd w:id="2"/>
    </w:p>
    <w:p w14:paraId="7F0FDE5F">
      <w:pPr>
        <w:keepNext w:val="0"/>
        <w:keepLines w:val="0"/>
        <w:pageBreakBefore w:val="0"/>
        <w:widowControl w:val="0"/>
        <w:wordWrap/>
        <w:overflowPunct/>
        <w:topLinePunct w:val="0"/>
        <w:bidi w:val="0"/>
        <w:adjustRightInd/>
        <w:snapToGrid/>
        <w:spacing w:line="560" w:lineRule="exact"/>
        <w:ind w:left="0" w:leftChars="0"/>
        <w:jc w:val="center"/>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焦环罚〔2025〕320号</w:t>
      </w:r>
    </w:p>
    <w:p w14:paraId="5EB4AF94">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eastAsia" w:ascii="仿宋" w:hAnsi="仿宋" w:eastAsia="仿宋" w:cs="仿宋"/>
          <w:color w:val="auto"/>
          <w:sz w:val="32"/>
          <w:szCs w:val="32"/>
          <w:lang w:val="en-US" w:eastAsia="zh-CN"/>
        </w:rPr>
      </w:pPr>
    </w:p>
    <w:p w14:paraId="4B082C73">
      <w:pPr>
        <w:pStyle w:val="3"/>
        <w:keepNext w:val="0"/>
        <w:keepLines w:val="0"/>
        <w:pageBreakBefore w:val="0"/>
        <w:widowControl/>
        <w:suppressLineNumbers w:val="0"/>
        <w:kinsoku/>
        <w:wordWrap/>
        <w:overflowPunct/>
        <w:topLinePunct w:val="0"/>
        <w:autoSpaceDE/>
        <w:bidi w:val="0"/>
        <w:adjustRightInd/>
        <w:snapToGrid/>
        <w:spacing w:before="0" w:beforeAutospacing="0" w:after="0" w:afterAutospacing="0" w:line="560" w:lineRule="exact"/>
        <w:ind w:left="0" w:leftChars="0"/>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陈普春：</w:t>
      </w:r>
    </w:p>
    <w:p w14:paraId="7155BD1A">
      <w:pPr>
        <w:pStyle w:val="3"/>
        <w:keepNext w:val="0"/>
        <w:keepLines w:val="0"/>
        <w:pageBreakBefore w:val="0"/>
        <w:widowControl/>
        <w:suppressLineNumbers w:val="0"/>
        <w:kinsoku/>
        <w:wordWrap/>
        <w:overflowPunct/>
        <w:topLinePunct w:val="0"/>
        <w:autoSpaceDE/>
        <w:bidi w:val="0"/>
        <w:adjustRightInd/>
        <w:snapToGrid/>
        <w:spacing w:before="0" w:beforeAutospacing="0" w:after="0" w:afterAutospacing="0" w:line="560" w:lineRule="exact"/>
        <w:ind w:left="0" w:leftChars="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lang w:val="en-US" w:eastAsia="zh-CN"/>
        </w:rPr>
        <w:t>身份证号码：</w:t>
      </w:r>
      <w:r>
        <w:rPr>
          <w:rFonts w:hint="eastAsia" w:ascii="CESI仿宋-GB2312" w:hAnsi="CESI仿宋-GB2312" w:eastAsia="CESI仿宋-GB2312" w:cs="CESI仿宋-GB2312"/>
          <w:color w:val="000000"/>
          <w:sz w:val="32"/>
          <w:szCs w:val="32"/>
          <w:u w:val="none"/>
          <w:lang w:val="en-US" w:eastAsia="zh-CN"/>
        </w:rPr>
        <w:t>41088</w:t>
      </w:r>
      <w:r>
        <w:rPr>
          <w:rFonts w:hint="eastAsia" w:ascii="CESI仿宋-GB2312" w:hAnsi="CESI仿宋-GB2312" w:eastAsia="CESI仿宋-GB2312" w:cs="CESI仿宋-GB2312"/>
          <w:color w:val="000000"/>
          <w:kern w:val="0"/>
          <w:sz w:val="32"/>
          <w:szCs w:val="32"/>
          <w:lang w:val="en-US" w:eastAsia="zh-CN" w:bidi="ar"/>
        </w:rPr>
        <w:t>****</w:t>
      </w:r>
      <w:r>
        <w:rPr>
          <w:rFonts w:hint="eastAsia" w:ascii="CESI仿宋-GB2312" w:hAnsi="CESI仿宋-GB2312" w:eastAsia="CESI仿宋-GB2312" w:cs="CESI仿宋-GB2312"/>
          <w:color w:val="000000"/>
          <w:sz w:val="32"/>
          <w:szCs w:val="32"/>
          <w:u w:val="none"/>
          <w:lang w:val="en-US" w:eastAsia="zh-CN"/>
        </w:rPr>
        <w:t>40515</w:t>
      </w:r>
      <w:r>
        <w:rPr>
          <w:rFonts w:hint="eastAsia" w:ascii="CESI仿宋-GB2312" w:hAnsi="CESI仿宋-GB2312" w:eastAsia="CESI仿宋-GB2312" w:cs="CESI仿宋-GB2312"/>
          <w:color w:val="000000"/>
          <w:kern w:val="0"/>
          <w:sz w:val="32"/>
          <w:szCs w:val="32"/>
          <w:lang w:val="en-US" w:eastAsia="zh-CN" w:bidi="ar"/>
        </w:rPr>
        <w:t>****</w:t>
      </w:r>
    </w:p>
    <w:p w14:paraId="244E4822">
      <w:pPr>
        <w:keepNext w:val="0"/>
        <w:keepLines w:val="0"/>
        <w:pageBreakBefore w:val="0"/>
        <w:widowControl w:val="0"/>
        <w:kinsoku/>
        <w:wordWrap/>
        <w:overflowPunct/>
        <w:topLinePunct w:val="0"/>
        <w:autoSpaceDE/>
        <w:autoSpaceDN/>
        <w:bidi w:val="0"/>
        <w:snapToGrid w:val="0"/>
        <w:spacing w:line="560" w:lineRule="exact"/>
        <w:ind w:left="0" w:leftChars="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lang w:val="en-US" w:eastAsia="zh-CN"/>
        </w:rPr>
        <w:t>住址：</w:t>
      </w:r>
      <w:r>
        <w:rPr>
          <w:rFonts w:hint="eastAsia" w:ascii="CESI仿宋-GB2312" w:hAnsi="CESI仿宋-GB2312" w:eastAsia="CESI仿宋-GB2312" w:cs="CESI仿宋-GB2312"/>
          <w:color w:val="000000"/>
          <w:sz w:val="32"/>
          <w:szCs w:val="32"/>
          <w:u w:val="none"/>
          <w:lang w:val="en-US" w:eastAsia="zh-CN"/>
        </w:rPr>
        <w:t>河南省沁阳市</w:t>
      </w:r>
      <w:r>
        <w:rPr>
          <w:rFonts w:hint="eastAsia" w:ascii="CESI仿宋-GB2312" w:hAnsi="CESI仿宋-GB2312" w:eastAsia="CESI仿宋-GB2312" w:cs="CESI仿宋-GB2312"/>
          <w:color w:val="000000"/>
          <w:kern w:val="0"/>
          <w:sz w:val="32"/>
          <w:szCs w:val="32"/>
          <w:lang w:val="en-US" w:eastAsia="zh-CN" w:bidi="ar"/>
        </w:rPr>
        <w:t>****</w:t>
      </w:r>
      <w:bookmarkStart w:id="3" w:name="_GoBack"/>
      <w:bookmarkEnd w:id="3"/>
    </w:p>
    <w:p w14:paraId="20815E2B">
      <w:pPr>
        <w:keepNext w:val="0"/>
        <w:keepLines w:val="0"/>
        <w:pageBreakBefore w:val="0"/>
        <w:widowControl w:val="0"/>
        <w:kinsoku/>
        <w:wordWrap/>
        <w:overflowPunct/>
        <w:topLinePunct w:val="0"/>
        <w:autoSpaceDE/>
        <w:autoSpaceDN/>
        <w:bidi w:val="0"/>
        <w:snapToGrid w:val="0"/>
        <w:spacing w:line="560" w:lineRule="exact"/>
        <w:ind w:left="0" w:leftChars="0"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一、环境违法事实和证据</w:t>
      </w:r>
    </w:p>
    <w:p w14:paraId="28B6879A">
      <w:pPr>
        <w:pStyle w:val="3"/>
        <w:keepNext w:val="0"/>
        <w:keepLines w:val="0"/>
        <w:pageBreakBefore w:val="0"/>
        <w:widowControl/>
        <w:suppressLineNumbers w:val="0"/>
        <w:kinsoku/>
        <w:wordWrap/>
        <w:overflowPunct/>
        <w:topLinePunct w:val="0"/>
        <w:autoSpaceDE/>
        <w:bidi w:val="0"/>
        <w:adjustRightInd/>
        <w:snapToGrid/>
        <w:spacing w:before="0" w:beforeAutospacing="0" w:after="0" w:afterAutospacing="0" w:line="560" w:lineRule="exact"/>
        <w:ind w:left="0" w:leftChars="0" w:firstLine="640" w:firstLineChars="200"/>
        <w:jc w:val="both"/>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eastAsia="zh-CN"/>
        </w:rPr>
        <w:t>我局于</w:t>
      </w:r>
      <w:r>
        <w:rPr>
          <w:rFonts w:hint="eastAsia" w:ascii="CESI仿宋-GB2312" w:hAnsi="CESI仿宋-GB2312" w:eastAsia="CESI仿宋-GB2312" w:cs="CESI仿宋-GB2312"/>
          <w:color w:val="000000"/>
          <w:sz w:val="32"/>
          <w:szCs w:val="32"/>
          <w:lang w:val="en-US" w:eastAsia="zh-CN"/>
        </w:rPr>
        <w:t>2025年9月10日在沁阳市东荒村南粮食收购点内现场检查时发现，机械型号：L928排放阶段III的装载抓机在机械作业，该机械车辆车主为陈普春，正在机械作业地点位于沁阳市高排放非道路移动机械禁用区内，焦作市生态环境局执法人员委托河南兴鹏检测服务中心对陈普春正在使用的装载抓机排放情况进行检测。检测完成后，结果显示装载抓机在自由加载情况下，三次检验装载抓机排放的尾气排放值分别为：第一次5.06m</w:t>
      </w:r>
      <w:r>
        <w:rPr>
          <w:rFonts w:hint="eastAsia" w:ascii="CESI仿宋-GB2312" w:hAnsi="CESI仿宋-GB2312" w:eastAsia="CESI仿宋-GB2312" w:cs="CESI仿宋-GB2312"/>
          <w:color w:val="000000"/>
          <w:sz w:val="32"/>
          <w:szCs w:val="32"/>
          <w:vertAlign w:val="superscript"/>
          <w:lang w:val="en-US" w:eastAsia="zh-CN"/>
        </w:rPr>
        <w:t>-1</w:t>
      </w:r>
      <w:r>
        <w:rPr>
          <w:rFonts w:hint="eastAsia" w:ascii="CESI仿宋-GB2312" w:hAnsi="CESI仿宋-GB2312" w:eastAsia="CESI仿宋-GB2312" w:cs="CESI仿宋-GB2312"/>
          <w:color w:val="000000"/>
          <w:sz w:val="32"/>
          <w:szCs w:val="32"/>
          <w:lang w:val="en-US" w:eastAsia="zh-CN"/>
        </w:rPr>
        <w:t>，第二次2.93m</w:t>
      </w:r>
      <w:r>
        <w:rPr>
          <w:rFonts w:hint="eastAsia" w:ascii="CESI仿宋-GB2312" w:hAnsi="CESI仿宋-GB2312" w:eastAsia="CESI仿宋-GB2312" w:cs="CESI仿宋-GB2312"/>
          <w:color w:val="000000"/>
          <w:sz w:val="32"/>
          <w:szCs w:val="32"/>
          <w:vertAlign w:val="superscript"/>
          <w:lang w:val="en-US" w:eastAsia="zh-CN"/>
        </w:rPr>
        <w:t>-1</w:t>
      </w:r>
      <w:r>
        <w:rPr>
          <w:rFonts w:hint="eastAsia" w:ascii="CESI仿宋-GB2312" w:hAnsi="CESI仿宋-GB2312" w:eastAsia="CESI仿宋-GB2312" w:cs="CESI仿宋-GB2312"/>
          <w:color w:val="000000"/>
          <w:sz w:val="32"/>
          <w:szCs w:val="32"/>
          <w:lang w:val="en-US" w:eastAsia="zh-CN"/>
        </w:rPr>
        <w:t>，第三次1.79m</w:t>
      </w:r>
      <w:r>
        <w:rPr>
          <w:rFonts w:hint="eastAsia" w:ascii="CESI仿宋-GB2312" w:hAnsi="CESI仿宋-GB2312" w:eastAsia="CESI仿宋-GB2312" w:cs="CESI仿宋-GB2312"/>
          <w:color w:val="000000"/>
          <w:sz w:val="32"/>
          <w:szCs w:val="32"/>
          <w:vertAlign w:val="superscript"/>
          <w:lang w:val="en-US" w:eastAsia="zh-CN"/>
        </w:rPr>
        <w:t>-1</w:t>
      </w:r>
      <w:r>
        <w:rPr>
          <w:rFonts w:hint="eastAsia" w:ascii="CESI仿宋-GB2312" w:hAnsi="CESI仿宋-GB2312" w:eastAsia="CESI仿宋-GB2312" w:cs="CESI仿宋-GB2312"/>
          <w:color w:val="000000"/>
          <w:sz w:val="32"/>
          <w:szCs w:val="32"/>
          <w:lang w:val="en-US" w:eastAsia="zh-CN"/>
        </w:rPr>
        <w:t>，排放限值是：0.80m</w:t>
      </w:r>
      <w:r>
        <w:rPr>
          <w:rFonts w:hint="eastAsia" w:ascii="CESI仿宋-GB2312" w:hAnsi="CESI仿宋-GB2312" w:eastAsia="CESI仿宋-GB2312" w:cs="CESI仿宋-GB2312"/>
          <w:color w:val="000000"/>
          <w:sz w:val="32"/>
          <w:szCs w:val="32"/>
          <w:vertAlign w:val="superscript"/>
          <w:lang w:val="en-US" w:eastAsia="zh-CN"/>
        </w:rPr>
        <w:t>-1</w:t>
      </w:r>
      <w:r>
        <w:rPr>
          <w:rFonts w:hint="eastAsia" w:ascii="CESI仿宋-GB2312" w:hAnsi="CESI仿宋-GB2312" w:eastAsia="CESI仿宋-GB2312" w:cs="CESI仿宋-GB2312"/>
          <w:color w:val="000000"/>
          <w:sz w:val="32"/>
          <w:szCs w:val="32"/>
          <w:lang w:val="en-US" w:eastAsia="zh-CN"/>
        </w:rPr>
        <w:t>，自由加速三次结果平均值（m</w:t>
      </w:r>
      <w:r>
        <w:rPr>
          <w:rFonts w:hint="eastAsia" w:ascii="CESI仿宋-GB2312" w:hAnsi="CESI仿宋-GB2312" w:eastAsia="CESI仿宋-GB2312" w:cs="CESI仿宋-GB2312"/>
          <w:color w:val="000000"/>
          <w:sz w:val="32"/>
          <w:szCs w:val="32"/>
          <w:vertAlign w:val="superscript"/>
          <w:lang w:val="en-US" w:eastAsia="zh-CN"/>
        </w:rPr>
        <w:t>-1</w:t>
      </w:r>
      <w:r>
        <w:rPr>
          <w:rFonts w:hint="eastAsia" w:ascii="CESI仿宋-GB2312" w:hAnsi="CESI仿宋-GB2312" w:eastAsia="CESI仿宋-GB2312" w:cs="CESI仿宋-GB2312"/>
          <w:color w:val="000000"/>
          <w:sz w:val="32"/>
          <w:szCs w:val="32"/>
          <w:lang w:val="en-US" w:eastAsia="zh-CN"/>
        </w:rPr>
        <w:t>）/自由加载三次结果最大值5.06m</w:t>
      </w:r>
      <w:r>
        <w:rPr>
          <w:rFonts w:hint="eastAsia" w:ascii="CESI仿宋-GB2312" w:hAnsi="CESI仿宋-GB2312" w:eastAsia="CESI仿宋-GB2312" w:cs="CESI仿宋-GB2312"/>
          <w:color w:val="000000"/>
          <w:sz w:val="32"/>
          <w:szCs w:val="32"/>
          <w:vertAlign w:val="superscript"/>
          <w:lang w:val="en-US" w:eastAsia="zh-CN"/>
        </w:rPr>
        <w:t>-1</w:t>
      </w:r>
      <w:r>
        <w:rPr>
          <w:rFonts w:hint="eastAsia" w:ascii="CESI仿宋-GB2312" w:hAnsi="CESI仿宋-GB2312" w:eastAsia="CESI仿宋-GB2312" w:cs="CESI仿宋-GB2312"/>
          <w:color w:val="000000"/>
          <w:sz w:val="32"/>
          <w:szCs w:val="32"/>
          <w:lang w:val="en-US" w:eastAsia="zh-CN"/>
        </w:rPr>
        <w:t>，结果判定为：不合格。</w:t>
      </w:r>
    </w:p>
    <w:p w14:paraId="15E5870E">
      <w:pPr>
        <w:pStyle w:val="3"/>
        <w:keepNext w:val="0"/>
        <w:keepLines w:val="0"/>
        <w:pageBreakBefore w:val="0"/>
        <w:widowControl/>
        <w:wordWrap/>
        <w:overflowPunct/>
        <w:bidi w:val="0"/>
        <w:adjustRightInd/>
        <w:snapToGrid/>
        <w:spacing w:before="0" w:beforeAutospacing="0" w:after="0" w:afterAutospacing="0" w:line="54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000000"/>
          <w:sz w:val="32"/>
          <w:szCs w:val="32"/>
          <w:lang w:val="en-US" w:eastAsia="zh-CN"/>
        </w:rPr>
        <w:t>你的上述行为</w:t>
      </w:r>
      <w:r>
        <w:rPr>
          <w:rFonts w:hint="eastAsia" w:ascii="CESI仿宋-GB2312" w:hAnsi="CESI仿宋-GB2312" w:eastAsia="CESI仿宋-GB2312" w:cs="CESI仿宋-GB2312"/>
          <w:color w:val="auto"/>
          <w:sz w:val="32"/>
          <w:szCs w:val="32"/>
          <w:lang w:val="en-US" w:eastAsia="en-US"/>
        </w:rPr>
        <w:t>违反了《河南省大气污染防治条例》第四十三条第四款</w:t>
      </w:r>
      <w:r>
        <w:rPr>
          <w:rFonts w:hint="eastAsia"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color w:val="auto"/>
          <w:sz w:val="32"/>
          <w:szCs w:val="32"/>
          <w:lang w:val="en-US" w:eastAsia="en-US"/>
        </w:rPr>
        <w:t>“城市人民政府可以根据大气环境质量状况，划定并公布禁止使用高排放非道路移动机械的区域。”的规定。</w:t>
      </w:r>
    </w:p>
    <w:p w14:paraId="6FAD9C88">
      <w:pPr>
        <w:pStyle w:val="3"/>
        <w:keepNext w:val="0"/>
        <w:keepLines w:val="0"/>
        <w:pageBreakBefore w:val="0"/>
        <w:widowControl/>
        <w:suppressLineNumbers w:val="0"/>
        <w:kinsoku/>
        <w:wordWrap/>
        <w:overflowPunct/>
        <w:topLinePunct w:val="0"/>
        <w:autoSpaceDE/>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以上事实，主要有以下证据证明：</w:t>
      </w:r>
    </w:p>
    <w:p w14:paraId="21FCA0D5">
      <w:pPr>
        <w:keepNext w:val="0"/>
        <w:keepLines w:val="0"/>
        <w:pageBreakBefore w:val="0"/>
        <w:widowControl w:val="0"/>
        <w:numPr>
          <w:ilvl w:val="0"/>
          <w:numId w:val="0"/>
        </w:numPr>
        <w:tabs>
          <w:tab w:val="left" w:pos="300"/>
          <w:tab w:val="center" w:pos="4365"/>
          <w:tab w:val="left" w:pos="6345"/>
        </w:tabs>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1.现场检查（勘察）笔录及现场照片、视频（2025年9月10日）证明陈普春使用装载抓机正在禁用区作业的事实；</w:t>
      </w:r>
    </w:p>
    <w:p w14:paraId="1A2B810B">
      <w:pPr>
        <w:keepNext w:val="0"/>
        <w:keepLines w:val="0"/>
        <w:pageBreakBefore w:val="0"/>
        <w:widowControl w:val="0"/>
        <w:numPr>
          <w:ilvl w:val="0"/>
          <w:numId w:val="0"/>
        </w:numPr>
        <w:tabs>
          <w:tab w:val="left" w:pos="300"/>
          <w:tab w:val="center" w:pos="4365"/>
          <w:tab w:val="left" w:pos="6345"/>
        </w:tabs>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2.调查询问笔录（2025年9月11日）证明陈普春使用装载抓机（国三）尾气排放不合格的事实；</w:t>
      </w:r>
    </w:p>
    <w:p w14:paraId="5D3CFD25">
      <w:pPr>
        <w:keepNext w:val="0"/>
        <w:keepLines w:val="0"/>
        <w:pageBreakBefore w:val="0"/>
        <w:widowControl w:val="0"/>
        <w:numPr>
          <w:ilvl w:val="0"/>
          <w:numId w:val="0"/>
        </w:numPr>
        <w:tabs>
          <w:tab w:val="left" w:pos="300"/>
          <w:tab w:val="center" w:pos="4365"/>
          <w:tab w:val="left" w:pos="6345"/>
        </w:tabs>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3.身份证复印件，证明陈普春的身份信息；</w:t>
      </w:r>
    </w:p>
    <w:p w14:paraId="7A0CD821">
      <w:pPr>
        <w:keepNext w:val="0"/>
        <w:keepLines w:val="0"/>
        <w:pageBreakBefore w:val="0"/>
        <w:widowControl w:val="0"/>
        <w:numPr>
          <w:ilvl w:val="0"/>
          <w:numId w:val="0"/>
        </w:numPr>
        <w:tabs>
          <w:tab w:val="left" w:pos="300"/>
          <w:tab w:val="center" w:pos="4365"/>
          <w:tab w:val="left" w:pos="6345"/>
        </w:tabs>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4.河南兴鹏检测服务中心检测报告，证明陈普春使用的装载抓机尾气排放值不合格；</w:t>
      </w:r>
    </w:p>
    <w:p w14:paraId="72DC60C0">
      <w:pPr>
        <w:keepNext w:val="0"/>
        <w:keepLines w:val="0"/>
        <w:pageBreakBefore w:val="0"/>
        <w:widowControl w:val="0"/>
        <w:numPr>
          <w:ilvl w:val="0"/>
          <w:numId w:val="0"/>
        </w:numPr>
        <w:tabs>
          <w:tab w:val="left" w:pos="300"/>
          <w:tab w:val="center" w:pos="4365"/>
          <w:tab w:val="left" w:pos="6345"/>
        </w:tabs>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5.执法人员的执法证复印件，证明执法人员的身份和资格；</w:t>
      </w:r>
    </w:p>
    <w:p w14:paraId="7C52B059">
      <w:pPr>
        <w:keepNext w:val="0"/>
        <w:keepLines w:val="0"/>
        <w:pageBreakBefore w:val="0"/>
        <w:widowControl w:val="0"/>
        <w:numPr>
          <w:ilvl w:val="0"/>
          <w:numId w:val="0"/>
        </w:numPr>
        <w:tabs>
          <w:tab w:val="left" w:pos="300"/>
          <w:tab w:val="center" w:pos="4365"/>
          <w:tab w:val="left" w:pos="6345"/>
        </w:tabs>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6.河南兴鹏检测服务中心检测人员的上岗证，证明现场检测人员的资质；</w:t>
      </w:r>
    </w:p>
    <w:p w14:paraId="1DABC081">
      <w:pPr>
        <w:keepNext w:val="0"/>
        <w:keepLines w:val="0"/>
        <w:pageBreakBefore w:val="0"/>
        <w:widowControl w:val="0"/>
        <w:numPr>
          <w:ilvl w:val="0"/>
          <w:numId w:val="0"/>
        </w:numPr>
        <w:tabs>
          <w:tab w:val="left" w:pos="300"/>
          <w:tab w:val="center" w:pos="4365"/>
          <w:tab w:val="left" w:pos="6345"/>
        </w:tabs>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7.沁阳市人民政府关于调整高排放非道路移动机械禁用区的通告，证明沁阳市高排放非道路移动机械禁用区的范围；</w:t>
      </w:r>
    </w:p>
    <w:p w14:paraId="222B5C87">
      <w:pPr>
        <w:pStyle w:val="3"/>
        <w:keepNext w:val="0"/>
        <w:keepLines w:val="0"/>
        <w:pageBreakBefore w:val="0"/>
        <w:widowControl/>
        <w:suppressLineNumbers w:val="0"/>
        <w:kinsoku/>
        <w:wordWrap/>
        <w:overflowPunct/>
        <w:topLinePunct w:val="0"/>
        <w:autoSpaceDE/>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000000"/>
          <w:sz w:val="32"/>
          <w:szCs w:val="32"/>
        </w:rPr>
      </w:pPr>
      <w:r>
        <w:rPr>
          <w:rFonts w:hint="eastAsia" w:ascii="CESI仿宋-GB2312" w:hAnsi="CESI仿宋-GB2312" w:eastAsia="CESI仿宋-GB2312" w:cs="CESI仿宋-GB2312"/>
          <w:color w:val="000000"/>
          <w:sz w:val="32"/>
          <w:szCs w:val="32"/>
          <w:u w:val="none"/>
          <w:lang w:val="en-US" w:eastAsia="zh-CN"/>
        </w:rPr>
        <w:t>8.其他证据。</w:t>
      </w:r>
    </w:p>
    <w:p w14:paraId="7452B16B">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firstLine="640" w:firstLineChars="200"/>
        <w:jc w:val="both"/>
        <w:textAlignment w:val="baseline"/>
        <w:rPr>
          <w:rFonts w:hint="eastAsia" w:ascii="CESI仿宋-GB2312" w:hAnsi="CESI仿宋-GB2312" w:eastAsia="CESI仿宋-GB2312" w:cs="CESI仿宋-GB2312"/>
          <w:sz w:val="32"/>
          <w:szCs w:val="32"/>
        </w:rPr>
      </w:pPr>
      <w:r>
        <w:rPr>
          <w:rFonts w:hint="eastAsia" w:ascii="CESI仿宋-GB2312" w:hAnsi="CESI仿宋-GB2312" w:eastAsia="CESI仿宋-GB2312" w:cs="CESI仿宋-GB2312"/>
          <w:color w:val="auto"/>
          <w:sz w:val="32"/>
          <w:szCs w:val="32"/>
          <w:lang w:val="en-US" w:eastAsia="zh-CN"/>
        </w:rPr>
        <w:t>我局于2025年10月13日直接送达《行政处罚事先（听证）告知书》（</w:t>
      </w:r>
      <w:r>
        <w:rPr>
          <w:rFonts w:hint="eastAsia" w:ascii="CESI仿宋-GB2312" w:hAnsi="CESI仿宋-GB2312" w:eastAsia="CESI仿宋-GB2312" w:cs="CESI仿宋-GB2312"/>
          <w:color w:val="auto"/>
          <w:kern w:val="2"/>
          <w:sz w:val="32"/>
          <w:szCs w:val="32"/>
          <w:lang w:val="en-US" w:eastAsia="zh-CN" w:bidi="ar-SA"/>
        </w:rPr>
        <w:t>焦沁环先</w:t>
      </w:r>
      <w:r>
        <w:rPr>
          <w:rFonts w:hint="eastAsia" w:ascii="CESI仿宋-GB2312" w:hAnsi="CESI仿宋-GB2312" w:eastAsia="CESI仿宋-GB2312" w:cs="CESI仿宋-GB2312"/>
          <w:color w:val="auto"/>
          <w:kern w:val="2"/>
          <w:sz w:val="32"/>
          <w:szCs w:val="32"/>
          <w:highlight w:val="none"/>
          <w:lang w:val="en-US" w:eastAsia="zh-CN" w:bidi="ar-SA"/>
        </w:rPr>
        <w:t>告字〔2025〕10号</w:t>
      </w:r>
      <w:r>
        <w:rPr>
          <w:rFonts w:hint="eastAsia"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color w:val="auto"/>
          <w:sz w:val="32"/>
          <w:szCs w:val="32"/>
        </w:rPr>
        <w:t>告知</w:t>
      </w:r>
      <w:r>
        <w:rPr>
          <w:rFonts w:hint="eastAsia" w:ascii="CESI仿宋-GB2312" w:hAnsi="CESI仿宋-GB2312" w:eastAsia="CESI仿宋-GB2312" w:cs="CESI仿宋-GB2312"/>
          <w:color w:val="auto"/>
          <w:sz w:val="32"/>
          <w:szCs w:val="32"/>
          <w:lang w:eastAsia="zh-CN"/>
        </w:rPr>
        <w:t>书告知</w:t>
      </w:r>
      <w:r>
        <w:rPr>
          <w:rFonts w:hint="eastAsia" w:ascii="CESI仿宋-GB2312" w:hAnsi="CESI仿宋-GB2312" w:eastAsia="CESI仿宋-GB2312" w:cs="CESI仿宋-GB2312"/>
          <w:color w:val="auto"/>
          <w:sz w:val="32"/>
          <w:szCs w:val="32"/>
        </w:rPr>
        <w:t>你陈述申辩权（听证申请权）</w:t>
      </w:r>
      <w:r>
        <w:rPr>
          <w:rFonts w:hint="eastAsia" w:ascii="CESI仿宋-GB2312" w:hAnsi="CESI仿宋-GB2312" w:eastAsia="CESI仿宋-GB2312" w:cs="CESI仿宋-GB2312"/>
          <w:color w:val="auto"/>
          <w:sz w:val="32"/>
          <w:szCs w:val="32"/>
          <w:lang w:eastAsia="zh-CN"/>
        </w:rPr>
        <w:t>。</w:t>
      </w:r>
      <w:r>
        <w:rPr>
          <w:rFonts w:hint="eastAsia" w:ascii="CESI仿宋-GB2312" w:hAnsi="CESI仿宋-GB2312" w:eastAsia="CESI仿宋-GB2312" w:cs="CESI仿宋-GB2312"/>
          <w:snapToGrid w:val="0"/>
          <w:color w:val="auto"/>
          <w:kern w:val="0"/>
          <w:sz w:val="32"/>
          <w:szCs w:val="32"/>
          <w:lang w:val="en-US" w:eastAsia="en-US" w:bidi="ar"/>
        </w:rPr>
        <w:t>你</w:t>
      </w:r>
      <w:r>
        <w:rPr>
          <w:rFonts w:hint="eastAsia" w:ascii="CESI仿宋-GB2312" w:hAnsi="CESI仿宋-GB2312" w:eastAsia="CESI仿宋-GB2312" w:cs="CESI仿宋-GB2312"/>
          <w:snapToGrid w:val="0"/>
          <w:color w:val="auto"/>
          <w:kern w:val="0"/>
          <w:sz w:val="32"/>
          <w:szCs w:val="32"/>
          <w:lang w:val="en-US" w:eastAsia="zh-CN" w:bidi="ar"/>
        </w:rPr>
        <w:t>在</w:t>
      </w:r>
      <w:r>
        <w:rPr>
          <w:rFonts w:hint="eastAsia" w:ascii="CESI仿宋-GB2312" w:hAnsi="CESI仿宋-GB2312" w:eastAsia="CESI仿宋-GB2312" w:cs="CESI仿宋-GB2312"/>
          <w:snapToGrid w:val="0"/>
          <w:color w:val="auto"/>
          <w:kern w:val="0"/>
          <w:sz w:val="32"/>
          <w:szCs w:val="32"/>
          <w:lang w:val="en-US" w:eastAsia="en-US" w:bidi="ar"/>
        </w:rPr>
        <w:t>法定期限内未提出陈述申辩，也未要求听证</w:t>
      </w:r>
      <w:r>
        <w:rPr>
          <w:rFonts w:hint="eastAsia" w:ascii="CESI仿宋-GB2312" w:hAnsi="CESI仿宋-GB2312" w:eastAsia="CESI仿宋-GB2312" w:cs="CESI仿宋-GB2312"/>
          <w:snapToGrid w:val="0"/>
          <w:color w:val="auto"/>
          <w:kern w:val="0"/>
          <w:sz w:val="32"/>
          <w:szCs w:val="32"/>
          <w:lang w:val="en-US" w:eastAsia="zh-CN" w:bidi="ar"/>
        </w:rPr>
        <w:t>，视为你放弃</w:t>
      </w:r>
      <w:r>
        <w:rPr>
          <w:rFonts w:hint="eastAsia" w:ascii="CESI仿宋-GB2312" w:hAnsi="CESI仿宋-GB2312" w:eastAsia="CESI仿宋-GB2312" w:cs="CESI仿宋-GB2312"/>
          <w:snapToGrid w:val="0"/>
          <w:color w:val="auto"/>
          <w:kern w:val="0"/>
          <w:sz w:val="32"/>
          <w:szCs w:val="32"/>
          <w:lang w:val="en-US" w:eastAsia="en-US" w:bidi="ar"/>
        </w:rPr>
        <w:t>陈述申辩</w:t>
      </w:r>
      <w:r>
        <w:rPr>
          <w:rFonts w:hint="eastAsia" w:ascii="CESI仿宋-GB2312" w:hAnsi="CESI仿宋-GB2312" w:eastAsia="CESI仿宋-GB2312" w:cs="CESI仿宋-GB2312"/>
          <w:snapToGrid w:val="0"/>
          <w:color w:val="auto"/>
          <w:kern w:val="0"/>
          <w:sz w:val="32"/>
          <w:szCs w:val="32"/>
          <w:lang w:val="en-US" w:eastAsia="zh-CN" w:bidi="ar"/>
        </w:rPr>
        <w:t>和</w:t>
      </w:r>
      <w:r>
        <w:rPr>
          <w:rFonts w:hint="eastAsia" w:ascii="CESI仿宋-GB2312" w:hAnsi="CESI仿宋-GB2312" w:eastAsia="CESI仿宋-GB2312" w:cs="CESI仿宋-GB2312"/>
          <w:snapToGrid w:val="0"/>
          <w:color w:val="auto"/>
          <w:kern w:val="0"/>
          <w:sz w:val="32"/>
          <w:szCs w:val="32"/>
          <w:lang w:val="en-US" w:eastAsia="en-US" w:bidi="ar"/>
        </w:rPr>
        <w:t>听</w:t>
      </w:r>
      <w:r>
        <w:rPr>
          <w:rFonts w:hint="eastAsia" w:ascii="CESI仿宋-GB2312" w:hAnsi="CESI仿宋-GB2312" w:eastAsia="CESI仿宋-GB2312" w:cs="CESI仿宋-GB2312"/>
          <w:snapToGrid w:val="0"/>
          <w:color w:val="auto"/>
          <w:kern w:val="0"/>
          <w:sz w:val="32"/>
          <w:szCs w:val="32"/>
          <w:lang w:val="en-US" w:eastAsia="zh-CN" w:bidi="ar"/>
        </w:rPr>
        <w:t>证权利。</w:t>
      </w:r>
    </w:p>
    <w:p w14:paraId="460B62DF">
      <w:pPr>
        <w:keepNext w:val="0"/>
        <w:keepLines w:val="0"/>
        <w:pageBreakBefore w:val="0"/>
        <w:widowControl w:val="0"/>
        <w:numPr>
          <w:ilvl w:val="0"/>
          <w:numId w:val="1"/>
        </w:numPr>
        <w:kinsoku/>
        <w:wordWrap/>
        <w:overflowPunct/>
        <w:topLinePunct w:val="0"/>
        <w:autoSpaceDE/>
        <w:autoSpaceDN/>
        <w:bidi w:val="0"/>
        <w:snapToGrid w:val="0"/>
        <w:spacing w:line="560" w:lineRule="exact"/>
        <w:ind w:left="0" w:leftChars="0"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行政处罚的依据、种类</w:t>
      </w:r>
    </w:p>
    <w:p w14:paraId="00804D65">
      <w:pPr>
        <w:keepNext w:val="0"/>
        <w:keepLines w:val="0"/>
        <w:pageBreakBefore w:val="0"/>
        <w:widowControl w:val="0"/>
        <w:kinsoku/>
        <w:wordWrap w:val="0"/>
        <w:overflowPunct/>
        <w:topLinePunct w:val="0"/>
        <w:autoSpaceDE/>
        <w:autoSpaceDN/>
        <w:bidi w:val="0"/>
        <w:adjustRightInd w:val="0"/>
        <w:snapToGrid w:val="0"/>
        <w:spacing w:line="560" w:lineRule="exact"/>
        <w:ind w:left="0" w:leftChars="0" w:firstLine="640" w:firstLineChars="200"/>
        <w:jc w:val="left"/>
        <w:textAlignment w:val="auto"/>
        <w:rPr>
          <w:rFonts w:hint="eastAsia" w:ascii="CESI仿宋-GB2312" w:hAnsi="CESI仿宋-GB2312" w:eastAsia="CESI仿宋-GB2312" w:cs="CESI仿宋-GB2312"/>
          <w:color w:val="000000"/>
          <w:w w:val="95"/>
          <w:kern w:val="0"/>
          <w:sz w:val="32"/>
          <w:szCs w:val="32"/>
          <w:lang w:val="en-US" w:eastAsia="zh-CN" w:bidi="ar"/>
        </w:rPr>
      </w:pPr>
      <w:r>
        <w:rPr>
          <w:rFonts w:hint="eastAsia" w:ascii="CESI仿宋-GB2312" w:hAnsi="CESI仿宋-GB2312" w:eastAsia="CESI仿宋-GB2312" w:cs="CESI仿宋-GB2312"/>
          <w:color w:val="auto"/>
          <w:sz w:val="32"/>
          <w:szCs w:val="32"/>
          <w:lang w:val="en-US" w:eastAsia="en-US"/>
        </w:rPr>
        <w:t>根据</w:t>
      </w:r>
      <w:r>
        <w:rPr>
          <w:rFonts w:hint="eastAsia" w:ascii="CESI仿宋-GB2312" w:hAnsi="CESI仿宋-GB2312" w:eastAsia="CESI仿宋-GB2312" w:cs="CESI仿宋-GB2312"/>
          <w:color w:val="auto"/>
          <w:sz w:val="32"/>
          <w:szCs w:val="32"/>
          <w:lang w:val="en-US" w:eastAsia="zh-CN"/>
        </w:rPr>
        <w:t>你</w:t>
      </w:r>
      <w:r>
        <w:rPr>
          <w:rFonts w:hint="eastAsia" w:ascii="CESI仿宋-GB2312" w:hAnsi="CESI仿宋-GB2312" w:eastAsia="CESI仿宋-GB2312" w:cs="CESI仿宋-GB2312"/>
          <w:color w:val="auto"/>
          <w:sz w:val="32"/>
          <w:szCs w:val="32"/>
          <w:lang w:val="en-US" w:eastAsia="en-US"/>
        </w:rPr>
        <w:t>违法行为的事实、性质、情节、社会危害程度和相关证据，参照《河南省生态环境行政处罚裁量基准》</w:t>
      </w:r>
      <w:r>
        <w:rPr>
          <w:rFonts w:hint="eastAsia" w:ascii="CESI仿宋-GB2312" w:hAnsi="CESI仿宋-GB2312" w:eastAsia="CESI仿宋-GB2312" w:cs="CESI仿宋-GB2312"/>
          <w:color w:val="auto"/>
          <w:sz w:val="32"/>
          <w:szCs w:val="32"/>
          <w:lang w:val="en-US" w:eastAsia="zh-CN"/>
        </w:rPr>
        <w:t>的</w:t>
      </w:r>
      <w:r>
        <w:rPr>
          <w:rFonts w:hint="eastAsia" w:ascii="CESI仿宋-GB2312" w:hAnsi="CESI仿宋-GB2312" w:eastAsia="CESI仿宋-GB2312" w:cs="CESI仿宋-GB2312"/>
          <w:color w:val="auto"/>
          <w:sz w:val="32"/>
          <w:szCs w:val="32"/>
          <w:lang w:val="en-US" w:eastAsia="en-US"/>
        </w:rPr>
        <w:t>裁量</w:t>
      </w:r>
      <w:r>
        <w:rPr>
          <w:rFonts w:hint="eastAsia" w:ascii="CESI仿宋-GB2312" w:hAnsi="CESI仿宋-GB2312" w:eastAsia="CESI仿宋-GB2312" w:cs="CESI仿宋-GB2312"/>
          <w:color w:val="auto"/>
          <w:sz w:val="32"/>
          <w:szCs w:val="32"/>
          <w:lang w:val="en-US" w:eastAsia="zh-CN"/>
        </w:rPr>
        <w:t>规定，处罚</w:t>
      </w:r>
      <w:r>
        <w:rPr>
          <w:rFonts w:hint="eastAsia" w:ascii="CESI仿宋-GB2312" w:hAnsi="CESI仿宋-GB2312" w:eastAsia="CESI仿宋-GB2312" w:cs="CESI仿宋-GB2312"/>
          <w:color w:val="auto"/>
          <w:sz w:val="32"/>
          <w:szCs w:val="32"/>
          <w:lang w:val="en-US" w:eastAsia="en-US"/>
        </w:rPr>
        <w:t>裁量</w:t>
      </w:r>
      <w:r>
        <w:rPr>
          <w:rFonts w:hint="eastAsia" w:ascii="CESI仿宋-GB2312" w:hAnsi="CESI仿宋-GB2312" w:eastAsia="CESI仿宋-GB2312" w:cs="CESI仿宋-GB2312"/>
          <w:color w:val="auto"/>
          <w:sz w:val="32"/>
          <w:szCs w:val="32"/>
          <w:lang w:val="en-US" w:eastAsia="zh-CN"/>
        </w:rPr>
        <w:t>内容如下</w:t>
      </w:r>
      <w:r>
        <w:rPr>
          <w:rFonts w:hint="eastAsia" w:ascii="CESI仿宋-GB2312" w:hAnsi="CESI仿宋-GB2312" w:eastAsia="CESI仿宋-GB2312" w:cs="CESI仿宋-GB2312"/>
          <w:color w:val="000000"/>
          <w:kern w:val="0"/>
          <w:sz w:val="32"/>
          <w:szCs w:val="32"/>
          <w:lang w:val="en-US" w:eastAsia="zh-CN" w:bidi="ar"/>
        </w:rPr>
        <w:t>：裁量因素：非道路移动机械数量，内容：1台，裁量等级：1，裁量因素：违法行为发生时期环境敏感度，内容：一般时期，裁量等级：1，裁量因素：超过限期改正时间，内容：限期改正，裁量等级：1，裁量因素：受处罚次数，内容：两年内未受到过同类处罚，裁量等级：1，裁量因素：是否配合执法检查，内容：配合检查，裁量等级：1，法定处罚金额上限(M)：20000，法定处罚金额下限(N)：5000，首要裁量因素裁量等级(A)：1，其余裁量因素个数(n)：4，其余裁量因素裁量等级(Bi)：[1,1,1,1],处罚金额(X)：5600,代入公式：5600=5000+(20000-5000)×[（1/5）</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+(1</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+1</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+1</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+1</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)/(5</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×4)]×50%，最终裁量金额：5600元</w:t>
      </w:r>
      <w:r>
        <w:rPr>
          <w:rFonts w:hint="eastAsia" w:ascii="CESI仿宋-GB2312" w:hAnsi="CESI仿宋-GB2312" w:eastAsia="CESI仿宋-GB2312" w:cs="CESI仿宋-GB2312"/>
          <w:color w:val="000000"/>
          <w:w w:val="95"/>
          <w:kern w:val="0"/>
          <w:sz w:val="32"/>
          <w:szCs w:val="32"/>
          <w:lang w:val="en-US" w:eastAsia="zh-CN" w:bidi="ar"/>
        </w:rPr>
        <w:t>。</w:t>
      </w:r>
    </w:p>
    <w:p w14:paraId="11CDA348">
      <w:pPr>
        <w:keepNext w:val="0"/>
        <w:keepLines w:val="0"/>
        <w:pageBreakBefore w:val="0"/>
        <w:widowControl w:val="0"/>
        <w:numPr>
          <w:ilvl w:val="0"/>
          <w:numId w:val="0"/>
        </w:numPr>
        <w:tabs>
          <w:tab w:val="left" w:pos="300"/>
          <w:tab w:val="center" w:pos="4365"/>
          <w:tab w:val="left" w:pos="6345"/>
        </w:tabs>
        <w:kinsoku/>
        <w:wordWrap/>
        <w:overflowPunct/>
        <w:topLinePunct w:val="0"/>
        <w:autoSpaceDE/>
        <w:autoSpaceDN/>
        <w:bidi w:val="0"/>
        <w:adjustRightInd/>
        <w:snapToGrid/>
        <w:spacing w:line="540" w:lineRule="exact"/>
        <w:ind w:left="0" w:leftChars="0" w:right="0" w:rightChars="0" w:firstLine="640" w:firstLineChars="200"/>
        <w:jc w:val="both"/>
        <w:textAlignment w:val="auto"/>
        <w:rPr>
          <w:rFonts w:hint="eastAsia" w:ascii="CESI仿宋-GB2312" w:hAnsi="CESI仿宋-GB2312" w:eastAsia="CESI仿宋-GB2312" w:cs="CESI仿宋-GB2312"/>
          <w:color w:val="000000"/>
          <w:kern w:val="0"/>
          <w:sz w:val="32"/>
          <w:szCs w:val="32"/>
          <w:lang w:val="en-US" w:eastAsia="zh-CN" w:bidi="ar"/>
        </w:rPr>
      </w:pPr>
      <w:r>
        <w:rPr>
          <w:rFonts w:hint="eastAsia" w:ascii="CESI仿宋-GB2312" w:hAnsi="CESI仿宋-GB2312" w:eastAsia="CESI仿宋-GB2312" w:cs="CESI仿宋-GB2312"/>
          <w:color w:val="auto"/>
          <w:sz w:val="32"/>
          <w:szCs w:val="32"/>
          <w:lang w:val="en-US" w:eastAsia="zh-CN"/>
        </w:rPr>
        <w:t>根</w:t>
      </w:r>
      <w:r>
        <w:rPr>
          <w:rFonts w:hint="eastAsia" w:ascii="CESI仿宋-GB2312" w:hAnsi="CESI仿宋-GB2312" w:eastAsia="CESI仿宋-GB2312" w:cs="CESI仿宋-GB2312"/>
          <w:color w:val="auto"/>
          <w:sz w:val="32"/>
          <w:szCs w:val="32"/>
          <w:lang w:val="en-US" w:eastAsia="en-US"/>
        </w:rPr>
        <w:t>据《河南省大气污染防治条例》第七十四条第二款：“违反本条例第四十三条第四款规定，在禁止使用高排放非道路移动机械的区域使用高排放非道路移动机械的，由城市人民政府环境保护主管部门或者其他负有大气环境保护监督管理职责的部门责令停止使用，处五千元以上二万元以下罚款。”</w:t>
      </w:r>
      <w:r>
        <w:rPr>
          <w:rFonts w:hint="eastAsia" w:ascii="CESI仿宋-GB2312" w:hAnsi="CESI仿宋-GB2312" w:eastAsia="CESI仿宋-GB2312" w:cs="CESI仿宋-GB2312"/>
          <w:color w:val="auto"/>
          <w:sz w:val="32"/>
          <w:szCs w:val="32"/>
          <w:lang w:val="en-US" w:eastAsia="zh-CN"/>
        </w:rPr>
        <w:t>的规定，</w:t>
      </w:r>
      <w:r>
        <w:rPr>
          <w:rFonts w:hint="eastAsia" w:ascii="CESI仿宋-GB2312" w:hAnsi="CESI仿宋-GB2312" w:eastAsia="CESI仿宋-GB2312" w:cs="CESI仿宋-GB2312"/>
          <w:b w:val="0"/>
          <w:bCs w:val="0"/>
          <w:color w:val="auto"/>
          <w:kern w:val="2"/>
          <w:sz w:val="32"/>
          <w:szCs w:val="32"/>
          <w:lang w:val="en-US" w:eastAsia="zh-CN" w:bidi="ar-SA"/>
        </w:rPr>
        <w:t>我局对你在禁用区使用高排放的非道路移动机械的违法行为作出如下处理决定：</w:t>
      </w:r>
    </w:p>
    <w:p w14:paraId="3860FF4D">
      <w:pPr>
        <w:pStyle w:val="3"/>
        <w:keepNext w:val="0"/>
        <w:keepLines w:val="0"/>
        <w:pageBreakBefore w:val="0"/>
        <w:widowControl/>
        <w:suppressLineNumbers w:val="0"/>
        <w:kinsoku/>
        <w:wordWrap/>
        <w:overflowPunct/>
        <w:topLinePunct w:val="0"/>
        <w:autoSpaceDE/>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000000"/>
          <w:kern w:val="0"/>
          <w:sz w:val="32"/>
          <w:szCs w:val="32"/>
          <w:lang w:val="en-US" w:eastAsia="zh-CN" w:bidi="ar"/>
        </w:rPr>
      </w:pPr>
      <w:r>
        <w:rPr>
          <w:rFonts w:hint="eastAsia" w:ascii="CESI仿宋-GB2312" w:hAnsi="CESI仿宋-GB2312" w:eastAsia="CESI仿宋-GB2312" w:cs="CESI仿宋-GB2312"/>
          <w:color w:val="000000"/>
          <w:kern w:val="0"/>
          <w:sz w:val="32"/>
          <w:szCs w:val="32"/>
          <w:lang w:val="en-US" w:eastAsia="zh-CN" w:bidi="ar"/>
        </w:rPr>
        <w:t>罚款伍仟陆佰元（5600元）</w:t>
      </w:r>
      <w:r>
        <w:rPr>
          <w:rFonts w:hint="eastAsia" w:ascii="CESI仿宋-GB2312" w:hAnsi="CESI仿宋-GB2312" w:eastAsia="CESI仿宋-GB2312" w:cs="CESI仿宋-GB2312"/>
          <w:color w:val="000000" w:themeColor="text1"/>
          <w:sz w:val="32"/>
          <w:szCs w:val="32"/>
          <w:lang w:eastAsia="zh-CN"/>
          <w14:textFill>
            <w14:solidFill>
              <w14:schemeClr w14:val="tx1"/>
            </w14:solidFill>
          </w14:textFill>
        </w:rPr>
        <w:t>。</w:t>
      </w:r>
    </w:p>
    <w:p w14:paraId="5539E7BC">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24" w:firstLineChars="200"/>
        <w:jc w:val="left"/>
        <w:textAlignment w:val="baseline"/>
        <w:outlineLvl w:val="9"/>
        <w:rPr>
          <w:rFonts w:hint="eastAsia" w:ascii="黑体" w:hAnsi="黑体" w:eastAsia="黑体" w:cs="黑体"/>
          <w:snapToGrid w:val="0"/>
          <w:color w:val="000000"/>
          <w:spacing w:val="-4"/>
          <w:kern w:val="0"/>
          <w:sz w:val="32"/>
          <w:szCs w:val="32"/>
          <w:lang w:val="en-US" w:eastAsia="zh-CN"/>
        </w:rPr>
      </w:pPr>
      <w:r>
        <w:rPr>
          <w:rFonts w:hint="eastAsia" w:ascii="黑体" w:hAnsi="黑体" w:eastAsia="黑体" w:cs="黑体"/>
          <w:snapToGrid w:val="0"/>
          <w:color w:val="000000"/>
          <w:spacing w:val="-4"/>
          <w:kern w:val="0"/>
          <w:sz w:val="32"/>
          <w:szCs w:val="32"/>
          <w:lang w:val="en-US" w:eastAsia="zh-CN"/>
        </w:rPr>
        <w:t>三、行政处罚决定的履行方式和期限</w:t>
      </w:r>
    </w:p>
    <w:p w14:paraId="041B8E28">
      <w:pPr>
        <w:keepNext w:val="0"/>
        <w:keepLines w:val="0"/>
        <w:pageBreakBefore w:val="0"/>
        <w:wordWrap/>
        <w:overflowPunct/>
        <w:topLinePunct w:val="0"/>
        <w:bidi w:val="0"/>
        <w:adjustRightInd w:val="0"/>
        <w:snapToGrid w:val="0"/>
        <w:spacing w:line="560" w:lineRule="exact"/>
        <w:ind w:left="0" w:leftChars="0" w:right="0" w:firstLine="640" w:firstLineChars="200"/>
        <w:textAlignment w:val="auto"/>
        <w:outlineLvl w:val="9"/>
        <w:rPr>
          <w:rFonts w:hint="eastAsia" w:ascii="CESI仿宋-GB2312" w:hAnsi="CESI仿宋-GB2312" w:eastAsia="CESI仿宋-GB2312" w:cs="CESI仿宋-GB2312"/>
          <w:color w:val="000000"/>
          <w:kern w:val="0"/>
          <w:sz w:val="32"/>
          <w:szCs w:val="32"/>
          <w:u w:val="none"/>
          <w:lang w:val="en-US" w:eastAsia="zh-CN"/>
        </w:rPr>
      </w:pPr>
      <w:r>
        <w:rPr>
          <w:rFonts w:hint="eastAsia" w:ascii="CESI仿宋-GB2312" w:hAnsi="CESI仿宋-GB2312" w:eastAsia="CESI仿宋-GB2312" w:cs="CESI仿宋-GB2312"/>
          <w:color w:val="000000"/>
          <w:kern w:val="0"/>
          <w:sz w:val="32"/>
          <w:szCs w:val="32"/>
          <w:u w:val="none"/>
          <w:lang w:val="en-US" w:eastAsia="zh-CN"/>
        </w:rPr>
        <w:t>根据《中华人民共和国行政处罚法》和《罚款决定与罚款收缴分离实施办法》的规定，你应当自收到本处罚决定书之日起15日内将罚款缴至焦作市财政局非税收入财政专户(开户行:邮政储蓄银行民主南路支行;银行账号:100195545980010001)。缴款时，当事人需在缴款备注栏注明“生态环境行政处罚款”及具体的处罚决定书编号等信息，以便准确核对缴款记录。</w:t>
      </w:r>
    </w:p>
    <w:p w14:paraId="353282AE">
      <w:pPr>
        <w:keepNext w:val="0"/>
        <w:keepLines w:val="0"/>
        <w:pageBreakBefore w:val="0"/>
        <w:widowControl/>
        <w:wordWrap/>
        <w:overflowPunct/>
        <w:topLinePunct w:val="0"/>
        <w:bidi w:val="0"/>
        <w:spacing w:line="560" w:lineRule="exact"/>
        <w:ind w:left="0" w:leftChars="0" w:firstLine="640" w:firstLineChars="200"/>
        <w:jc w:val="left"/>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四、申请行政复议或提起行政诉讼的途径和期限</w:t>
      </w:r>
    </w:p>
    <w:p w14:paraId="6949A04B">
      <w:pPr>
        <w:keepNext w:val="0"/>
        <w:keepLines w:val="0"/>
        <w:pageBreakBefore w:val="0"/>
        <w:wordWrap/>
        <w:overflowPunct/>
        <w:bidi w:val="0"/>
        <w:adjustRightInd w:val="0"/>
        <w:snapToGrid w:val="0"/>
        <w:spacing w:line="540" w:lineRule="exact"/>
        <w:ind w:left="0" w:leftChars="0" w:firstLine="640" w:firstLineChars="200"/>
        <w:textAlignment w:val="auto"/>
        <w:rPr>
          <w:rFonts w:hint="eastAsia" w:ascii="CESI仿宋-GB2312" w:hAnsi="CESI仿宋-GB2312" w:eastAsia="CESI仿宋-GB2312" w:cs="CESI仿宋-GB2312"/>
          <w:b w:val="0"/>
          <w:color w:val="auto"/>
          <w:sz w:val="32"/>
          <w:szCs w:val="32"/>
          <w:lang w:val="en-US" w:eastAsia="zh-CN"/>
        </w:rPr>
      </w:pPr>
      <w:r>
        <w:rPr>
          <w:rFonts w:hint="eastAsia" w:ascii="CESI仿宋-GB2312" w:hAnsi="CESI仿宋-GB2312" w:eastAsia="CESI仿宋-GB2312" w:cs="CESI仿宋-GB2312"/>
          <w:b w:val="0"/>
          <w:color w:val="auto"/>
          <w:sz w:val="32"/>
          <w:szCs w:val="32"/>
          <w:lang w:val="en-US" w:eastAsia="zh-CN"/>
        </w:rPr>
        <w:t>你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p>
    <w:p w14:paraId="72AB0794">
      <w:pPr>
        <w:keepNext w:val="0"/>
        <w:keepLines w:val="0"/>
        <w:pageBreakBefore w:val="0"/>
        <w:widowControl/>
        <w:suppressLineNumbers w:val="0"/>
        <w:overflowPunct/>
        <w:topLinePunct w:val="0"/>
        <w:bidi w:val="0"/>
        <w:spacing w:line="560" w:lineRule="exact"/>
        <w:ind w:left="0" w:leftChars="0" w:firstLine="640" w:firstLineChars="200"/>
        <w:jc w:val="distribute"/>
        <w:rPr>
          <w:rFonts w:hint="eastAsia" w:ascii="CESI仿宋-GB2312" w:hAnsi="CESI仿宋-GB2312" w:eastAsia="CESI仿宋-GB2312" w:cs="CESI仿宋-GB2312"/>
          <w:color w:val="auto"/>
          <w:sz w:val="32"/>
          <w:szCs w:val="32"/>
          <w:lang w:val="en-US" w:eastAsia="zh-CN"/>
        </w:rPr>
      </w:pPr>
    </w:p>
    <w:p w14:paraId="71F4C6F3">
      <w:pPr>
        <w:keepNext w:val="0"/>
        <w:keepLines w:val="0"/>
        <w:pageBreakBefore w:val="0"/>
        <w:widowControl/>
        <w:suppressLineNumbers w:val="0"/>
        <w:overflowPunct/>
        <w:topLinePunct w:val="0"/>
        <w:bidi w:val="0"/>
        <w:spacing w:line="560" w:lineRule="exact"/>
        <w:ind w:left="0" w:leftChars="0"/>
        <w:jc w:val="left"/>
        <w:rPr>
          <w:rFonts w:hint="eastAsia" w:ascii="仿宋_GB2312" w:hAnsi="仿宋_GB2312" w:eastAsia="仿宋_GB2312" w:cs="仿宋_GB2312"/>
          <w:color w:val="auto"/>
          <w:sz w:val="32"/>
          <w:szCs w:val="32"/>
          <w:lang w:val="en-US" w:eastAsia="zh-CN"/>
        </w:rPr>
      </w:pPr>
    </w:p>
    <w:p w14:paraId="10E4AB0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color w:val="auto"/>
          <w:sz w:val="32"/>
          <w:szCs w:val="32"/>
          <w:lang w:val="en-US" w:eastAsia="zh-CN"/>
        </w:rPr>
      </w:pPr>
    </w:p>
    <w:p w14:paraId="27D9C82C">
      <w:pPr>
        <w:keepNext w:val="0"/>
        <w:keepLines w:val="0"/>
        <w:pageBreakBefore w:val="0"/>
        <w:widowControl w:val="0"/>
        <w:kinsoku/>
        <w:wordWrap/>
        <w:overflowPunct/>
        <w:topLinePunct w:val="0"/>
        <w:autoSpaceDE/>
        <w:autoSpaceDN/>
        <w:bidi w:val="0"/>
        <w:adjustRightInd/>
        <w:snapToGrid/>
        <w:spacing w:line="560" w:lineRule="exact"/>
        <w:ind w:left="4480" w:leftChars="0" w:hanging="4480" w:hangingChars="1400"/>
        <w:textAlignment w:val="auto"/>
        <w:rPr>
          <w:rFonts w:hint="eastAsia" w:ascii="CESI仿宋-GB2312" w:hAnsi="CESI仿宋-GB2312" w:eastAsia="CESI仿宋-GB2312" w:cs="CESI仿宋-GB2312"/>
          <w:color w:val="auto"/>
          <w:sz w:val="32"/>
          <w:szCs w:val="32"/>
          <w:lang w:val="en-US" w:eastAsia="zh-CN"/>
        </w:rPr>
      </w:pPr>
      <w:r>
        <w:rPr>
          <w:rFonts w:hint="eastAsia" w:ascii="仿宋" w:hAnsi="仿宋" w:eastAsia="仿宋" w:cs="仿宋"/>
          <w:color w:val="auto"/>
          <w:sz w:val="32"/>
          <w:szCs w:val="32"/>
          <w:lang w:val="en-US" w:eastAsia="zh-CN"/>
        </w:rPr>
        <w:t xml:space="preserve">                                 </w:t>
      </w:r>
      <w:r>
        <w:rPr>
          <w:rFonts w:hint="eastAsia" w:ascii="CESI仿宋-GB2312" w:hAnsi="CESI仿宋-GB2312" w:eastAsia="CESI仿宋-GB2312" w:cs="CESI仿宋-GB2312"/>
          <w:color w:val="auto"/>
          <w:sz w:val="32"/>
          <w:szCs w:val="32"/>
          <w:lang w:val="en-US" w:eastAsia="zh-CN"/>
        </w:rPr>
        <w:t>2025年11月7日</w:t>
      </w:r>
    </w:p>
    <w:sectPr>
      <w:pgSz w:w="11906" w:h="16838"/>
      <w:pgMar w:top="1814" w:right="1474" w:bottom="147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6835954-5B92-4950-BAC1-983236005BF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方正小标宋_GBK">
    <w:panose1 w:val="02000000000000000000"/>
    <w:charset w:val="86"/>
    <w:family w:val="script"/>
    <w:pitch w:val="default"/>
    <w:sig w:usb0="A00002BF" w:usb1="38CF7CFA" w:usb2="00082016" w:usb3="00000000" w:csb0="00040001" w:csb1="00000000"/>
    <w:embedRegular r:id="rId2" w:fontKey="{E2CA2E0B-BBE5-497D-9019-4CA1E2223A6B}"/>
  </w:font>
  <w:font w:name="仿宋">
    <w:panose1 w:val="02010609060101010101"/>
    <w:charset w:val="86"/>
    <w:family w:val="auto"/>
    <w:pitch w:val="default"/>
    <w:sig w:usb0="800002BF" w:usb1="38CF7CFA" w:usb2="00000016" w:usb3="00000000" w:csb0="00040001" w:csb1="00000000"/>
    <w:embedRegular r:id="rId3" w:fontKey="{0209A2D4-4810-4F5C-9584-637D8AD940B7}"/>
  </w:font>
  <w:font w:name="CESI仿宋-GB2312">
    <w:altName w:val="仿宋"/>
    <w:panose1 w:val="02000500000000000000"/>
    <w:charset w:val="86"/>
    <w:family w:val="auto"/>
    <w:pitch w:val="default"/>
    <w:sig w:usb0="00000000" w:usb1="00000000" w:usb2="00000010" w:usb3="00000000" w:csb0="0004000F" w:csb1="00000000"/>
    <w:embedRegular r:id="rId4" w:fontKey="{13B9E4DE-7D80-49FD-B89F-FED242B64959}"/>
  </w:font>
  <w:font w:name="仿宋_GB2312">
    <w:altName w:val="仿宋"/>
    <w:panose1 w:val="02010609030101010101"/>
    <w:charset w:val="86"/>
    <w:family w:val="modern"/>
    <w:pitch w:val="default"/>
    <w:sig w:usb0="00000000" w:usb1="00000000" w:usb2="00000000" w:usb3="00000000" w:csb0="00040000" w:csb1="00000000"/>
    <w:embedRegular r:id="rId5" w:fontKey="{F76A8C07-C849-43B4-A548-ECDBCB4EB6BC}"/>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F721E4"/>
    <w:multiLevelType w:val="singleLevel"/>
    <w:tmpl w:val="1CF721E4"/>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lMjYzYjY0NDc3YWQ3MmM5M2UxZWVhYzAzYmFjZDQifQ=="/>
  </w:docVars>
  <w:rsids>
    <w:rsidRoot w:val="00000000"/>
    <w:rsid w:val="02AF37D1"/>
    <w:rsid w:val="03CE521F"/>
    <w:rsid w:val="04E64BE5"/>
    <w:rsid w:val="0ABB4D47"/>
    <w:rsid w:val="0CEA6888"/>
    <w:rsid w:val="0FBD7408"/>
    <w:rsid w:val="1C330BE1"/>
    <w:rsid w:val="1CCA6AFD"/>
    <w:rsid w:val="266F0A68"/>
    <w:rsid w:val="27660B1C"/>
    <w:rsid w:val="29AA0009"/>
    <w:rsid w:val="2D1F7265"/>
    <w:rsid w:val="2D9340EB"/>
    <w:rsid w:val="2DA214DE"/>
    <w:rsid w:val="2DF0B43F"/>
    <w:rsid w:val="2F394CAA"/>
    <w:rsid w:val="32B904BF"/>
    <w:rsid w:val="3419666E"/>
    <w:rsid w:val="37EF965F"/>
    <w:rsid w:val="38F756FF"/>
    <w:rsid w:val="392E47B3"/>
    <w:rsid w:val="3C9D42A1"/>
    <w:rsid w:val="40EC44BB"/>
    <w:rsid w:val="40FF333D"/>
    <w:rsid w:val="47044AB7"/>
    <w:rsid w:val="53116184"/>
    <w:rsid w:val="538434F5"/>
    <w:rsid w:val="551F53AE"/>
    <w:rsid w:val="55F45FE4"/>
    <w:rsid w:val="581D5B1D"/>
    <w:rsid w:val="585917BE"/>
    <w:rsid w:val="5CFF79A9"/>
    <w:rsid w:val="5DA34444"/>
    <w:rsid w:val="60DF31A5"/>
    <w:rsid w:val="61F25ACE"/>
    <w:rsid w:val="63E1229E"/>
    <w:rsid w:val="65CF4A80"/>
    <w:rsid w:val="6F908536"/>
    <w:rsid w:val="6FF9828A"/>
    <w:rsid w:val="725E5096"/>
    <w:rsid w:val="72717675"/>
    <w:rsid w:val="77EF4574"/>
    <w:rsid w:val="7D5D6252"/>
    <w:rsid w:val="7F84220E"/>
    <w:rsid w:val="87FD3903"/>
    <w:rsid w:val="DFF71BB1"/>
    <w:rsid w:val="DFFDBE1C"/>
    <w:rsid w:val="ECFFC691"/>
    <w:rsid w:val="F4C5A7DA"/>
    <w:rsid w:val="FBFB8EB7"/>
    <w:rsid w:val="FCAF2ECD"/>
    <w:rsid w:val="FE3FCE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宋体"/>
      <w:kern w:val="2"/>
      <w:sz w:val="21"/>
      <w:szCs w:val="24"/>
      <w:lang w:val="en-US" w:eastAsia="zh-CN" w:bidi="ar-SA"/>
    </w:rPr>
  </w:style>
  <w:style w:type="character" w:default="1" w:styleId="5">
    <w:name w:val="Default Paragraph Font"/>
    <w:autoRedefine/>
    <w:qFormat/>
    <w:uiPriority w:val="0"/>
  </w:style>
  <w:style w:type="table" w:default="1" w:styleId="4">
    <w:name w:val="Normal Table"/>
    <w:autoRedefine/>
    <w:qFormat/>
    <w:uiPriority w:val="0"/>
    <w:tblPr>
      <w:tblCellMar>
        <w:top w:w="0" w:type="dxa"/>
        <w:left w:w="108" w:type="dxa"/>
        <w:bottom w:w="0" w:type="dxa"/>
        <w:right w:w="108" w:type="dxa"/>
      </w:tblCellMar>
    </w:tblPr>
  </w:style>
  <w:style w:type="paragraph" w:styleId="2">
    <w:name w:val="Body Text"/>
    <w:basedOn w:val="1"/>
    <w:next w:val="1"/>
    <w:autoRedefine/>
    <w:qFormat/>
    <w:uiPriority w:val="0"/>
    <w:pPr>
      <w:jc w:val="center"/>
    </w:pPr>
    <w:rPr>
      <w:rFonts w:ascii="华文中宋" w:eastAsia="华文中宋"/>
      <w:b/>
      <w:bCs/>
      <w:sz w:val="44"/>
      <w:szCs w:val="36"/>
    </w:rPr>
  </w:style>
  <w:style w:type="paragraph" w:styleId="3">
    <w:name w:val="Normal (Web)"/>
    <w:basedOn w:val="1"/>
    <w:autoRedefine/>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1610</Words>
  <Characters>1807</Characters>
  <Paragraphs>25</Paragraphs>
  <TotalTime>0</TotalTime>
  <ScaleCrop>false</ScaleCrop>
  <LinksUpToDate>false</LinksUpToDate>
  <CharactersWithSpaces>1840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2022-02-22T09:06:00Z</dcterms:created>
  <dc:creator>Administrator</dc:creator>
  <cp:lastModifiedBy>吴嘉嘉</cp:lastModifiedBy>
  <cp:lastPrinted>2024-02-06T01:22:00Z</cp:lastPrinted>
  <dcterms:modified xsi:type="dcterms:W3CDTF">2025-11-08T00:19:43Z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A3F14A1D19914A03886C5E5F4DCB0C91_13</vt:lpwstr>
  </property>
  <property fmtid="{D5CDD505-2E9C-101B-9397-08002B2CF9AE}" pid="4" name="KSOTemplateDocerSaveRecord">
    <vt:lpwstr>eyJoZGlkIjoiYmViMDNiNDM1M2UzNTJmYjI0MDE2NWRjMWI5MTc1YmMiLCJ1c2VySWQiOiI0MjYwNTU1MDYifQ==</vt:lpwstr>
  </property>
</Properties>
</file>