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C35341">
      <w:pPr>
        <w:keepNext w:val="0"/>
        <w:keepLines w:val="0"/>
        <w:pageBreakBefore w:val="0"/>
        <w:widowControl w:val="0"/>
        <w:kinsoku/>
        <w:wordWrap/>
        <w:overflowPunct/>
        <w:topLinePunct w:val="0"/>
        <w:autoSpaceDE/>
        <w:autoSpaceDN/>
        <w:bidi w:val="0"/>
        <w:adjustRightInd/>
        <w:snapToGrid w:val="0"/>
        <w:spacing w:line="560" w:lineRule="exact"/>
        <w:ind w:left="0" w:leftChars="0"/>
        <w:jc w:val="center"/>
        <w:textAlignment w:val="auto"/>
        <w:rPr>
          <w:rFonts w:hint="eastAsia" w:ascii="Times New Roman" w:hAnsi="Times New Roman" w:eastAsia="方正小标宋_GBK" w:cs="Times New Roman"/>
          <w:b w:val="0"/>
          <w:bCs/>
          <w:color w:val="auto"/>
          <w:sz w:val="44"/>
          <w:szCs w:val="44"/>
          <w:lang w:eastAsia="zh-CN"/>
        </w:rPr>
      </w:pPr>
    </w:p>
    <w:p w14:paraId="74EA1CC2">
      <w:pPr>
        <w:keepNext w:val="0"/>
        <w:keepLines w:val="0"/>
        <w:pageBreakBefore w:val="0"/>
        <w:widowControl w:val="0"/>
        <w:kinsoku/>
        <w:wordWrap/>
        <w:overflowPunct/>
        <w:topLinePunct w:val="0"/>
        <w:autoSpaceDE/>
        <w:autoSpaceDN/>
        <w:bidi w:val="0"/>
        <w:adjustRightInd/>
        <w:snapToGrid w:val="0"/>
        <w:spacing w:line="560" w:lineRule="exact"/>
        <w:ind w:left="0" w:leftChars="0"/>
        <w:jc w:val="center"/>
        <w:textAlignment w:val="auto"/>
        <w:rPr>
          <w:rFonts w:hint="eastAsia" w:ascii="Times New Roman" w:hAnsi="Times New Roman" w:eastAsia="方正小标宋_GBK" w:cs="Times New Roman"/>
          <w:b w:val="0"/>
          <w:bCs/>
          <w:color w:val="auto"/>
          <w:sz w:val="44"/>
          <w:szCs w:val="44"/>
          <w:lang w:eastAsia="zh-CN"/>
        </w:rPr>
      </w:pPr>
    </w:p>
    <w:p w14:paraId="1C906593">
      <w:pPr>
        <w:keepNext w:val="0"/>
        <w:keepLines w:val="0"/>
        <w:pageBreakBefore w:val="0"/>
        <w:widowControl w:val="0"/>
        <w:kinsoku/>
        <w:wordWrap/>
        <w:overflowPunct/>
        <w:topLinePunct w:val="0"/>
        <w:autoSpaceDE/>
        <w:autoSpaceDN/>
        <w:bidi w:val="0"/>
        <w:adjustRightInd/>
        <w:snapToGrid w:val="0"/>
        <w:spacing w:line="560" w:lineRule="exact"/>
        <w:ind w:left="0" w:leftChars="0"/>
        <w:jc w:val="center"/>
        <w:textAlignment w:val="auto"/>
        <w:rPr>
          <w:rFonts w:hint="default" w:ascii="Times New Roman" w:hAnsi="Times New Roman" w:eastAsia="方正小标宋_GBK" w:cs="Times New Roman"/>
          <w:b w:val="0"/>
          <w:bCs/>
          <w:color w:val="auto"/>
          <w:sz w:val="44"/>
          <w:szCs w:val="44"/>
        </w:rPr>
      </w:pPr>
      <w:r>
        <w:rPr>
          <w:rFonts w:hint="eastAsia" w:ascii="Times New Roman" w:hAnsi="Times New Roman" w:eastAsia="方正小标宋_GBK" w:cs="Times New Roman"/>
          <w:b w:val="0"/>
          <w:bCs/>
          <w:color w:val="auto"/>
          <w:sz w:val="44"/>
          <w:szCs w:val="44"/>
          <w:lang w:eastAsia="zh-CN"/>
        </w:rPr>
        <w:t>焦作市</w:t>
      </w:r>
      <w:r>
        <w:rPr>
          <w:rFonts w:hint="default" w:ascii="Times New Roman" w:hAnsi="Times New Roman" w:eastAsia="方正小标宋_GBK" w:cs="Times New Roman"/>
          <w:b w:val="0"/>
          <w:bCs/>
          <w:color w:val="auto"/>
          <w:sz w:val="44"/>
          <w:szCs w:val="44"/>
        </w:rPr>
        <w:t>生态环境局</w:t>
      </w:r>
    </w:p>
    <w:p w14:paraId="26B5C8DE">
      <w:pPr>
        <w:keepNext w:val="0"/>
        <w:keepLines w:val="0"/>
        <w:pageBreakBefore w:val="0"/>
        <w:widowControl w:val="0"/>
        <w:kinsoku/>
        <w:wordWrap/>
        <w:overflowPunct/>
        <w:topLinePunct w:val="0"/>
        <w:autoSpaceDE/>
        <w:autoSpaceDN/>
        <w:bidi w:val="0"/>
        <w:adjustRightInd/>
        <w:snapToGrid w:val="0"/>
        <w:spacing w:line="560" w:lineRule="exact"/>
        <w:ind w:left="0" w:leftChars="0"/>
        <w:jc w:val="center"/>
        <w:textAlignment w:val="auto"/>
        <w:outlineLvl w:val="0"/>
        <w:rPr>
          <w:rFonts w:hint="eastAsia" w:ascii="仿宋" w:hAnsi="仿宋" w:eastAsia="仿宋" w:cs="仿宋"/>
          <w:sz w:val="32"/>
          <w:szCs w:val="32"/>
        </w:rPr>
      </w:pPr>
      <w:bookmarkStart w:id="0" w:name="_Toc24038"/>
      <w:bookmarkStart w:id="1" w:name="_Toc21336"/>
      <w:bookmarkStart w:id="2" w:name="_Toc5085"/>
      <w:r>
        <w:rPr>
          <w:rFonts w:hint="default" w:ascii="Times New Roman" w:hAnsi="Times New Roman" w:eastAsia="方正小标宋_GBK" w:cs="Times New Roman"/>
          <w:b w:val="0"/>
          <w:bCs/>
          <w:color w:val="auto"/>
          <w:sz w:val="44"/>
          <w:szCs w:val="44"/>
        </w:rPr>
        <w:t>行政处罚决定书</w:t>
      </w:r>
      <w:bookmarkEnd w:id="0"/>
      <w:bookmarkEnd w:id="1"/>
      <w:bookmarkEnd w:id="2"/>
    </w:p>
    <w:p w14:paraId="7F0FDE5F">
      <w:pPr>
        <w:keepNext w:val="0"/>
        <w:keepLines w:val="0"/>
        <w:pageBreakBefore w:val="0"/>
        <w:widowControl w:val="0"/>
        <w:wordWrap/>
        <w:overflowPunct/>
        <w:topLinePunct w:val="0"/>
        <w:bidi w:val="0"/>
        <w:adjustRightInd/>
        <w:snapToGrid/>
        <w:spacing w:line="560" w:lineRule="exact"/>
        <w:ind w:left="0" w:leftChars="0"/>
        <w:jc w:val="center"/>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焦环罚〔2025〕319号</w:t>
      </w:r>
    </w:p>
    <w:p w14:paraId="5EB4AF94">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eastAsia" w:ascii="CESI仿宋-GB2312" w:hAnsi="CESI仿宋-GB2312" w:eastAsia="CESI仿宋-GB2312" w:cs="CESI仿宋-GB2312"/>
          <w:color w:val="auto"/>
          <w:sz w:val="32"/>
          <w:szCs w:val="32"/>
          <w:lang w:val="en-US" w:eastAsia="zh-CN"/>
        </w:rPr>
      </w:pPr>
    </w:p>
    <w:p w14:paraId="47BB3828">
      <w:pPr>
        <w:pStyle w:val="3"/>
        <w:keepNext w:val="0"/>
        <w:keepLines w:val="0"/>
        <w:pageBreakBefore w:val="0"/>
        <w:widowControl/>
        <w:suppressLineNumbers w:val="0"/>
        <w:kinsoku/>
        <w:wordWrap/>
        <w:overflowPunct/>
        <w:topLinePunct w:val="0"/>
        <w:autoSpaceDE/>
        <w:bidi w:val="0"/>
        <w:adjustRightInd/>
        <w:snapToGrid/>
        <w:spacing w:before="0" w:beforeAutospacing="0" w:after="0" w:afterAutospacing="0" w:line="560" w:lineRule="exact"/>
        <w:ind w:left="0" w:leftChars="0"/>
        <w:textAlignment w:val="auto"/>
        <w:rPr>
          <w:rFonts w:hint="eastAsia" w:ascii="CESI仿宋-GB2312" w:hAnsi="CESI仿宋-GB2312" w:eastAsia="CESI仿宋-GB2312" w:cs="CESI仿宋-GB2312"/>
          <w:color w:val="000000"/>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王燕利</w:t>
      </w:r>
      <w:r>
        <w:rPr>
          <w:rFonts w:hint="eastAsia" w:ascii="CESI仿宋-GB2312" w:hAnsi="CESI仿宋-GB2312" w:eastAsia="CESI仿宋-GB2312" w:cs="CESI仿宋-GB2312"/>
          <w:color w:val="000000"/>
          <w:kern w:val="0"/>
          <w:sz w:val="32"/>
          <w:szCs w:val="32"/>
          <w:lang w:val="en-US" w:eastAsia="zh-CN" w:bidi="ar"/>
        </w:rPr>
        <w:t>：</w:t>
      </w:r>
    </w:p>
    <w:p w14:paraId="22785FCF">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textAlignment w:val="auto"/>
        <w:outlineLvl w:val="9"/>
        <w:rPr>
          <w:rFonts w:hint="eastAsia" w:ascii="CESI仿宋-GB2312" w:hAnsi="CESI仿宋-GB2312" w:eastAsia="CESI仿宋-GB2312" w:cs="CESI仿宋-GB2312"/>
          <w:color w:val="000000"/>
          <w:kern w:val="0"/>
          <w:sz w:val="32"/>
          <w:szCs w:val="32"/>
          <w:lang w:val="en-US" w:eastAsia="zh-CN" w:bidi="ar"/>
        </w:rPr>
      </w:pPr>
      <w:r>
        <w:rPr>
          <w:rFonts w:hint="eastAsia" w:ascii="CESI仿宋-GB2312" w:hAnsi="CESI仿宋-GB2312" w:eastAsia="CESI仿宋-GB2312" w:cs="CESI仿宋-GB2312"/>
          <w:color w:val="000000"/>
          <w:kern w:val="0"/>
          <w:sz w:val="32"/>
          <w:szCs w:val="32"/>
          <w:lang w:val="en-US" w:eastAsia="zh-CN" w:bidi="ar"/>
        </w:rPr>
        <w:t>身份证号码：</w:t>
      </w:r>
      <w:r>
        <w:rPr>
          <w:rFonts w:hint="eastAsia" w:ascii="CESI仿宋-GB2312" w:hAnsi="CESI仿宋-GB2312" w:eastAsia="CESI仿宋-GB2312" w:cs="CESI仿宋-GB2312"/>
          <w:color w:val="auto"/>
          <w:kern w:val="0"/>
          <w:sz w:val="32"/>
          <w:szCs w:val="32"/>
          <w:lang w:val="en-US" w:eastAsia="zh-CN" w:bidi="ar"/>
        </w:rPr>
        <w:t>41082</w:t>
      </w:r>
      <w:r>
        <w:rPr>
          <w:rFonts w:hint="eastAsia" w:ascii="CESI仿宋-GB2312" w:hAnsi="CESI仿宋-GB2312" w:eastAsia="CESI仿宋-GB2312" w:cs="CESI仿宋-GB2312"/>
          <w:color w:val="000000"/>
          <w:kern w:val="0"/>
          <w:sz w:val="32"/>
          <w:szCs w:val="32"/>
          <w:lang w:val="en-US" w:eastAsia="zh-CN" w:bidi="ar"/>
        </w:rPr>
        <w:t>****</w:t>
      </w:r>
      <w:r>
        <w:rPr>
          <w:rFonts w:hint="eastAsia" w:ascii="CESI仿宋-GB2312" w:hAnsi="CESI仿宋-GB2312" w:eastAsia="CESI仿宋-GB2312" w:cs="CESI仿宋-GB2312"/>
          <w:color w:val="auto"/>
          <w:kern w:val="0"/>
          <w:sz w:val="32"/>
          <w:szCs w:val="32"/>
          <w:lang w:val="en-US" w:eastAsia="zh-CN" w:bidi="ar"/>
        </w:rPr>
        <w:t>51122</w:t>
      </w:r>
      <w:r>
        <w:rPr>
          <w:rFonts w:hint="eastAsia" w:ascii="CESI仿宋-GB2312" w:hAnsi="CESI仿宋-GB2312" w:eastAsia="CESI仿宋-GB2312" w:cs="CESI仿宋-GB2312"/>
          <w:color w:val="000000"/>
          <w:kern w:val="0"/>
          <w:sz w:val="32"/>
          <w:szCs w:val="32"/>
          <w:lang w:val="en-US" w:eastAsia="zh-CN" w:bidi="ar"/>
        </w:rPr>
        <w:t>****</w:t>
      </w:r>
    </w:p>
    <w:p w14:paraId="549DDB6C">
      <w:pPr>
        <w:pStyle w:val="3"/>
        <w:keepNext w:val="0"/>
        <w:keepLines w:val="0"/>
        <w:pageBreakBefore w:val="0"/>
        <w:widowControl/>
        <w:suppressLineNumbers w:val="0"/>
        <w:kinsoku/>
        <w:wordWrap/>
        <w:overflowPunct/>
        <w:topLinePunct w:val="0"/>
        <w:autoSpaceDE/>
        <w:bidi w:val="0"/>
        <w:adjustRightInd/>
        <w:snapToGrid/>
        <w:spacing w:before="0" w:beforeAutospacing="0" w:after="0" w:afterAutospacing="0" w:line="560" w:lineRule="exact"/>
        <w:ind w:left="0" w:leftChars="0"/>
        <w:textAlignment w:val="auto"/>
        <w:rPr>
          <w:rFonts w:hint="eastAsia" w:ascii="CESI仿宋-GB2312" w:hAnsi="CESI仿宋-GB2312" w:eastAsia="CESI仿宋-GB2312" w:cs="CESI仿宋-GB2312"/>
          <w:color w:val="000000"/>
          <w:kern w:val="0"/>
          <w:sz w:val="32"/>
          <w:szCs w:val="32"/>
          <w:lang w:val="en-US" w:eastAsia="zh-CN" w:bidi="ar"/>
        </w:rPr>
      </w:pPr>
      <w:r>
        <w:rPr>
          <w:rFonts w:hint="eastAsia" w:ascii="CESI仿宋-GB2312" w:hAnsi="CESI仿宋-GB2312" w:eastAsia="CESI仿宋-GB2312" w:cs="CESI仿宋-GB2312"/>
          <w:color w:val="000000"/>
          <w:kern w:val="0"/>
          <w:sz w:val="32"/>
          <w:szCs w:val="32"/>
          <w:lang w:val="en-US" w:eastAsia="zh-CN" w:bidi="ar"/>
        </w:rPr>
        <w:t>住址：</w:t>
      </w:r>
      <w:r>
        <w:rPr>
          <w:rFonts w:hint="eastAsia" w:ascii="CESI仿宋-GB2312" w:hAnsi="CESI仿宋-GB2312" w:eastAsia="CESI仿宋-GB2312" w:cs="CESI仿宋-GB2312"/>
          <w:color w:val="auto"/>
          <w:kern w:val="0"/>
          <w:sz w:val="32"/>
          <w:szCs w:val="32"/>
          <w:lang w:val="en-US" w:eastAsia="zh-CN" w:bidi="ar"/>
        </w:rPr>
        <w:t>河南省温县</w:t>
      </w:r>
      <w:r>
        <w:rPr>
          <w:rFonts w:hint="eastAsia" w:ascii="CESI仿宋-GB2312" w:hAnsi="CESI仿宋-GB2312" w:eastAsia="CESI仿宋-GB2312" w:cs="CESI仿宋-GB2312"/>
          <w:color w:val="000000"/>
          <w:kern w:val="0"/>
          <w:sz w:val="32"/>
          <w:szCs w:val="32"/>
          <w:lang w:val="en-US" w:eastAsia="zh-CN" w:bidi="ar"/>
        </w:rPr>
        <w:t>****</w:t>
      </w:r>
      <w:bookmarkStart w:id="3" w:name="_GoBack"/>
      <w:bookmarkEnd w:id="3"/>
    </w:p>
    <w:p w14:paraId="20815E2B">
      <w:pPr>
        <w:keepNext w:val="0"/>
        <w:keepLines w:val="0"/>
        <w:pageBreakBefore w:val="0"/>
        <w:widowControl w:val="0"/>
        <w:kinsoku/>
        <w:wordWrap/>
        <w:overflowPunct/>
        <w:topLinePunct w:val="0"/>
        <w:autoSpaceDE/>
        <w:autoSpaceDN/>
        <w:bidi w:val="0"/>
        <w:snapToGrid w:val="0"/>
        <w:spacing w:line="560" w:lineRule="exact"/>
        <w:ind w:left="0" w:leftChars="0"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一、环境违法事实和证据</w:t>
      </w:r>
    </w:p>
    <w:p w14:paraId="567019ED">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000000"/>
          <w:kern w:val="0"/>
          <w:sz w:val="32"/>
          <w:szCs w:val="32"/>
          <w:lang w:val="en-US" w:eastAsia="zh-CN" w:bidi="ar"/>
        </w:rPr>
      </w:pPr>
      <w:r>
        <w:rPr>
          <w:rFonts w:hint="eastAsia" w:ascii="CESI仿宋-GB2312" w:hAnsi="CESI仿宋-GB2312" w:eastAsia="CESI仿宋-GB2312" w:cs="CESI仿宋-GB2312"/>
          <w:color w:val="000000"/>
          <w:sz w:val="32"/>
          <w:szCs w:val="32"/>
          <w:lang w:eastAsia="zh-CN"/>
        </w:rPr>
        <w:t>我局于</w:t>
      </w:r>
      <w:r>
        <w:rPr>
          <w:rFonts w:hint="eastAsia" w:ascii="CESI仿宋-GB2312" w:hAnsi="CESI仿宋-GB2312" w:eastAsia="CESI仿宋-GB2312" w:cs="CESI仿宋-GB2312"/>
          <w:color w:val="000000"/>
          <w:sz w:val="32"/>
          <w:szCs w:val="32"/>
          <w:lang w:val="en-US" w:eastAsia="zh-CN"/>
        </w:rPr>
        <w:t>2025年9月10日</w:t>
      </w:r>
      <w:r>
        <w:rPr>
          <w:rFonts w:hint="eastAsia" w:ascii="CESI仿宋-GB2312" w:hAnsi="CESI仿宋-GB2312" w:eastAsia="CESI仿宋-GB2312" w:cs="CESI仿宋-GB2312"/>
          <w:color w:val="auto"/>
          <w:kern w:val="0"/>
          <w:sz w:val="32"/>
          <w:szCs w:val="32"/>
          <w:lang w:val="en-US" w:eastAsia="zh-CN" w:bidi="ar"/>
        </w:rPr>
        <w:t>在</w:t>
      </w:r>
      <w:r>
        <w:rPr>
          <w:rFonts w:hint="eastAsia" w:ascii="CESI仿宋-GB2312" w:hAnsi="CESI仿宋-GB2312" w:eastAsia="CESI仿宋-GB2312" w:cs="CESI仿宋-GB2312"/>
          <w:color w:val="000000"/>
          <w:kern w:val="0"/>
          <w:sz w:val="32"/>
          <w:szCs w:val="32"/>
          <w:lang w:val="en-US" w:eastAsia="zh-CN" w:bidi="ar"/>
        </w:rPr>
        <w:t>沁阳市王召乡尚香村西仓库院内现场检查时发现</w:t>
      </w:r>
      <w:r>
        <w:rPr>
          <w:rFonts w:hint="eastAsia" w:ascii="CESI仿宋-GB2312" w:hAnsi="CESI仿宋-GB2312" w:eastAsia="CESI仿宋-GB2312" w:cs="CESI仿宋-GB2312"/>
          <w:color w:val="000000"/>
          <w:sz w:val="32"/>
          <w:szCs w:val="32"/>
          <w:lang w:val="en-US" w:eastAsia="zh-CN"/>
        </w:rPr>
        <w:t>，</w:t>
      </w:r>
      <w:r>
        <w:rPr>
          <w:rFonts w:hint="eastAsia" w:ascii="CESI仿宋-GB2312" w:hAnsi="CESI仿宋-GB2312" w:eastAsia="CESI仿宋-GB2312" w:cs="CESI仿宋-GB2312"/>
          <w:color w:val="000000"/>
          <w:kern w:val="0"/>
          <w:sz w:val="32"/>
          <w:szCs w:val="32"/>
          <w:lang w:val="en-US" w:eastAsia="zh-CN" w:bidi="ar"/>
        </w:rPr>
        <w:t>机械型号：CPC30E排放阶段III的叉车正在机械作业，该机械车辆车主为王燕利，执法人员委托河南兴鹏检测服务中心对王燕利正在使用的叉车排放情况进行检测。检测完成后，结果显示该叉车在自由加载情况下，三次检验该叉车排放的尾气排放值分别为：第一次1.86m</w:t>
      </w:r>
      <w:r>
        <w:rPr>
          <w:rFonts w:hint="eastAsia" w:ascii="CESI仿宋-GB2312" w:hAnsi="CESI仿宋-GB2312" w:eastAsia="CESI仿宋-GB2312" w:cs="CESI仿宋-GB2312"/>
          <w:color w:val="000000"/>
          <w:sz w:val="32"/>
          <w:szCs w:val="32"/>
          <w:vertAlign w:val="superscript"/>
          <w:lang w:val="en-US" w:eastAsia="zh-CN"/>
        </w:rPr>
        <w:t>-1</w:t>
      </w:r>
      <w:r>
        <w:rPr>
          <w:rFonts w:hint="eastAsia" w:ascii="CESI仿宋-GB2312" w:hAnsi="CESI仿宋-GB2312" w:eastAsia="CESI仿宋-GB2312" w:cs="CESI仿宋-GB2312"/>
          <w:color w:val="000000"/>
          <w:kern w:val="0"/>
          <w:sz w:val="32"/>
          <w:szCs w:val="32"/>
          <w:lang w:val="en-US" w:eastAsia="zh-CN" w:bidi="ar"/>
        </w:rPr>
        <w:t>，第二次1.03m</w:t>
      </w:r>
      <w:r>
        <w:rPr>
          <w:rFonts w:hint="eastAsia" w:ascii="CESI仿宋-GB2312" w:hAnsi="CESI仿宋-GB2312" w:eastAsia="CESI仿宋-GB2312" w:cs="CESI仿宋-GB2312"/>
          <w:color w:val="000000"/>
          <w:sz w:val="32"/>
          <w:szCs w:val="32"/>
          <w:vertAlign w:val="superscript"/>
          <w:lang w:val="en-US" w:eastAsia="zh-CN"/>
        </w:rPr>
        <w:t>-1</w:t>
      </w:r>
      <w:r>
        <w:rPr>
          <w:rFonts w:hint="eastAsia" w:ascii="CESI仿宋-GB2312" w:hAnsi="CESI仿宋-GB2312" w:eastAsia="CESI仿宋-GB2312" w:cs="CESI仿宋-GB2312"/>
          <w:color w:val="000000"/>
          <w:kern w:val="0"/>
          <w:sz w:val="32"/>
          <w:szCs w:val="32"/>
          <w:lang w:val="en-US" w:eastAsia="zh-CN" w:bidi="ar"/>
        </w:rPr>
        <w:t>，第三次0.84m</w:t>
      </w:r>
      <w:r>
        <w:rPr>
          <w:rFonts w:hint="eastAsia" w:ascii="CESI仿宋-GB2312" w:hAnsi="CESI仿宋-GB2312" w:eastAsia="CESI仿宋-GB2312" w:cs="CESI仿宋-GB2312"/>
          <w:color w:val="000000"/>
          <w:sz w:val="32"/>
          <w:szCs w:val="32"/>
          <w:vertAlign w:val="superscript"/>
          <w:lang w:val="en-US" w:eastAsia="zh-CN"/>
        </w:rPr>
        <w:t>-1</w:t>
      </w:r>
      <w:r>
        <w:rPr>
          <w:rFonts w:hint="eastAsia" w:ascii="CESI仿宋-GB2312" w:hAnsi="CESI仿宋-GB2312" w:eastAsia="CESI仿宋-GB2312" w:cs="CESI仿宋-GB2312"/>
          <w:color w:val="000000"/>
          <w:kern w:val="0"/>
          <w:sz w:val="32"/>
          <w:szCs w:val="32"/>
          <w:lang w:val="en-US" w:eastAsia="zh-CN" w:bidi="ar"/>
        </w:rPr>
        <w:t>，排放限值是：0.80m</w:t>
      </w:r>
      <w:r>
        <w:rPr>
          <w:rFonts w:hint="eastAsia" w:ascii="CESI仿宋-GB2312" w:hAnsi="CESI仿宋-GB2312" w:eastAsia="CESI仿宋-GB2312" w:cs="CESI仿宋-GB2312"/>
          <w:color w:val="000000"/>
          <w:sz w:val="32"/>
          <w:szCs w:val="32"/>
          <w:vertAlign w:val="superscript"/>
          <w:lang w:val="en-US" w:eastAsia="zh-CN"/>
        </w:rPr>
        <w:t>-1</w:t>
      </w:r>
      <w:r>
        <w:rPr>
          <w:rFonts w:hint="eastAsia" w:ascii="CESI仿宋-GB2312" w:hAnsi="CESI仿宋-GB2312" w:eastAsia="CESI仿宋-GB2312" w:cs="CESI仿宋-GB2312"/>
          <w:color w:val="000000"/>
          <w:kern w:val="0"/>
          <w:sz w:val="32"/>
          <w:szCs w:val="32"/>
          <w:lang w:val="en-US" w:eastAsia="zh-CN" w:bidi="ar"/>
        </w:rPr>
        <w:t>，自由加速三次结果平均值（m</w:t>
      </w:r>
      <w:r>
        <w:rPr>
          <w:rFonts w:hint="eastAsia" w:ascii="CESI仿宋-GB2312" w:hAnsi="CESI仿宋-GB2312" w:eastAsia="CESI仿宋-GB2312" w:cs="CESI仿宋-GB2312"/>
          <w:color w:val="000000"/>
          <w:sz w:val="32"/>
          <w:szCs w:val="32"/>
          <w:vertAlign w:val="superscript"/>
          <w:lang w:val="en-US" w:eastAsia="zh-CN"/>
        </w:rPr>
        <w:t>-1</w:t>
      </w:r>
      <w:r>
        <w:rPr>
          <w:rFonts w:hint="eastAsia" w:ascii="CESI仿宋-GB2312" w:hAnsi="CESI仿宋-GB2312" w:eastAsia="CESI仿宋-GB2312" w:cs="CESI仿宋-GB2312"/>
          <w:color w:val="000000"/>
          <w:kern w:val="0"/>
          <w:sz w:val="32"/>
          <w:szCs w:val="32"/>
          <w:lang w:val="en-US" w:eastAsia="zh-CN" w:bidi="ar"/>
        </w:rPr>
        <w:t>）/自由加载三次结果最大值1.86m</w:t>
      </w:r>
      <w:r>
        <w:rPr>
          <w:rFonts w:hint="eastAsia" w:ascii="CESI仿宋-GB2312" w:hAnsi="CESI仿宋-GB2312" w:eastAsia="CESI仿宋-GB2312" w:cs="CESI仿宋-GB2312"/>
          <w:color w:val="000000"/>
          <w:sz w:val="32"/>
          <w:szCs w:val="32"/>
          <w:vertAlign w:val="superscript"/>
          <w:lang w:val="en-US" w:eastAsia="zh-CN"/>
        </w:rPr>
        <w:t>-1</w:t>
      </w:r>
      <w:r>
        <w:rPr>
          <w:rFonts w:hint="eastAsia" w:ascii="CESI仿宋-GB2312" w:hAnsi="CESI仿宋-GB2312" w:eastAsia="CESI仿宋-GB2312" w:cs="CESI仿宋-GB2312"/>
          <w:color w:val="000000"/>
          <w:kern w:val="0"/>
          <w:sz w:val="32"/>
          <w:szCs w:val="32"/>
          <w:lang w:val="en-US" w:eastAsia="zh-CN" w:bidi="ar"/>
        </w:rPr>
        <w:t>，结果判定为：不合格。</w:t>
      </w:r>
    </w:p>
    <w:p w14:paraId="3BABA02F">
      <w:pPr>
        <w:pStyle w:val="3"/>
        <w:keepNext w:val="0"/>
        <w:keepLines w:val="0"/>
        <w:pageBreakBefore w:val="0"/>
        <w:widowControl/>
        <w:suppressLineNumbers w:val="0"/>
        <w:kinsoku/>
        <w:wordWrap/>
        <w:overflowPunct/>
        <w:topLinePunct w:val="0"/>
        <w:autoSpaceDE/>
        <w:bidi w:val="0"/>
        <w:adjustRightInd/>
        <w:snapToGrid/>
        <w:spacing w:before="0" w:beforeAutospacing="0" w:after="0" w:afterAutospacing="0" w:line="560" w:lineRule="exact"/>
        <w:ind w:left="0" w:leftChars="0" w:firstLine="640" w:firstLineChars="200"/>
        <w:jc w:val="both"/>
        <w:textAlignment w:val="auto"/>
        <w:rPr>
          <w:rFonts w:hint="eastAsia" w:ascii="CESI仿宋-GB2312" w:hAnsi="CESI仿宋-GB2312" w:eastAsia="CESI仿宋-GB2312" w:cs="CESI仿宋-GB2312"/>
          <w:color w:val="000000"/>
          <w:kern w:val="0"/>
          <w:sz w:val="32"/>
          <w:szCs w:val="32"/>
          <w:lang w:val="en-US" w:eastAsia="zh-CN" w:bidi="ar"/>
        </w:rPr>
      </w:pPr>
      <w:r>
        <w:rPr>
          <w:rFonts w:hint="eastAsia" w:ascii="CESI仿宋-GB2312" w:hAnsi="CESI仿宋-GB2312" w:eastAsia="CESI仿宋-GB2312" w:cs="CESI仿宋-GB2312"/>
          <w:color w:val="000000"/>
          <w:kern w:val="0"/>
          <w:sz w:val="32"/>
          <w:szCs w:val="32"/>
          <w:lang w:val="en-US" w:eastAsia="zh-CN" w:bidi="ar"/>
        </w:rPr>
        <w:t>你的上述行为违反了《中华人民共和国大气污染防治法》第五十一条第一款：“机动车船、非道路移动机械不得超过标准排放大气污染物”的规定。</w:t>
      </w:r>
    </w:p>
    <w:p w14:paraId="2C5B5ACA">
      <w:pPr>
        <w:pStyle w:val="3"/>
        <w:keepNext w:val="0"/>
        <w:keepLines w:val="0"/>
        <w:pageBreakBefore w:val="0"/>
        <w:widowControl/>
        <w:suppressLineNumbers w:val="0"/>
        <w:kinsoku/>
        <w:wordWrap/>
        <w:overflowPunct/>
        <w:topLinePunct w:val="0"/>
        <w:autoSpaceDE/>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000000"/>
          <w:kern w:val="0"/>
          <w:sz w:val="32"/>
          <w:szCs w:val="32"/>
          <w:lang w:val="en-US" w:eastAsia="zh-CN" w:bidi="ar"/>
        </w:rPr>
      </w:pPr>
      <w:r>
        <w:rPr>
          <w:rFonts w:hint="eastAsia" w:ascii="CESI仿宋-GB2312" w:hAnsi="CESI仿宋-GB2312" w:eastAsia="CESI仿宋-GB2312" w:cs="CESI仿宋-GB2312"/>
          <w:color w:val="000000"/>
          <w:kern w:val="0"/>
          <w:sz w:val="32"/>
          <w:szCs w:val="32"/>
          <w:lang w:val="en-US" w:eastAsia="zh-CN" w:bidi="ar"/>
        </w:rPr>
        <w:t>以上事实，主要有以下证据证明：</w:t>
      </w:r>
    </w:p>
    <w:p w14:paraId="38865276">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1.现场检查(勘察)笔录及现场照片/视频(2025年9月10日),证明王燕利使用叉车正在机械作业的事实；</w:t>
      </w:r>
    </w:p>
    <w:p w14:paraId="6B76F6BB">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2.调查询问笔录(2025年9月12日对王燕利的调查询问),证明王燕利使用叉车(国三)排放不合格的事实；</w:t>
      </w:r>
    </w:p>
    <w:p w14:paraId="071AA143">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3.身份证复印件，证明被询问人王燕利的身份信息；</w:t>
      </w:r>
    </w:p>
    <w:p w14:paraId="0584EAC8">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4.河南兴鹏检测服务中心的检测报告，证明王燕利使用的非道路移动机械尾气排放值不合格；</w:t>
      </w:r>
    </w:p>
    <w:p w14:paraId="57D26A6D">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5.执法人员的执法证复印，证明执法人员的身份和资格；</w:t>
      </w:r>
    </w:p>
    <w:p w14:paraId="0C78C761">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6.河南兴鹏检测服务中心检测人员的上岗证，证明现场检测人员的检测资质；</w:t>
      </w:r>
    </w:p>
    <w:p w14:paraId="23C3C3E3">
      <w:pPr>
        <w:keepNext w:val="0"/>
        <w:keepLines w:val="0"/>
        <w:pageBreakBefore w:val="0"/>
        <w:kinsoku/>
        <w:wordWrap/>
        <w:overflowPunct/>
        <w:topLinePunct w:val="0"/>
        <w:autoSpaceDE/>
        <w:bidi w:val="0"/>
        <w:adjustRightInd w:val="0"/>
        <w:snapToGrid w:val="0"/>
        <w:spacing w:line="560" w:lineRule="exact"/>
        <w:ind w:left="0" w:leftChars="0" w:firstLine="640" w:firstLineChars="200"/>
        <w:jc w:val="left"/>
        <w:textAlignment w:val="auto"/>
        <w:rPr>
          <w:rFonts w:hint="eastAsia" w:ascii="CESI仿宋-GB2312" w:hAnsi="CESI仿宋-GB2312" w:eastAsia="CESI仿宋-GB2312" w:cs="CESI仿宋-GB2312"/>
          <w:color w:val="000000"/>
          <w:sz w:val="32"/>
          <w:szCs w:val="32"/>
        </w:rPr>
      </w:pPr>
      <w:r>
        <w:rPr>
          <w:rFonts w:hint="eastAsia" w:ascii="CESI仿宋-GB2312" w:hAnsi="CESI仿宋-GB2312" w:eastAsia="CESI仿宋-GB2312" w:cs="CESI仿宋-GB2312"/>
          <w:color w:val="auto"/>
          <w:kern w:val="0"/>
          <w:sz w:val="32"/>
          <w:szCs w:val="32"/>
          <w:lang w:val="en-US" w:eastAsia="zh-CN" w:bidi="ar"/>
        </w:rPr>
        <w:t>7.其他证据。</w:t>
      </w:r>
    </w:p>
    <w:p w14:paraId="528A5089">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ascii="CESI仿宋-GB2312" w:hAnsi="CESI仿宋-GB2312" w:eastAsia="CESI仿宋-GB2312" w:cs="CESI仿宋-GB2312"/>
          <w:snapToGrid w:val="0"/>
          <w:color w:val="auto"/>
          <w:kern w:val="0"/>
          <w:sz w:val="32"/>
          <w:szCs w:val="32"/>
          <w:lang w:val="en-US" w:eastAsia="zh-CN" w:bidi="ar"/>
        </w:rPr>
      </w:pPr>
      <w:r>
        <w:rPr>
          <w:rFonts w:hint="eastAsia" w:ascii="CESI仿宋-GB2312" w:hAnsi="CESI仿宋-GB2312" w:eastAsia="CESI仿宋-GB2312" w:cs="CESI仿宋-GB2312"/>
          <w:color w:val="auto"/>
          <w:sz w:val="32"/>
          <w:szCs w:val="32"/>
          <w:lang w:val="en-US" w:eastAsia="zh-CN"/>
        </w:rPr>
        <w:t>我局于2025年10月13日直接送达《行政处罚事先（听证）告知书》（</w:t>
      </w:r>
      <w:r>
        <w:rPr>
          <w:rFonts w:hint="eastAsia" w:ascii="CESI仿宋-GB2312" w:hAnsi="CESI仿宋-GB2312" w:eastAsia="CESI仿宋-GB2312" w:cs="CESI仿宋-GB2312"/>
          <w:color w:val="auto"/>
          <w:kern w:val="2"/>
          <w:sz w:val="32"/>
          <w:szCs w:val="21"/>
          <w:lang w:val="en-US" w:eastAsia="zh-CN" w:bidi="ar-SA"/>
        </w:rPr>
        <w:t>焦沁环先</w:t>
      </w:r>
      <w:r>
        <w:rPr>
          <w:rFonts w:hint="eastAsia" w:ascii="CESI仿宋-GB2312" w:hAnsi="CESI仿宋-GB2312" w:eastAsia="CESI仿宋-GB2312" w:cs="CESI仿宋-GB2312"/>
          <w:color w:val="auto"/>
          <w:kern w:val="2"/>
          <w:sz w:val="32"/>
          <w:szCs w:val="21"/>
          <w:highlight w:val="none"/>
          <w:lang w:val="en-US" w:eastAsia="zh-CN" w:bidi="ar-SA"/>
        </w:rPr>
        <w:t>告字〔2025〕9号</w:t>
      </w:r>
      <w:r>
        <w:rPr>
          <w:rFonts w:hint="eastAsia" w:ascii="CESI仿宋-GB2312" w:hAnsi="CESI仿宋-GB2312" w:eastAsia="CESI仿宋-GB2312" w:cs="CESI仿宋-GB2312"/>
          <w:color w:val="auto"/>
          <w:sz w:val="32"/>
          <w:szCs w:val="32"/>
          <w:lang w:val="en-US" w:eastAsia="zh-CN"/>
        </w:rPr>
        <w:t>），</w:t>
      </w:r>
      <w:r>
        <w:rPr>
          <w:rFonts w:hint="eastAsia" w:ascii="CESI仿宋-GB2312" w:hAnsi="CESI仿宋-GB2312" w:eastAsia="CESI仿宋-GB2312" w:cs="CESI仿宋-GB2312"/>
          <w:color w:val="auto"/>
          <w:sz w:val="32"/>
          <w:szCs w:val="32"/>
        </w:rPr>
        <w:t>告知</w:t>
      </w:r>
      <w:r>
        <w:rPr>
          <w:rFonts w:hint="eastAsia" w:ascii="CESI仿宋-GB2312" w:hAnsi="CESI仿宋-GB2312" w:eastAsia="CESI仿宋-GB2312" w:cs="CESI仿宋-GB2312"/>
          <w:color w:val="auto"/>
          <w:sz w:val="32"/>
          <w:szCs w:val="32"/>
          <w:lang w:eastAsia="zh-CN"/>
        </w:rPr>
        <w:t>书告知</w:t>
      </w:r>
      <w:r>
        <w:rPr>
          <w:rFonts w:hint="eastAsia" w:ascii="CESI仿宋-GB2312" w:hAnsi="CESI仿宋-GB2312" w:eastAsia="CESI仿宋-GB2312" w:cs="CESI仿宋-GB2312"/>
          <w:color w:val="auto"/>
          <w:sz w:val="32"/>
          <w:szCs w:val="32"/>
        </w:rPr>
        <w:t>你陈述申辩权（听证申请权）</w:t>
      </w:r>
      <w:r>
        <w:rPr>
          <w:rFonts w:hint="eastAsia" w:ascii="CESI仿宋-GB2312" w:hAnsi="CESI仿宋-GB2312" w:eastAsia="CESI仿宋-GB2312" w:cs="CESI仿宋-GB2312"/>
          <w:color w:val="auto"/>
          <w:sz w:val="32"/>
          <w:szCs w:val="32"/>
          <w:lang w:eastAsia="zh-CN"/>
        </w:rPr>
        <w:t>。</w:t>
      </w:r>
      <w:r>
        <w:rPr>
          <w:rFonts w:hint="eastAsia" w:ascii="CESI仿宋-GB2312" w:hAnsi="CESI仿宋-GB2312" w:eastAsia="CESI仿宋-GB2312" w:cs="CESI仿宋-GB2312"/>
          <w:snapToGrid w:val="0"/>
          <w:color w:val="auto"/>
          <w:kern w:val="0"/>
          <w:sz w:val="32"/>
          <w:szCs w:val="32"/>
          <w:lang w:val="en-US" w:eastAsia="en-US" w:bidi="ar"/>
        </w:rPr>
        <w:t>你</w:t>
      </w:r>
      <w:r>
        <w:rPr>
          <w:rFonts w:hint="eastAsia" w:ascii="CESI仿宋-GB2312" w:hAnsi="CESI仿宋-GB2312" w:eastAsia="CESI仿宋-GB2312" w:cs="CESI仿宋-GB2312"/>
          <w:snapToGrid w:val="0"/>
          <w:color w:val="auto"/>
          <w:kern w:val="0"/>
          <w:sz w:val="32"/>
          <w:szCs w:val="32"/>
          <w:lang w:val="en-US" w:eastAsia="zh-CN" w:bidi="ar"/>
        </w:rPr>
        <w:t>在</w:t>
      </w:r>
      <w:r>
        <w:rPr>
          <w:rFonts w:hint="eastAsia" w:ascii="CESI仿宋-GB2312" w:hAnsi="CESI仿宋-GB2312" w:eastAsia="CESI仿宋-GB2312" w:cs="CESI仿宋-GB2312"/>
          <w:snapToGrid w:val="0"/>
          <w:color w:val="auto"/>
          <w:kern w:val="0"/>
          <w:sz w:val="32"/>
          <w:szCs w:val="32"/>
          <w:lang w:val="en-US" w:eastAsia="en-US" w:bidi="ar"/>
        </w:rPr>
        <w:t>法定期限内未提出陈述申辩，也未要求听证</w:t>
      </w:r>
      <w:r>
        <w:rPr>
          <w:rFonts w:hint="eastAsia" w:ascii="CESI仿宋-GB2312" w:hAnsi="CESI仿宋-GB2312" w:eastAsia="CESI仿宋-GB2312" w:cs="CESI仿宋-GB2312"/>
          <w:snapToGrid w:val="0"/>
          <w:color w:val="auto"/>
          <w:kern w:val="0"/>
          <w:sz w:val="32"/>
          <w:szCs w:val="32"/>
          <w:lang w:val="en-US" w:eastAsia="zh-CN" w:bidi="ar"/>
        </w:rPr>
        <w:t>，视为你放弃</w:t>
      </w:r>
      <w:r>
        <w:rPr>
          <w:rFonts w:hint="eastAsia" w:ascii="CESI仿宋-GB2312" w:hAnsi="CESI仿宋-GB2312" w:eastAsia="CESI仿宋-GB2312" w:cs="CESI仿宋-GB2312"/>
          <w:snapToGrid w:val="0"/>
          <w:color w:val="auto"/>
          <w:kern w:val="0"/>
          <w:sz w:val="32"/>
          <w:szCs w:val="32"/>
          <w:lang w:val="en-US" w:eastAsia="en-US" w:bidi="ar"/>
        </w:rPr>
        <w:t>陈述申辩</w:t>
      </w:r>
      <w:r>
        <w:rPr>
          <w:rFonts w:hint="eastAsia" w:ascii="CESI仿宋-GB2312" w:hAnsi="CESI仿宋-GB2312" w:eastAsia="CESI仿宋-GB2312" w:cs="CESI仿宋-GB2312"/>
          <w:snapToGrid w:val="0"/>
          <w:color w:val="auto"/>
          <w:kern w:val="0"/>
          <w:sz w:val="32"/>
          <w:szCs w:val="32"/>
          <w:lang w:val="en-US" w:eastAsia="zh-CN" w:bidi="ar"/>
        </w:rPr>
        <w:t>和</w:t>
      </w:r>
      <w:r>
        <w:rPr>
          <w:rFonts w:hint="eastAsia" w:ascii="CESI仿宋-GB2312" w:hAnsi="CESI仿宋-GB2312" w:eastAsia="CESI仿宋-GB2312" w:cs="CESI仿宋-GB2312"/>
          <w:snapToGrid w:val="0"/>
          <w:color w:val="auto"/>
          <w:kern w:val="0"/>
          <w:sz w:val="32"/>
          <w:szCs w:val="32"/>
          <w:lang w:val="en-US" w:eastAsia="en-US" w:bidi="ar"/>
        </w:rPr>
        <w:t>听</w:t>
      </w:r>
      <w:r>
        <w:rPr>
          <w:rFonts w:hint="eastAsia" w:ascii="CESI仿宋-GB2312" w:hAnsi="CESI仿宋-GB2312" w:eastAsia="CESI仿宋-GB2312" w:cs="CESI仿宋-GB2312"/>
          <w:snapToGrid w:val="0"/>
          <w:color w:val="auto"/>
          <w:kern w:val="0"/>
          <w:sz w:val="32"/>
          <w:szCs w:val="32"/>
          <w:lang w:val="en-US" w:eastAsia="zh-CN" w:bidi="ar"/>
        </w:rPr>
        <w:t>证权利。</w:t>
      </w:r>
    </w:p>
    <w:p w14:paraId="460B62DF">
      <w:pPr>
        <w:keepNext w:val="0"/>
        <w:keepLines w:val="0"/>
        <w:pageBreakBefore w:val="0"/>
        <w:widowControl w:val="0"/>
        <w:numPr>
          <w:ilvl w:val="0"/>
          <w:numId w:val="1"/>
        </w:numPr>
        <w:kinsoku/>
        <w:wordWrap/>
        <w:overflowPunct/>
        <w:topLinePunct w:val="0"/>
        <w:autoSpaceDE/>
        <w:autoSpaceDN/>
        <w:bidi w:val="0"/>
        <w:snapToGrid w:val="0"/>
        <w:spacing w:line="560" w:lineRule="exact"/>
        <w:ind w:left="0" w:leftChars="0"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行政处罚的依据、种类</w:t>
      </w:r>
    </w:p>
    <w:p w14:paraId="36D59418">
      <w:pPr>
        <w:keepNext w:val="0"/>
        <w:keepLines w:val="0"/>
        <w:pageBreakBefore w:val="0"/>
        <w:widowControl w:val="0"/>
        <w:numPr>
          <w:ilvl w:val="0"/>
          <w:numId w:val="0"/>
        </w:numPr>
        <w:tabs>
          <w:tab w:val="left" w:pos="300"/>
          <w:tab w:val="center" w:pos="4365"/>
          <w:tab w:val="left" w:pos="6345"/>
        </w:tabs>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CESI仿宋-GB2312" w:hAnsi="CESI仿宋-GB2312" w:eastAsia="CESI仿宋-GB2312" w:cs="CESI仿宋-GB2312"/>
          <w:color w:val="000000"/>
          <w:w w:val="95"/>
          <w:kern w:val="0"/>
          <w:sz w:val="32"/>
          <w:szCs w:val="32"/>
          <w:lang w:val="en-US" w:eastAsia="zh-CN" w:bidi="ar"/>
        </w:rPr>
      </w:pPr>
      <w:r>
        <w:rPr>
          <w:rFonts w:hint="eastAsia" w:ascii="CESI仿宋-GB2312" w:hAnsi="CESI仿宋-GB2312" w:eastAsia="CESI仿宋-GB2312" w:cs="CESI仿宋-GB2312"/>
          <w:color w:val="000000"/>
          <w:kern w:val="0"/>
          <w:sz w:val="32"/>
          <w:szCs w:val="32"/>
          <w:lang w:val="en-US" w:eastAsia="zh-CN" w:bidi="ar"/>
        </w:rPr>
        <w:t>根据《中华人民共和国行政处罚法》第二十八条第一款:“行政机关实施行政处罚时，应当责令当事人改正或者限期改正违法行为。”和《中华人民共和国大气污染防治法》第一百一十四条第一款:“违反本法规定，使用排放不合格的非道路移动机械，或者在用重型柴油车、非道路移动机械未按照规定加装、更换污染控制装置的，由县级以上人民政府环境保护等主管部门按照职责责令改正，处五千元的罚款”的规定，</w:t>
      </w:r>
      <w:r>
        <w:rPr>
          <w:rFonts w:hint="eastAsia" w:ascii="CESI仿宋-GB2312" w:hAnsi="CESI仿宋-GB2312" w:eastAsia="CESI仿宋-GB2312" w:cs="CESI仿宋-GB2312"/>
          <w:b w:val="0"/>
          <w:bCs w:val="0"/>
          <w:color w:val="auto"/>
          <w:kern w:val="2"/>
          <w:sz w:val="32"/>
          <w:szCs w:val="32"/>
          <w:lang w:val="en-US" w:eastAsia="zh-CN" w:bidi="ar-SA"/>
        </w:rPr>
        <w:t>我局对你使用排放不合格的非道路移动机械的违法行为作出如下处理决定：</w:t>
      </w:r>
    </w:p>
    <w:p w14:paraId="3860FF4D">
      <w:pPr>
        <w:pStyle w:val="3"/>
        <w:keepNext w:val="0"/>
        <w:keepLines w:val="0"/>
        <w:pageBreakBefore w:val="0"/>
        <w:widowControl/>
        <w:suppressLineNumbers w:val="0"/>
        <w:kinsoku/>
        <w:wordWrap/>
        <w:overflowPunct/>
        <w:topLinePunct w:val="0"/>
        <w:autoSpaceDE/>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000000"/>
          <w:kern w:val="0"/>
          <w:sz w:val="32"/>
          <w:szCs w:val="32"/>
          <w:lang w:val="en-US" w:eastAsia="zh-CN" w:bidi="ar"/>
        </w:rPr>
      </w:pPr>
      <w:r>
        <w:rPr>
          <w:rFonts w:hint="eastAsia" w:ascii="CESI仿宋-GB2312" w:hAnsi="CESI仿宋-GB2312" w:eastAsia="CESI仿宋-GB2312" w:cs="CESI仿宋-GB2312"/>
          <w:color w:val="000000"/>
          <w:kern w:val="0"/>
          <w:sz w:val="32"/>
          <w:szCs w:val="32"/>
          <w:lang w:val="en-US" w:eastAsia="zh-CN" w:bidi="ar"/>
        </w:rPr>
        <w:t>罚款伍仟元（5000元）</w:t>
      </w:r>
      <w:r>
        <w:rPr>
          <w:rFonts w:hint="eastAsia" w:ascii="CESI仿宋-GB2312" w:hAnsi="CESI仿宋-GB2312" w:eastAsia="CESI仿宋-GB2312" w:cs="CESI仿宋-GB2312"/>
          <w:color w:val="000000" w:themeColor="text1"/>
          <w:sz w:val="32"/>
          <w:szCs w:val="32"/>
          <w:lang w:eastAsia="zh-CN"/>
          <w14:textFill>
            <w14:solidFill>
              <w14:schemeClr w14:val="tx1"/>
            </w14:solidFill>
          </w14:textFill>
        </w:rPr>
        <w:t>。</w:t>
      </w:r>
    </w:p>
    <w:p w14:paraId="5539E7BC">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24" w:firstLineChars="200"/>
        <w:jc w:val="left"/>
        <w:textAlignment w:val="baseline"/>
        <w:outlineLvl w:val="9"/>
        <w:rPr>
          <w:rFonts w:hint="eastAsia" w:ascii="黑体" w:hAnsi="黑体" w:eastAsia="黑体" w:cs="黑体"/>
          <w:snapToGrid w:val="0"/>
          <w:color w:val="000000"/>
          <w:spacing w:val="-4"/>
          <w:kern w:val="0"/>
          <w:sz w:val="32"/>
          <w:szCs w:val="32"/>
          <w:lang w:val="en-US" w:eastAsia="zh-CN"/>
        </w:rPr>
      </w:pPr>
      <w:r>
        <w:rPr>
          <w:rFonts w:hint="eastAsia" w:ascii="黑体" w:hAnsi="黑体" w:eastAsia="黑体" w:cs="黑体"/>
          <w:snapToGrid w:val="0"/>
          <w:color w:val="000000"/>
          <w:spacing w:val="-4"/>
          <w:kern w:val="0"/>
          <w:sz w:val="32"/>
          <w:szCs w:val="32"/>
          <w:lang w:val="en-US" w:eastAsia="zh-CN"/>
        </w:rPr>
        <w:t>三、行政处罚决定的履行方式和期限</w:t>
      </w:r>
    </w:p>
    <w:p w14:paraId="041B8E28">
      <w:pPr>
        <w:keepNext w:val="0"/>
        <w:keepLines w:val="0"/>
        <w:pageBreakBefore w:val="0"/>
        <w:wordWrap/>
        <w:overflowPunct/>
        <w:topLinePunct w:val="0"/>
        <w:bidi w:val="0"/>
        <w:adjustRightInd w:val="0"/>
        <w:snapToGrid w:val="0"/>
        <w:spacing w:line="560" w:lineRule="exact"/>
        <w:ind w:left="0" w:leftChars="0" w:right="0" w:firstLine="640" w:firstLineChars="200"/>
        <w:textAlignment w:val="auto"/>
        <w:outlineLvl w:val="9"/>
        <w:rPr>
          <w:rFonts w:hint="eastAsia" w:ascii="CESI仿宋-GB2312" w:hAnsi="CESI仿宋-GB2312" w:eastAsia="CESI仿宋-GB2312" w:cs="CESI仿宋-GB2312"/>
          <w:color w:val="000000"/>
          <w:kern w:val="0"/>
          <w:sz w:val="32"/>
          <w:szCs w:val="32"/>
          <w:u w:val="none"/>
          <w:lang w:val="en-US" w:eastAsia="zh-CN"/>
        </w:rPr>
      </w:pPr>
      <w:r>
        <w:rPr>
          <w:rFonts w:hint="eastAsia" w:ascii="CESI仿宋-GB2312" w:hAnsi="CESI仿宋-GB2312" w:eastAsia="CESI仿宋-GB2312" w:cs="CESI仿宋-GB2312"/>
          <w:color w:val="000000"/>
          <w:kern w:val="0"/>
          <w:sz w:val="32"/>
          <w:szCs w:val="32"/>
          <w:u w:val="none"/>
          <w:lang w:val="en-US" w:eastAsia="zh-CN"/>
        </w:rPr>
        <w:t>根据《中华人民共和国行政处罚法》和《罚款决定与罚款收缴分离实施办法》的规定，你应当自收到本处罚决定书之日起15日内将罚款缴至焦作市财政局非税收入财政专户(开户行:邮政储蓄银行民主南路支行;银行账号:100195545980010001)。缴款时，当事人需在缴款备注栏注明“生态环境行政处罚款”及具体的处罚决定书编号等信息，以便准确核对缴款记录。</w:t>
      </w:r>
    </w:p>
    <w:p w14:paraId="353282AE">
      <w:pPr>
        <w:keepNext w:val="0"/>
        <w:keepLines w:val="0"/>
        <w:pageBreakBefore w:val="0"/>
        <w:widowControl/>
        <w:wordWrap/>
        <w:overflowPunct/>
        <w:topLinePunct w:val="0"/>
        <w:bidi w:val="0"/>
        <w:spacing w:line="560" w:lineRule="exact"/>
        <w:ind w:left="0" w:leftChars="0" w:firstLine="640" w:firstLineChars="200"/>
        <w:jc w:val="left"/>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四、申请行政复议或提起行政诉讼的途径和期限</w:t>
      </w:r>
    </w:p>
    <w:p w14:paraId="72AB0794">
      <w:pPr>
        <w:keepNext w:val="0"/>
        <w:keepLines w:val="0"/>
        <w:pageBreakBefore w:val="0"/>
        <w:widowControl/>
        <w:suppressLineNumbers w:val="0"/>
        <w:wordWrap/>
        <w:overflowPunct/>
        <w:topLinePunct w:val="0"/>
        <w:bidi w:val="0"/>
        <w:spacing w:line="560" w:lineRule="exact"/>
        <w:ind w:left="0" w:leftChars="0" w:firstLine="640" w:firstLineChars="200"/>
        <w:jc w:val="both"/>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你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逾期不申请行政复议，不提起行政诉讼，又不履行本处罚决定的，我局将依法申请人民法院强制执行。</w:t>
      </w:r>
    </w:p>
    <w:p w14:paraId="71F4C6F3">
      <w:pPr>
        <w:keepNext w:val="0"/>
        <w:keepLines w:val="0"/>
        <w:pageBreakBefore w:val="0"/>
        <w:widowControl/>
        <w:suppressLineNumbers w:val="0"/>
        <w:wordWrap/>
        <w:overflowPunct/>
        <w:topLinePunct w:val="0"/>
        <w:bidi w:val="0"/>
        <w:spacing w:line="560" w:lineRule="exact"/>
        <w:ind w:left="0" w:leftChars="0"/>
        <w:jc w:val="left"/>
        <w:rPr>
          <w:rFonts w:hint="eastAsia" w:ascii="CESI仿宋-GB2312" w:hAnsi="CESI仿宋-GB2312" w:eastAsia="CESI仿宋-GB2312" w:cs="CESI仿宋-GB2312"/>
          <w:color w:val="auto"/>
          <w:sz w:val="32"/>
          <w:szCs w:val="32"/>
          <w:lang w:val="en-US" w:eastAsia="zh-CN"/>
        </w:rPr>
      </w:pPr>
    </w:p>
    <w:p w14:paraId="10E4AB0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zh-CN"/>
        </w:rPr>
      </w:pPr>
    </w:p>
    <w:p w14:paraId="47A85923">
      <w:pPr>
        <w:pStyle w:val="2"/>
        <w:keepNext w:val="0"/>
        <w:keepLines w:val="0"/>
        <w:pageBreakBefore w:val="0"/>
        <w:wordWrap/>
        <w:overflowPunct/>
        <w:topLinePunct w:val="0"/>
        <w:bidi w:val="0"/>
        <w:spacing w:line="560" w:lineRule="exact"/>
        <w:ind w:left="0"/>
        <w:rPr>
          <w:rFonts w:hint="eastAsia" w:ascii="CESI仿宋-GB2312" w:hAnsi="CESI仿宋-GB2312" w:eastAsia="CESI仿宋-GB2312" w:cs="CESI仿宋-GB2312"/>
          <w:lang w:val="en-US" w:eastAsia="zh-CN"/>
        </w:rPr>
      </w:pPr>
    </w:p>
    <w:p w14:paraId="27D9C82C">
      <w:pPr>
        <w:keepNext w:val="0"/>
        <w:keepLines w:val="0"/>
        <w:pageBreakBefore w:val="0"/>
        <w:widowControl w:val="0"/>
        <w:kinsoku/>
        <w:wordWrap/>
        <w:overflowPunct/>
        <w:topLinePunct w:val="0"/>
        <w:autoSpaceDE/>
        <w:autoSpaceDN/>
        <w:bidi w:val="0"/>
        <w:adjustRightInd/>
        <w:snapToGrid/>
        <w:spacing w:line="560" w:lineRule="exact"/>
        <w:ind w:left="5120" w:leftChars="0" w:hanging="5120" w:hangingChars="1600"/>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 xml:space="preserve">                               2025年11月7日</w:t>
      </w:r>
    </w:p>
    <w:sectPr>
      <w:pgSz w:w="11906" w:h="16838"/>
      <w:pgMar w:top="1814" w:right="1474" w:bottom="147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69172E4-C53F-46FD-B81A-F1EFAF75B7B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方正小标宋_GBK">
    <w:panose1 w:val="02000000000000000000"/>
    <w:charset w:val="86"/>
    <w:family w:val="script"/>
    <w:pitch w:val="default"/>
    <w:sig w:usb0="A00002BF" w:usb1="38CF7CFA" w:usb2="00082016" w:usb3="00000000" w:csb0="00040001" w:csb1="00000000"/>
    <w:embedRegular r:id="rId2" w:fontKey="{50330FFF-B5AA-42F9-A965-75E6D8F4F73E}"/>
  </w:font>
  <w:font w:name="仿宋">
    <w:panose1 w:val="02010609060101010101"/>
    <w:charset w:val="86"/>
    <w:family w:val="auto"/>
    <w:pitch w:val="default"/>
    <w:sig w:usb0="800002BF" w:usb1="38CF7CFA" w:usb2="00000016" w:usb3="00000000" w:csb0="00040001" w:csb1="00000000"/>
    <w:embedRegular r:id="rId3" w:fontKey="{DCB7A08A-C17A-4BA9-9D24-4F5030A9A610}"/>
  </w:font>
  <w:font w:name="CESI仿宋-GB2312">
    <w:altName w:val="仿宋"/>
    <w:panose1 w:val="02000500000000000000"/>
    <w:charset w:val="86"/>
    <w:family w:val="auto"/>
    <w:pitch w:val="default"/>
    <w:sig w:usb0="00000000" w:usb1="00000000" w:usb2="00000010" w:usb3="00000000" w:csb0="0004000F" w:csb1="00000000"/>
    <w:embedRegular r:id="rId4" w:fontKey="{5A513721-F16F-4053-8A58-ED1F2E1B1C3D}"/>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F721E4"/>
    <w:multiLevelType w:val="singleLevel"/>
    <w:tmpl w:val="1CF721E4"/>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lMjYzYjY0NDc3YWQ3MmM5M2UxZWVhYzAzYmFjZDQifQ=="/>
  </w:docVars>
  <w:rsids>
    <w:rsidRoot w:val="00000000"/>
    <w:rsid w:val="028E00C5"/>
    <w:rsid w:val="02AF37D1"/>
    <w:rsid w:val="03CE521F"/>
    <w:rsid w:val="04E64BE5"/>
    <w:rsid w:val="04FD0162"/>
    <w:rsid w:val="06E11AE9"/>
    <w:rsid w:val="0ABB4D47"/>
    <w:rsid w:val="0CEA6888"/>
    <w:rsid w:val="0FBD7408"/>
    <w:rsid w:val="14B24AC5"/>
    <w:rsid w:val="1B684130"/>
    <w:rsid w:val="1C330BE1"/>
    <w:rsid w:val="1CCA6AFD"/>
    <w:rsid w:val="223E5BEA"/>
    <w:rsid w:val="24DB1E41"/>
    <w:rsid w:val="266F0A68"/>
    <w:rsid w:val="27660B1C"/>
    <w:rsid w:val="29AA0009"/>
    <w:rsid w:val="2D1F7265"/>
    <w:rsid w:val="2D9340EB"/>
    <w:rsid w:val="2DA214DE"/>
    <w:rsid w:val="2F394CAA"/>
    <w:rsid w:val="32B904BF"/>
    <w:rsid w:val="32D14858"/>
    <w:rsid w:val="3419666E"/>
    <w:rsid w:val="37CD55EE"/>
    <w:rsid w:val="392E47B3"/>
    <w:rsid w:val="3C9D42A1"/>
    <w:rsid w:val="40EC44BB"/>
    <w:rsid w:val="40FF333D"/>
    <w:rsid w:val="47044AB7"/>
    <w:rsid w:val="53116184"/>
    <w:rsid w:val="538434F5"/>
    <w:rsid w:val="55F45FE4"/>
    <w:rsid w:val="56AF2CBD"/>
    <w:rsid w:val="581D5B1D"/>
    <w:rsid w:val="5DA34444"/>
    <w:rsid w:val="60DF31A5"/>
    <w:rsid w:val="61F25ACE"/>
    <w:rsid w:val="63E1229E"/>
    <w:rsid w:val="64FB3B18"/>
    <w:rsid w:val="65870C23"/>
    <w:rsid w:val="65CF4A80"/>
    <w:rsid w:val="6A6908F7"/>
    <w:rsid w:val="725E5096"/>
    <w:rsid w:val="72717675"/>
    <w:rsid w:val="76FF4ABD"/>
    <w:rsid w:val="79EB30D7"/>
    <w:rsid w:val="7BFC28F6"/>
    <w:rsid w:val="7D40373A"/>
    <w:rsid w:val="7D5D6252"/>
    <w:rsid w:val="7F063871"/>
    <w:rsid w:val="7F84220E"/>
    <w:rsid w:val="7F983421"/>
    <w:rsid w:val="7FCF09D4"/>
    <w:rsid w:val="7FFB2D85"/>
    <w:rsid w:val="D93297BD"/>
    <w:rsid w:val="F3D809EB"/>
    <w:rsid w:val="FDF7A4A3"/>
    <w:rsid w:val="FF8DD4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宋体"/>
      <w:kern w:val="2"/>
      <w:sz w:val="21"/>
      <w:szCs w:val="24"/>
      <w:lang w:val="en-US" w:eastAsia="zh-CN" w:bidi="ar-SA"/>
    </w:rPr>
  </w:style>
  <w:style w:type="character" w:default="1" w:styleId="5">
    <w:name w:val="Default Paragraph Font"/>
    <w:autoRedefine/>
    <w:qFormat/>
    <w:uiPriority w:val="0"/>
  </w:style>
  <w:style w:type="table" w:default="1" w:styleId="4">
    <w:name w:val="Normal Table"/>
    <w:autoRedefine/>
    <w:qFormat/>
    <w:uiPriority w:val="0"/>
    <w:tblPr>
      <w:tblCellMar>
        <w:top w:w="0" w:type="dxa"/>
        <w:left w:w="108" w:type="dxa"/>
        <w:bottom w:w="0" w:type="dxa"/>
        <w:right w:w="108" w:type="dxa"/>
      </w:tblCellMar>
    </w:tblPr>
  </w:style>
  <w:style w:type="paragraph" w:styleId="2">
    <w:name w:val="Body Text"/>
    <w:basedOn w:val="1"/>
    <w:next w:val="1"/>
    <w:autoRedefine/>
    <w:qFormat/>
    <w:uiPriority w:val="0"/>
    <w:pPr>
      <w:jc w:val="center"/>
    </w:pPr>
    <w:rPr>
      <w:rFonts w:ascii="华文中宋" w:eastAsia="华文中宋"/>
      <w:b/>
      <w:bCs/>
      <w:sz w:val="44"/>
      <w:szCs w:val="36"/>
    </w:rPr>
  </w:style>
  <w:style w:type="paragraph" w:styleId="3">
    <w:name w:val="Normal (Web)"/>
    <w:basedOn w:val="1"/>
    <w:autoRedefine/>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1251</Words>
  <Characters>1371</Characters>
  <Paragraphs>25</Paragraphs>
  <TotalTime>0</TotalTime>
  <ScaleCrop>false</ScaleCrop>
  <LinksUpToDate>false</LinksUpToDate>
  <CharactersWithSpaces>1402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2022-02-22T01:06:00Z</dcterms:created>
  <dc:creator>Administrator</dc:creator>
  <cp:lastModifiedBy>吴嘉嘉</cp:lastModifiedBy>
  <cp:lastPrinted>2024-02-05T17:22:00Z</cp:lastPrinted>
  <dcterms:modified xsi:type="dcterms:W3CDTF">2025-11-08T00:19:42Z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A3F14A1D19914A03886C5E5F4DCB0C91_13</vt:lpwstr>
  </property>
  <property fmtid="{D5CDD505-2E9C-101B-9397-08002B2CF9AE}" pid="4" name="KSOTemplateDocerSaveRecord">
    <vt:lpwstr>eyJoZGlkIjoiYmViMDNiNDM1M2UzNTJmYjI0MDE2NWRjMWI5MTc1YmMiLCJ1c2VySWQiOiI0MjYwNTU1MDYifQ==</vt:lpwstr>
  </property>
</Properties>
</file>