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1BECF74">
      <w:pPr>
        <w:snapToGrid w:val="0"/>
        <w:spacing w:line="700" w:lineRule="exact"/>
        <w:jc w:val="center"/>
        <w:rPr>
          <w:rFonts w:hint="default" w:ascii="Times New Roman" w:hAnsi="Times New Roman" w:eastAsia="方正小标宋简体" w:cs="Times New Roman"/>
          <w:bCs/>
          <w:sz w:val="44"/>
          <w:szCs w:val="44"/>
        </w:rPr>
      </w:pPr>
      <w:bookmarkStart w:id="0" w:name="_Toc24038"/>
      <w:bookmarkStart w:id="1" w:name="_Toc21336"/>
      <w:bookmarkStart w:id="2" w:name="_Toc5085"/>
    </w:p>
    <w:p w14:paraId="2E5E17F7">
      <w:pPr>
        <w:snapToGrid w:val="0"/>
        <w:spacing w:line="700" w:lineRule="exact"/>
        <w:jc w:val="center"/>
        <w:rPr>
          <w:rFonts w:hint="default" w:ascii="Times New Roman" w:hAnsi="Times New Roman" w:eastAsia="方正小标宋简体" w:cs="Times New Roman"/>
          <w:bCs/>
          <w:sz w:val="44"/>
          <w:szCs w:val="44"/>
        </w:rPr>
      </w:pPr>
      <w:r>
        <w:rPr>
          <w:rFonts w:hint="default" w:ascii="Times New Roman" w:hAnsi="Times New Roman" w:eastAsia="方正小标宋简体" w:cs="Times New Roman"/>
          <w:bCs/>
          <w:sz w:val="44"/>
          <w:szCs w:val="44"/>
        </w:rPr>
        <w:t>焦作市生态环境局</w:t>
      </w:r>
    </w:p>
    <w:p w14:paraId="42D5C9F9">
      <w:pPr>
        <w:snapToGrid w:val="0"/>
        <w:spacing w:line="700" w:lineRule="exact"/>
        <w:jc w:val="center"/>
        <w:rPr>
          <w:rFonts w:hint="default" w:ascii="Times New Roman" w:hAnsi="Times New Roman" w:eastAsia="方正小标宋_GBK" w:cs="Times New Roman"/>
          <w:bCs/>
          <w:sz w:val="44"/>
          <w:szCs w:val="44"/>
        </w:rPr>
      </w:pPr>
      <w:r>
        <w:rPr>
          <w:rFonts w:hint="default" w:ascii="Times New Roman" w:hAnsi="Times New Roman" w:eastAsia="方正小标宋简体" w:cs="Times New Roman"/>
          <w:bCs/>
          <w:sz w:val="44"/>
          <w:szCs w:val="44"/>
        </w:rPr>
        <w:t>行政处罚决定书</w:t>
      </w:r>
      <w:bookmarkEnd w:id="0"/>
      <w:bookmarkEnd w:id="1"/>
      <w:bookmarkEnd w:id="2"/>
    </w:p>
    <w:p w14:paraId="38D2353A">
      <w:pPr>
        <w:snapToGrid w:val="0"/>
        <w:spacing w:line="700" w:lineRule="exact"/>
        <w:jc w:val="center"/>
        <w:rPr>
          <w:rFonts w:hint="eastAsia" w:ascii="方正楷体_GBK" w:hAnsi="方正楷体_GBK" w:eastAsia="方正楷体_GBK" w:cs="方正楷体_GBK"/>
          <w:sz w:val="32"/>
          <w:szCs w:val="32"/>
        </w:rPr>
      </w:pPr>
      <w:r>
        <w:rPr>
          <w:rFonts w:hint="eastAsia" w:eastAsia="仿宋_GB2312" w:cs="Times New Roman"/>
          <w:sz w:val="32"/>
          <w:szCs w:val="32"/>
          <w:lang w:val="en-US" w:eastAsia="zh-CN"/>
        </w:rPr>
        <w:t xml:space="preserve">                          </w:t>
      </w:r>
      <w:r>
        <w:rPr>
          <w:rFonts w:hint="default" w:ascii="Times New Roman" w:hAnsi="Times New Roman" w:eastAsia="仿宋_GB2312" w:cs="Times New Roman"/>
          <w:sz w:val="32"/>
          <w:szCs w:val="32"/>
        </w:rPr>
        <w:t>焦环罚</w:t>
      </w:r>
      <w:r>
        <w:rPr>
          <w:rFonts w:hint="default" w:ascii="Times New Roman" w:hAnsi="Times New Roman" w:eastAsia="仿宋_GB2312" w:cs="Times New Roman"/>
          <w:color w:val="auto"/>
          <w:sz w:val="32"/>
          <w:szCs w:val="32"/>
        </w:rPr>
        <w:t>〔</w:t>
      </w:r>
      <w:r>
        <w:rPr>
          <w:rFonts w:hint="eastAsia" w:eastAsia="仿宋_GB2312" w:cs="Times New Roman"/>
          <w:color w:val="auto"/>
          <w:sz w:val="32"/>
          <w:szCs w:val="32"/>
          <w:lang w:val="en-US" w:eastAsia="zh-CN"/>
        </w:rPr>
        <w:t>2025</w:t>
      </w:r>
      <w:r>
        <w:rPr>
          <w:rFonts w:hint="default" w:ascii="Times New Roman" w:hAnsi="Times New Roman" w:eastAsia="仿宋_GB2312" w:cs="Times New Roman"/>
          <w:color w:val="auto"/>
          <w:sz w:val="32"/>
          <w:szCs w:val="32"/>
        </w:rPr>
        <w:t>〕</w:t>
      </w:r>
      <w:r>
        <w:rPr>
          <w:rFonts w:hint="eastAsia" w:eastAsia="仿宋_GB2312" w:cs="Times New Roman"/>
          <w:color w:val="auto"/>
          <w:sz w:val="32"/>
          <w:szCs w:val="32"/>
          <w:lang w:val="en-US" w:eastAsia="zh-CN"/>
        </w:rPr>
        <w:t>253</w:t>
      </w:r>
      <w:r>
        <w:rPr>
          <w:rFonts w:hint="default" w:ascii="Times New Roman" w:hAnsi="Times New Roman" w:eastAsia="仿宋_GB2312" w:cs="Times New Roman"/>
          <w:color w:val="auto"/>
          <w:sz w:val="32"/>
          <w:szCs w:val="32"/>
        </w:rPr>
        <w:t>号</w:t>
      </w:r>
    </w:p>
    <w:p w14:paraId="142A017A">
      <w:pPr>
        <w:keepNext w:val="0"/>
        <w:keepLines w:val="0"/>
        <w:pageBreakBefore w:val="0"/>
        <w:kinsoku/>
        <w:wordWrap/>
        <w:overflowPunct/>
        <w:topLinePunct w:val="0"/>
        <w:autoSpaceDE/>
        <w:autoSpaceDN/>
        <w:bidi w:val="0"/>
        <w:spacing w:line="500" w:lineRule="exact"/>
        <w:jc w:val="left"/>
        <w:textAlignment w:val="auto"/>
        <w:rPr>
          <w:rFonts w:hint="eastAsia" w:ascii="仿宋_GB2312" w:hAnsi="仿宋_GB2312" w:eastAsia="仿宋_GB2312" w:cs="仿宋_GB2312"/>
          <w:sz w:val="32"/>
          <w:szCs w:val="32"/>
          <w:lang w:bidi="ar"/>
        </w:rPr>
      </w:pPr>
      <w:bookmarkStart w:id="3" w:name="_Toc29232"/>
      <w:r>
        <w:rPr>
          <w:rFonts w:hint="default" w:ascii="Times New Roman" w:hAnsi="Times New Roman" w:eastAsia="黑体" w:cs="Times New Roman"/>
          <w:b w:val="0"/>
          <w:bCs w:val="0"/>
          <w:sz w:val="32"/>
          <w:szCs w:val="32"/>
          <w:lang w:bidi="ar"/>
        </w:rPr>
        <w:t>单位名称</w:t>
      </w:r>
      <w:r>
        <w:rPr>
          <w:rFonts w:hint="default" w:ascii="Times New Roman" w:hAnsi="Times New Roman" w:eastAsia="黑体" w:cs="Times New Roman"/>
          <w:sz w:val="32"/>
          <w:szCs w:val="32"/>
          <w:lang w:bidi="ar"/>
        </w:rPr>
        <w:t>：</w:t>
      </w:r>
      <w:r>
        <w:rPr>
          <w:rFonts w:hint="eastAsia" w:ascii="仿宋_GB2312" w:hAnsi="仿宋_GB2312" w:eastAsia="仿宋_GB2312" w:cs="仿宋_GB2312"/>
          <w:sz w:val="32"/>
          <w:szCs w:val="32"/>
          <w:lang w:bidi="ar"/>
        </w:rPr>
        <w:t>河南鑫洋饮品有限公司</w:t>
      </w:r>
    </w:p>
    <w:p w14:paraId="78C74EEA">
      <w:pPr>
        <w:keepNext w:val="0"/>
        <w:keepLines w:val="0"/>
        <w:pageBreakBefore w:val="0"/>
        <w:kinsoku/>
        <w:wordWrap/>
        <w:overflowPunct/>
        <w:topLinePunct w:val="0"/>
        <w:autoSpaceDE/>
        <w:autoSpaceDN/>
        <w:bidi w:val="0"/>
        <w:spacing w:line="500" w:lineRule="exact"/>
        <w:jc w:val="left"/>
        <w:textAlignment w:val="auto"/>
        <w:rPr>
          <w:rFonts w:hint="default" w:ascii="Times New Roman" w:hAnsi="Times New Roman" w:eastAsia="仿宋" w:cs="Times New Roman"/>
          <w:szCs w:val="32"/>
        </w:rPr>
      </w:pPr>
      <w:r>
        <w:rPr>
          <w:rFonts w:hint="default" w:ascii="Times New Roman" w:hAnsi="Times New Roman" w:eastAsia="黑体" w:cs="Times New Roman"/>
          <w:b w:val="0"/>
          <w:bCs w:val="0"/>
          <w:sz w:val="32"/>
          <w:szCs w:val="32"/>
          <w:lang w:bidi="ar"/>
        </w:rPr>
        <w:t>统一社会信用代码</w:t>
      </w:r>
      <w:r>
        <w:rPr>
          <w:rFonts w:hint="default" w:ascii="Times New Roman" w:hAnsi="Times New Roman" w:eastAsia="黑体" w:cs="Times New Roman"/>
          <w:sz w:val="32"/>
          <w:szCs w:val="32"/>
          <w:lang w:bidi="ar"/>
        </w:rPr>
        <w:t>：</w:t>
      </w:r>
      <w:r>
        <w:rPr>
          <w:rFonts w:hint="default" w:ascii="Times New Roman" w:hAnsi="Times New Roman" w:eastAsia="仿宋" w:cs="Times New Roman"/>
          <w:sz w:val="32"/>
          <w:szCs w:val="32"/>
          <w:lang w:bidi="ar"/>
        </w:rPr>
        <w:t>9</w:t>
      </w:r>
      <w:r>
        <w:rPr>
          <w:rFonts w:hint="eastAsia" w:eastAsia="仿宋" w:cs="Times New Roman"/>
          <w:sz w:val="32"/>
          <w:szCs w:val="32"/>
          <w:lang w:val="en-US" w:eastAsia="zh-CN" w:bidi="ar"/>
        </w:rPr>
        <w:t>1410883MAE4EE182W</w:t>
      </w:r>
      <w:r>
        <w:rPr>
          <w:rFonts w:hint="default" w:ascii="仿宋" w:hAnsi="仿宋" w:eastAsia="仿宋" w:cs="Times New Roman"/>
          <w:sz w:val="32"/>
          <w:szCs w:val="32"/>
          <w:lang w:bidi="ar"/>
        </w:rPr>
        <w:t xml:space="preserve">                                  </w:t>
      </w:r>
    </w:p>
    <w:p w14:paraId="1B091907">
      <w:pPr>
        <w:keepNext w:val="0"/>
        <w:keepLines w:val="0"/>
        <w:pageBreakBefore w:val="0"/>
        <w:kinsoku/>
        <w:wordWrap/>
        <w:overflowPunct/>
        <w:topLinePunct w:val="0"/>
        <w:autoSpaceDE/>
        <w:autoSpaceDN/>
        <w:bidi w:val="0"/>
        <w:spacing w:line="500" w:lineRule="exact"/>
        <w:jc w:val="left"/>
        <w:textAlignment w:val="auto"/>
        <w:rPr>
          <w:rFonts w:hint="eastAsia" w:eastAsia="黑体" w:cs="Times New Roman"/>
          <w:b w:val="0"/>
          <w:bCs w:val="0"/>
          <w:sz w:val="32"/>
          <w:szCs w:val="32"/>
          <w:lang w:val="en-US" w:eastAsia="zh-CN" w:bidi="ar"/>
        </w:rPr>
      </w:pPr>
      <w:r>
        <w:rPr>
          <w:rFonts w:hint="eastAsia" w:eastAsia="黑体" w:cs="Times New Roman"/>
          <w:b w:val="0"/>
          <w:bCs w:val="0"/>
          <w:sz w:val="32"/>
          <w:szCs w:val="32"/>
          <w:lang w:val="en-US" w:eastAsia="zh-CN" w:bidi="ar"/>
        </w:rPr>
        <w:t>法定代表人：</w:t>
      </w:r>
      <w:r>
        <w:rPr>
          <w:rFonts w:hint="eastAsia" w:ascii="仿宋_GB2312" w:hAnsi="仿宋_GB2312" w:eastAsia="仿宋_GB2312" w:cs="仿宋_GB2312"/>
          <w:sz w:val="32"/>
          <w:szCs w:val="32"/>
          <w:lang w:eastAsia="zh-CN" w:bidi="ar"/>
        </w:rPr>
        <w:t>杜凯利</w:t>
      </w:r>
    </w:p>
    <w:p w14:paraId="5D777997">
      <w:pPr>
        <w:keepNext w:val="0"/>
        <w:keepLines w:val="0"/>
        <w:pageBreakBefore w:val="0"/>
        <w:kinsoku/>
        <w:wordWrap/>
        <w:overflowPunct/>
        <w:topLinePunct w:val="0"/>
        <w:autoSpaceDE/>
        <w:autoSpaceDN/>
        <w:bidi w:val="0"/>
        <w:spacing w:line="500" w:lineRule="exact"/>
        <w:jc w:val="left"/>
        <w:textAlignment w:val="auto"/>
        <w:rPr>
          <w:rFonts w:hint="default" w:ascii="Times New Roman" w:hAnsi="Times New Roman" w:eastAsia="仿宋" w:cs="Times New Roman"/>
          <w:szCs w:val="32"/>
        </w:rPr>
      </w:pPr>
      <w:r>
        <w:rPr>
          <w:rFonts w:hint="eastAsia" w:eastAsia="黑体" w:cs="Times New Roman"/>
          <w:b w:val="0"/>
          <w:bCs w:val="0"/>
          <w:sz w:val="32"/>
          <w:szCs w:val="32"/>
          <w:lang w:val="en-US" w:eastAsia="zh-CN" w:bidi="ar"/>
        </w:rPr>
        <w:t>地址</w:t>
      </w:r>
      <w:r>
        <w:rPr>
          <w:rFonts w:hint="default" w:ascii="Times New Roman" w:hAnsi="Times New Roman" w:eastAsia="黑体" w:cs="Times New Roman"/>
          <w:sz w:val="32"/>
          <w:szCs w:val="32"/>
          <w:lang w:bidi="ar"/>
        </w:rPr>
        <w:t>：</w:t>
      </w:r>
      <w:r>
        <w:rPr>
          <w:rFonts w:hint="eastAsia" w:ascii="仿宋_GB2312" w:hAnsi="仿宋_GB2312" w:eastAsia="仿宋_GB2312" w:cs="仿宋_GB2312"/>
          <w:sz w:val="32"/>
          <w:szCs w:val="32"/>
          <w:lang w:bidi="ar"/>
        </w:rPr>
        <w:t>孟州市河阳街道缑村上酒路中段东侧3号</w:t>
      </w:r>
      <w:r>
        <w:rPr>
          <w:rFonts w:hint="default" w:ascii="仿宋" w:hAnsi="仿宋" w:eastAsia="仿宋" w:cs="Times New Roman"/>
          <w:sz w:val="32"/>
          <w:szCs w:val="32"/>
          <w:lang w:bidi="ar"/>
        </w:rPr>
        <w:t xml:space="preserve">                                                                               </w:t>
      </w:r>
    </w:p>
    <w:p w14:paraId="65427093">
      <w:pPr>
        <w:keepNext w:val="0"/>
        <w:keepLines w:val="0"/>
        <w:pageBreakBefore w:val="0"/>
        <w:kinsoku/>
        <w:wordWrap/>
        <w:overflowPunct/>
        <w:topLinePunct w:val="0"/>
        <w:autoSpaceDE/>
        <w:autoSpaceDN/>
        <w:bidi w:val="0"/>
        <w:snapToGrid w:val="0"/>
        <w:spacing w:line="500" w:lineRule="exact"/>
        <w:textAlignment w:val="auto"/>
        <w:rPr>
          <w:rFonts w:hint="default" w:ascii="Times New Roman" w:hAnsi="Times New Roman" w:eastAsia="仿宋" w:cs="Times New Roman"/>
          <w:b/>
          <w:bCs/>
          <w:sz w:val="32"/>
          <w:szCs w:val="32"/>
        </w:rPr>
      </w:pPr>
    </w:p>
    <w:p w14:paraId="5E82CE25">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一、环境违法事实和证据</w:t>
      </w:r>
      <w:bookmarkEnd w:id="3"/>
    </w:p>
    <w:p w14:paraId="5736739D">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我局于</w:t>
      </w:r>
      <w:r>
        <w:rPr>
          <w:rFonts w:hint="default" w:ascii="Times New Roman" w:hAnsi="Times New Roman" w:eastAsia="仿宋_GB2312" w:cs="Times New Roman"/>
          <w:sz w:val="32"/>
          <w:szCs w:val="32"/>
          <w:lang w:bidi="ar"/>
        </w:rPr>
        <w:t>2025年</w:t>
      </w:r>
      <w:r>
        <w:rPr>
          <w:rFonts w:hint="eastAsia" w:eastAsia="仿宋_GB2312" w:cs="Times New Roman"/>
          <w:sz w:val="32"/>
          <w:szCs w:val="32"/>
          <w:lang w:val="en-US" w:eastAsia="zh-CN" w:bidi="ar"/>
        </w:rPr>
        <w:t>7</w:t>
      </w:r>
      <w:r>
        <w:rPr>
          <w:rFonts w:hint="default" w:ascii="Times New Roman" w:hAnsi="Times New Roman" w:eastAsia="仿宋_GB2312" w:cs="Times New Roman"/>
          <w:sz w:val="32"/>
          <w:szCs w:val="32"/>
          <w:lang w:bidi="ar"/>
        </w:rPr>
        <w:t>月</w:t>
      </w:r>
      <w:r>
        <w:rPr>
          <w:rFonts w:hint="eastAsia" w:eastAsia="仿宋_GB2312" w:cs="Times New Roman"/>
          <w:sz w:val="32"/>
          <w:szCs w:val="32"/>
          <w:lang w:val="en-US" w:eastAsia="zh-CN" w:bidi="ar"/>
        </w:rPr>
        <w:t>24</w:t>
      </w:r>
      <w:r>
        <w:rPr>
          <w:rFonts w:hint="default" w:ascii="Times New Roman" w:hAnsi="Times New Roman" w:eastAsia="仿宋_GB2312" w:cs="Times New Roman"/>
          <w:sz w:val="32"/>
          <w:szCs w:val="32"/>
          <w:lang w:bidi="ar"/>
        </w:rPr>
        <w:t>日</w:t>
      </w:r>
      <w:r>
        <w:rPr>
          <w:rFonts w:hint="default" w:ascii="Times New Roman" w:hAnsi="Times New Roman" w:eastAsia="仿宋_GB2312" w:cs="Times New Roman"/>
          <w:sz w:val="32"/>
          <w:szCs w:val="32"/>
        </w:rPr>
        <w:t>对你</w:t>
      </w:r>
      <w:r>
        <w:rPr>
          <w:rFonts w:hint="eastAsia" w:eastAsia="仿宋_GB2312" w:cs="Times New Roman"/>
          <w:sz w:val="32"/>
          <w:szCs w:val="32"/>
          <w:lang w:eastAsia="zh-CN"/>
        </w:rPr>
        <w:t>公司</w:t>
      </w:r>
      <w:r>
        <w:rPr>
          <w:rFonts w:hint="default" w:ascii="Times New Roman" w:hAnsi="Times New Roman" w:eastAsia="仿宋_GB2312" w:cs="Times New Roman"/>
          <w:sz w:val="32"/>
          <w:szCs w:val="32"/>
        </w:rPr>
        <w:t>进行了调查，发现你</w:t>
      </w:r>
      <w:r>
        <w:rPr>
          <w:rFonts w:hint="eastAsia" w:eastAsia="仿宋_GB2312" w:cs="Times New Roman"/>
          <w:sz w:val="32"/>
          <w:szCs w:val="32"/>
          <w:lang w:eastAsia="zh-CN"/>
        </w:rPr>
        <w:t>公司</w:t>
      </w:r>
      <w:r>
        <w:rPr>
          <w:rFonts w:hint="default" w:ascii="Times New Roman" w:hAnsi="Times New Roman" w:eastAsia="仿宋_GB2312" w:cs="Times New Roman"/>
          <w:sz w:val="32"/>
          <w:szCs w:val="32"/>
        </w:rPr>
        <w:t>实施了以下环境违法行为：</w:t>
      </w:r>
    </w:p>
    <w:p w14:paraId="7CC62467">
      <w:pPr>
        <w:keepNext w:val="0"/>
        <w:keepLines w:val="0"/>
        <w:pageBreakBefore w:val="0"/>
        <w:kinsoku/>
        <w:wordWrap/>
        <w:overflowPunct/>
        <w:topLinePunct w:val="0"/>
        <w:autoSpaceDE/>
        <w:autoSpaceDN/>
        <w:bidi w:val="0"/>
        <w:adjustRightInd w:val="0"/>
        <w:snapToGrid w:val="0"/>
        <w:spacing w:line="500" w:lineRule="exact"/>
        <w:ind w:firstLine="640" w:firstLineChars="200"/>
        <w:textAlignment w:val="auto"/>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检查期间，</w:t>
      </w:r>
      <w:r>
        <w:rPr>
          <w:rFonts w:hint="eastAsia" w:eastAsia="仿宋_GB2312" w:cs="Times New Roman"/>
          <w:sz w:val="32"/>
          <w:szCs w:val="32"/>
          <w:lang w:eastAsia="zh-CN"/>
        </w:rPr>
        <w:t>你</w:t>
      </w:r>
      <w:r>
        <w:rPr>
          <w:rFonts w:hint="default" w:ascii="Times New Roman" w:hAnsi="Times New Roman" w:eastAsia="仿宋_GB2312" w:cs="Times New Roman"/>
          <w:sz w:val="32"/>
          <w:szCs w:val="32"/>
        </w:rPr>
        <w:t>公司未生产，车间内正在组装全自动吹瓶设备2台，尚不具备生产条件，总投资55万元,办理有营业执照，统一社会信用代码：91410883MAE4EE182W。符合环境功能区划，截止目前未办理环评相关手续。</w:t>
      </w:r>
    </w:p>
    <w:p w14:paraId="6D291442">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你</w:t>
      </w:r>
      <w:r>
        <w:rPr>
          <w:rFonts w:hint="eastAsia" w:eastAsia="仿宋_GB2312" w:cs="Times New Roman"/>
          <w:sz w:val="32"/>
          <w:szCs w:val="32"/>
          <w:lang w:eastAsia="zh-CN"/>
        </w:rPr>
        <w:t>公司</w:t>
      </w:r>
      <w:r>
        <w:rPr>
          <w:rFonts w:hint="default" w:ascii="Times New Roman" w:hAnsi="Times New Roman" w:eastAsia="仿宋_GB2312" w:cs="Times New Roman"/>
          <w:sz w:val="32"/>
          <w:szCs w:val="32"/>
        </w:rPr>
        <w:t>的上述行为违反了《中华人民共和国环境影响评价法》第二十五条“建设单位的环境影响评价文件未依法经审批部门审查或者审查后未予批准的，建设单位不得开工建设。”的规定。</w:t>
      </w:r>
    </w:p>
    <w:p w14:paraId="37FBB3C0">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以上事实及证据如下：</w:t>
      </w:r>
    </w:p>
    <w:p w14:paraId="1FAB4082">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1、《营业执照》复印件1份、《授权委托书》1份、法定代表人、被询问人身份证复印件各1份，证明你公司的基本情况和被询问人员及陪同检查人员身份。</w:t>
      </w:r>
    </w:p>
    <w:p w14:paraId="768425E7">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val="en-US" w:eastAsia="zh-CN"/>
        </w:rPr>
        <w:t>2025年7月24日《焦作市生态环境局现场检查（勘察）笔录》1份共3页,证明对你公司的现场检查勘察情况，你公司现场检查勘察时生产情况及违法事实。</w:t>
      </w:r>
    </w:p>
    <w:p w14:paraId="3A000E4B">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w:t>
      </w:r>
      <w:r>
        <w:rPr>
          <w:rFonts w:hint="default" w:ascii="Times New Roman" w:hAnsi="Times New Roman" w:eastAsia="仿宋_GB2312" w:cs="Times New Roman"/>
          <w:sz w:val="32"/>
          <w:szCs w:val="32"/>
          <w:lang w:val="en-US" w:eastAsia="zh-CN"/>
        </w:rPr>
        <w:t>2025年7月24日《焦作市生态环境局调查询问笔录》1份共4页，证明对你公司的</w:t>
      </w:r>
      <w:r>
        <w:rPr>
          <w:rFonts w:hint="eastAsia" w:eastAsia="仿宋_GB2312" w:cs="Times New Roman"/>
          <w:sz w:val="32"/>
          <w:szCs w:val="32"/>
          <w:lang w:val="en-US" w:eastAsia="zh-CN"/>
        </w:rPr>
        <w:t>未批先建</w:t>
      </w:r>
      <w:r>
        <w:rPr>
          <w:rFonts w:hint="default" w:ascii="Times New Roman" w:hAnsi="Times New Roman" w:eastAsia="仿宋_GB2312" w:cs="Times New Roman"/>
          <w:sz w:val="32"/>
          <w:szCs w:val="32"/>
          <w:lang w:val="en-US" w:eastAsia="zh-CN"/>
        </w:rPr>
        <w:t>调查询问情况，你公司承认</w:t>
      </w:r>
      <w:r>
        <w:rPr>
          <w:rFonts w:hint="eastAsia" w:eastAsia="仿宋_GB2312" w:cs="Times New Roman"/>
          <w:sz w:val="32"/>
          <w:szCs w:val="32"/>
          <w:lang w:val="en-US" w:eastAsia="zh-CN"/>
        </w:rPr>
        <w:t>未批先建</w:t>
      </w:r>
      <w:r>
        <w:rPr>
          <w:rFonts w:hint="default" w:ascii="Times New Roman" w:hAnsi="Times New Roman" w:eastAsia="仿宋_GB2312" w:cs="Times New Roman"/>
          <w:sz w:val="32"/>
          <w:szCs w:val="32"/>
          <w:lang w:val="en-US" w:eastAsia="zh-CN"/>
        </w:rPr>
        <w:t>的事实。</w:t>
      </w:r>
    </w:p>
    <w:p w14:paraId="79A3674A">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w:t>
      </w:r>
      <w:r>
        <w:rPr>
          <w:rFonts w:hint="default" w:ascii="Times New Roman" w:hAnsi="Times New Roman" w:eastAsia="仿宋_GB2312" w:cs="Times New Roman"/>
          <w:sz w:val="32"/>
          <w:szCs w:val="32"/>
          <w:lang w:val="en-US" w:eastAsia="zh-CN"/>
        </w:rPr>
        <w:t>2025年7月24日《</w:t>
      </w:r>
      <w:r>
        <w:rPr>
          <w:rFonts w:hint="eastAsia" w:eastAsia="仿宋_GB2312" w:cs="Times New Roman"/>
          <w:sz w:val="32"/>
          <w:szCs w:val="32"/>
          <w:lang w:val="en-US" w:eastAsia="zh-CN"/>
        </w:rPr>
        <w:t>现场勘察示意图</w:t>
      </w:r>
      <w:r>
        <w:rPr>
          <w:rFonts w:hint="default" w:ascii="Times New Roman" w:hAnsi="Times New Roman" w:eastAsia="仿宋_GB2312" w:cs="Times New Roman"/>
          <w:sz w:val="32"/>
          <w:szCs w:val="32"/>
          <w:lang w:val="en-US" w:eastAsia="zh-CN"/>
        </w:rPr>
        <w:t>》1份1页和现场照片1份</w:t>
      </w:r>
      <w:r>
        <w:rPr>
          <w:rFonts w:hint="eastAsia" w:eastAsia="仿宋_GB2312" w:cs="Times New Roman"/>
          <w:color w:val="auto"/>
          <w:sz w:val="32"/>
          <w:szCs w:val="32"/>
          <w:lang w:val="en-US" w:eastAsia="zh-CN"/>
        </w:rPr>
        <w:t>5</w:t>
      </w:r>
      <w:r>
        <w:rPr>
          <w:rFonts w:hint="default" w:ascii="Times New Roman" w:hAnsi="Times New Roman" w:eastAsia="仿宋_GB2312" w:cs="Times New Roman"/>
          <w:sz w:val="32"/>
          <w:szCs w:val="32"/>
          <w:lang w:val="en-US" w:eastAsia="zh-CN"/>
        </w:rPr>
        <w:t>页，证明你公司于检查当日现场情况。</w:t>
      </w:r>
    </w:p>
    <w:p w14:paraId="4296057B">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5、河南鑫洋饮品有限公司</w:t>
      </w:r>
      <w:r>
        <w:rPr>
          <w:rFonts w:hint="default" w:ascii="Times New Roman" w:hAnsi="Times New Roman" w:eastAsia="仿宋_GB2312" w:cs="Times New Roman"/>
          <w:sz w:val="32"/>
          <w:szCs w:val="32"/>
          <w:lang w:eastAsia="zh-CN"/>
        </w:rPr>
        <w:t>设备发票复印件</w:t>
      </w:r>
      <w:r>
        <w:rPr>
          <w:rFonts w:hint="default" w:ascii="Times New Roman" w:hAnsi="Times New Roman" w:eastAsia="仿宋_GB2312" w:cs="Times New Roman"/>
          <w:sz w:val="32"/>
          <w:szCs w:val="32"/>
          <w:lang w:val="en-US" w:eastAsia="zh-CN"/>
        </w:rPr>
        <w:t>1份，证明你公司</w:t>
      </w:r>
      <w:r>
        <w:rPr>
          <w:rFonts w:hint="eastAsia" w:ascii="Times New Roman" w:hAnsi="Times New Roman" w:eastAsia="仿宋_GB2312" w:cs="Times New Roman"/>
          <w:sz w:val="32"/>
          <w:szCs w:val="32"/>
          <w:lang w:val="en-US" w:eastAsia="zh-CN"/>
        </w:rPr>
        <w:t>设备金额</w:t>
      </w:r>
      <w:r>
        <w:rPr>
          <w:rFonts w:hint="default" w:ascii="Times New Roman" w:hAnsi="Times New Roman" w:eastAsia="仿宋_GB2312" w:cs="Times New Roman"/>
          <w:sz w:val="32"/>
          <w:szCs w:val="32"/>
          <w:lang w:eastAsia="zh-CN"/>
        </w:rPr>
        <w:t>。</w:t>
      </w:r>
    </w:p>
    <w:p w14:paraId="05223073">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6、《焦作市生态环境局责令改正违法行为决定书》(焦</w:t>
      </w:r>
      <w:r>
        <w:rPr>
          <w:rFonts w:hint="eastAsia" w:eastAsia="仿宋_GB2312" w:cs="Times New Roman"/>
          <w:sz w:val="32"/>
          <w:szCs w:val="32"/>
          <w:lang w:eastAsia="zh-CN"/>
        </w:rPr>
        <w:t>孟</w:t>
      </w:r>
      <w:r>
        <w:rPr>
          <w:rFonts w:hint="default" w:ascii="Times New Roman" w:hAnsi="Times New Roman" w:eastAsia="仿宋_GB2312" w:cs="Times New Roman"/>
          <w:sz w:val="32"/>
          <w:szCs w:val="32"/>
        </w:rPr>
        <w:t>环责</w:t>
      </w:r>
      <w:r>
        <w:rPr>
          <w:rFonts w:hint="eastAsia" w:eastAsia="仿宋_GB2312" w:cs="Times New Roman"/>
          <w:sz w:val="32"/>
          <w:szCs w:val="32"/>
          <w:lang w:eastAsia="zh-CN"/>
        </w:rPr>
        <w:t>改字</w:t>
      </w:r>
      <w:r>
        <w:rPr>
          <w:rFonts w:hint="default" w:ascii="Times New Roman" w:hAnsi="Times New Roman" w:eastAsia="仿宋_GB2312" w:cs="Times New Roman"/>
          <w:sz w:val="32"/>
          <w:szCs w:val="32"/>
        </w:rPr>
        <w:t>〔2025〕</w:t>
      </w:r>
      <w:r>
        <w:rPr>
          <w:rFonts w:hint="eastAsia" w:eastAsia="仿宋_GB2312" w:cs="Times New Roman"/>
          <w:sz w:val="32"/>
          <w:szCs w:val="32"/>
          <w:lang w:val="en-US" w:eastAsia="zh-CN"/>
        </w:rPr>
        <w:t>226</w:t>
      </w:r>
      <w:r>
        <w:rPr>
          <w:rFonts w:hint="default" w:ascii="Times New Roman" w:hAnsi="Times New Roman" w:eastAsia="仿宋_GB2312" w:cs="Times New Roman"/>
          <w:sz w:val="32"/>
          <w:szCs w:val="32"/>
        </w:rPr>
        <w:t>号）1份和《 焦作市生态环境局送达回证》1份，证明我局于2025年</w:t>
      </w:r>
      <w:r>
        <w:rPr>
          <w:rFonts w:hint="eastAsia" w:eastAsia="仿宋_GB2312" w:cs="Times New Roman"/>
          <w:sz w:val="32"/>
          <w:szCs w:val="32"/>
          <w:lang w:val="en-US" w:eastAsia="zh-CN"/>
        </w:rPr>
        <w:t>8</w:t>
      </w:r>
      <w:r>
        <w:rPr>
          <w:rFonts w:hint="default" w:ascii="Times New Roman" w:hAnsi="Times New Roman" w:eastAsia="仿宋_GB2312" w:cs="Times New Roman"/>
          <w:sz w:val="32"/>
          <w:szCs w:val="32"/>
        </w:rPr>
        <w:t>月</w:t>
      </w:r>
      <w:r>
        <w:rPr>
          <w:rFonts w:hint="eastAsia" w:eastAsia="仿宋_GB2312" w:cs="Times New Roman"/>
          <w:sz w:val="32"/>
          <w:szCs w:val="32"/>
          <w:lang w:val="en-US" w:eastAsia="zh-CN"/>
        </w:rPr>
        <w:t>22</w:t>
      </w:r>
      <w:r>
        <w:rPr>
          <w:rFonts w:hint="default" w:ascii="Times New Roman" w:hAnsi="Times New Roman" w:eastAsia="仿宋_GB2312" w:cs="Times New Roman"/>
          <w:sz w:val="32"/>
          <w:szCs w:val="32"/>
        </w:rPr>
        <w:t>日已经责令你公司改正违法行为的情况。</w:t>
      </w:r>
    </w:p>
    <w:p w14:paraId="5E1F91DF">
      <w:pPr>
        <w:keepNext w:val="0"/>
        <w:keepLines w:val="0"/>
        <w:pageBreakBefore w:val="0"/>
        <w:widowControl w:val="0"/>
        <w:numPr>
          <w:numId w:val="0"/>
        </w:numPr>
        <w:kinsoku/>
        <w:wordWrap/>
        <w:overflowPunct/>
        <w:topLinePunct w:val="0"/>
        <w:autoSpaceDE/>
        <w:autoSpaceDN/>
        <w:bidi w:val="0"/>
        <w:adjustRightInd w:val="0"/>
        <w:snapToGrid w:val="0"/>
        <w:spacing w:line="500" w:lineRule="exact"/>
        <w:ind w:firstLine="640" w:firstLineChars="200"/>
        <w:textAlignment w:val="auto"/>
        <w:rPr>
          <w:rFonts w:hint="eastAsia" w:eastAsia="仿宋_GB2312" w:cs="Times New Roman"/>
          <w:sz w:val="32"/>
          <w:szCs w:val="32"/>
          <w:lang w:val="en-US" w:eastAsia="zh-CN"/>
        </w:rPr>
      </w:pPr>
      <w:r>
        <w:rPr>
          <w:rFonts w:hint="eastAsia" w:eastAsia="仿宋_GB2312" w:cs="Times New Roman"/>
          <w:sz w:val="32"/>
          <w:szCs w:val="32"/>
          <w:lang w:val="en-US" w:eastAsia="zh-CN"/>
        </w:rPr>
        <w:t>7、</w:t>
      </w:r>
      <w:r>
        <w:rPr>
          <w:rFonts w:hint="default" w:ascii="Times New Roman" w:hAnsi="Times New Roman" w:eastAsia="仿宋_GB2312" w:cs="Times New Roman"/>
          <w:sz w:val="32"/>
          <w:szCs w:val="32"/>
        </w:rPr>
        <w:t>2025年</w:t>
      </w:r>
      <w:r>
        <w:rPr>
          <w:rFonts w:hint="eastAsia" w:eastAsia="仿宋_GB2312" w:cs="Times New Roman"/>
          <w:sz w:val="32"/>
          <w:szCs w:val="32"/>
          <w:lang w:val="en-US" w:eastAsia="zh-CN"/>
        </w:rPr>
        <w:t>8</w:t>
      </w:r>
      <w:r>
        <w:rPr>
          <w:rFonts w:hint="default" w:ascii="Times New Roman" w:hAnsi="Times New Roman" w:eastAsia="仿宋_GB2312" w:cs="Times New Roman"/>
          <w:sz w:val="32"/>
          <w:szCs w:val="32"/>
        </w:rPr>
        <w:t>月</w:t>
      </w:r>
      <w:r>
        <w:rPr>
          <w:rFonts w:hint="eastAsia" w:eastAsia="仿宋_GB2312" w:cs="Times New Roman"/>
          <w:sz w:val="32"/>
          <w:szCs w:val="32"/>
          <w:lang w:val="en-US" w:eastAsia="zh-CN"/>
        </w:rPr>
        <w:t>25</w:t>
      </w:r>
      <w:r>
        <w:rPr>
          <w:rFonts w:hint="default" w:ascii="Times New Roman" w:hAnsi="Times New Roman" w:eastAsia="仿宋_GB2312" w:cs="Times New Roman"/>
          <w:sz w:val="32"/>
          <w:szCs w:val="32"/>
        </w:rPr>
        <w:t>日《焦作市生态环境局整改复查意见书》(焦</w:t>
      </w:r>
      <w:r>
        <w:rPr>
          <w:rFonts w:hint="eastAsia" w:eastAsia="仿宋_GB2312" w:cs="Times New Roman"/>
          <w:sz w:val="32"/>
          <w:szCs w:val="32"/>
          <w:lang w:eastAsia="zh-CN"/>
        </w:rPr>
        <w:t>孟</w:t>
      </w:r>
      <w:r>
        <w:rPr>
          <w:rFonts w:hint="default" w:ascii="Times New Roman" w:hAnsi="Times New Roman" w:eastAsia="仿宋_GB2312" w:cs="Times New Roman"/>
          <w:sz w:val="32"/>
          <w:szCs w:val="32"/>
        </w:rPr>
        <w:t>环整复</w:t>
      </w:r>
      <w:r>
        <w:rPr>
          <w:rFonts w:hint="eastAsia" w:eastAsia="仿宋_GB2312" w:cs="Times New Roman"/>
          <w:sz w:val="32"/>
          <w:szCs w:val="32"/>
          <w:lang w:eastAsia="zh-CN"/>
        </w:rPr>
        <w:t>字</w:t>
      </w:r>
      <w:r>
        <w:rPr>
          <w:rFonts w:hint="default" w:ascii="Times New Roman" w:hAnsi="Times New Roman" w:eastAsia="仿宋_GB2312" w:cs="Times New Roman"/>
          <w:sz w:val="32"/>
          <w:szCs w:val="32"/>
        </w:rPr>
        <w:t>〔2025〕</w:t>
      </w:r>
      <w:r>
        <w:rPr>
          <w:rFonts w:hint="eastAsia" w:eastAsia="仿宋_GB2312" w:cs="Times New Roman"/>
          <w:sz w:val="32"/>
          <w:szCs w:val="32"/>
          <w:lang w:val="en-US" w:eastAsia="zh-CN"/>
        </w:rPr>
        <w:t>226</w:t>
      </w:r>
      <w:r>
        <w:rPr>
          <w:rFonts w:hint="default" w:ascii="Times New Roman" w:hAnsi="Times New Roman" w:eastAsia="仿宋_GB2312" w:cs="Times New Roman"/>
          <w:sz w:val="32"/>
          <w:szCs w:val="32"/>
        </w:rPr>
        <w:t>号）1份和《 焦作市生态环境局送达回证》1份，通过现场复查，证明你公司已经改正违法行为的情况。</w:t>
      </w:r>
      <w:r>
        <w:rPr>
          <w:rFonts w:hint="eastAsia" w:eastAsia="仿宋_GB2312" w:cs="Times New Roman"/>
          <w:sz w:val="32"/>
          <w:szCs w:val="32"/>
          <w:lang w:val="en-US" w:eastAsia="zh-CN"/>
        </w:rPr>
        <w:t xml:space="preserve">   </w:t>
      </w:r>
    </w:p>
    <w:p w14:paraId="3750435C">
      <w:pPr>
        <w:keepNext w:val="0"/>
        <w:keepLines w:val="0"/>
        <w:pageBreakBefore w:val="0"/>
        <w:widowControl w:val="0"/>
        <w:numPr>
          <w:ilvl w:val="0"/>
          <w:numId w:val="1"/>
        </w:numPr>
        <w:kinsoku/>
        <w:wordWrap/>
        <w:overflowPunct/>
        <w:topLinePunct w:val="0"/>
        <w:autoSpaceDE/>
        <w:autoSpaceDN/>
        <w:bidi w:val="0"/>
        <w:adjustRightInd w:val="0"/>
        <w:snapToGrid w:val="0"/>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《焦作市生态环境局行政处罚事先（听证）告知书》(焦</w:t>
      </w:r>
      <w:r>
        <w:rPr>
          <w:rFonts w:hint="eastAsia" w:eastAsia="仿宋_GB2312" w:cs="Times New Roman"/>
          <w:sz w:val="32"/>
          <w:szCs w:val="32"/>
          <w:lang w:eastAsia="zh-CN"/>
        </w:rPr>
        <w:t>孟</w:t>
      </w:r>
      <w:r>
        <w:rPr>
          <w:rFonts w:hint="default" w:ascii="Times New Roman" w:hAnsi="Times New Roman" w:eastAsia="仿宋_GB2312" w:cs="Times New Roman"/>
          <w:sz w:val="32"/>
          <w:szCs w:val="32"/>
        </w:rPr>
        <w:t>环</w:t>
      </w:r>
      <w:r>
        <w:rPr>
          <w:rFonts w:hint="eastAsia" w:eastAsia="仿宋_GB2312" w:cs="Times New Roman"/>
          <w:sz w:val="32"/>
          <w:szCs w:val="32"/>
          <w:lang w:eastAsia="zh-CN"/>
        </w:rPr>
        <w:t>罚</w:t>
      </w:r>
      <w:r>
        <w:rPr>
          <w:rFonts w:hint="default" w:ascii="Times New Roman" w:hAnsi="Times New Roman" w:eastAsia="仿宋_GB2312" w:cs="Times New Roman"/>
          <w:sz w:val="32"/>
          <w:szCs w:val="32"/>
        </w:rPr>
        <w:t>告</w:t>
      </w:r>
      <w:r>
        <w:rPr>
          <w:rFonts w:hint="eastAsia" w:eastAsia="仿宋_GB2312" w:cs="Times New Roman"/>
          <w:sz w:val="32"/>
          <w:szCs w:val="32"/>
          <w:lang w:eastAsia="zh-CN"/>
        </w:rPr>
        <w:t>字</w:t>
      </w:r>
      <w:r>
        <w:rPr>
          <w:rFonts w:hint="default" w:ascii="Times New Roman" w:hAnsi="Times New Roman" w:eastAsia="仿宋_GB2312" w:cs="Times New Roman"/>
          <w:sz w:val="32"/>
          <w:szCs w:val="32"/>
        </w:rPr>
        <w:t>〔2025〕</w:t>
      </w:r>
      <w:r>
        <w:rPr>
          <w:rFonts w:hint="eastAsia" w:eastAsia="仿宋_GB2312" w:cs="Times New Roman"/>
          <w:sz w:val="32"/>
          <w:szCs w:val="32"/>
          <w:lang w:val="en-US" w:eastAsia="zh-CN"/>
        </w:rPr>
        <w:t>226</w:t>
      </w:r>
      <w:r>
        <w:rPr>
          <w:rFonts w:hint="default" w:ascii="Times New Roman" w:hAnsi="Times New Roman" w:eastAsia="仿宋_GB2312" w:cs="Times New Roman"/>
          <w:sz w:val="32"/>
          <w:szCs w:val="32"/>
        </w:rPr>
        <w:t>号）1份和《 焦作市生态环境局送达回证》1份，证明我局于2025年</w:t>
      </w:r>
      <w:r>
        <w:rPr>
          <w:rFonts w:hint="eastAsia" w:eastAsia="仿宋_GB2312" w:cs="Times New Roman"/>
          <w:sz w:val="32"/>
          <w:szCs w:val="32"/>
          <w:lang w:val="en-US" w:eastAsia="zh-CN"/>
        </w:rPr>
        <w:t>8</w:t>
      </w:r>
      <w:r>
        <w:rPr>
          <w:rFonts w:hint="default" w:ascii="Times New Roman" w:hAnsi="Times New Roman" w:eastAsia="仿宋_GB2312" w:cs="Times New Roman"/>
          <w:sz w:val="32"/>
          <w:szCs w:val="32"/>
        </w:rPr>
        <w:t>月</w:t>
      </w:r>
      <w:r>
        <w:rPr>
          <w:rFonts w:hint="eastAsia" w:eastAsia="仿宋_GB2312" w:cs="Times New Roman"/>
          <w:sz w:val="32"/>
          <w:szCs w:val="32"/>
          <w:lang w:val="en-US" w:eastAsia="zh-CN"/>
        </w:rPr>
        <w:t>28</w:t>
      </w:r>
      <w:r>
        <w:rPr>
          <w:rFonts w:hint="default" w:ascii="Times New Roman" w:hAnsi="Times New Roman" w:eastAsia="仿宋_GB2312" w:cs="Times New Roman"/>
          <w:sz w:val="32"/>
          <w:szCs w:val="32"/>
        </w:rPr>
        <w:t>日已经告知拟</w:t>
      </w:r>
      <w:r>
        <w:rPr>
          <w:rFonts w:hint="eastAsia" w:eastAsia="仿宋_GB2312" w:cs="Times New Roman"/>
          <w:sz w:val="32"/>
          <w:szCs w:val="32"/>
          <w:lang w:eastAsia="zh-CN"/>
        </w:rPr>
        <w:t>对</w:t>
      </w:r>
      <w:r>
        <w:rPr>
          <w:rFonts w:hint="default" w:ascii="Times New Roman" w:hAnsi="Times New Roman" w:eastAsia="仿宋_GB2312" w:cs="Times New Roman"/>
          <w:sz w:val="32"/>
          <w:szCs w:val="32"/>
        </w:rPr>
        <w:t>你公司作出的行政处罚情况。</w:t>
      </w:r>
    </w:p>
    <w:p w14:paraId="29E08B4F">
      <w:pPr>
        <w:keepNext w:val="0"/>
        <w:keepLines w:val="0"/>
        <w:pageBreakBefore w:val="0"/>
        <w:widowControl w:val="0"/>
        <w:numPr>
          <w:numId w:val="0"/>
        </w:numPr>
        <w:kinsoku/>
        <w:wordWrap/>
        <w:overflowPunct/>
        <w:topLinePunct w:val="0"/>
        <w:autoSpaceDE/>
        <w:autoSpaceDN/>
        <w:bidi w:val="0"/>
        <w:adjustRightInd w:val="0"/>
        <w:snapToGrid w:val="0"/>
        <w:spacing w:line="500" w:lineRule="exact"/>
        <w:ind w:firstLine="640" w:firstLineChars="200"/>
        <w:textAlignment w:val="auto"/>
        <w:rPr>
          <w:rFonts w:hint="default" w:ascii="Times New Roman" w:hAnsi="Times New Roman" w:eastAsia="仿宋_GB2312" w:cs="Times New Roman"/>
          <w:sz w:val="32"/>
          <w:szCs w:val="32"/>
        </w:rPr>
      </w:pPr>
      <w:r>
        <w:rPr>
          <w:rFonts w:hint="eastAsia" w:eastAsia="仿宋_GB2312" w:cs="Times New Roman"/>
          <w:sz w:val="32"/>
          <w:szCs w:val="32"/>
          <w:lang w:val="en-US" w:eastAsia="zh-CN"/>
        </w:rPr>
        <w:t>9、</w:t>
      </w:r>
      <w:r>
        <w:rPr>
          <w:rFonts w:hint="default" w:ascii="Times New Roman" w:hAnsi="Times New Roman" w:eastAsia="仿宋_GB2312" w:cs="Times New Roman"/>
          <w:sz w:val="32"/>
          <w:szCs w:val="32"/>
          <w:lang w:val="en-US" w:eastAsia="zh-CN"/>
        </w:rPr>
        <w:t>执法人员的执法证复印件1份，证明执法人员的身份和资格。</w:t>
      </w:r>
    </w:p>
    <w:p w14:paraId="44CAF89B">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我局于</w:t>
      </w:r>
      <w:r>
        <w:rPr>
          <w:rFonts w:hint="eastAsia" w:eastAsia="仿宋_GB2312" w:cs="Times New Roman"/>
          <w:sz w:val="32"/>
          <w:szCs w:val="32"/>
          <w:lang w:val="en-US" w:eastAsia="zh-CN"/>
        </w:rPr>
        <w:t>2025年8月28日</w:t>
      </w:r>
      <w:r>
        <w:rPr>
          <w:rFonts w:hint="default" w:ascii="Times New Roman" w:hAnsi="Times New Roman" w:eastAsia="仿宋_GB2312" w:cs="Times New Roman"/>
          <w:sz w:val="32"/>
          <w:szCs w:val="32"/>
        </w:rPr>
        <w:t>送达了《行政处罚事先（听证）告知书》（焦孟环罚告字〔2025〕226号），告知书告知你</w:t>
      </w:r>
      <w:r>
        <w:rPr>
          <w:rFonts w:hint="eastAsia" w:eastAsia="仿宋_GB2312" w:cs="Times New Roman"/>
          <w:sz w:val="32"/>
          <w:szCs w:val="32"/>
          <w:lang w:eastAsia="zh-CN"/>
        </w:rPr>
        <w:t>公司</w:t>
      </w:r>
      <w:r>
        <w:rPr>
          <w:rFonts w:hint="default" w:ascii="Times New Roman" w:hAnsi="Times New Roman" w:eastAsia="仿宋_GB2312" w:cs="Times New Roman"/>
          <w:sz w:val="32"/>
          <w:szCs w:val="32"/>
        </w:rPr>
        <w:t>陈述申辩权，你</w:t>
      </w:r>
      <w:r>
        <w:rPr>
          <w:rFonts w:hint="eastAsia" w:eastAsia="仿宋_GB2312" w:cs="Times New Roman"/>
          <w:sz w:val="32"/>
          <w:szCs w:val="32"/>
          <w:lang w:eastAsia="zh-CN"/>
        </w:rPr>
        <w:t>公司</w:t>
      </w:r>
      <w:r>
        <w:rPr>
          <w:rFonts w:hint="default" w:ascii="Times New Roman" w:hAnsi="Times New Roman" w:eastAsia="仿宋_GB2312" w:cs="Times New Roman"/>
          <w:sz w:val="32"/>
          <w:szCs w:val="32"/>
        </w:rPr>
        <w:t>在</w:t>
      </w:r>
      <w:r>
        <w:rPr>
          <w:rFonts w:hint="eastAsia" w:eastAsia="仿宋_GB2312" w:cs="Times New Roman"/>
          <w:sz w:val="32"/>
          <w:szCs w:val="32"/>
          <w:lang w:val="en-US" w:eastAsia="zh-CN"/>
        </w:rPr>
        <w:t>规</w:t>
      </w:r>
      <w:r>
        <w:rPr>
          <w:rFonts w:hint="default" w:ascii="Times New Roman" w:hAnsi="Times New Roman" w:eastAsia="仿宋_GB2312" w:cs="Times New Roman"/>
          <w:sz w:val="32"/>
          <w:szCs w:val="32"/>
          <w:lang w:val="en-US" w:eastAsia="zh-CN"/>
        </w:rPr>
        <w:t>定</w:t>
      </w:r>
      <w:r>
        <w:rPr>
          <w:rFonts w:hint="default" w:ascii="Times New Roman" w:hAnsi="Times New Roman" w:eastAsia="仿宋_GB2312" w:cs="Times New Roman"/>
          <w:sz w:val="32"/>
          <w:szCs w:val="32"/>
        </w:rPr>
        <w:t>的时间内</w:t>
      </w:r>
      <w:r>
        <w:rPr>
          <w:rFonts w:hint="eastAsia" w:eastAsia="仿宋_GB2312" w:cs="Times New Roman"/>
          <w:sz w:val="32"/>
          <w:szCs w:val="32"/>
          <w:lang w:eastAsia="zh-CN"/>
        </w:rPr>
        <w:t>未</w:t>
      </w:r>
      <w:r>
        <w:rPr>
          <w:rFonts w:hint="default" w:ascii="Times New Roman" w:hAnsi="Times New Roman" w:eastAsia="仿宋_GB2312" w:cs="Times New Roman"/>
          <w:sz w:val="32"/>
          <w:szCs w:val="32"/>
        </w:rPr>
        <w:t>提出申辩</w:t>
      </w:r>
      <w:r>
        <w:rPr>
          <w:rFonts w:hint="eastAsia" w:eastAsia="仿宋_GB2312" w:cs="Times New Roman"/>
          <w:sz w:val="32"/>
          <w:szCs w:val="32"/>
          <w:lang w:eastAsia="zh-CN"/>
        </w:rPr>
        <w:t>。</w:t>
      </w:r>
    </w:p>
    <w:p w14:paraId="27551D02">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黑体" w:cs="Times New Roman"/>
          <w:b w:val="0"/>
          <w:bCs w:val="0"/>
          <w:sz w:val="32"/>
          <w:szCs w:val="32"/>
        </w:rPr>
      </w:pPr>
      <w:bookmarkStart w:id="4" w:name="_Toc7667"/>
      <w:r>
        <w:rPr>
          <w:rFonts w:hint="default" w:ascii="Times New Roman" w:hAnsi="Times New Roman" w:eastAsia="黑体" w:cs="Times New Roman"/>
          <w:b w:val="0"/>
          <w:bCs w:val="0"/>
          <w:sz w:val="32"/>
          <w:szCs w:val="32"/>
        </w:rPr>
        <w:t>二、行政处罚的依据、种类</w:t>
      </w:r>
      <w:bookmarkEnd w:id="4"/>
    </w:p>
    <w:p w14:paraId="5536EB12">
      <w:pPr>
        <w:keepNext w:val="0"/>
        <w:keepLines w:val="0"/>
        <w:pageBreakBefore w:val="0"/>
        <w:widowControl/>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color w:val="000000"/>
          <w:sz w:val="32"/>
          <w:szCs w:val="32"/>
        </w:rPr>
      </w:pPr>
      <w:r>
        <w:rPr>
          <w:rFonts w:hint="default" w:ascii="Times New Roman" w:hAnsi="Times New Roman" w:eastAsia="仿宋_GB2312" w:cs="Times New Roman"/>
          <w:color w:val="000000"/>
          <w:sz w:val="32"/>
          <w:szCs w:val="32"/>
        </w:rPr>
        <w:t>根据你</w:t>
      </w:r>
      <w:r>
        <w:rPr>
          <w:rFonts w:hint="eastAsia" w:eastAsia="仿宋_GB2312" w:cs="Times New Roman"/>
          <w:color w:val="000000"/>
          <w:sz w:val="32"/>
          <w:szCs w:val="32"/>
          <w:lang w:eastAsia="zh-CN"/>
        </w:rPr>
        <w:t>公司</w:t>
      </w:r>
      <w:r>
        <w:rPr>
          <w:rFonts w:hint="default" w:ascii="Times New Roman" w:hAnsi="Times New Roman" w:eastAsia="仿宋_GB2312" w:cs="Times New Roman"/>
          <w:color w:val="000000"/>
          <w:sz w:val="32"/>
          <w:szCs w:val="32"/>
        </w:rPr>
        <w:t>违法行为的事实、性质、情节、社会危害程度和相关证据，参照《河南省生态环境行政处罚裁量基准适用规则（修订）》《河南省生态环境行政处罚裁量基准》（豫环办〔2022〕72号），</w:t>
      </w:r>
      <w:r>
        <w:rPr>
          <w:rFonts w:hint="default" w:ascii="Times New Roman" w:hAnsi="Times New Roman" w:eastAsia="仿宋_GB2312" w:cs="Times New Roman"/>
          <w:color w:val="auto"/>
          <w:sz w:val="32"/>
          <w:szCs w:val="32"/>
          <w:u w:val="none"/>
        </w:rPr>
        <w:t>建设项目管理类</w:t>
      </w:r>
      <w:r>
        <w:rPr>
          <w:rFonts w:hint="default" w:ascii="Times New Roman" w:hAnsi="Times New Roman" w:eastAsia="仿宋_GB2312" w:cs="Times New Roman"/>
          <w:color w:val="000000"/>
          <w:sz w:val="32"/>
          <w:szCs w:val="32"/>
        </w:rPr>
        <w:t>。</w:t>
      </w:r>
    </w:p>
    <w:p w14:paraId="66B00CC6">
      <w:pPr>
        <w:keepNext w:val="0"/>
        <w:keepLines w:val="0"/>
        <w:pageBreakBefore w:val="0"/>
        <w:kinsoku/>
        <w:wordWrap/>
        <w:overflowPunct/>
        <w:topLinePunct w:val="0"/>
        <w:autoSpaceDE/>
        <w:autoSpaceDN/>
        <w:bidi w:val="0"/>
        <w:snapToGrid w:val="0"/>
        <w:spacing w:line="500" w:lineRule="exact"/>
        <w:ind w:firstLine="643" w:firstLineChars="200"/>
        <w:textAlignment w:val="auto"/>
        <w:rPr>
          <w:rFonts w:hint="default" w:ascii="Times New Roman" w:hAnsi="Times New Roman" w:eastAsia="楷体" w:cs="Times New Roman"/>
          <w:b/>
          <w:bCs/>
          <w:sz w:val="32"/>
          <w:szCs w:val="32"/>
        </w:rPr>
      </w:pPr>
      <w:r>
        <w:rPr>
          <w:rFonts w:hint="default" w:ascii="Times New Roman" w:hAnsi="Times New Roman" w:eastAsia="楷体" w:cs="Times New Roman"/>
          <w:b/>
          <w:bCs/>
          <w:sz w:val="32"/>
          <w:szCs w:val="32"/>
        </w:rPr>
        <w:t>裁量因素：</w:t>
      </w:r>
    </w:p>
    <w:p w14:paraId="495CED5A">
      <w:pPr>
        <w:keepNext w:val="0"/>
        <w:keepLines w:val="0"/>
        <w:pageBreakBefore w:val="0"/>
        <w:widowControl w:val="0"/>
        <w:kinsoku/>
        <w:wordWrap/>
        <w:overflowPunct/>
        <w:topLinePunct w:val="0"/>
        <w:autoSpaceDE/>
        <w:autoSpaceDN/>
        <w:bidi w:val="0"/>
        <w:adjustRightInd w:val="0"/>
        <w:snapToGrid w:val="0"/>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bidi="ar"/>
        </w:rPr>
        <w:t>1、项目建设情况判定标准：已开工建设但主体工程未建成，已编制环评文件。裁量等级为</w:t>
      </w:r>
      <w:r>
        <w:rPr>
          <w:rFonts w:hint="default" w:ascii="Times New Roman" w:hAnsi="Times New Roman" w:eastAsia="仿宋_GB2312" w:cs="Times New Roman"/>
          <w:sz w:val="32"/>
          <w:szCs w:val="32"/>
          <w:lang w:val="en-US" w:eastAsia="zh-CN" w:bidi="ar"/>
        </w:rPr>
        <w:t>1</w:t>
      </w:r>
      <w:r>
        <w:rPr>
          <w:rFonts w:hint="default" w:ascii="Times New Roman" w:hAnsi="Times New Roman" w:eastAsia="仿宋_GB2312" w:cs="Times New Roman"/>
          <w:sz w:val="32"/>
          <w:szCs w:val="32"/>
          <w:lang w:bidi="ar"/>
        </w:rPr>
        <w:t>；</w:t>
      </w:r>
    </w:p>
    <w:p w14:paraId="3654F334">
      <w:pPr>
        <w:keepNext w:val="0"/>
        <w:keepLines w:val="0"/>
        <w:pageBreakBefore w:val="0"/>
        <w:widowControl w:val="0"/>
        <w:kinsoku/>
        <w:wordWrap/>
        <w:overflowPunct/>
        <w:topLinePunct w:val="0"/>
        <w:autoSpaceDE/>
        <w:autoSpaceDN/>
        <w:bidi w:val="0"/>
        <w:adjustRightInd w:val="0"/>
        <w:snapToGrid w:val="0"/>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bidi="ar"/>
        </w:rPr>
        <w:t>2、项目应报批的环评文件类别判定标准：报告表。裁量等级为1；</w:t>
      </w:r>
    </w:p>
    <w:p w14:paraId="73C89A5D">
      <w:pPr>
        <w:keepNext w:val="0"/>
        <w:keepLines w:val="0"/>
        <w:pageBreakBefore w:val="0"/>
        <w:widowControl w:val="0"/>
        <w:kinsoku/>
        <w:wordWrap/>
        <w:overflowPunct/>
        <w:topLinePunct w:val="0"/>
        <w:autoSpaceDE/>
        <w:autoSpaceDN/>
        <w:bidi w:val="0"/>
        <w:adjustRightInd w:val="0"/>
        <w:snapToGrid w:val="0"/>
        <w:spacing w:line="500" w:lineRule="exact"/>
        <w:ind w:firstLine="640" w:firstLineChars="200"/>
        <w:textAlignment w:val="auto"/>
        <w:rPr>
          <w:rFonts w:hint="default" w:ascii="Times New Roman" w:hAnsi="Times New Roman" w:eastAsia="仿宋_GB2312" w:cs="Times New Roman"/>
          <w:spacing w:val="-11"/>
          <w:sz w:val="32"/>
          <w:szCs w:val="32"/>
          <w:lang w:bidi="ar"/>
        </w:rPr>
      </w:pPr>
      <w:r>
        <w:rPr>
          <w:rFonts w:hint="default" w:ascii="Times New Roman" w:hAnsi="Times New Roman" w:eastAsia="仿宋_GB2312" w:cs="Times New Roman"/>
          <w:sz w:val="32"/>
          <w:szCs w:val="32"/>
          <w:lang w:bidi="ar"/>
        </w:rPr>
        <w:t>3、</w:t>
      </w:r>
      <w:r>
        <w:rPr>
          <w:rFonts w:hint="default" w:ascii="Times New Roman" w:hAnsi="Times New Roman" w:eastAsia="仿宋_GB2312" w:cs="Times New Roman"/>
          <w:spacing w:val="-11"/>
          <w:sz w:val="32"/>
          <w:szCs w:val="32"/>
          <w:lang w:bidi="ar"/>
        </w:rPr>
        <w:t>项目建设地点判定标准：符合环境功能区划。裁量等级为</w:t>
      </w:r>
      <w:r>
        <w:rPr>
          <w:rFonts w:hint="default" w:ascii="Times New Roman" w:hAnsi="Times New Roman" w:eastAsia="仿宋_GB2312" w:cs="Times New Roman"/>
          <w:spacing w:val="-11"/>
          <w:sz w:val="32"/>
          <w:szCs w:val="32"/>
          <w:lang w:val="en-US" w:eastAsia="zh-CN" w:bidi="ar"/>
        </w:rPr>
        <w:t>1</w:t>
      </w:r>
      <w:r>
        <w:rPr>
          <w:rFonts w:hint="default" w:ascii="Times New Roman" w:hAnsi="Times New Roman" w:eastAsia="仿宋_GB2312" w:cs="Times New Roman"/>
          <w:spacing w:val="-11"/>
          <w:sz w:val="32"/>
          <w:szCs w:val="32"/>
          <w:lang w:bidi="ar"/>
        </w:rPr>
        <w:t>；</w:t>
      </w:r>
    </w:p>
    <w:p w14:paraId="4FCE3E8C">
      <w:pPr>
        <w:keepNext w:val="0"/>
        <w:keepLines w:val="0"/>
        <w:pageBreakBefore w:val="0"/>
        <w:widowControl w:val="0"/>
        <w:kinsoku/>
        <w:wordWrap/>
        <w:overflowPunct/>
        <w:topLinePunct w:val="0"/>
        <w:autoSpaceDE/>
        <w:autoSpaceDN/>
        <w:bidi w:val="0"/>
        <w:adjustRightInd w:val="0"/>
        <w:snapToGrid w:val="0"/>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bidi="ar"/>
        </w:rPr>
        <w:t>4、违法行为持续时间判定标准：1个月以下。裁量等级为</w:t>
      </w:r>
      <w:r>
        <w:rPr>
          <w:rFonts w:hint="default" w:ascii="Times New Roman" w:hAnsi="Times New Roman" w:eastAsia="仿宋_GB2312" w:cs="Times New Roman"/>
          <w:sz w:val="32"/>
          <w:szCs w:val="32"/>
          <w:lang w:val="en-US" w:eastAsia="zh-CN" w:bidi="ar"/>
        </w:rPr>
        <w:t>1</w:t>
      </w:r>
      <w:r>
        <w:rPr>
          <w:rFonts w:hint="default" w:ascii="Times New Roman" w:hAnsi="Times New Roman" w:eastAsia="仿宋_GB2312" w:cs="Times New Roman"/>
          <w:sz w:val="32"/>
          <w:szCs w:val="32"/>
          <w:lang w:bidi="ar"/>
        </w:rPr>
        <w:t>；</w:t>
      </w:r>
    </w:p>
    <w:p w14:paraId="007EB10A">
      <w:pPr>
        <w:keepNext w:val="0"/>
        <w:keepLines w:val="0"/>
        <w:pageBreakBefore w:val="0"/>
        <w:widowControl w:val="0"/>
        <w:kinsoku/>
        <w:wordWrap/>
        <w:overflowPunct/>
        <w:topLinePunct w:val="0"/>
        <w:autoSpaceDE/>
        <w:autoSpaceDN/>
        <w:bidi w:val="0"/>
        <w:adjustRightInd w:val="0"/>
        <w:snapToGrid w:val="0"/>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bidi="ar"/>
        </w:rPr>
        <w:t>5、超过限期改正时间判定标准：限期改正。裁量等级为1；</w:t>
      </w:r>
    </w:p>
    <w:p w14:paraId="05E60FC4">
      <w:pPr>
        <w:keepNext w:val="0"/>
        <w:keepLines w:val="0"/>
        <w:pageBreakBefore w:val="0"/>
        <w:kinsoku/>
        <w:wordWrap/>
        <w:overflowPunct/>
        <w:topLinePunct w:val="0"/>
        <w:autoSpaceDE/>
        <w:autoSpaceDN/>
        <w:bidi w:val="0"/>
        <w:adjustRightInd w:val="0"/>
        <w:snapToGrid w:val="0"/>
        <w:spacing w:line="500" w:lineRule="exact"/>
        <w:ind w:firstLine="640" w:firstLineChars="200"/>
        <w:textAlignment w:val="auto"/>
        <w:rPr>
          <w:rFonts w:hint="default" w:ascii="Times New Roman" w:hAnsi="Times New Roman" w:eastAsia="仿宋_GB2312" w:cs="Times New Roman"/>
          <w:sz w:val="32"/>
          <w:szCs w:val="32"/>
          <w:lang w:bidi="ar"/>
        </w:rPr>
      </w:pPr>
      <w:r>
        <w:rPr>
          <w:rFonts w:hint="default" w:ascii="Times New Roman" w:hAnsi="Times New Roman" w:eastAsia="仿宋_GB2312" w:cs="Times New Roman"/>
          <w:sz w:val="32"/>
          <w:szCs w:val="32"/>
          <w:lang w:bidi="ar"/>
        </w:rPr>
        <w:t>6、是否配合执法检查判定标准：配合检查。裁量等级为1；</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
        <w:gridCol w:w="916"/>
        <w:gridCol w:w="1056"/>
        <w:gridCol w:w="523"/>
        <w:gridCol w:w="472"/>
        <w:gridCol w:w="596"/>
        <w:gridCol w:w="596"/>
        <w:gridCol w:w="596"/>
        <w:gridCol w:w="596"/>
        <w:gridCol w:w="596"/>
      </w:tblGrid>
      <w:tr w14:paraId="666E5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 w:type="dxa"/>
            <w:tcBorders>
              <w:top w:val="single" w:color="auto" w:sz="4" w:space="0"/>
              <w:left w:val="single" w:color="auto" w:sz="4" w:space="0"/>
              <w:bottom w:val="single" w:color="auto" w:sz="4" w:space="0"/>
              <w:right w:val="single" w:color="auto" w:sz="4" w:space="0"/>
            </w:tcBorders>
            <w:shd w:val="clear" w:color="auto" w:fill="auto"/>
            <w:vAlign w:val="center"/>
          </w:tcPr>
          <w:p w14:paraId="0CBF4D42">
            <w:pPr>
              <w:adjustRightInd w:val="0"/>
              <w:snapToGrid w:val="0"/>
              <w:spacing w:line="6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bidi="ar"/>
              </w:rPr>
              <w:t>参数</w:t>
            </w:r>
          </w:p>
        </w:tc>
        <w:tc>
          <w:tcPr>
            <w:tcW w:w="916" w:type="dxa"/>
            <w:tcBorders>
              <w:top w:val="single" w:color="auto" w:sz="4" w:space="0"/>
              <w:left w:val="single" w:color="auto" w:sz="4" w:space="0"/>
              <w:bottom w:val="single" w:color="auto" w:sz="4" w:space="0"/>
              <w:right w:val="single" w:color="auto" w:sz="4" w:space="0"/>
            </w:tcBorders>
            <w:shd w:val="clear" w:color="auto" w:fill="auto"/>
            <w:vAlign w:val="center"/>
          </w:tcPr>
          <w:p w14:paraId="756A6D78">
            <w:pPr>
              <w:adjustRightInd w:val="0"/>
              <w:snapToGrid w:val="0"/>
              <w:spacing w:line="6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bidi="ar"/>
              </w:rPr>
              <w:t>N</w:t>
            </w:r>
          </w:p>
        </w:tc>
        <w:tc>
          <w:tcPr>
            <w:tcW w:w="1056" w:type="dxa"/>
            <w:tcBorders>
              <w:top w:val="single" w:color="auto" w:sz="4" w:space="0"/>
              <w:left w:val="single" w:color="auto" w:sz="4" w:space="0"/>
              <w:bottom w:val="single" w:color="auto" w:sz="4" w:space="0"/>
              <w:right w:val="single" w:color="auto" w:sz="4" w:space="0"/>
            </w:tcBorders>
            <w:shd w:val="clear" w:color="auto" w:fill="auto"/>
            <w:vAlign w:val="center"/>
          </w:tcPr>
          <w:p w14:paraId="6B498B75">
            <w:pPr>
              <w:adjustRightInd w:val="0"/>
              <w:snapToGrid w:val="0"/>
              <w:spacing w:line="6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bidi="ar"/>
              </w:rPr>
              <w:t>M</w:t>
            </w:r>
          </w:p>
        </w:tc>
        <w:tc>
          <w:tcPr>
            <w:tcW w:w="523" w:type="dxa"/>
            <w:tcBorders>
              <w:top w:val="single" w:color="auto" w:sz="4" w:space="0"/>
              <w:left w:val="single" w:color="auto" w:sz="4" w:space="0"/>
              <w:bottom w:val="single" w:color="auto" w:sz="4" w:space="0"/>
              <w:right w:val="single" w:color="auto" w:sz="4" w:space="0"/>
            </w:tcBorders>
            <w:shd w:val="clear" w:color="auto" w:fill="auto"/>
            <w:vAlign w:val="center"/>
          </w:tcPr>
          <w:p w14:paraId="23EA21FA">
            <w:pPr>
              <w:adjustRightInd w:val="0"/>
              <w:snapToGrid w:val="0"/>
              <w:spacing w:line="6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bidi="ar"/>
              </w:rPr>
              <w:t>A</w:t>
            </w:r>
          </w:p>
        </w:tc>
        <w:tc>
          <w:tcPr>
            <w:tcW w:w="472" w:type="dxa"/>
            <w:tcBorders>
              <w:top w:val="single" w:color="auto" w:sz="4" w:space="0"/>
              <w:left w:val="single" w:color="auto" w:sz="4" w:space="0"/>
              <w:bottom w:val="single" w:color="auto" w:sz="4" w:space="0"/>
              <w:right w:val="single" w:color="auto" w:sz="4" w:space="0"/>
            </w:tcBorders>
            <w:shd w:val="clear" w:color="auto" w:fill="auto"/>
            <w:vAlign w:val="center"/>
          </w:tcPr>
          <w:p w14:paraId="14C725A8">
            <w:pPr>
              <w:adjustRightInd w:val="0"/>
              <w:snapToGrid w:val="0"/>
              <w:spacing w:line="6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bidi="ar"/>
              </w:rPr>
              <w:t>n</w:t>
            </w:r>
          </w:p>
        </w:tc>
        <w:tc>
          <w:tcPr>
            <w:tcW w:w="596" w:type="dxa"/>
            <w:tcBorders>
              <w:top w:val="single" w:color="auto" w:sz="4" w:space="0"/>
              <w:left w:val="single" w:color="auto" w:sz="4" w:space="0"/>
              <w:bottom w:val="single" w:color="auto" w:sz="4" w:space="0"/>
              <w:right w:val="single" w:color="auto" w:sz="4" w:space="0"/>
            </w:tcBorders>
            <w:shd w:val="clear" w:color="auto" w:fill="auto"/>
            <w:vAlign w:val="center"/>
          </w:tcPr>
          <w:p w14:paraId="4C3089BE">
            <w:pPr>
              <w:adjustRightInd w:val="0"/>
              <w:snapToGrid w:val="0"/>
              <w:spacing w:line="6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bidi="ar"/>
              </w:rPr>
              <w:t>B</w:t>
            </w:r>
            <w:r>
              <w:rPr>
                <w:rFonts w:hint="default" w:ascii="Times New Roman" w:hAnsi="Times New Roman" w:eastAsia="仿宋_GB2312" w:cs="Times New Roman"/>
                <w:sz w:val="28"/>
                <w:szCs w:val="28"/>
                <w:vertAlign w:val="subscript"/>
                <w:lang w:bidi="ar"/>
              </w:rPr>
              <w:t>1</w:t>
            </w:r>
          </w:p>
        </w:tc>
        <w:tc>
          <w:tcPr>
            <w:tcW w:w="596" w:type="dxa"/>
            <w:tcBorders>
              <w:top w:val="single" w:color="auto" w:sz="4" w:space="0"/>
              <w:left w:val="single" w:color="auto" w:sz="4" w:space="0"/>
              <w:bottom w:val="single" w:color="auto" w:sz="4" w:space="0"/>
              <w:right w:val="single" w:color="auto" w:sz="4" w:space="0"/>
            </w:tcBorders>
            <w:shd w:val="clear" w:color="auto" w:fill="auto"/>
            <w:vAlign w:val="center"/>
          </w:tcPr>
          <w:p w14:paraId="4ABA0323">
            <w:pPr>
              <w:adjustRightInd w:val="0"/>
              <w:snapToGrid w:val="0"/>
              <w:spacing w:line="6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bidi="ar"/>
              </w:rPr>
              <w:t>B</w:t>
            </w:r>
            <w:r>
              <w:rPr>
                <w:rFonts w:hint="default" w:ascii="Times New Roman" w:hAnsi="Times New Roman" w:eastAsia="仿宋_GB2312" w:cs="Times New Roman"/>
                <w:sz w:val="28"/>
                <w:szCs w:val="28"/>
                <w:vertAlign w:val="subscript"/>
                <w:lang w:bidi="ar"/>
              </w:rPr>
              <w:t>2</w:t>
            </w:r>
          </w:p>
        </w:tc>
        <w:tc>
          <w:tcPr>
            <w:tcW w:w="596" w:type="dxa"/>
            <w:tcBorders>
              <w:top w:val="single" w:color="auto" w:sz="4" w:space="0"/>
              <w:left w:val="single" w:color="auto" w:sz="4" w:space="0"/>
              <w:bottom w:val="single" w:color="auto" w:sz="4" w:space="0"/>
              <w:right w:val="single" w:color="auto" w:sz="4" w:space="0"/>
            </w:tcBorders>
            <w:shd w:val="clear" w:color="auto" w:fill="auto"/>
            <w:vAlign w:val="center"/>
          </w:tcPr>
          <w:p w14:paraId="0CF2FDED">
            <w:pPr>
              <w:adjustRightInd w:val="0"/>
              <w:snapToGrid w:val="0"/>
              <w:spacing w:line="6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bidi="ar"/>
              </w:rPr>
              <w:t>B</w:t>
            </w:r>
            <w:r>
              <w:rPr>
                <w:rFonts w:hint="default" w:ascii="Times New Roman" w:hAnsi="Times New Roman" w:eastAsia="仿宋_GB2312" w:cs="Times New Roman"/>
                <w:sz w:val="28"/>
                <w:szCs w:val="28"/>
                <w:vertAlign w:val="subscript"/>
                <w:lang w:bidi="ar"/>
              </w:rPr>
              <w:t>3</w:t>
            </w:r>
          </w:p>
        </w:tc>
        <w:tc>
          <w:tcPr>
            <w:tcW w:w="596" w:type="dxa"/>
            <w:tcBorders>
              <w:top w:val="single" w:color="auto" w:sz="4" w:space="0"/>
              <w:left w:val="single" w:color="auto" w:sz="4" w:space="0"/>
              <w:bottom w:val="single" w:color="auto" w:sz="4" w:space="0"/>
              <w:right w:val="single" w:color="auto" w:sz="4" w:space="0"/>
            </w:tcBorders>
            <w:shd w:val="clear" w:color="auto" w:fill="auto"/>
            <w:vAlign w:val="center"/>
          </w:tcPr>
          <w:p w14:paraId="6B626F17">
            <w:pPr>
              <w:adjustRightInd w:val="0"/>
              <w:snapToGrid w:val="0"/>
              <w:spacing w:line="6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bidi="ar"/>
              </w:rPr>
              <w:t>B</w:t>
            </w:r>
            <w:r>
              <w:rPr>
                <w:rFonts w:hint="default" w:ascii="Times New Roman" w:hAnsi="Times New Roman" w:eastAsia="仿宋_GB2312" w:cs="Times New Roman"/>
                <w:sz w:val="28"/>
                <w:szCs w:val="28"/>
                <w:vertAlign w:val="subscript"/>
                <w:lang w:bidi="ar"/>
              </w:rPr>
              <w:t>4</w:t>
            </w:r>
          </w:p>
        </w:tc>
        <w:tc>
          <w:tcPr>
            <w:tcW w:w="596" w:type="dxa"/>
            <w:tcBorders>
              <w:top w:val="single" w:color="auto" w:sz="4" w:space="0"/>
              <w:left w:val="single" w:color="auto" w:sz="4" w:space="0"/>
              <w:bottom w:val="single" w:color="auto" w:sz="4" w:space="0"/>
              <w:right w:val="single" w:color="auto" w:sz="4" w:space="0"/>
            </w:tcBorders>
            <w:shd w:val="clear" w:color="auto" w:fill="auto"/>
            <w:vAlign w:val="center"/>
          </w:tcPr>
          <w:p w14:paraId="4B898CE7">
            <w:pPr>
              <w:adjustRightInd w:val="0"/>
              <w:snapToGrid w:val="0"/>
              <w:spacing w:line="6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bidi="ar"/>
              </w:rPr>
              <w:t>B</w:t>
            </w:r>
            <w:r>
              <w:rPr>
                <w:rFonts w:hint="default" w:ascii="Times New Roman" w:hAnsi="Times New Roman" w:eastAsia="仿宋_GB2312" w:cs="Times New Roman"/>
                <w:sz w:val="28"/>
                <w:szCs w:val="28"/>
                <w:vertAlign w:val="subscript"/>
                <w:lang w:bidi="ar"/>
              </w:rPr>
              <w:t>5</w:t>
            </w:r>
          </w:p>
        </w:tc>
      </w:tr>
      <w:tr w14:paraId="6D3CB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 w:type="dxa"/>
            <w:tcBorders>
              <w:top w:val="single" w:color="auto" w:sz="4" w:space="0"/>
              <w:left w:val="single" w:color="auto" w:sz="4" w:space="0"/>
              <w:bottom w:val="single" w:color="auto" w:sz="4" w:space="0"/>
              <w:right w:val="single" w:color="auto" w:sz="4" w:space="0"/>
            </w:tcBorders>
            <w:shd w:val="clear" w:color="auto" w:fill="auto"/>
            <w:vAlign w:val="center"/>
          </w:tcPr>
          <w:p w14:paraId="696549A3">
            <w:pPr>
              <w:adjustRightInd w:val="0"/>
              <w:snapToGrid w:val="0"/>
              <w:spacing w:line="6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bidi="ar"/>
              </w:rPr>
              <w:t>取值</w:t>
            </w:r>
          </w:p>
        </w:tc>
        <w:tc>
          <w:tcPr>
            <w:tcW w:w="916" w:type="dxa"/>
            <w:tcBorders>
              <w:top w:val="single" w:color="auto" w:sz="4" w:space="0"/>
              <w:left w:val="single" w:color="auto" w:sz="4" w:space="0"/>
              <w:bottom w:val="single" w:color="auto" w:sz="4" w:space="0"/>
              <w:right w:val="single" w:color="auto" w:sz="4" w:space="0"/>
            </w:tcBorders>
            <w:shd w:val="clear" w:color="auto" w:fill="auto"/>
            <w:vAlign w:val="center"/>
          </w:tcPr>
          <w:p w14:paraId="122C38DE">
            <w:pPr>
              <w:keepNext w:val="0"/>
              <w:keepLines w:val="0"/>
              <w:pageBreakBefore w:val="0"/>
              <w:kinsoku/>
              <w:wordWrap/>
              <w:overflowPunct/>
              <w:topLinePunct w:val="0"/>
              <w:autoSpaceDE/>
              <w:autoSpaceDN/>
              <w:bidi w:val="0"/>
              <w:adjustRightInd w:val="0"/>
              <w:snapToGrid w:val="0"/>
              <w:spacing w:line="54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32"/>
                <w:szCs w:val="32"/>
                <w:lang w:val="en-US" w:eastAsia="zh-CN" w:bidi="ar"/>
              </w:rPr>
              <w:t>5500</w:t>
            </w:r>
          </w:p>
        </w:tc>
        <w:tc>
          <w:tcPr>
            <w:tcW w:w="1056" w:type="dxa"/>
            <w:tcBorders>
              <w:top w:val="single" w:color="auto" w:sz="4" w:space="0"/>
              <w:left w:val="single" w:color="auto" w:sz="4" w:space="0"/>
              <w:bottom w:val="single" w:color="auto" w:sz="4" w:space="0"/>
              <w:right w:val="single" w:color="auto" w:sz="4" w:space="0"/>
            </w:tcBorders>
            <w:shd w:val="clear" w:color="auto" w:fill="auto"/>
            <w:vAlign w:val="center"/>
          </w:tcPr>
          <w:p w14:paraId="32E984C7">
            <w:pPr>
              <w:keepNext w:val="0"/>
              <w:keepLines w:val="0"/>
              <w:pageBreakBefore w:val="0"/>
              <w:kinsoku/>
              <w:wordWrap/>
              <w:overflowPunct/>
              <w:topLinePunct w:val="0"/>
              <w:autoSpaceDE/>
              <w:autoSpaceDN/>
              <w:bidi w:val="0"/>
              <w:adjustRightInd w:val="0"/>
              <w:snapToGrid w:val="0"/>
              <w:spacing w:line="54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32"/>
                <w:szCs w:val="32"/>
                <w:lang w:val="en-US" w:eastAsia="zh-CN" w:bidi="ar"/>
              </w:rPr>
              <w:t>27500</w:t>
            </w:r>
          </w:p>
        </w:tc>
        <w:tc>
          <w:tcPr>
            <w:tcW w:w="523" w:type="dxa"/>
            <w:tcBorders>
              <w:top w:val="single" w:color="auto" w:sz="4" w:space="0"/>
              <w:left w:val="single" w:color="auto" w:sz="4" w:space="0"/>
              <w:bottom w:val="single" w:color="auto" w:sz="4" w:space="0"/>
              <w:right w:val="single" w:color="auto" w:sz="4" w:space="0"/>
            </w:tcBorders>
            <w:shd w:val="clear" w:color="auto" w:fill="auto"/>
            <w:vAlign w:val="center"/>
          </w:tcPr>
          <w:p w14:paraId="47E08174">
            <w:pPr>
              <w:keepNext w:val="0"/>
              <w:keepLines w:val="0"/>
              <w:pageBreakBefore w:val="0"/>
              <w:kinsoku/>
              <w:wordWrap/>
              <w:overflowPunct/>
              <w:topLinePunct w:val="0"/>
              <w:autoSpaceDE/>
              <w:autoSpaceDN/>
              <w:bidi w:val="0"/>
              <w:adjustRightInd w:val="0"/>
              <w:snapToGrid w:val="0"/>
              <w:spacing w:line="54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32"/>
                <w:szCs w:val="32"/>
                <w:lang w:val="en-US" w:eastAsia="zh-CN" w:bidi="ar"/>
              </w:rPr>
              <w:t>1</w:t>
            </w:r>
          </w:p>
        </w:tc>
        <w:tc>
          <w:tcPr>
            <w:tcW w:w="472" w:type="dxa"/>
            <w:tcBorders>
              <w:top w:val="single" w:color="auto" w:sz="4" w:space="0"/>
              <w:left w:val="single" w:color="auto" w:sz="4" w:space="0"/>
              <w:bottom w:val="single" w:color="auto" w:sz="4" w:space="0"/>
              <w:right w:val="single" w:color="auto" w:sz="4" w:space="0"/>
            </w:tcBorders>
            <w:shd w:val="clear" w:color="auto" w:fill="auto"/>
            <w:vAlign w:val="center"/>
          </w:tcPr>
          <w:p w14:paraId="1DF4A98D">
            <w:pPr>
              <w:keepNext w:val="0"/>
              <w:keepLines w:val="0"/>
              <w:pageBreakBefore w:val="0"/>
              <w:kinsoku/>
              <w:wordWrap/>
              <w:overflowPunct/>
              <w:topLinePunct w:val="0"/>
              <w:autoSpaceDE/>
              <w:autoSpaceDN/>
              <w:bidi w:val="0"/>
              <w:adjustRightInd w:val="0"/>
              <w:snapToGrid w:val="0"/>
              <w:spacing w:line="54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32"/>
                <w:szCs w:val="32"/>
                <w:lang w:bidi="ar"/>
              </w:rPr>
              <w:t>5</w:t>
            </w:r>
          </w:p>
        </w:tc>
        <w:tc>
          <w:tcPr>
            <w:tcW w:w="596" w:type="dxa"/>
            <w:tcBorders>
              <w:top w:val="single" w:color="auto" w:sz="4" w:space="0"/>
              <w:left w:val="single" w:color="auto" w:sz="4" w:space="0"/>
              <w:bottom w:val="single" w:color="auto" w:sz="4" w:space="0"/>
              <w:right w:val="single" w:color="auto" w:sz="4" w:space="0"/>
            </w:tcBorders>
            <w:shd w:val="clear" w:color="auto" w:fill="auto"/>
            <w:vAlign w:val="center"/>
          </w:tcPr>
          <w:p w14:paraId="0FAC2920">
            <w:pPr>
              <w:keepNext w:val="0"/>
              <w:keepLines w:val="0"/>
              <w:pageBreakBefore w:val="0"/>
              <w:kinsoku/>
              <w:wordWrap/>
              <w:overflowPunct/>
              <w:topLinePunct w:val="0"/>
              <w:autoSpaceDE/>
              <w:autoSpaceDN/>
              <w:bidi w:val="0"/>
              <w:adjustRightInd w:val="0"/>
              <w:snapToGrid w:val="0"/>
              <w:spacing w:line="54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32"/>
                <w:szCs w:val="32"/>
                <w:lang w:bidi="ar"/>
              </w:rPr>
              <w:t>1</w:t>
            </w:r>
          </w:p>
        </w:tc>
        <w:tc>
          <w:tcPr>
            <w:tcW w:w="596" w:type="dxa"/>
            <w:tcBorders>
              <w:top w:val="single" w:color="auto" w:sz="4" w:space="0"/>
              <w:left w:val="single" w:color="auto" w:sz="4" w:space="0"/>
              <w:bottom w:val="single" w:color="auto" w:sz="4" w:space="0"/>
              <w:right w:val="single" w:color="auto" w:sz="4" w:space="0"/>
            </w:tcBorders>
            <w:shd w:val="clear" w:color="auto" w:fill="auto"/>
            <w:vAlign w:val="center"/>
          </w:tcPr>
          <w:p w14:paraId="63D33B6B">
            <w:pPr>
              <w:keepNext w:val="0"/>
              <w:keepLines w:val="0"/>
              <w:pageBreakBefore w:val="0"/>
              <w:kinsoku/>
              <w:wordWrap/>
              <w:overflowPunct/>
              <w:topLinePunct w:val="0"/>
              <w:autoSpaceDE/>
              <w:autoSpaceDN/>
              <w:bidi w:val="0"/>
              <w:adjustRightInd w:val="0"/>
              <w:snapToGrid w:val="0"/>
              <w:spacing w:line="54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32"/>
                <w:szCs w:val="32"/>
                <w:lang w:val="en-US" w:eastAsia="zh-CN" w:bidi="ar"/>
              </w:rPr>
              <w:t>1</w:t>
            </w:r>
          </w:p>
        </w:tc>
        <w:tc>
          <w:tcPr>
            <w:tcW w:w="596" w:type="dxa"/>
            <w:tcBorders>
              <w:top w:val="single" w:color="auto" w:sz="4" w:space="0"/>
              <w:left w:val="single" w:color="auto" w:sz="4" w:space="0"/>
              <w:bottom w:val="single" w:color="auto" w:sz="4" w:space="0"/>
              <w:right w:val="single" w:color="auto" w:sz="4" w:space="0"/>
            </w:tcBorders>
            <w:shd w:val="clear" w:color="auto" w:fill="auto"/>
            <w:vAlign w:val="center"/>
          </w:tcPr>
          <w:p w14:paraId="1521B94A">
            <w:pPr>
              <w:keepNext w:val="0"/>
              <w:keepLines w:val="0"/>
              <w:pageBreakBefore w:val="0"/>
              <w:kinsoku/>
              <w:wordWrap/>
              <w:overflowPunct/>
              <w:topLinePunct w:val="0"/>
              <w:autoSpaceDE/>
              <w:autoSpaceDN/>
              <w:bidi w:val="0"/>
              <w:adjustRightInd w:val="0"/>
              <w:snapToGrid w:val="0"/>
              <w:spacing w:line="54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32"/>
                <w:szCs w:val="32"/>
                <w:lang w:val="en-US" w:eastAsia="zh-CN" w:bidi="ar"/>
              </w:rPr>
              <w:t>1</w:t>
            </w:r>
          </w:p>
        </w:tc>
        <w:tc>
          <w:tcPr>
            <w:tcW w:w="596" w:type="dxa"/>
            <w:tcBorders>
              <w:top w:val="single" w:color="auto" w:sz="4" w:space="0"/>
              <w:left w:val="single" w:color="auto" w:sz="4" w:space="0"/>
              <w:bottom w:val="single" w:color="auto" w:sz="4" w:space="0"/>
              <w:right w:val="single" w:color="auto" w:sz="4" w:space="0"/>
            </w:tcBorders>
            <w:shd w:val="clear" w:color="auto" w:fill="auto"/>
            <w:vAlign w:val="center"/>
          </w:tcPr>
          <w:p w14:paraId="6D2F420B">
            <w:pPr>
              <w:keepNext w:val="0"/>
              <w:keepLines w:val="0"/>
              <w:pageBreakBefore w:val="0"/>
              <w:kinsoku/>
              <w:wordWrap/>
              <w:overflowPunct/>
              <w:topLinePunct w:val="0"/>
              <w:autoSpaceDE/>
              <w:autoSpaceDN/>
              <w:bidi w:val="0"/>
              <w:adjustRightInd w:val="0"/>
              <w:snapToGrid w:val="0"/>
              <w:spacing w:line="540" w:lineRule="exact"/>
              <w:jc w:val="center"/>
              <w:textAlignment w:val="auto"/>
              <w:rPr>
                <w:rFonts w:hint="eastAsia" w:ascii="Times New Roman" w:hAnsi="Times New Roman" w:eastAsia="仿宋_GB2312" w:cs="Times New Roman"/>
                <w:sz w:val="28"/>
                <w:szCs w:val="28"/>
                <w:lang w:eastAsia="zh-CN"/>
              </w:rPr>
            </w:pPr>
            <w:r>
              <w:rPr>
                <w:rFonts w:hint="default" w:ascii="Times New Roman" w:hAnsi="Times New Roman" w:eastAsia="仿宋_GB2312" w:cs="Times New Roman"/>
                <w:sz w:val="32"/>
                <w:szCs w:val="32"/>
                <w:lang w:bidi="ar"/>
              </w:rPr>
              <w:t>1</w:t>
            </w:r>
          </w:p>
        </w:tc>
        <w:tc>
          <w:tcPr>
            <w:tcW w:w="596" w:type="dxa"/>
            <w:tcBorders>
              <w:top w:val="single" w:color="auto" w:sz="4" w:space="0"/>
              <w:left w:val="single" w:color="auto" w:sz="4" w:space="0"/>
              <w:bottom w:val="single" w:color="auto" w:sz="4" w:space="0"/>
              <w:right w:val="single" w:color="auto" w:sz="4" w:space="0"/>
            </w:tcBorders>
            <w:shd w:val="clear" w:color="auto" w:fill="auto"/>
            <w:vAlign w:val="center"/>
          </w:tcPr>
          <w:p w14:paraId="34BD3318">
            <w:pPr>
              <w:keepNext w:val="0"/>
              <w:keepLines w:val="0"/>
              <w:pageBreakBefore w:val="0"/>
              <w:kinsoku/>
              <w:wordWrap/>
              <w:overflowPunct/>
              <w:topLinePunct w:val="0"/>
              <w:autoSpaceDE/>
              <w:autoSpaceDN/>
              <w:bidi w:val="0"/>
              <w:adjustRightInd w:val="0"/>
              <w:snapToGrid w:val="0"/>
              <w:spacing w:line="54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32"/>
                <w:szCs w:val="32"/>
                <w:lang w:bidi="ar"/>
              </w:rPr>
              <w:t>1</w:t>
            </w:r>
          </w:p>
        </w:tc>
      </w:tr>
    </w:tbl>
    <w:p w14:paraId="2BA4AA36">
      <w:pPr>
        <w:keepNext w:val="0"/>
        <w:keepLines w:val="0"/>
        <w:pageBreakBefore w:val="0"/>
        <w:widowControl w:val="0"/>
        <w:kinsoku/>
        <w:wordWrap/>
        <w:overflowPunct/>
        <w:topLinePunct w:val="0"/>
        <w:autoSpaceDE/>
        <w:autoSpaceDN/>
        <w:bidi w:val="0"/>
        <w:spacing w:line="480" w:lineRule="exact"/>
        <w:textAlignment w:val="auto"/>
        <w:rPr>
          <w:rFonts w:hint="default" w:ascii="Times New Roman" w:hAnsi="Times New Roman" w:eastAsia="仿宋" w:cs="Times New Roman"/>
          <w:szCs w:val="32"/>
          <w:lang w:val="en-US" w:eastAsia="zh-CN"/>
        </w:rPr>
      </w:pPr>
      <w:r>
        <w:rPr>
          <w:rFonts w:hint="default" w:ascii="Times New Roman" w:hAnsi="Times New Roman" w:eastAsia="仿宋_GB2312" w:cs="Times New Roman"/>
          <w:sz w:val="30"/>
          <w:szCs w:val="30"/>
          <w:lang w:bidi="ar"/>
        </w:rPr>
        <w:t>X=</w:t>
      </w:r>
      <w:r>
        <w:rPr>
          <w:rFonts w:hint="eastAsia" w:eastAsia="仿宋_GB2312" w:cs="Times New Roman"/>
          <w:sz w:val="30"/>
          <w:szCs w:val="30"/>
          <w:lang w:val="en-US" w:eastAsia="zh-CN" w:bidi="ar"/>
        </w:rPr>
        <w:t>5</w:t>
      </w:r>
      <w:r>
        <w:rPr>
          <w:rFonts w:hint="default" w:ascii="Times New Roman" w:hAnsi="Times New Roman" w:eastAsia="仿宋" w:cs="Times New Roman"/>
          <w:sz w:val="30"/>
          <w:szCs w:val="30"/>
          <w:lang w:val="en-US" w:eastAsia="zh-CN" w:bidi="ar"/>
        </w:rPr>
        <w:t>500</w:t>
      </w:r>
      <w:r>
        <w:rPr>
          <w:rFonts w:hint="default" w:ascii="Times New Roman" w:hAnsi="Times New Roman" w:eastAsia="仿宋" w:cs="Times New Roman"/>
          <w:sz w:val="30"/>
          <w:szCs w:val="30"/>
          <w:lang w:bidi="ar"/>
        </w:rPr>
        <w:t>+(</w:t>
      </w:r>
      <w:r>
        <w:rPr>
          <w:rFonts w:hint="default" w:ascii="Times New Roman" w:hAnsi="Times New Roman" w:eastAsia="仿宋" w:cs="Times New Roman"/>
          <w:sz w:val="30"/>
          <w:szCs w:val="30"/>
          <w:lang w:val="en-US" w:eastAsia="zh-CN" w:bidi="ar"/>
        </w:rPr>
        <w:t>27500</w:t>
      </w:r>
      <w:r>
        <w:rPr>
          <w:rFonts w:hint="default" w:ascii="Times New Roman" w:hAnsi="Times New Roman" w:eastAsia="仿宋" w:cs="Times New Roman"/>
          <w:sz w:val="30"/>
          <w:szCs w:val="30"/>
          <w:lang w:bidi="ar"/>
        </w:rPr>
        <w:t>-</w:t>
      </w:r>
      <w:r>
        <w:rPr>
          <w:rFonts w:hint="default" w:ascii="Times New Roman" w:hAnsi="Times New Roman" w:eastAsia="仿宋" w:cs="Times New Roman"/>
          <w:sz w:val="30"/>
          <w:szCs w:val="30"/>
          <w:lang w:val="en-US" w:eastAsia="zh-CN" w:bidi="ar"/>
        </w:rPr>
        <w:t>55</w:t>
      </w:r>
      <w:r>
        <w:rPr>
          <w:rFonts w:hint="default" w:ascii="Times New Roman" w:hAnsi="Times New Roman" w:eastAsia="仿宋" w:cs="Times New Roman"/>
          <w:sz w:val="30"/>
          <w:szCs w:val="30"/>
          <w:lang w:bidi="ar"/>
        </w:rPr>
        <w:t>00)×[(</w:t>
      </w:r>
      <w:r>
        <w:rPr>
          <w:rFonts w:hint="default" w:ascii="Times New Roman" w:hAnsi="Times New Roman" w:eastAsia="仿宋" w:cs="Times New Roman"/>
          <w:sz w:val="30"/>
          <w:szCs w:val="30"/>
          <w:lang w:val="en-US" w:eastAsia="zh-CN" w:bidi="ar"/>
        </w:rPr>
        <w:t>1</w:t>
      </w:r>
      <w:r>
        <w:rPr>
          <w:rFonts w:hint="default" w:ascii="Times New Roman" w:hAnsi="Times New Roman" w:eastAsia="仿宋" w:cs="Times New Roman"/>
          <w:sz w:val="30"/>
          <w:szCs w:val="30"/>
          <w:lang w:bidi="ar"/>
        </w:rPr>
        <w:t>/5)</w:t>
      </w:r>
      <w:r>
        <w:rPr>
          <w:rFonts w:hint="default" w:ascii="Times New Roman" w:hAnsi="Times New Roman" w:eastAsia="仿宋" w:cs="Times New Roman"/>
          <w:sz w:val="30"/>
          <w:szCs w:val="30"/>
          <w:vertAlign w:val="superscript"/>
          <w:lang w:bidi="ar"/>
        </w:rPr>
        <w:t>2</w:t>
      </w:r>
      <w:r>
        <w:rPr>
          <w:rFonts w:hint="default" w:ascii="Times New Roman" w:hAnsi="Times New Roman" w:eastAsia="仿宋" w:cs="Times New Roman"/>
          <w:sz w:val="30"/>
          <w:szCs w:val="30"/>
          <w:lang w:bidi="ar"/>
        </w:rPr>
        <w:t>+(1</w:t>
      </w:r>
      <w:r>
        <w:rPr>
          <w:rFonts w:hint="default" w:ascii="Times New Roman" w:hAnsi="Times New Roman" w:eastAsia="仿宋" w:cs="Times New Roman"/>
          <w:sz w:val="30"/>
          <w:szCs w:val="30"/>
          <w:vertAlign w:val="superscript"/>
          <w:lang w:bidi="ar"/>
        </w:rPr>
        <w:t>2</w:t>
      </w:r>
      <w:r>
        <w:rPr>
          <w:rFonts w:hint="default" w:ascii="Times New Roman" w:hAnsi="Times New Roman" w:eastAsia="仿宋" w:cs="Times New Roman"/>
          <w:sz w:val="30"/>
          <w:szCs w:val="30"/>
          <w:lang w:bidi="ar"/>
        </w:rPr>
        <w:t>+</w:t>
      </w:r>
      <w:r>
        <w:rPr>
          <w:rFonts w:hint="default" w:ascii="Times New Roman" w:hAnsi="Times New Roman" w:eastAsia="仿宋" w:cs="Times New Roman"/>
          <w:sz w:val="30"/>
          <w:szCs w:val="30"/>
          <w:lang w:val="en-US" w:eastAsia="zh-CN" w:bidi="ar"/>
        </w:rPr>
        <w:t>1</w:t>
      </w:r>
      <w:r>
        <w:rPr>
          <w:rFonts w:hint="default" w:ascii="Times New Roman" w:hAnsi="Times New Roman" w:eastAsia="仿宋" w:cs="Times New Roman"/>
          <w:sz w:val="30"/>
          <w:szCs w:val="30"/>
          <w:vertAlign w:val="superscript"/>
          <w:lang w:bidi="ar"/>
        </w:rPr>
        <w:t>2</w:t>
      </w:r>
      <w:r>
        <w:rPr>
          <w:rFonts w:hint="default" w:ascii="Times New Roman" w:hAnsi="Times New Roman" w:eastAsia="仿宋" w:cs="Times New Roman"/>
          <w:sz w:val="30"/>
          <w:szCs w:val="30"/>
          <w:lang w:bidi="ar"/>
        </w:rPr>
        <w:t>+</w:t>
      </w:r>
      <w:r>
        <w:rPr>
          <w:rFonts w:hint="default" w:ascii="Times New Roman" w:hAnsi="Times New Roman" w:eastAsia="仿宋" w:cs="Times New Roman"/>
          <w:sz w:val="30"/>
          <w:szCs w:val="30"/>
          <w:lang w:val="en-US" w:eastAsia="zh-CN" w:bidi="ar"/>
        </w:rPr>
        <w:t>1</w:t>
      </w:r>
      <w:r>
        <w:rPr>
          <w:rFonts w:hint="default" w:ascii="Times New Roman" w:hAnsi="Times New Roman" w:eastAsia="仿宋" w:cs="Times New Roman"/>
          <w:sz w:val="30"/>
          <w:szCs w:val="30"/>
          <w:vertAlign w:val="superscript"/>
          <w:lang w:bidi="ar"/>
        </w:rPr>
        <w:t>2</w:t>
      </w:r>
      <w:r>
        <w:rPr>
          <w:rFonts w:hint="default" w:ascii="Times New Roman" w:hAnsi="Times New Roman" w:eastAsia="仿宋" w:cs="Times New Roman"/>
          <w:sz w:val="30"/>
          <w:szCs w:val="30"/>
          <w:lang w:bidi="ar"/>
        </w:rPr>
        <w:t>+1</w:t>
      </w:r>
      <w:r>
        <w:rPr>
          <w:rFonts w:hint="default" w:ascii="Times New Roman" w:hAnsi="Times New Roman" w:eastAsia="仿宋" w:cs="Times New Roman"/>
          <w:sz w:val="30"/>
          <w:szCs w:val="30"/>
          <w:vertAlign w:val="superscript"/>
          <w:lang w:bidi="ar"/>
        </w:rPr>
        <w:t>2</w:t>
      </w:r>
      <w:r>
        <w:rPr>
          <w:rFonts w:hint="default" w:ascii="Times New Roman" w:hAnsi="Times New Roman" w:eastAsia="仿宋" w:cs="Times New Roman"/>
          <w:sz w:val="30"/>
          <w:szCs w:val="30"/>
          <w:lang w:bidi="ar"/>
        </w:rPr>
        <w:t>+1</w:t>
      </w:r>
      <w:r>
        <w:rPr>
          <w:rFonts w:hint="default" w:ascii="Times New Roman" w:hAnsi="Times New Roman" w:eastAsia="仿宋" w:cs="Times New Roman"/>
          <w:sz w:val="30"/>
          <w:szCs w:val="30"/>
          <w:vertAlign w:val="superscript"/>
          <w:lang w:bidi="ar"/>
        </w:rPr>
        <w:t>2</w:t>
      </w:r>
      <w:r>
        <w:rPr>
          <w:rFonts w:hint="default" w:ascii="Times New Roman" w:hAnsi="Times New Roman" w:eastAsia="仿宋" w:cs="Times New Roman"/>
          <w:sz w:val="30"/>
          <w:szCs w:val="30"/>
          <w:lang w:bidi="ar"/>
        </w:rPr>
        <w:t>)/(5</w:t>
      </w:r>
      <w:r>
        <w:rPr>
          <w:rFonts w:hint="default" w:ascii="Times New Roman" w:hAnsi="Times New Roman" w:eastAsia="仿宋" w:cs="Times New Roman"/>
          <w:sz w:val="30"/>
          <w:szCs w:val="30"/>
          <w:vertAlign w:val="superscript"/>
          <w:lang w:bidi="ar"/>
        </w:rPr>
        <w:t>2</w:t>
      </w:r>
      <w:r>
        <w:rPr>
          <w:rFonts w:hint="default" w:ascii="Times New Roman" w:hAnsi="Times New Roman" w:eastAsia="仿宋" w:cs="Times New Roman"/>
          <w:sz w:val="30"/>
          <w:szCs w:val="30"/>
          <w:lang w:bidi="ar"/>
        </w:rPr>
        <w:t>×5)]×50%=</w:t>
      </w:r>
      <w:r>
        <w:rPr>
          <w:rFonts w:hint="default" w:ascii="Times New Roman" w:hAnsi="Times New Roman" w:eastAsia="仿宋" w:cs="Times New Roman"/>
          <w:sz w:val="30"/>
          <w:szCs w:val="30"/>
          <w:lang w:val="en-US" w:eastAsia="zh-CN" w:bidi="ar"/>
        </w:rPr>
        <w:t>6380</w:t>
      </w:r>
    </w:p>
    <w:p w14:paraId="30C68BEF">
      <w:pPr>
        <w:keepNext w:val="0"/>
        <w:keepLines w:val="0"/>
        <w:pageBreakBefore w:val="0"/>
        <w:widowControl w:val="0"/>
        <w:numPr>
          <w:ilvl w:val="0"/>
          <w:numId w:val="0"/>
        </w:numPr>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sz w:val="32"/>
          <w:szCs w:val="32"/>
        </w:rPr>
        <w:t>根据</w:t>
      </w:r>
      <w:r>
        <w:rPr>
          <w:rFonts w:hint="default" w:ascii="Times New Roman" w:hAnsi="Times New Roman" w:eastAsia="仿宋_GB2312" w:cs="Times New Roman"/>
          <w:color w:val="auto"/>
          <w:sz w:val="32"/>
          <w:szCs w:val="32"/>
          <w:u w:val="none"/>
        </w:rPr>
        <w:t>《中华人民共和国环境影响评价法》第三十一条第一款、第二款 “建设单位未依法报批建设项目环境影响报告书、报告表，或者未依照本法第二十四条的规定重新报批或者报请重新审核环境影响报告书、报告表，擅自开工建设的，由县级以上生态环境主管部门责令停止建设，根据违法情节和危害后果，处建设项目总投资额百分之一以上百分之五以下的罚款，并可以责令恢复原状；对建设单位直接负责的主管人员和其他直接责任人员，依法给予行政处分。建设项目环境影响报告书、报告表未经批准或者未经原审部门重新审核同意，建设单位擅自开工建设的，依照前款的规定处罚、处分。”的规定</w:t>
      </w:r>
      <w:r>
        <w:rPr>
          <w:rFonts w:hint="eastAsia" w:eastAsia="仿宋_GB2312" w:cs="Times New Roman"/>
          <w:sz w:val="32"/>
          <w:szCs w:val="32"/>
          <w:lang w:eastAsia="zh-CN"/>
        </w:rPr>
        <w:t>。</w:t>
      </w:r>
      <w:r>
        <w:rPr>
          <w:rFonts w:hint="default" w:ascii="Times New Roman" w:hAnsi="Times New Roman" w:eastAsia="仿宋_GB2312" w:cs="Times New Roman"/>
          <w:sz w:val="32"/>
          <w:szCs w:val="32"/>
        </w:rPr>
        <w:t>经集体研究，我局对你公司环境影响报告书、报告表未依法报批或者报请重新审核，擅自开工建设，或者环境影响报告书、报告表未经批准或者重新审核同意，擅自开工建设的违法行为作出以下处理决定：</w:t>
      </w:r>
    </w:p>
    <w:p w14:paraId="2BE3DDB9">
      <w:pPr>
        <w:keepNext w:val="0"/>
        <w:keepLines w:val="0"/>
        <w:pageBreakBefore w:val="0"/>
        <w:widowControl w:val="0"/>
        <w:numPr>
          <w:ilvl w:val="0"/>
          <w:numId w:val="0"/>
        </w:numPr>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罚款陆仟叁佰捌拾元整（6380）。</w:t>
      </w:r>
    </w:p>
    <w:p w14:paraId="1A018668">
      <w:pPr>
        <w:keepNext w:val="0"/>
        <w:keepLines w:val="0"/>
        <w:pageBreakBefore w:val="0"/>
        <w:widowControl w:val="0"/>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黑体" w:cs="Times New Roman"/>
          <w:b w:val="0"/>
          <w:bCs w:val="0"/>
          <w:sz w:val="32"/>
          <w:szCs w:val="32"/>
        </w:rPr>
      </w:pPr>
      <w:bookmarkStart w:id="5" w:name="_Toc421"/>
      <w:r>
        <w:rPr>
          <w:rFonts w:hint="default" w:ascii="Times New Roman" w:hAnsi="Times New Roman" w:eastAsia="黑体" w:cs="Times New Roman"/>
          <w:b w:val="0"/>
          <w:bCs w:val="0"/>
          <w:sz w:val="32"/>
          <w:szCs w:val="32"/>
        </w:rPr>
        <w:t>三、行政处罚决定的履行方式和期限</w:t>
      </w:r>
      <w:bookmarkEnd w:id="5"/>
    </w:p>
    <w:p w14:paraId="0E080598">
      <w:pPr>
        <w:keepNext w:val="0"/>
        <w:keepLines w:val="0"/>
        <w:pageBreakBefore w:val="0"/>
        <w:widowControl w:val="0"/>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仿宋_GB2312" w:cs="Times New Roman"/>
          <w:sz w:val="32"/>
          <w:szCs w:val="32"/>
        </w:rPr>
      </w:pPr>
      <w:bookmarkStart w:id="6" w:name="_Toc9167"/>
      <w:r>
        <w:rPr>
          <w:rFonts w:hint="default" w:ascii="Times New Roman" w:hAnsi="Times New Roman" w:eastAsia="仿宋_GB2312" w:cs="Times New Roman"/>
          <w:sz w:val="32"/>
          <w:szCs w:val="32"/>
        </w:rPr>
        <w:t>根据《中华人民共和国行政处罚法》和《罚款决定与罚款收缴分离实施办法》的规定，你</w:t>
      </w:r>
      <w:r>
        <w:rPr>
          <w:rFonts w:hint="eastAsia" w:eastAsia="仿宋_GB2312" w:cs="Times New Roman"/>
          <w:sz w:val="32"/>
          <w:szCs w:val="32"/>
          <w:lang w:eastAsia="zh-CN"/>
        </w:rPr>
        <w:t>公司</w:t>
      </w:r>
      <w:r>
        <w:rPr>
          <w:rFonts w:hint="default" w:ascii="Times New Roman" w:hAnsi="Times New Roman" w:eastAsia="仿宋_GB2312" w:cs="Times New Roman"/>
          <w:sz w:val="32"/>
          <w:szCs w:val="32"/>
        </w:rPr>
        <w:t>应当自收到本处罚决定书之日起15日内将罚款缴至我局指定的银行及账户：</w:t>
      </w:r>
    </w:p>
    <w:p w14:paraId="1E46EE85">
      <w:pPr>
        <w:keepNext w:val="0"/>
        <w:keepLines w:val="0"/>
        <w:pageBreakBefore w:val="0"/>
        <w:widowControl w:val="0"/>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开户名称：</w:t>
      </w:r>
      <w:r>
        <w:rPr>
          <w:rFonts w:hint="default" w:ascii="Times New Roman" w:hAnsi="Times New Roman" w:eastAsia="仿宋_GB2312" w:cs="Times New Roman"/>
          <w:sz w:val="32"/>
          <w:szCs w:val="32"/>
          <w:lang w:eastAsia="zh-CN"/>
        </w:rPr>
        <w:t>焦作</w:t>
      </w:r>
      <w:r>
        <w:rPr>
          <w:rFonts w:hint="default" w:ascii="Times New Roman" w:hAnsi="Times New Roman" w:eastAsia="仿宋_GB2312" w:cs="Times New Roman"/>
          <w:sz w:val="32"/>
          <w:szCs w:val="32"/>
        </w:rPr>
        <w:t>市财政局非税收入财政专户</w:t>
      </w:r>
    </w:p>
    <w:p w14:paraId="6209CB8E">
      <w:pPr>
        <w:keepNext w:val="0"/>
        <w:keepLines w:val="0"/>
        <w:pageBreakBefore w:val="0"/>
        <w:widowControl w:val="0"/>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开户行：邮政储蓄银行民主南路支行</w:t>
      </w:r>
    </w:p>
    <w:p w14:paraId="3A461DF4">
      <w:pPr>
        <w:keepNext w:val="0"/>
        <w:keepLines w:val="0"/>
        <w:pageBreakBefore w:val="0"/>
        <w:widowControl w:val="0"/>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eastAsia="zh-CN"/>
        </w:rPr>
        <w:t>银行账号：</w:t>
      </w:r>
      <w:r>
        <w:rPr>
          <w:rFonts w:hint="default" w:ascii="Times New Roman" w:hAnsi="Times New Roman" w:eastAsia="仿宋_GB2312" w:cs="Times New Roman"/>
          <w:sz w:val="32"/>
          <w:szCs w:val="32"/>
          <w:lang w:val="en-US" w:eastAsia="zh-CN"/>
        </w:rPr>
        <w:t>100195545980010001</w:t>
      </w:r>
    </w:p>
    <w:p w14:paraId="1831920C">
      <w:pPr>
        <w:keepNext w:val="0"/>
        <w:keepLines w:val="0"/>
        <w:pageBreakBefore w:val="0"/>
        <w:widowControl w:val="0"/>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eastAsia="仿宋_GB2312" w:cs="Times New Roman"/>
          <w:sz w:val="32"/>
          <w:szCs w:val="32"/>
          <w:lang w:val="en-US" w:eastAsia="zh-CN"/>
        </w:rPr>
        <w:t>缴款时，需在缴款备注栏注明“生态环境行政处罚款”及具体的处罚决定书编号等信息。</w:t>
      </w:r>
    </w:p>
    <w:p w14:paraId="31371FD5">
      <w:pPr>
        <w:keepNext w:val="0"/>
        <w:keepLines w:val="0"/>
        <w:pageBreakBefore w:val="0"/>
        <w:widowControl w:val="0"/>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四、申请行政复议或提起行政诉讼的途径和期限</w:t>
      </w:r>
      <w:bookmarkEnd w:id="6"/>
    </w:p>
    <w:p w14:paraId="46AA1ACA">
      <w:pPr>
        <w:keepNext w:val="0"/>
        <w:keepLines w:val="0"/>
        <w:pageBreakBefore w:val="0"/>
        <w:widowControl w:val="0"/>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_GB2312" w:cs="Times New Roman"/>
          <w:sz w:val="32"/>
          <w:szCs w:val="32"/>
        </w:rPr>
        <w:t>你</w:t>
      </w:r>
      <w:r>
        <w:rPr>
          <w:rFonts w:hint="eastAsia" w:eastAsia="仿宋_GB2312" w:cs="Times New Roman"/>
          <w:sz w:val="32"/>
          <w:szCs w:val="32"/>
          <w:lang w:eastAsia="zh-CN"/>
        </w:rPr>
        <w:t>公司</w:t>
      </w:r>
      <w:r>
        <w:rPr>
          <w:rFonts w:hint="default" w:ascii="Times New Roman" w:hAnsi="Times New Roman" w:eastAsia="仿宋_GB2312" w:cs="Times New Roman"/>
          <w:sz w:val="32"/>
          <w:szCs w:val="32"/>
        </w:rPr>
        <w:t>如不服本处罚决定，可以在收到本处罚决定书之日起六十日内向焦作市人民政府申请行政复议，也可以在收到本处罚决定书之日起六个月内</w:t>
      </w:r>
      <w:r>
        <w:rPr>
          <w:rFonts w:hint="default" w:ascii="Times New Roman" w:hAnsi="Times New Roman" w:eastAsia="仿宋_GB2312" w:cs="Times New Roman"/>
          <w:sz w:val="32"/>
          <w:szCs w:val="32"/>
          <w:lang w:val="en-US" w:eastAsia="zh-CN"/>
        </w:rPr>
        <w:t>向</w:t>
      </w:r>
      <w:r>
        <w:rPr>
          <w:rFonts w:hint="default" w:ascii="Times New Roman" w:hAnsi="Times New Roman" w:eastAsia="仿宋_GB2312" w:cs="Times New Roman"/>
          <w:sz w:val="32"/>
          <w:szCs w:val="32"/>
        </w:rPr>
        <w:t>郑州铁路运输法院提起行政诉讼。申请行政复议或者提起行政诉讼，不停止行政处罚决定的执行。逾期不申请行政复议，不提起行政诉讼，又不履行本处罚决定的，我局将依法申请人民法院强制执行。</w:t>
      </w:r>
    </w:p>
    <w:p w14:paraId="46BD950D">
      <w:pPr>
        <w:keepNext w:val="0"/>
        <w:keepLines w:val="0"/>
        <w:pageBreakBefore w:val="0"/>
        <w:widowControl w:val="0"/>
        <w:kinsoku/>
        <w:wordWrap/>
        <w:overflowPunct/>
        <w:topLinePunct w:val="0"/>
        <w:autoSpaceDE/>
        <w:autoSpaceDN/>
        <w:bidi w:val="0"/>
        <w:adjustRightInd/>
        <w:snapToGrid w:val="0"/>
        <w:spacing w:line="500" w:lineRule="exact"/>
        <w:ind w:right="420"/>
        <w:textAlignment w:val="auto"/>
        <w:rPr>
          <w:rFonts w:hint="default" w:ascii="Times New Roman" w:hAnsi="Times New Roman" w:eastAsia="仿宋" w:cs="Times New Roman"/>
          <w:sz w:val="32"/>
          <w:szCs w:val="32"/>
        </w:rPr>
      </w:pPr>
    </w:p>
    <w:p w14:paraId="78F6515F">
      <w:pPr>
        <w:keepNext w:val="0"/>
        <w:keepLines w:val="0"/>
        <w:pageBreakBefore w:val="0"/>
        <w:widowControl w:val="0"/>
        <w:kinsoku/>
        <w:wordWrap/>
        <w:overflowPunct/>
        <w:topLinePunct w:val="0"/>
        <w:autoSpaceDE/>
        <w:autoSpaceDN/>
        <w:bidi w:val="0"/>
        <w:adjustRightInd/>
        <w:snapToGrid w:val="0"/>
        <w:spacing w:line="500" w:lineRule="exact"/>
        <w:ind w:right="420" w:firstLine="4480" w:firstLineChars="1400"/>
        <w:textAlignment w:val="auto"/>
        <w:rPr>
          <w:rFonts w:hint="default" w:ascii="Times New Roman" w:hAnsi="Times New Roman" w:eastAsia="仿宋" w:cs="Times New Roman"/>
          <w:sz w:val="32"/>
          <w:szCs w:val="32"/>
        </w:rPr>
      </w:pPr>
    </w:p>
    <w:p w14:paraId="5B2DE2A5">
      <w:pPr>
        <w:keepNext w:val="0"/>
        <w:keepLines w:val="0"/>
        <w:pageBreakBefore w:val="0"/>
        <w:widowControl w:val="0"/>
        <w:kinsoku/>
        <w:wordWrap/>
        <w:overflowPunct/>
        <w:topLinePunct w:val="0"/>
        <w:autoSpaceDE/>
        <w:autoSpaceDN/>
        <w:bidi w:val="0"/>
        <w:adjustRightInd/>
        <w:snapToGrid w:val="0"/>
        <w:spacing w:line="500" w:lineRule="exact"/>
        <w:ind w:right="840"/>
        <w:textAlignment w:val="auto"/>
        <w:rPr>
          <w:rFonts w:hint="eastAsia" w:eastAsia="仿宋" w:cs="Times New Roman"/>
          <w:sz w:val="32"/>
          <w:szCs w:val="32"/>
          <w:lang w:val="en-US" w:eastAsia="zh-CN"/>
        </w:rPr>
      </w:pPr>
      <w:r>
        <w:rPr>
          <w:rFonts w:hint="eastAsia" w:eastAsia="仿宋" w:cs="Times New Roman"/>
          <w:sz w:val="32"/>
          <w:szCs w:val="32"/>
          <w:lang w:val="en-US" w:eastAsia="zh-CN"/>
        </w:rPr>
        <w:t xml:space="preserve"> </w:t>
      </w:r>
    </w:p>
    <w:p w14:paraId="65A88750">
      <w:pPr>
        <w:keepNext w:val="0"/>
        <w:keepLines w:val="0"/>
        <w:pageBreakBefore w:val="0"/>
        <w:widowControl w:val="0"/>
        <w:kinsoku/>
        <w:wordWrap/>
        <w:overflowPunct/>
        <w:topLinePunct w:val="0"/>
        <w:autoSpaceDE/>
        <w:autoSpaceDN/>
        <w:bidi w:val="0"/>
        <w:adjustRightInd/>
        <w:snapToGrid w:val="0"/>
        <w:spacing w:line="500" w:lineRule="exact"/>
        <w:ind w:right="840"/>
        <w:textAlignment w:val="auto"/>
        <w:rPr>
          <w:rFonts w:hint="default" w:ascii="Times New Roman" w:hAnsi="Times New Roman" w:eastAsia="仿宋" w:cs="Times New Roman"/>
          <w:spacing w:val="200"/>
          <w:sz w:val="32"/>
          <w:szCs w:val="32"/>
          <w:lang w:val="en-US" w:eastAsia="zh-CN"/>
        </w:rPr>
      </w:pPr>
      <w:r>
        <w:rPr>
          <w:rFonts w:hint="default" w:ascii="Times New Roman" w:hAnsi="Times New Roman" w:eastAsia="仿宋" w:cs="Times New Roman"/>
          <w:sz w:val="32"/>
          <w:szCs w:val="32"/>
        </w:rPr>
        <w:t xml:space="preserve">                                </w:t>
      </w:r>
      <w:bookmarkStart w:id="7" w:name="_GoBack"/>
      <w:bookmarkEnd w:id="7"/>
      <w:r>
        <w:rPr>
          <w:rFonts w:hint="default" w:ascii="Times New Roman" w:hAnsi="Times New Roman" w:eastAsia="仿宋_GB2312" w:cs="Times New Roman"/>
          <w:sz w:val="32"/>
          <w:szCs w:val="32"/>
          <w:lang w:val="en-US" w:eastAsia="zh-CN"/>
        </w:rPr>
        <w:t>2025年</w:t>
      </w:r>
      <w:r>
        <w:rPr>
          <w:rFonts w:hint="eastAsia" w:eastAsia="仿宋_GB2312" w:cs="Times New Roman"/>
          <w:sz w:val="32"/>
          <w:szCs w:val="32"/>
          <w:lang w:val="en-US" w:eastAsia="zh-CN"/>
        </w:rPr>
        <w:t>9</w:t>
      </w:r>
      <w:r>
        <w:rPr>
          <w:rFonts w:hint="default" w:ascii="Times New Roman" w:hAnsi="Times New Roman" w:eastAsia="仿宋_GB2312" w:cs="Times New Roman"/>
          <w:sz w:val="32"/>
          <w:szCs w:val="32"/>
          <w:lang w:val="en-US" w:eastAsia="zh-CN"/>
        </w:rPr>
        <w:t>月</w:t>
      </w:r>
      <w:r>
        <w:rPr>
          <w:rFonts w:hint="eastAsia" w:eastAsia="仿宋_GB2312" w:cs="Times New Roman"/>
          <w:sz w:val="32"/>
          <w:szCs w:val="32"/>
          <w:lang w:val="en-US" w:eastAsia="zh-CN"/>
        </w:rPr>
        <w:t>19</w:t>
      </w:r>
      <w:r>
        <w:rPr>
          <w:rFonts w:hint="default" w:ascii="Times New Roman" w:hAnsi="Times New Roman" w:eastAsia="仿宋_GB2312" w:cs="Times New Roman"/>
          <w:sz w:val="32"/>
          <w:szCs w:val="32"/>
          <w:lang w:val="en-US" w:eastAsia="zh-CN"/>
        </w:rPr>
        <w:t>日</w:t>
      </w:r>
    </w:p>
    <w:p w14:paraId="1DE6B090">
      <w:pPr>
        <w:spacing w:line="540" w:lineRule="exact"/>
        <w:jc w:val="center"/>
        <w:rPr>
          <w:rFonts w:hint="default" w:ascii="Times New Roman" w:hAnsi="Times New Roman" w:eastAsia="方正小标宋_GBK" w:cs="Times New Roman"/>
          <w:bCs/>
          <w:sz w:val="44"/>
          <w:szCs w:val="44"/>
        </w:rPr>
      </w:pPr>
    </w:p>
    <w:p w14:paraId="4E310386">
      <w:pPr>
        <w:spacing w:line="540" w:lineRule="exact"/>
        <w:rPr>
          <w:rFonts w:hint="default" w:ascii="Times New Roman" w:hAnsi="Times New Roman" w:cs="Times New Roman"/>
        </w:rPr>
      </w:pPr>
    </w:p>
    <w:sectPr>
      <w:footerReference r:id="rId3" w:type="default"/>
      <w:pgSz w:w="11906" w:h="16838"/>
      <w:pgMar w:top="2154" w:right="1417" w:bottom="1417" w:left="141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楷体_GBK">
    <w:altName w:val="微软雅黑"/>
    <w:panose1 w:val="03000509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4F108E">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B98E32">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CB98E32">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r>
                      <w:rPr>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A94136"/>
    <w:multiLevelType w:val="singleLevel"/>
    <w:tmpl w:val="2AA94136"/>
    <w:lvl w:ilvl="0" w:tentative="0">
      <w:start w:val="8"/>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3YTA1OWNlNDdmMDlhNjNmMDRjYjJjODM0ZGE3ZDEifQ=="/>
  </w:docVars>
  <w:rsids>
    <w:rsidRoot w:val="00172A27"/>
    <w:rsid w:val="00054CD2"/>
    <w:rsid w:val="00172A27"/>
    <w:rsid w:val="001D066A"/>
    <w:rsid w:val="00321CEE"/>
    <w:rsid w:val="02086F62"/>
    <w:rsid w:val="091C2D7B"/>
    <w:rsid w:val="0A274BFD"/>
    <w:rsid w:val="0C400DA6"/>
    <w:rsid w:val="0D740DA9"/>
    <w:rsid w:val="14570C7E"/>
    <w:rsid w:val="184B770B"/>
    <w:rsid w:val="19E276DA"/>
    <w:rsid w:val="1D141C18"/>
    <w:rsid w:val="1E0D5BD6"/>
    <w:rsid w:val="1F6B1798"/>
    <w:rsid w:val="21036B88"/>
    <w:rsid w:val="218A7321"/>
    <w:rsid w:val="24D05210"/>
    <w:rsid w:val="2B12441C"/>
    <w:rsid w:val="31604A69"/>
    <w:rsid w:val="327F3545"/>
    <w:rsid w:val="3DA17A5C"/>
    <w:rsid w:val="40451CC9"/>
    <w:rsid w:val="418E546C"/>
    <w:rsid w:val="467B090B"/>
    <w:rsid w:val="493C6CD0"/>
    <w:rsid w:val="4A93529D"/>
    <w:rsid w:val="4AB42918"/>
    <w:rsid w:val="4B87144D"/>
    <w:rsid w:val="4F9842DC"/>
    <w:rsid w:val="51A05077"/>
    <w:rsid w:val="53B4466B"/>
    <w:rsid w:val="53CA39FE"/>
    <w:rsid w:val="53CF1DDE"/>
    <w:rsid w:val="557823C9"/>
    <w:rsid w:val="60F3752A"/>
    <w:rsid w:val="610F0176"/>
    <w:rsid w:val="61116E35"/>
    <w:rsid w:val="63A90363"/>
    <w:rsid w:val="64560BB2"/>
    <w:rsid w:val="64743067"/>
    <w:rsid w:val="66A03D4A"/>
    <w:rsid w:val="6DE725E5"/>
    <w:rsid w:val="6E885987"/>
    <w:rsid w:val="702F1229"/>
    <w:rsid w:val="709B46C8"/>
    <w:rsid w:val="71211EAE"/>
    <w:rsid w:val="78345A42"/>
    <w:rsid w:val="7C394C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8"/>
    <w:unhideWhenUsed/>
    <w:qFormat/>
    <w:uiPriority w:val="99"/>
    <w:pPr>
      <w:jc w:val="center"/>
    </w:pPr>
    <w:rPr>
      <w:rFonts w:ascii="华文中宋" w:eastAsia="华文中宋"/>
      <w:b/>
      <w:bCs/>
      <w:sz w:val="44"/>
      <w:szCs w:val="36"/>
    </w:rPr>
  </w:style>
  <w:style w:type="paragraph" w:styleId="3">
    <w:name w:val="footer"/>
    <w:basedOn w:val="1"/>
    <w:autoRedefine/>
    <w:unhideWhenUsed/>
    <w:qFormat/>
    <w:uiPriority w:val="0"/>
    <w:pPr>
      <w:tabs>
        <w:tab w:val="center" w:pos="4153"/>
        <w:tab w:val="right" w:pos="8306"/>
      </w:tabs>
      <w:snapToGrid w:val="0"/>
      <w:jc w:val="left"/>
    </w:pPr>
    <w:rPr>
      <w:sz w:val="18"/>
    </w:rPr>
  </w:style>
  <w:style w:type="paragraph" w:styleId="4">
    <w:name w:val="header"/>
    <w:basedOn w:val="1"/>
    <w:autoRedefine/>
    <w:unhideWhenUsed/>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character" w:customStyle="1" w:styleId="8">
    <w:name w:val="正文文本 字符"/>
    <w:basedOn w:val="7"/>
    <w:link w:val="2"/>
    <w:qFormat/>
    <w:uiPriority w:val="0"/>
    <w:rPr>
      <w:rFonts w:hint="eastAsia" w:ascii="仿宋" w:hAnsi="仿宋" w:eastAsia="仿宋" w:cs="仿宋"/>
      <w:kern w:val="2"/>
      <w:sz w:val="32"/>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2910</Words>
  <Characters>3125</Characters>
  <Lines>10</Lines>
  <Paragraphs>2</Paragraphs>
  <TotalTime>5</TotalTime>
  <ScaleCrop>false</ScaleCrop>
  <LinksUpToDate>false</LinksUpToDate>
  <CharactersWithSpaces>3278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2008-12-26T08:45:00Z</dcterms:created>
  <dc:creator>Administrator</dc:creator>
  <cp:lastModifiedBy>WPS_1684208417</cp:lastModifiedBy>
  <cp:lastPrinted>2025-07-14T03:11:00Z</cp:lastPrinted>
  <dcterms:modified xsi:type="dcterms:W3CDTF">2025-09-17T10:12:15Z</dcterms:modified>
  <dc:title>焦作市生态环境局行政处罚决定书</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1B67D8C72219437EBD815D586769981E_13</vt:lpwstr>
  </property>
  <property fmtid="{D5CDD505-2E9C-101B-9397-08002B2CF9AE}" pid="4" name="KSOTemplateDocerSaveRecord">
    <vt:lpwstr>eyJoZGlkIjoiMDdiNmM4OTQ1YjNmYWFlM2U4NDQzNGU3NzMyNmQ4OTgiLCJ1c2VySWQiOiIxNDk0MjY4MzA4In0=</vt:lpwstr>
  </property>
</Properties>
</file>