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DDFE0B5">
      <w:pPr>
        <w:snapToGrid w:val="0"/>
        <w:spacing w:line="700" w:lineRule="exact"/>
        <w:jc w:val="both"/>
        <w:rPr>
          <w:rFonts w:hint="default" w:ascii="Times New Roman" w:hAnsi="Times New Roman" w:eastAsia="方正小标宋简体" w:cs="Times New Roman"/>
          <w:bCs/>
          <w:sz w:val="44"/>
          <w:szCs w:val="44"/>
        </w:rPr>
      </w:pPr>
      <w:bookmarkStart w:id="0" w:name="_Toc21336"/>
      <w:bookmarkStart w:id="1" w:name="_Toc5085"/>
      <w:bookmarkStart w:id="2" w:name="_Toc24038"/>
    </w:p>
    <w:p w14:paraId="085491B3">
      <w:pPr>
        <w:snapToGrid w:val="0"/>
        <w:spacing w:line="700" w:lineRule="exact"/>
        <w:jc w:val="center"/>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焦作市生态环境局</w:t>
      </w:r>
    </w:p>
    <w:p w14:paraId="42D5C9F9">
      <w:pPr>
        <w:snapToGrid w:val="0"/>
        <w:spacing w:line="700" w:lineRule="exact"/>
        <w:jc w:val="center"/>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14:paraId="38D2353A">
      <w:pPr>
        <w:snapToGrid w:val="0"/>
        <w:spacing w:line="700" w:lineRule="exact"/>
        <w:jc w:val="right"/>
        <w:rPr>
          <w:rFonts w:hint="default" w:ascii="Times New Roman" w:hAnsi="Times New Roman" w:eastAsia="仿宋" w:cs="Times New Roman"/>
          <w:color w:val="auto"/>
          <w:sz w:val="32"/>
          <w:szCs w:val="32"/>
          <w:lang w:eastAsia="zh-CN"/>
        </w:rPr>
      </w:pPr>
      <w:r>
        <w:rPr>
          <w:rFonts w:hint="eastAsia" w:ascii="楷体" w:hAnsi="楷体" w:eastAsia="楷体" w:cs="楷体"/>
          <w:color w:val="auto"/>
          <w:sz w:val="32"/>
          <w:szCs w:val="32"/>
        </w:rPr>
        <w:t>焦环罚</w:t>
      </w:r>
      <w:r>
        <w:rPr>
          <w:rFonts w:hint="eastAsia" w:ascii="仿宋" w:hAnsi="仿宋" w:eastAsia="楷体" w:cs="楷体"/>
          <w:color w:val="auto"/>
          <w:sz w:val="32"/>
          <w:szCs w:val="32"/>
        </w:rPr>
        <w:t>〔2025〕</w:t>
      </w:r>
      <w:r>
        <w:rPr>
          <w:rFonts w:hint="eastAsia" w:ascii="仿宋" w:hAnsi="仿宋" w:eastAsia="楷体" w:cs="楷体"/>
          <w:color w:val="auto"/>
          <w:sz w:val="32"/>
          <w:szCs w:val="32"/>
          <w:lang w:val="en-US" w:eastAsia="zh-CN"/>
        </w:rPr>
        <w:t>297</w:t>
      </w:r>
      <w:r>
        <w:rPr>
          <w:rFonts w:hint="eastAsia" w:ascii="仿宋" w:hAnsi="仿宋" w:eastAsia="楷体" w:cs="楷体"/>
          <w:color w:val="auto"/>
          <w:sz w:val="32"/>
          <w:szCs w:val="32"/>
        </w:rPr>
        <w:t>号</w:t>
      </w:r>
    </w:p>
    <w:p w14:paraId="10F7F313">
      <w:pPr>
        <w:keepNext w:val="0"/>
        <w:keepLines w:val="0"/>
        <w:pageBreakBefore w:val="0"/>
        <w:kinsoku/>
        <w:wordWrap/>
        <w:overflowPunct/>
        <w:topLinePunct w:val="0"/>
        <w:autoSpaceDE/>
        <w:autoSpaceDN/>
        <w:bidi w:val="0"/>
        <w:spacing w:line="520" w:lineRule="exact"/>
        <w:jc w:val="left"/>
        <w:textAlignment w:val="auto"/>
        <w:rPr>
          <w:rFonts w:hint="default" w:ascii="Times New Roman" w:hAnsi="Times New Roman" w:eastAsia="仿宋" w:cs="Times New Roman"/>
          <w:b/>
          <w:bCs/>
          <w:szCs w:val="32"/>
        </w:rPr>
      </w:pPr>
      <w:bookmarkStart w:id="3" w:name="_Toc29232"/>
      <w:r>
        <w:rPr>
          <w:rFonts w:hint="default" w:ascii="Times New Roman" w:hAnsi="Times New Roman" w:eastAsia="黑体" w:cs="Times New Roman"/>
          <w:b w:val="0"/>
          <w:bCs w:val="0"/>
          <w:sz w:val="32"/>
          <w:szCs w:val="32"/>
          <w:lang w:bidi="ar"/>
        </w:rPr>
        <w:t>单位名称</w:t>
      </w:r>
      <w:r>
        <w:rPr>
          <w:rFonts w:hint="default" w:ascii="Times New Roman" w:hAnsi="Times New Roman" w:eastAsia="黑体" w:cs="Times New Roman"/>
          <w:sz w:val="32"/>
          <w:szCs w:val="32"/>
          <w:lang w:bidi="ar"/>
        </w:rPr>
        <w:t>：</w:t>
      </w:r>
      <w:r>
        <w:rPr>
          <w:rFonts w:hint="default" w:ascii="仿宋" w:hAnsi="仿宋" w:eastAsia="仿宋" w:cs="Times New Roman"/>
          <w:sz w:val="32"/>
          <w:szCs w:val="32"/>
          <w:lang w:bidi="ar"/>
        </w:rPr>
        <w:t>孟州市安通机动车检测管理有限公司</w:t>
      </w:r>
    </w:p>
    <w:p w14:paraId="6C32DB3C">
      <w:pPr>
        <w:keepNext w:val="0"/>
        <w:keepLines w:val="0"/>
        <w:pageBreakBefore w:val="0"/>
        <w:kinsoku/>
        <w:wordWrap/>
        <w:overflowPunct/>
        <w:topLinePunct w:val="0"/>
        <w:autoSpaceDE/>
        <w:autoSpaceDN/>
        <w:bidi w:val="0"/>
        <w:spacing w:line="520" w:lineRule="exact"/>
        <w:jc w:val="left"/>
        <w:textAlignment w:val="auto"/>
        <w:rPr>
          <w:rFonts w:hint="default" w:ascii="仿宋" w:hAnsi="仿宋" w:eastAsia="仿宋" w:cs="Times New Roman"/>
          <w:sz w:val="32"/>
          <w:szCs w:val="32"/>
          <w:lang w:bidi="ar"/>
        </w:rPr>
      </w:pPr>
      <w:r>
        <w:rPr>
          <w:rFonts w:hint="default" w:ascii="Times New Roman" w:hAnsi="Times New Roman" w:eastAsia="黑体" w:cs="Times New Roman"/>
          <w:b w:val="0"/>
          <w:bCs w:val="0"/>
          <w:sz w:val="32"/>
          <w:szCs w:val="32"/>
          <w:lang w:val="en-US" w:eastAsia="zh-CN" w:bidi="ar"/>
        </w:rPr>
        <w:t>地址</w:t>
      </w:r>
      <w:r>
        <w:rPr>
          <w:rFonts w:hint="default" w:ascii="Times New Roman" w:hAnsi="Times New Roman" w:eastAsia="黑体" w:cs="Times New Roman"/>
          <w:sz w:val="32"/>
          <w:szCs w:val="32"/>
          <w:lang w:bidi="ar"/>
        </w:rPr>
        <w:t>：</w:t>
      </w:r>
      <w:r>
        <w:rPr>
          <w:rFonts w:hint="default" w:ascii="仿宋" w:hAnsi="仿宋" w:eastAsia="仿宋" w:cs="Times New Roman"/>
          <w:sz w:val="32"/>
          <w:szCs w:val="32"/>
          <w:lang w:bidi="ar"/>
        </w:rPr>
        <w:t>孟州市会昌街道黄河大道西段南侧241号</w:t>
      </w:r>
    </w:p>
    <w:p w14:paraId="78C74EEA">
      <w:pPr>
        <w:keepNext w:val="0"/>
        <w:keepLines w:val="0"/>
        <w:pageBreakBefore w:val="0"/>
        <w:kinsoku/>
        <w:wordWrap/>
        <w:overflowPunct/>
        <w:topLinePunct w:val="0"/>
        <w:autoSpaceDE/>
        <w:autoSpaceDN/>
        <w:bidi w:val="0"/>
        <w:spacing w:line="520" w:lineRule="exact"/>
        <w:jc w:val="left"/>
        <w:textAlignment w:val="auto"/>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bidi="ar"/>
        </w:rPr>
        <w:t>统一社会信用代码</w:t>
      </w:r>
      <w:r>
        <w:rPr>
          <w:rFonts w:hint="default" w:ascii="Times New Roman" w:hAnsi="Times New Roman" w:eastAsia="黑体" w:cs="Times New Roman"/>
          <w:sz w:val="32"/>
          <w:szCs w:val="32"/>
          <w:lang w:bidi="ar"/>
        </w:rPr>
        <w:t>：</w:t>
      </w:r>
      <w:r>
        <w:rPr>
          <w:rFonts w:hint="default" w:ascii="仿宋" w:hAnsi="仿宋" w:eastAsia="仿宋" w:cs="Times New Roman"/>
          <w:sz w:val="32"/>
          <w:szCs w:val="32"/>
          <w:lang w:bidi="ar"/>
        </w:rPr>
        <w:t xml:space="preserve">91410883MAD7RQY95T                                   </w:t>
      </w:r>
    </w:p>
    <w:p w14:paraId="5D777997">
      <w:pPr>
        <w:keepNext w:val="0"/>
        <w:keepLines w:val="0"/>
        <w:pageBreakBefore w:val="0"/>
        <w:kinsoku/>
        <w:wordWrap/>
        <w:overflowPunct/>
        <w:topLinePunct w:val="0"/>
        <w:autoSpaceDE/>
        <w:autoSpaceDN/>
        <w:bidi w:val="0"/>
        <w:spacing w:line="520" w:lineRule="exact"/>
        <w:jc w:val="left"/>
        <w:textAlignment w:val="auto"/>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val="en-US" w:eastAsia="zh-CN" w:bidi="ar"/>
        </w:rPr>
        <w:t>法定代表人：</w:t>
      </w:r>
      <w:r>
        <w:rPr>
          <w:rFonts w:hint="default" w:ascii="仿宋" w:hAnsi="仿宋" w:eastAsia="仿宋" w:cs="Times New Roman"/>
          <w:sz w:val="32"/>
          <w:szCs w:val="32"/>
          <w:lang w:bidi="ar"/>
        </w:rPr>
        <w:t xml:space="preserve">张建营                                                                              </w:t>
      </w:r>
    </w:p>
    <w:p w14:paraId="7421103D">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黑体" w:cs="Times New Roman"/>
          <w:b w:val="0"/>
          <w:bCs w:val="0"/>
          <w:sz w:val="32"/>
          <w:szCs w:val="32"/>
        </w:rPr>
      </w:pPr>
    </w:p>
    <w:p w14:paraId="5E82CE25">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一、环境违法事实和证据</w:t>
      </w:r>
      <w:bookmarkEnd w:id="3"/>
    </w:p>
    <w:p w14:paraId="3849E03F">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仿宋" w:hAnsi="仿宋" w:eastAsia="仿宋" w:cs="Times New Roman"/>
          <w:sz w:val="32"/>
          <w:szCs w:val="32"/>
          <w:lang w:bidi="ar"/>
        </w:rPr>
      </w:pPr>
      <w:r>
        <w:rPr>
          <w:rFonts w:hint="default" w:ascii="仿宋" w:hAnsi="仿宋" w:eastAsia="仿宋" w:cs="Times New Roman"/>
          <w:sz w:val="32"/>
          <w:szCs w:val="32"/>
          <w:lang w:bidi="ar"/>
        </w:rPr>
        <w:t>2025年7月30日，焦作市生态环境局孟州分局执法人员对孟州市安通机动车检测管理有限公司进行现场检查，发现</w:t>
      </w:r>
      <w:r>
        <w:rPr>
          <w:rFonts w:hint="eastAsia" w:ascii="仿宋" w:hAnsi="仿宋" w:eastAsia="仿宋" w:cs="Times New Roman"/>
          <w:sz w:val="32"/>
          <w:szCs w:val="32"/>
          <w:lang w:eastAsia="zh-CN" w:bidi="ar"/>
        </w:rPr>
        <w:t>你公司</w:t>
      </w:r>
      <w:r>
        <w:rPr>
          <w:rFonts w:hint="default" w:ascii="仿宋" w:hAnsi="仿宋" w:eastAsia="仿宋" w:cs="Times New Roman"/>
          <w:sz w:val="32"/>
          <w:szCs w:val="32"/>
          <w:lang w:bidi="ar"/>
        </w:rPr>
        <w:t>存在通过三通阀将其他气体接入尾气采样管路行为，并以此方式为5辆机动车出具了检测结论合格的检测报告。  </w:t>
      </w:r>
    </w:p>
    <w:p w14:paraId="6C087E90">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eastAsia" w:eastAsia="仿宋" w:cs="Times New Roman"/>
          <w:sz w:val="32"/>
          <w:szCs w:val="32"/>
          <w:lang w:eastAsia="zh-CN"/>
        </w:rPr>
        <w:t>你公司</w:t>
      </w:r>
      <w:r>
        <w:rPr>
          <w:rFonts w:hint="default" w:ascii="Times New Roman" w:hAnsi="Times New Roman" w:eastAsia="仿宋" w:cs="Times New Roman"/>
          <w:sz w:val="32"/>
          <w:szCs w:val="32"/>
        </w:rPr>
        <w:t>的上述行为违反了</w:t>
      </w:r>
      <w:r>
        <w:rPr>
          <w:rFonts w:hint="default" w:ascii="仿宋" w:hAnsi="仿宋" w:eastAsia="仿宋" w:cs="Times New Roman"/>
          <w:sz w:val="32"/>
          <w:szCs w:val="32"/>
          <w:lang w:bidi="ar"/>
        </w:rPr>
        <w:t>《中华人民共和国大气污染防治法》第五十四条第一款“机动车排放检验机构应当依法通过计量认证，使用经依法检定合格的机动车排放检验设备，按照国务院生态环境主管部门制定的规范，对机动车进行排放检验，并与生态环境主管部门联网，实现检验数据实时共享。机动车排放检验机构及其负责人对检验数据的真实性和准确性负责。”</w:t>
      </w:r>
      <w:r>
        <w:rPr>
          <w:rFonts w:hint="default" w:ascii="Times New Roman" w:hAnsi="Times New Roman" w:eastAsia="仿宋" w:cs="Times New Roman"/>
          <w:color w:val="000000"/>
          <w:spacing w:val="10"/>
          <w:sz w:val="32"/>
          <w:szCs w:val="32"/>
        </w:rPr>
        <w:t>的规定</w:t>
      </w:r>
      <w:r>
        <w:rPr>
          <w:rFonts w:hint="default" w:ascii="Times New Roman" w:hAnsi="Times New Roman" w:eastAsia="仿宋" w:cs="Times New Roman"/>
          <w:sz w:val="32"/>
          <w:szCs w:val="32"/>
        </w:rPr>
        <w:t>。</w:t>
      </w:r>
    </w:p>
    <w:p w14:paraId="1215BDCC">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以上事实，有</w:t>
      </w:r>
      <w:r>
        <w:rPr>
          <w:rFonts w:hint="default" w:ascii="仿宋" w:hAnsi="仿宋" w:eastAsia="仿宋" w:cs="Times New Roman"/>
          <w:sz w:val="32"/>
          <w:szCs w:val="32"/>
          <w:lang w:bidi="ar"/>
        </w:rPr>
        <w:t>“现场检查（勘验）笔录”、“调查询问笔录”、“现场照片”、“被询问人身份证（复印件）”、“营业执照（复印件）”、“资质认定证书（复印件）”、“在用车尾气排放检验（测）报告及收据（复印件）”</w:t>
      </w:r>
      <w:r>
        <w:rPr>
          <w:rFonts w:hint="default" w:ascii="Times New Roman" w:hAnsi="Times New Roman" w:eastAsia="仿宋" w:cs="Times New Roman"/>
          <w:sz w:val="32"/>
          <w:szCs w:val="32"/>
        </w:rPr>
        <w:t>等证据为凭。</w:t>
      </w:r>
    </w:p>
    <w:p w14:paraId="44CAF89B">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lang w:eastAsia="zh-CN"/>
        </w:rPr>
      </w:pPr>
      <w:r>
        <w:rPr>
          <w:rFonts w:hint="default" w:ascii="仿宋" w:hAnsi="仿宋" w:eastAsia="仿宋" w:cs="Times New Roman"/>
          <w:sz w:val="32"/>
          <w:szCs w:val="32"/>
        </w:rPr>
        <w:t>我局于2025年9月10日送达了《行政处罚事先（听证）告知书》（焦环罚告字〔2025〕242号），告知书告知</w:t>
      </w:r>
      <w:r>
        <w:rPr>
          <w:rFonts w:hint="eastAsia" w:eastAsia="仿宋" w:cs="Times New Roman"/>
          <w:sz w:val="32"/>
          <w:szCs w:val="32"/>
          <w:lang w:eastAsia="zh-CN"/>
        </w:rPr>
        <w:t>你公司</w:t>
      </w:r>
      <w:r>
        <w:rPr>
          <w:rFonts w:hint="default" w:ascii="Times New Roman" w:hAnsi="Times New Roman" w:eastAsia="仿宋" w:cs="Times New Roman"/>
          <w:sz w:val="32"/>
          <w:szCs w:val="32"/>
        </w:rPr>
        <w:t>陈述申辩权（听证申请权），</w:t>
      </w:r>
      <w:r>
        <w:rPr>
          <w:rFonts w:hint="eastAsia" w:eastAsia="仿宋" w:cs="Times New Roman"/>
          <w:sz w:val="32"/>
          <w:szCs w:val="32"/>
          <w:lang w:eastAsia="zh-CN"/>
        </w:rPr>
        <w:t>你公司</w:t>
      </w:r>
      <w:r>
        <w:rPr>
          <w:rFonts w:hint="default" w:ascii="Times New Roman" w:hAnsi="Times New Roman" w:eastAsia="仿宋" w:cs="Times New Roman"/>
          <w:sz w:val="32"/>
          <w:szCs w:val="32"/>
        </w:rPr>
        <w:t>在</w:t>
      </w:r>
      <w:r>
        <w:rPr>
          <w:rFonts w:hint="default" w:ascii="Times New Roman" w:hAnsi="Times New Roman" w:eastAsia="仿宋" w:cs="Times New Roman"/>
          <w:sz w:val="32"/>
          <w:szCs w:val="32"/>
          <w:lang w:val="en-US" w:eastAsia="zh-CN"/>
        </w:rPr>
        <w:t>法定</w:t>
      </w:r>
      <w:r>
        <w:rPr>
          <w:rFonts w:hint="default" w:ascii="仿宋" w:hAnsi="仿宋" w:eastAsia="仿宋" w:cs="Times New Roman"/>
          <w:sz w:val="32"/>
          <w:szCs w:val="32"/>
        </w:rPr>
        <w:t>的时间内提交陈述申辩意见，未申请听证</w:t>
      </w:r>
      <w:r>
        <w:rPr>
          <w:rFonts w:hint="default" w:ascii="Times New Roman" w:hAnsi="Times New Roman" w:eastAsia="仿宋" w:cs="Times New Roman"/>
          <w:sz w:val="32"/>
          <w:szCs w:val="32"/>
          <w:lang w:eastAsia="zh-CN"/>
        </w:rPr>
        <w:t>。</w:t>
      </w:r>
    </w:p>
    <w:p w14:paraId="2D6A69E4">
      <w:pPr>
        <w:keepNext w:val="0"/>
        <w:keepLines w:val="0"/>
        <w:pageBreakBefore w:val="0"/>
        <w:kinsoku/>
        <w:wordWrap/>
        <w:overflowPunct/>
        <w:topLinePunct w:val="0"/>
        <w:autoSpaceDE/>
        <w:autoSpaceDN/>
        <w:bidi w:val="0"/>
        <w:snapToGrid w:val="0"/>
        <w:spacing w:line="520" w:lineRule="exact"/>
        <w:ind w:firstLine="643"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b/>
          <w:bCs/>
          <w:sz w:val="32"/>
          <w:szCs w:val="32"/>
        </w:rPr>
        <w:t>陈述申辩</w:t>
      </w:r>
      <w:r>
        <w:rPr>
          <w:rFonts w:hint="default" w:ascii="仿宋" w:hAnsi="仿宋" w:eastAsia="仿宋" w:cs="Times New Roman"/>
          <w:sz w:val="32"/>
          <w:szCs w:val="32"/>
        </w:rPr>
        <w:t>：恳请贵局依法撤销行政处罚事先（听证）告知书，并不再对我单位作出行政处罚决定。理由如下：1.我单位未实施涉案违法行为。我单位严格遵守机动车检测相关法律法规及操作规范，2025年7月30日的检测工作均按标准流程开展，从未采取“通过三通阀接入其他气体稀释尾气浓度”的违规手段，不存在伪造检验结果的行为。2.主动召回4辆涉事车辆重新检测，结果均合格，剩余1辆涉事车辆因车主长期在外地，暂无法召回，此为客观条件限制，非我单位主观不作为导致。3.复检过程合规、结果具有法律效力。综上，我单位无需通过“稀释尾气浓度”等违规方式伪造合格报告，《告知书》认定的违法事实不成立。</w:t>
      </w:r>
    </w:p>
    <w:p w14:paraId="65EA2496">
      <w:pPr>
        <w:keepNext w:val="0"/>
        <w:keepLines w:val="0"/>
        <w:pageBreakBefore w:val="0"/>
        <w:kinsoku/>
        <w:wordWrap/>
        <w:overflowPunct/>
        <w:topLinePunct w:val="0"/>
        <w:autoSpaceDE/>
        <w:autoSpaceDN/>
        <w:bidi w:val="0"/>
        <w:snapToGrid w:val="0"/>
        <w:spacing w:line="520" w:lineRule="exact"/>
        <w:ind w:firstLine="643" w:firstLineChars="200"/>
        <w:textAlignment w:val="auto"/>
        <w:rPr>
          <w:rFonts w:hint="default" w:ascii="Times New Roman" w:hAnsi="Times New Roman" w:cs="Times New Roman"/>
        </w:rPr>
      </w:pPr>
      <w:r>
        <w:rPr>
          <w:rFonts w:hint="default" w:ascii="Times New Roman" w:hAnsi="Times New Roman" w:eastAsia="楷体" w:cs="Times New Roman"/>
          <w:b/>
          <w:bCs/>
          <w:sz w:val="32"/>
          <w:szCs w:val="32"/>
        </w:rPr>
        <w:t>执法人员采纳情况</w:t>
      </w:r>
      <w:r>
        <w:rPr>
          <w:rFonts w:hint="default" w:ascii="仿宋" w:hAnsi="仿宋" w:eastAsia="仿宋" w:cs="Times New Roman"/>
          <w:sz w:val="32"/>
          <w:szCs w:val="32"/>
        </w:rPr>
        <w:t>：不予采纳，理由如下：第一条申辩理由不成立。根据现有调查证据，</w:t>
      </w:r>
      <w:r>
        <w:rPr>
          <w:rFonts w:hint="eastAsia" w:ascii="仿宋" w:hAnsi="仿宋" w:eastAsia="仿宋" w:cs="Times New Roman"/>
          <w:sz w:val="32"/>
          <w:szCs w:val="32"/>
          <w:lang w:eastAsia="zh-CN"/>
        </w:rPr>
        <w:t>你公司</w:t>
      </w:r>
      <w:r>
        <w:rPr>
          <w:rFonts w:hint="default" w:ascii="仿宋" w:hAnsi="仿宋" w:eastAsia="仿宋" w:cs="Times New Roman"/>
          <w:sz w:val="32"/>
          <w:szCs w:val="32"/>
        </w:rPr>
        <w:t>实施的违法行为主要集中于7月30日之前，且7月30日当日也通过违规操作出具了虚假合格的尾气检测报告。第二条申辩理由与本案认定无关。该条申辩理由提及的整改行为，是执法人员发现违法行为后督促其整改的情况，并不影响对</w:t>
      </w:r>
      <w:r>
        <w:rPr>
          <w:rFonts w:hint="eastAsia" w:ascii="仿宋" w:hAnsi="仿宋" w:eastAsia="仿宋" w:cs="Times New Roman"/>
          <w:sz w:val="32"/>
          <w:szCs w:val="32"/>
          <w:lang w:eastAsia="zh-CN"/>
        </w:rPr>
        <w:t>你公司</w:t>
      </w:r>
      <w:r>
        <w:rPr>
          <w:rFonts w:hint="default" w:ascii="仿宋" w:hAnsi="仿宋" w:eastAsia="仿宋" w:cs="Times New Roman"/>
          <w:sz w:val="32"/>
          <w:szCs w:val="32"/>
        </w:rPr>
        <w:t>此前存在违法事实的认定。第三条申辩理由不成立。涉案车辆复检合格属于整改过程中的应尽义务，不能以此反证首次检测时未违规。根据河南省机动车环保监测监控平台记录，豫H3M288车辆于7月30日完成首次检测后未再进行复检。车辆新MG5P75、豫HMB308、豫CHB297从首次检测至复检的时间间隔分别为15天、14天和21天，间隔较长，不排除期间经维修后达标。因此，复检合格无法证明首次检测时未实施违规操作。</w:t>
      </w:r>
    </w:p>
    <w:p w14:paraId="27551D02">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黑体" w:cs="Times New Roman"/>
          <w:b w:val="0"/>
          <w:bCs w:val="0"/>
          <w:sz w:val="32"/>
          <w:szCs w:val="32"/>
        </w:rPr>
      </w:pPr>
      <w:bookmarkStart w:id="4" w:name="_Toc7667"/>
      <w:r>
        <w:rPr>
          <w:rFonts w:hint="default" w:ascii="Times New Roman" w:hAnsi="Times New Roman" w:eastAsia="黑体" w:cs="Times New Roman"/>
          <w:b w:val="0"/>
          <w:bCs w:val="0"/>
          <w:sz w:val="32"/>
          <w:szCs w:val="32"/>
        </w:rPr>
        <w:t>二、行政处罚的依据、种类</w:t>
      </w:r>
      <w:bookmarkEnd w:id="4"/>
    </w:p>
    <w:p w14:paraId="5536EB12">
      <w:pPr>
        <w:keepNext w:val="0"/>
        <w:keepLines w:val="0"/>
        <w:pageBreakBefore w:val="0"/>
        <w:widowControl/>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根据</w:t>
      </w:r>
      <w:r>
        <w:rPr>
          <w:rFonts w:hint="eastAsia" w:eastAsia="仿宋" w:cs="Times New Roman"/>
          <w:color w:val="000000"/>
          <w:sz w:val="32"/>
          <w:szCs w:val="32"/>
          <w:lang w:eastAsia="zh-CN"/>
        </w:rPr>
        <w:t>你公司</w:t>
      </w:r>
      <w:r>
        <w:rPr>
          <w:rFonts w:hint="default" w:ascii="Times New Roman" w:hAnsi="Times New Roman" w:eastAsia="仿宋" w:cs="Times New Roman"/>
          <w:color w:val="000000"/>
          <w:sz w:val="32"/>
          <w:szCs w:val="32"/>
        </w:rPr>
        <w:t>违法行为的事实、性质、情节、社会危害程度和相关证据，参照《河南省生态环境行政处罚裁量基准适用规则（修订）》《河南省生态环境行政处罚裁量基准》（豫环办〔2022〕72号），</w:t>
      </w:r>
      <w:r>
        <w:rPr>
          <w:rFonts w:hint="default" w:ascii="仿宋" w:hAnsi="仿宋" w:eastAsia="仿宋" w:cs="Times New Roman"/>
          <w:sz w:val="32"/>
          <w:szCs w:val="32"/>
          <w:lang w:bidi="ar"/>
        </w:rPr>
        <w:t>大气污染防治类</w:t>
      </w:r>
      <w:r>
        <w:rPr>
          <w:rFonts w:hint="default" w:ascii="Times New Roman" w:hAnsi="Times New Roman" w:eastAsia="仿宋" w:cs="Times New Roman"/>
          <w:color w:val="000000"/>
          <w:sz w:val="32"/>
          <w:szCs w:val="32"/>
        </w:rPr>
        <w:t>。</w:t>
      </w:r>
    </w:p>
    <w:p w14:paraId="7229A667">
      <w:pPr>
        <w:keepNext w:val="0"/>
        <w:keepLines w:val="0"/>
        <w:pageBreakBefore w:val="0"/>
        <w:kinsoku/>
        <w:wordWrap/>
        <w:overflowPunct/>
        <w:topLinePunct w:val="0"/>
        <w:autoSpaceDE/>
        <w:autoSpaceDN/>
        <w:bidi w:val="0"/>
        <w:snapToGrid w:val="0"/>
        <w:spacing w:line="520" w:lineRule="exact"/>
        <w:ind w:firstLine="643" w:firstLineChars="200"/>
        <w:textAlignment w:val="auto"/>
        <w:rPr>
          <w:rFonts w:hint="default" w:ascii="Times New Roman" w:hAnsi="Times New Roman" w:eastAsia="楷体" w:cs="Times New Roman"/>
          <w:color w:val="000000"/>
          <w:sz w:val="32"/>
          <w:szCs w:val="32"/>
        </w:rPr>
      </w:pPr>
      <w:r>
        <w:rPr>
          <w:rFonts w:hint="default" w:ascii="Times New Roman" w:hAnsi="Times New Roman" w:eastAsia="楷体" w:cs="Times New Roman"/>
          <w:b/>
          <w:bCs/>
          <w:sz w:val="32"/>
          <w:szCs w:val="32"/>
        </w:rPr>
        <w:t>裁量因素：</w:t>
      </w:r>
    </w:p>
    <w:p w14:paraId="5E349BFF">
      <w:pPr>
        <w:keepNext w:val="0"/>
        <w:keepLines w:val="0"/>
        <w:pageBreakBefore w:val="0"/>
        <w:kinsoku/>
        <w:wordWrap/>
        <w:overflowPunct/>
        <w:topLinePunct w:val="0"/>
        <w:autoSpaceDE/>
        <w:autoSpaceDN/>
        <w:bidi w:val="0"/>
        <w:adjustRightInd w:val="0"/>
        <w:snapToGrid w:val="0"/>
        <w:spacing w:line="520" w:lineRule="exact"/>
        <w:ind w:firstLine="960" w:firstLineChars="300"/>
        <w:textAlignment w:val="auto"/>
        <w:rPr>
          <w:rFonts w:hint="default" w:ascii="Times New Roman" w:hAnsi="Times New Roman" w:eastAsia="仿宋" w:cs="Times New Roman"/>
          <w:szCs w:val="32"/>
        </w:rPr>
      </w:pPr>
      <w:r>
        <w:rPr>
          <w:rFonts w:hint="eastAsia" w:ascii="仿宋" w:hAnsi="仿宋" w:eastAsia="仿宋" w:cs="Times New Roman"/>
          <w:sz w:val="32"/>
          <w:szCs w:val="32"/>
          <w:lang w:eastAsia="zh-CN" w:bidi="ar"/>
        </w:rPr>
        <w:t>1.</w:t>
      </w:r>
      <w:r>
        <w:rPr>
          <w:rFonts w:hint="default" w:ascii="仿宋" w:hAnsi="仿宋" w:eastAsia="仿宋" w:cs="Times New Roman"/>
          <w:sz w:val="32"/>
          <w:szCs w:val="32"/>
          <w:lang w:bidi="ar"/>
        </w:rPr>
        <w:t>伪造结果或出具虚假报告10辆以下的。裁量等级：1；</w:t>
      </w:r>
    </w:p>
    <w:p w14:paraId="4DDA55D4">
      <w:pPr>
        <w:keepNext w:val="0"/>
        <w:keepLines w:val="0"/>
        <w:pageBreakBefore w:val="0"/>
        <w:kinsoku/>
        <w:wordWrap/>
        <w:overflowPunct/>
        <w:topLinePunct w:val="0"/>
        <w:autoSpaceDE/>
        <w:autoSpaceDN/>
        <w:bidi w:val="0"/>
        <w:adjustRightInd w:val="0"/>
        <w:snapToGrid w:val="0"/>
        <w:spacing w:line="520" w:lineRule="exact"/>
        <w:ind w:firstLine="960" w:firstLineChars="300"/>
        <w:textAlignment w:val="auto"/>
        <w:rPr>
          <w:rFonts w:hint="default" w:ascii="Times New Roman" w:hAnsi="Times New Roman" w:eastAsia="仿宋" w:cs="Times New Roman"/>
          <w:szCs w:val="32"/>
        </w:rPr>
      </w:pPr>
      <w:r>
        <w:rPr>
          <w:rFonts w:hint="eastAsia" w:ascii="仿宋" w:hAnsi="仿宋" w:eastAsia="仿宋" w:cs="Times New Roman"/>
          <w:sz w:val="32"/>
          <w:szCs w:val="32"/>
          <w:lang w:eastAsia="zh-CN" w:bidi="ar"/>
        </w:rPr>
        <w:t>2.</w:t>
      </w:r>
      <w:r>
        <w:rPr>
          <w:rFonts w:hint="default" w:ascii="仿宋" w:hAnsi="仿宋" w:eastAsia="仿宋" w:cs="Times New Roman"/>
          <w:sz w:val="32"/>
          <w:szCs w:val="32"/>
          <w:lang w:bidi="ar"/>
        </w:rPr>
        <w:t>企业规模判定标准：微型企业。裁量等级：1；</w:t>
      </w:r>
    </w:p>
    <w:p w14:paraId="7DBCDE9D">
      <w:pPr>
        <w:keepNext w:val="0"/>
        <w:keepLines w:val="0"/>
        <w:pageBreakBefore w:val="0"/>
        <w:kinsoku/>
        <w:wordWrap/>
        <w:overflowPunct/>
        <w:topLinePunct w:val="0"/>
        <w:autoSpaceDE/>
        <w:autoSpaceDN/>
        <w:bidi w:val="0"/>
        <w:adjustRightInd w:val="0"/>
        <w:snapToGrid w:val="0"/>
        <w:spacing w:line="520" w:lineRule="exact"/>
        <w:ind w:firstLine="960" w:firstLineChars="300"/>
        <w:textAlignment w:val="auto"/>
        <w:rPr>
          <w:rFonts w:hint="default" w:ascii="Times New Roman" w:hAnsi="Times New Roman" w:eastAsia="仿宋" w:cs="Times New Roman"/>
          <w:szCs w:val="32"/>
        </w:rPr>
      </w:pPr>
      <w:r>
        <w:rPr>
          <w:rFonts w:hint="eastAsia" w:ascii="仿宋" w:hAnsi="仿宋" w:eastAsia="仿宋" w:cs="Times New Roman"/>
          <w:sz w:val="32"/>
          <w:szCs w:val="32"/>
          <w:lang w:eastAsia="zh-CN" w:bidi="ar"/>
        </w:rPr>
        <w:t>3.</w:t>
      </w:r>
      <w:r>
        <w:rPr>
          <w:rFonts w:hint="default" w:ascii="仿宋" w:hAnsi="仿宋" w:eastAsia="仿宋" w:cs="Times New Roman"/>
          <w:sz w:val="32"/>
          <w:szCs w:val="32"/>
          <w:lang w:bidi="ar"/>
        </w:rPr>
        <w:t>违法行为持续时间判定标准：1个月以下。裁量等级：1；</w:t>
      </w:r>
    </w:p>
    <w:p w14:paraId="68CA1CBA">
      <w:pPr>
        <w:keepNext w:val="0"/>
        <w:keepLines w:val="0"/>
        <w:pageBreakBefore w:val="0"/>
        <w:kinsoku/>
        <w:wordWrap/>
        <w:overflowPunct/>
        <w:topLinePunct w:val="0"/>
        <w:autoSpaceDE/>
        <w:autoSpaceDN/>
        <w:bidi w:val="0"/>
        <w:adjustRightInd w:val="0"/>
        <w:snapToGrid w:val="0"/>
        <w:spacing w:line="520" w:lineRule="exact"/>
        <w:ind w:firstLine="960" w:firstLineChars="300"/>
        <w:textAlignment w:val="auto"/>
        <w:rPr>
          <w:rFonts w:hint="default" w:ascii="Times New Roman" w:hAnsi="Times New Roman" w:eastAsia="仿宋" w:cs="Times New Roman"/>
          <w:szCs w:val="32"/>
        </w:rPr>
      </w:pPr>
      <w:r>
        <w:rPr>
          <w:rFonts w:hint="eastAsia" w:ascii="仿宋" w:hAnsi="仿宋" w:eastAsia="仿宋" w:cs="Times New Roman"/>
          <w:sz w:val="32"/>
          <w:szCs w:val="32"/>
          <w:lang w:eastAsia="zh-CN" w:bidi="ar"/>
        </w:rPr>
        <w:t>4.</w:t>
      </w:r>
      <w:r>
        <w:rPr>
          <w:rFonts w:hint="default" w:ascii="仿宋" w:hAnsi="仿宋" w:eastAsia="仿宋" w:cs="Times New Roman"/>
          <w:sz w:val="32"/>
          <w:szCs w:val="32"/>
          <w:lang w:bidi="ar"/>
        </w:rPr>
        <w:t>受处罚次数判定标准：两年内未受</w:t>
      </w:r>
      <w:bookmarkStart w:id="7" w:name="_GoBack"/>
      <w:bookmarkEnd w:id="7"/>
      <w:r>
        <w:rPr>
          <w:rFonts w:hint="default" w:ascii="仿宋" w:hAnsi="仿宋" w:eastAsia="仿宋" w:cs="Times New Roman"/>
          <w:sz w:val="32"/>
          <w:szCs w:val="32"/>
          <w:lang w:bidi="ar"/>
        </w:rPr>
        <w:t>到过同类处罚。裁量等级：1；</w:t>
      </w:r>
    </w:p>
    <w:p w14:paraId="0DBC775C">
      <w:pPr>
        <w:keepNext w:val="0"/>
        <w:keepLines w:val="0"/>
        <w:pageBreakBefore w:val="0"/>
        <w:kinsoku/>
        <w:wordWrap/>
        <w:overflowPunct/>
        <w:topLinePunct w:val="0"/>
        <w:autoSpaceDE/>
        <w:autoSpaceDN/>
        <w:bidi w:val="0"/>
        <w:adjustRightInd w:val="0"/>
        <w:snapToGrid w:val="0"/>
        <w:spacing w:line="520" w:lineRule="exact"/>
        <w:ind w:firstLine="960" w:firstLineChars="300"/>
        <w:textAlignment w:val="auto"/>
        <w:rPr>
          <w:rFonts w:hint="default" w:ascii="Times New Roman" w:hAnsi="Times New Roman" w:cs="Times New Roman"/>
        </w:rPr>
      </w:pPr>
      <w:r>
        <w:rPr>
          <w:rFonts w:hint="eastAsia" w:ascii="仿宋" w:hAnsi="仿宋" w:eastAsia="仿宋" w:cs="Times New Roman"/>
          <w:sz w:val="32"/>
          <w:szCs w:val="32"/>
          <w:lang w:eastAsia="zh-CN" w:bidi="ar"/>
        </w:rPr>
        <w:t>5.</w:t>
      </w:r>
      <w:r>
        <w:rPr>
          <w:rFonts w:hint="default" w:ascii="仿宋" w:hAnsi="仿宋" w:eastAsia="仿宋" w:cs="Times New Roman"/>
          <w:sz w:val="32"/>
          <w:szCs w:val="32"/>
          <w:lang w:bidi="ar"/>
        </w:rPr>
        <w:t>是否配合执法检查判定标准：配合检查。裁量等级：1。</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
        <w:gridCol w:w="1112"/>
        <w:gridCol w:w="1176"/>
        <w:gridCol w:w="662"/>
        <w:gridCol w:w="919"/>
        <w:gridCol w:w="919"/>
        <w:gridCol w:w="919"/>
        <w:gridCol w:w="919"/>
        <w:gridCol w:w="921"/>
      </w:tblGrid>
      <w:tr w14:paraId="666E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 w:type="dxa"/>
            <w:tcBorders>
              <w:top w:val="single" w:color="auto" w:sz="4" w:space="0"/>
              <w:left w:val="single" w:color="auto" w:sz="4" w:space="0"/>
              <w:bottom w:val="single" w:color="auto" w:sz="4" w:space="0"/>
              <w:right w:val="single" w:color="auto" w:sz="4" w:space="0"/>
            </w:tcBorders>
            <w:shd w:val="clear" w:color="auto" w:fill="auto"/>
            <w:vAlign w:val="center"/>
          </w:tcPr>
          <w:p w14:paraId="0CBF4D42">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参数</w:t>
            </w:r>
          </w:p>
        </w:tc>
        <w:tc>
          <w:tcPr>
            <w:tcW w:w="1112" w:type="dxa"/>
            <w:tcBorders>
              <w:top w:val="single" w:color="auto" w:sz="4" w:space="0"/>
              <w:left w:val="single" w:color="auto" w:sz="4" w:space="0"/>
              <w:bottom w:val="single" w:color="auto" w:sz="4" w:space="0"/>
              <w:right w:val="single" w:color="auto" w:sz="4" w:space="0"/>
            </w:tcBorders>
            <w:shd w:val="clear" w:color="auto" w:fill="auto"/>
            <w:vAlign w:val="center"/>
          </w:tcPr>
          <w:p w14:paraId="756A6D78">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1176" w:type="dxa"/>
            <w:tcBorders>
              <w:top w:val="single" w:color="auto" w:sz="4" w:space="0"/>
              <w:left w:val="single" w:color="auto" w:sz="4" w:space="0"/>
              <w:bottom w:val="single" w:color="auto" w:sz="4" w:space="0"/>
              <w:right w:val="single" w:color="auto" w:sz="4" w:space="0"/>
            </w:tcBorders>
            <w:shd w:val="clear" w:color="auto" w:fill="auto"/>
            <w:vAlign w:val="center"/>
          </w:tcPr>
          <w:p w14:paraId="6B498B75">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M</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14:paraId="23EA21FA">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A</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14C725A8">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4C3089BE">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1</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4ABA0323">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2</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0CF2FDED">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3</w:t>
            </w:r>
          </w:p>
        </w:tc>
        <w:tc>
          <w:tcPr>
            <w:tcW w:w="921" w:type="dxa"/>
            <w:tcBorders>
              <w:top w:val="single" w:color="auto" w:sz="4" w:space="0"/>
              <w:left w:val="single" w:color="auto" w:sz="4" w:space="0"/>
              <w:bottom w:val="single" w:color="auto" w:sz="4" w:space="0"/>
              <w:right w:val="single" w:color="auto" w:sz="4" w:space="0"/>
            </w:tcBorders>
            <w:shd w:val="clear" w:color="auto" w:fill="auto"/>
            <w:vAlign w:val="center"/>
          </w:tcPr>
          <w:p w14:paraId="6B626F17">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4</w:t>
            </w:r>
          </w:p>
        </w:tc>
      </w:tr>
      <w:tr w14:paraId="6D3CB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 w:type="dxa"/>
            <w:tcBorders>
              <w:top w:val="single" w:color="auto" w:sz="4" w:space="0"/>
              <w:left w:val="single" w:color="auto" w:sz="4" w:space="0"/>
              <w:bottom w:val="single" w:color="auto" w:sz="4" w:space="0"/>
              <w:right w:val="single" w:color="auto" w:sz="4" w:space="0"/>
            </w:tcBorders>
            <w:shd w:val="clear" w:color="auto" w:fill="auto"/>
            <w:vAlign w:val="center"/>
          </w:tcPr>
          <w:p w14:paraId="696549A3">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取值</w:t>
            </w:r>
          </w:p>
        </w:tc>
        <w:tc>
          <w:tcPr>
            <w:tcW w:w="1112" w:type="dxa"/>
            <w:tcBorders>
              <w:top w:val="single" w:color="auto" w:sz="4" w:space="0"/>
              <w:left w:val="single" w:color="auto" w:sz="4" w:space="0"/>
              <w:bottom w:val="single" w:color="auto" w:sz="4" w:space="0"/>
              <w:right w:val="single" w:color="auto" w:sz="4" w:space="0"/>
            </w:tcBorders>
            <w:shd w:val="clear" w:color="auto" w:fill="auto"/>
            <w:vAlign w:val="center"/>
          </w:tcPr>
          <w:p w14:paraId="122C38DE">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仿宋" w:hAnsi="仿宋" w:eastAsia="仿宋" w:cs="Times New Roman"/>
                <w:sz w:val="28"/>
                <w:szCs w:val="28"/>
                <w:lang w:bidi="ar"/>
              </w:rPr>
              <w:t>100000</w:t>
            </w:r>
          </w:p>
        </w:tc>
        <w:tc>
          <w:tcPr>
            <w:tcW w:w="1176" w:type="dxa"/>
            <w:tcBorders>
              <w:top w:val="single" w:color="auto" w:sz="4" w:space="0"/>
              <w:left w:val="single" w:color="auto" w:sz="4" w:space="0"/>
              <w:bottom w:val="single" w:color="auto" w:sz="4" w:space="0"/>
              <w:right w:val="single" w:color="auto" w:sz="4" w:space="0"/>
            </w:tcBorders>
            <w:shd w:val="clear" w:color="auto" w:fill="auto"/>
            <w:vAlign w:val="center"/>
          </w:tcPr>
          <w:p w14:paraId="32E984C7">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仿宋" w:hAnsi="仿宋" w:eastAsia="仿宋" w:cs="Times New Roman"/>
                <w:sz w:val="28"/>
                <w:szCs w:val="28"/>
                <w:lang w:bidi="ar"/>
              </w:rPr>
              <w:t>500000</w:t>
            </w:r>
          </w:p>
        </w:tc>
        <w:tc>
          <w:tcPr>
            <w:tcW w:w="662" w:type="dxa"/>
            <w:tcBorders>
              <w:top w:val="single" w:color="auto" w:sz="4" w:space="0"/>
              <w:left w:val="single" w:color="auto" w:sz="4" w:space="0"/>
              <w:bottom w:val="single" w:color="auto" w:sz="4" w:space="0"/>
              <w:right w:val="single" w:color="auto" w:sz="4" w:space="0"/>
            </w:tcBorders>
            <w:shd w:val="clear" w:color="auto" w:fill="auto"/>
            <w:vAlign w:val="center"/>
          </w:tcPr>
          <w:p w14:paraId="47E08174">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1DF4A98D">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仿宋" w:hAnsi="仿宋" w:eastAsia="仿宋" w:cs="Times New Roman"/>
                <w:sz w:val="28"/>
                <w:szCs w:val="28"/>
                <w:lang w:bidi="ar"/>
              </w:rPr>
              <w:t>4</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0FAC2920">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63D33B6B">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919" w:type="dxa"/>
            <w:tcBorders>
              <w:top w:val="single" w:color="auto" w:sz="4" w:space="0"/>
              <w:left w:val="single" w:color="auto" w:sz="4" w:space="0"/>
              <w:bottom w:val="single" w:color="auto" w:sz="4" w:space="0"/>
              <w:right w:val="single" w:color="auto" w:sz="4" w:space="0"/>
            </w:tcBorders>
            <w:shd w:val="clear" w:color="auto" w:fill="auto"/>
            <w:vAlign w:val="center"/>
          </w:tcPr>
          <w:p w14:paraId="1521B94A">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c>
          <w:tcPr>
            <w:tcW w:w="921" w:type="dxa"/>
            <w:tcBorders>
              <w:top w:val="single" w:color="auto" w:sz="4" w:space="0"/>
              <w:left w:val="single" w:color="auto" w:sz="4" w:space="0"/>
              <w:bottom w:val="single" w:color="auto" w:sz="4" w:space="0"/>
              <w:right w:val="single" w:color="auto" w:sz="4" w:space="0"/>
            </w:tcBorders>
            <w:shd w:val="clear" w:color="auto" w:fill="auto"/>
            <w:vAlign w:val="center"/>
          </w:tcPr>
          <w:p w14:paraId="6D2F420B">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仿宋" w:cs="Times New Roman"/>
                <w:sz w:val="28"/>
                <w:szCs w:val="28"/>
              </w:rPr>
            </w:pPr>
            <w:r>
              <w:rPr>
                <w:rFonts w:hint="default" w:ascii="仿宋" w:hAnsi="仿宋" w:eastAsia="仿宋" w:cs="Times New Roman"/>
                <w:sz w:val="28"/>
                <w:szCs w:val="28"/>
                <w:lang w:bidi="ar"/>
              </w:rPr>
              <w:t>1</w:t>
            </w:r>
          </w:p>
        </w:tc>
      </w:tr>
    </w:tbl>
    <w:p w14:paraId="2CA61A78">
      <w:pPr>
        <w:keepNext w:val="0"/>
        <w:keepLines w:val="0"/>
        <w:pageBreakBefore w:val="0"/>
        <w:kinsoku/>
        <w:wordWrap/>
        <w:overflowPunct/>
        <w:topLinePunct w:val="0"/>
        <w:autoSpaceDE/>
        <w:autoSpaceDN/>
        <w:bidi w:val="0"/>
        <w:spacing w:line="52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X=</w:t>
      </w:r>
      <w:r>
        <w:rPr>
          <w:rFonts w:hint="default" w:ascii="仿宋" w:hAnsi="仿宋" w:eastAsia="仿宋" w:cs="Times New Roman"/>
          <w:sz w:val="28"/>
          <w:szCs w:val="28"/>
          <w:lang w:bidi="ar"/>
        </w:rPr>
        <w:t>100000+(500000-100000)×[(1/5)</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)/(5</w:t>
      </w:r>
      <w:r>
        <w:rPr>
          <w:rFonts w:hint="default" w:ascii="Times New Roman" w:hAnsi="Times New Roman" w:eastAsia="仿宋" w:cs="Times New Roman"/>
          <w:sz w:val="28"/>
          <w:szCs w:val="28"/>
          <w:vertAlign w:val="superscript"/>
          <w:lang w:bidi="ar"/>
        </w:rPr>
        <w:t>2</w:t>
      </w:r>
      <w:r>
        <w:rPr>
          <w:rFonts w:hint="default" w:ascii="仿宋" w:hAnsi="仿宋" w:eastAsia="仿宋" w:cs="Times New Roman"/>
          <w:sz w:val="28"/>
          <w:szCs w:val="28"/>
          <w:lang w:bidi="ar"/>
        </w:rPr>
        <w:t>×4)] ×50%=</w:t>
      </w:r>
      <w:r>
        <w:rPr>
          <w:rFonts w:hint="default" w:ascii="仿宋" w:hAnsi="仿宋" w:eastAsia="仿宋" w:cs="Times New Roman"/>
          <w:sz w:val="32"/>
          <w:szCs w:val="32"/>
          <w:lang w:bidi="ar"/>
        </w:rPr>
        <w:t>116000</w:t>
      </w:r>
    </w:p>
    <w:p w14:paraId="1FC08F0F">
      <w:pPr>
        <w:keepNext w:val="0"/>
        <w:keepLines w:val="0"/>
        <w:pageBreakBefore w:val="0"/>
        <w:widowControl/>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仿宋" w:hAnsi="仿宋" w:eastAsia="仿宋" w:cs="Times New Roman"/>
          <w:color w:val="000000"/>
          <w:sz w:val="32"/>
          <w:szCs w:val="32"/>
        </w:rPr>
        <w:t>根据《中华人民共和国大气污染防治法》第一百一十二条第一款 “违反本法规定，伪造机动车、非道路移动机械排放检验结果或者出具虚假排放检验报告的，由县级以上人民政府生态环境主管部门没收违法所得，并处十万元以上五十万元以下的罚款；情节严重的，由负责资质认定的部门取消其检验资格。”</w:t>
      </w:r>
      <w:r>
        <w:rPr>
          <w:rFonts w:hint="default" w:ascii="Times New Roman" w:hAnsi="Times New Roman" w:eastAsia="仿宋" w:cs="Times New Roman"/>
          <w:sz w:val="32"/>
          <w:szCs w:val="32"/>
        </w:rPr>
        <w:t>的规定，经集体研究，我局对</w:t>
      </w:r>
      <w:r>
        <w:rPr>
          <w:rFonts w:hint="eastAsia" w:eastAsia="仿宋" w:cs="Times New Roman"/>
          <w:sz w:val="32"/>
          <w:szCs w:val="32"/>
          <w:lang w:eastAsia="zh-CN"/>
        </w:rPr>
        <w:t>你公司</w:t>
      </w:r>
      <w:r>
        <w:rPr>
          <w:rFonts w:hint="default" w:ascii="仿宋" w:hAnsi="仿宋" w:eastAsia="仿宋" w:cs="Times New Roman"/>
          <w:sz w:val="32"/>
          <w:szCs w:val="32"/>
        </w:rPr>
        <w:t>伪造机动车、非道路移动机械排放检验结果或者出具虚假排放检验报告的违法行为</w:t>
      </w:r>
      <w:r>
        <w:rPr>
          <w:rFonts w:hint="default" w:ascii="Times New Roman" w:hAnsi="Times New Roman" w:eastAsia="仿宋" w:cs="Times New Roman"/>
          <w:sz w:val="32"/>
          <w:szCs w:val="32"/>
          <w:lang w:val="en-US" w:eastAsia="zh-CN"/>
        </w:rPr>
        <w:t>，</w:t>
      </w:r>
      <w:r>
        <w:rPr>
          <w:rFonts w:hint="default" w:ascii="Times New Roman" w:hAnsi="Times New Roman" w:eastAsia="仿宋" w:cs="Times New Roman"/>
          <w:sz w:val="32"/>
          <w:szCs w:val="32"/>
        </w:rPr>
        <w:t>作出以下处理决定：</w:t>
      </w:r>
    </w:p>
    <w:p w14:paraId="2BE3DDB9">
      <w:pPr>
        <w:keepNext w:val="0"/>
        <w:keepLines w:val="0"/>
        <w:pageBreakBefore w:val="0"/>
        <w:numPr>
          <w:ilvl w:val="0"/>
          <w:numId w:val="0"/>
        </w:numPr>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lang w:eastAsia="zh-CN"/>
        </w:rPr>
      </w:pPr>
      <w:r>
        <w:rPr>
          <w:rFonts w:hint="default" w:ascii="仿宋" w:hAnsi="仿宋" w:eastAsia="仿宋" w:cs="Times New Roman"/>
          <w:sz w:val="32"/>
          <w:szCs w:val="32"/>
        </w:rPr>
        <w:t>罚款壹拾壹万陆仟元</w:t>
      </w:r>
      <w:r>
        <w:rPr>
          <w:rFonts w:hint="default" w:ascii="仿宋" w:hAnsi="仿宋" w:eastAsia="仿宋" w:cs="Times New Roman"/>
          <w:sz w:val="32"/>
          <w:szCs w:val="32"/>
          <w:lang w:eastAsia="zh-CN"/>
        </w:rPr>
        <w:t>（116000</w:t>
      </w:r>
      <w:r>
        <w:rPr>
          <w:rFonts w:hint="default" w:ascii="Times New Roman" w:hAnsi="Times New Roman" w:eastAsia="仿宋" w:cs="Times New Roman"/>
          <w:sz w:val="32"/>
          <w:szCs w:val="32"/>
          <w:lang w:val="en-US" w:eastAsia="zh-CN"/>
        </w:rPr>
        <w:t>元</w:t>
      </w:r>
      <w:r>
        <w:rPr>
          <w:rFonts w:hint="default" w:ascii="仿宋" w:hAnsi="仿宋" w:eastAsia="仿宋" w:cs="Times New Roman"/>
          <w:sz w:val="32"/>
          <w:szCs w:val="32"/>
          <w:lang w:eastAsia="zh-CN"/>
        </w:rPr>
        <w:t>）</w:t>
      </w:r>
      <w:r>
        <w:rPr>
          <w:rFonts w:hint="eastAsia" w:ascii="仿宋" w:hAnsi="仿宋" w:eastAsia="仿宋" w:cs="Times New Roman"/>
          <w:sz w:val="32"/>
          <w:szCs w:val="32"/>
          <w:lang w:eastAsia="zh-CN"/>
        </w:rPr>
        <w:t>，</w:t>
      </w:r>
      <w:r>
        <w:rPr>
          <w:rFonts w:hint="eastAsia" w:ascii="仿宋" w:hAnsi="仿宋" w:eastAsia="仿宋" w:cs="Times New Roman"/>
          <w:sz w:val="32"/>
          <w:szCs w:val="32"/>
          <w:lang w:val="en-US" w:eastAsia="zh-CN"/>
        </w:rPr>
        <w:t>没收违法所得500元</w:t>
      </w:r>
      <w:r>
        <w:rPr>
          <w:rFonts w:hint="default" w:ascii="Times New Roman" w:hAnsi="Times New Roman" w:eastAsia="仿宋" w:cs="Times New Roman"/>
          <w:sz w:val="32"/>
          <w:szCs w:val="32"/>
          <w:lang w:eastAsia="zh-CN"/>
        </w:rPr>
        <w:t>。</w:t>
      </w:r>
    </w:p>
    <w:p w14:paraId="1A018668">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黑体" w:cs="Times New Roman"/>
          <w:b w:val="0"/>
          <w:bCs w:val="0"/>
          <w:sz w:val="32"/>
          <w:szCs w:val="32"/>
        </w:rPr>
      </w:pPr>
      <w:bookmarkStart w:id="5" w:name="_Toc421"/>
      <w:r>
        <w:rPr>
          <w:rFonts w:hint="default" w:ascii="Times New Roman" w:hAnsi="Times New Roman" w:eastAsia="黑体" w:cs="Times New Roman"/>
          <w:b w:val="0"/>
          <w:bCs w:val="0"/>
          <w:sz w:val="32"/>
          <w:szCs w:val="32"/>
        </w:rPr>
        <w:t>三、行政处罚决定的履行方式和期限</w:t>
      </w:r>
      <w:bookmarkEnd w:id="5"/>
    </w:p>
    <w:p w14:paraId="22C70E72">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根据《中华人民共和国行政处罚法》和《罚款决定与罚款收缴分离实施办法》的规定，</w:t>
      </w:r>
      <w:r>
        <w:rPr>
          <w:rFonts w:hint="eastAsia" w:eastAsia="仿宋" w:cs="Times New Roman"/>
          <w:sz w:val="32"/>
          <w:szCs w:val="32"/>
          <w:lang w:eastAsia="zh-CN"/>
        </w:rPr>
        <w:t>你公司</w:t>
      </w:r>
      <w:r>
        <w:rPr>
          <w:rFonts w:hint="default" w:ascii="Times New Roman" w:hAnsi="Times New Roman" w:eastAsia="仿宋" w:cs="Times New Roman"/>
          <w:sz w:val="32"/>
          <w:szCs w:val="32"/>
        </w:rPr>
        <w:t>应当自收到本处罚决定书之日起15日内将罚款缴至我局指定的银行及账户：</w:t>
      </w:r>
    </w:p>
    <w:p w14:paraId="3BCCFC36">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开户名称：邮政储蓄银行民主南路支行</w:t>
      </w:r>
    </w:p>
    <w:p w14:paraId="2806306F">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开户名称：焦作市财政局非税收入财政专户</w:t>
      </w:r>
    </w:p>
    <w:p w14:paraId="3238834A">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bookmarkStart w:id="6" w:name="_Toc9167"/>
      <w:r>
        <w:rPr>
          <w:rFonts w:hint="default" w:ascii="Times New Roman" w:hAnsi="Times New Roman" w:eastAsia="仿宋" w:cs="Times New Roman"/>
          <w:sz w:val="32"/>
          <w:szCs w:val="32"/>
        </w:rPr>
        <w:t>账户名称：100195545980010001</w:t>
      </w:r>
    </w:p>
    <w:p w14:paraId="31371FD5">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bookmarkEnd w:id="6"/>
    </w:p>
    <w:p w14:paraId="448559AF">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eastAsia" w:eastAsia="仿宋" w:cs="Times New Roman"/>
          <w:sz w:val="32"/>
          <w:szCs w:val="32"/>
          <w:lang w:eastAsia="zh-CN"/>
        </w:rPr>
        <w:t>你公司</w:t>
      </w:r>
      <w:r>
        <w:rPr>
          <w:rFonts w:hint="default" w:ascii="Times New Roman" w:hAnsi="Times New Roman" w:eastAsia="仿宋" w:cs="Times New Roman"/>
          <w:sz w:val="32"/>
          <w:szCs w:val="32"/>
        </w:rPr>
        <w:t>如不服本处罚决定，可以在收到本处罚决定书之日起六十日内向焦作市人民政府申请行政复议，也可以在收到本处罚决定书之日起六个月内</w:t>
      </w:r>
      <w:r>
        <w:rPr>
          <w:rFonts w:hint="default" w:ascii="Times New Roman" w:hAnsi="Times New Roman" w:eastAsia="仿宋" w:cs="Times New Roman"/>
          <w:sz w:val="32"/>
          <w:szCs w:val="32"/>
          <w:lang w:val="en-US" w:eastAsia="zh-CN"/>
        </w:rPr>
        <w:t>向</w:t>
      </w:r>
      <w:r>
        <w:rPr>
          <w:rFonts w:hint="default" w:ascii="Times New Roman" w:hAnsi="Times New Roman" w:eastAsia="仿宋" w:cs="Times New Roman"/>
          <w:sz w:val="32"/>
          <w:szCs w:val="32"/>
          <w:lang w:eastAsia="zh-CN"/>
        </w:rPr>
        <w:t>人民法院</w:t>
      </w:r>
      <w:r>
        <w:rPr>
          <w:rFonts w:hint="default" w:ascii="Times New Roman" w:hAnsi="Times New Roman" w:eastAsia="仿宋" w:cs="Times New Roman"/>
          <w:sz w:val="32"/>
          <w:szCs w:val="32"/>
        </w:rPr>
        <w:t>提起行政诉讼。申请行政复议或者提起行政诉讼，不停止行政处罚决定的执行。</w:t>
      </w:r>
    </w:p>
    <w:p w14:paraId="46BD950D">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到期不缴纳罚款的，我局可以依据《中华人民共和国行政处罚法》第七十二条第一款第一项规定，每日按罚款数额的3%加处罚款。逾期不申请行政复议，不提起行政诉讼，又不履行本处罚决定的，我局将依法申请人民法院强制执行。</w:t>
      </w:r>
    </w:p>
    <w:p w14:paraId="4AD03C28">
      <w:pPr>
        <w:keepNext w:val="0"/>
        <w:keepLines w:val="0"/>
        <w:pageBreakBefore w:val="0"/>
        <w:kinsoku/>
        <w:wordWrap/>
        <w:overflowPunct/>
        <w:topLinePunct w:val="0"/>
        <w:autoSpaceDE/>
        <w:autoSpaceDN/>
        <w:bidi w:val="0"/>
        <w:snapToGrid w:val="0"/>
        <w:spacing w:line="520" w:lineRule="exact"/>
        <w:ind w:right="420" w:firstLine="4480" w:firstLineChars="1400"/>
        <w:textAlignment w:val="auto"/>
        <w:rPr>
          <w:rFonts w:hint="eastAsia" w:eastAsia="仿宋" w:cs="Times New Roman"/>
          <w:sz w:val="32"/>
          <w:szCs w:val="32"/>
          <w:lang w:eastAsia="zh-CN"/>
        </w:rPr>
      </w:pPr>
    </w:p>
    <w:p w14:paraId="78F6515F">
      <w:pPr>
        <w:keepNext w:val="0"/>
        <w:keepLines w:val="0"/>
        <w:pageBreakBefore w:val="0"/>
        <w:kinsoku/>
        <w:wordWrap/>
        <w:overflowPunct/>
        <w:topLinePunct w:val="0"/>
        <w:autoSpaceDE/>
        <w:autoSpaceDN/>
        <w:bidi w:val="0"/>
        <w:snapToGrid w:val="0"/>
        <w:spacing w:line="520" w:lineRule="exact"/>
        <w:ind w:right="420" w:firstLine="4480" w:firstLineChars="1400"/>
        <w:textAlignment w:val="auto"/>
        <w:rPr>
          <w:rFonts w:hint="eastAsia" w:ascii="Times New Roman" w:hAnsi="Times New Roman" w:eastAsia="仿宋" w:cs="Times New Roman"/>
          <w:sz w:val="32"/>
          <w:szCs w:val="32"/>
          <w:lang w:eastAsia="zh-CN"/>
        </w:rPr>
      </w:pPr>
    </w:p>
    <w:p w14:paraId="0D4AF29B">
      <w:pPr>
        <w:keepNext w:val="0"/>
        <w:keepLines w:val="0"/>
        <w:pageBreakBefore w:val="0"/>
        <w:kinsoku/>
        <w:wordWrap/>
        <w:overflowPunct/>
        <w:topLinePunct w:val="0"/>
        <w:autoSpaceDE/>
        <w:autoSpaceDN/>
        <w:bidi w:val="0"/>
        <w:snapToGrid w:val="0"/>
        <w:spacing w:line="520" w:lineRule="exact"/>
        <w:ind w:right="420" w:firstLine="4480" w:firstLineChars="14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焦作市生态环境局（印章）</w:t>
      </w:r>
    </w:p>
    <w:p w14:paraId="65A88750">
      <w:pPr>
        <w:keepNext w:val="0"/>
        <w:keepLines w:val="0"/>
        <w:pageBreakBefore w:val="0"/>
        <w:kinsoku/>
        <w:wordWrap/>
        <w:overflowPunct/>
        <w:topLinePunct w:val="0"/>
        <w:autoSpaceDE/>
        <w:autoSpaceDN/>
        <w:bidi w:val="0"/>
        <w:snapToGrid w:val="0"/>
        <w:spacing w:line="520" w:lineRule="exact"/>
        <w:ind w:right="840"/>
        <w:textAlignment w:val="auto"/>
        <w:rPr>
          <w:rFonts w:hint="default" w:ascii="Times New Roman" w:hAnsi="Times New Roman" w:eastAsia="仿宋" w:cs="Times New Roman"/>
          <w:spacing w:val="200"/>
          <w:sz w:val="32"/>
          <w:szCs w:val="32"/>
        </w:rPr>
      </w:pPr>
      <w:r>
        <w:rPr>
          <w:rFonts w:hint="default" w:ascii="仿宋" w:hAnsi="仿宋" w:eastAsia="仿宋" w:cs="Times New Roman"/>
          <w:sz w:val="32"/>
          <w:szCs w:val="32"/>
        </w:rPr>
        <w:t xml:space="preserve">                                20</w:t>
      </w:r>
      <w:r>
        <w:rPr>
          <w:rFonts w:hint="eastAsia" w:ascii="仿宋" w:hAnsi="仿宋" w:eastAsia="仿宋" w:cs="Times New Roman"/>
          <w:sz w:val="32"/>
          <w:szCs w:val="32"/>
          <w:lang w:val="en-US" w:eastAsia="zh-CN"/>
        </w:rPr>
        <w:t>25</w:t>
      </w:r>
      <w:r>
        <w:rPr>
          <w:rFonts w:hint="default" w:ascii="仿宋" w:hAnsi="仿宋" w:eastAsia="仿宋" w:cs="Times New Roman"/>
          <w:sz w:val="32"/>
          <w:szCs w:val="32"/>
        </w:rPr>
        <w:t>年</w:t>
      </w:r>
      <w:r>
        <w:rPr>
          <w:rFonts w:hint="eastAsia" w:ascii="仿宋" w:hAnsi="仿宋" w:eastAsia="仿宋" w:cs="Times New Roman"/>
          <w:sz w:val="32"/>
          <w:szCs w:val="32"/>
          <w:lang w:val="en-US" w:eastAsia="zh-CN"/>
        </w:rPr>
        <w:t>10</w:t>
      </w:r>
      <w:r>
        <w:rPr>
          <w:rFonts w:hint="default" w:ascii="仿宋" w:hAnsi="仿宋" w:eastAsia="仿宋" w:cs="Times New Roman"/>
          <w:sz w:val="32"/>
          <w:szCs w:val="32"/>
        </w:rPr>
        <w:t>月</w:t>
      </w:r>
      <w:r>
        <w:rPr>
          <w:rFonts w:hint="eastAsia" w:ascii="仿宋" w:hAnsi="仿宋" w:eastAsia="仿宋" w:cs="Times New Roman"/>
          <w:sz w:val="32"/>
          <w:szCs w:val="32"/>
          <w:lang w:val="en-US" w:eastAsia="zh-CN"/>
        </w:rPr>
        <w:t>29</w:t>
      </w:r>
      <w:r>
        <w:rPr>
          <w:rFonts w:hint="default" w:ascii="仿宋" w:hAnsi="仿宋" w:eastAsia="仿宋" w:cs="Times New Roman"/>
          <w:sz w:val="32"/>
          <w:szCs w:val="32"/>
        </w:rPr>
        <w:t>日</w:t>
      </w:r>
    </w:p>
    <w:p w14:paraId="1DE6B090">
      <w:pPr>
        <w:keepNext w:val="0"/>
        <w:keepLines w:val="0"/>
        <w:pageBreakBefore w:val="0"/>
        <w:kinsoku/>
        <w:wordWrap/>
        <w:overflowPunct/>
        <w:topLinePunct w:val="0"/>
        <w:autoSpaceDE/>
        <w:autoSpaceDN/>
        <w:bidi w:val="0"/>
        <w:spacing w:line="540" w:lineRule="exact"/>
        <w:jc w:val="center"/>
        <w:textAlignment w:val="auto"/>
        <w:rPr>
          <w:rFonts w:hint="default" w:ascii="Times New Roman" w:hAnsi="Times New Roman" w:eastAsia="方正小标宋_GBK" w:cs="Times New Roman"/>
          <w:bCs/>
          <w:sz w:val="44"/>
          <w:szCs w:val="44"/>
        </w:rPr>
      </w:pPr>
    </w:p>
    <w:p w14:paraId="4E310386">
      <w:pPr>
        <w:spacing w:line="540" w:lineRule="exact"/>
        <w:rPr>
          <w:rFonts w:hint="default" w:ascii="Times New Roman" w:hAnsi="Times New Roman" w:cs="Times New Roman"/>
        </w:rPr>
      </w:pPr>
    </w:p>
    <w:sectPr>
      <w:footerReference r:id="rId3" w:type="default"/>
      <w:pgSz w:w="11906" w:h="16838"/>
      <w:pgMar w:top="2154" w:right="141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F108E">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5113020</wp:posOffset>
              </wp:positionH>
              <wp:positionV relativeFrom="paragraph">
                <wp:posOffset>-111760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2.6pt;margin-top:-8.8pt;height:144pt;width:144pt;mso-position-horizontal-relative:margin;mso-wrap-style:none;z-index:251659264;mso-width-relative:page;mso-height-relative:page;" filled="f" stroked="f" coordsize="21600,21600" o:gfxdata="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6Ghd&#10;faj6C5g7y8JW7yyPaaJ63q6OAWJ2GkeBelUG3TB5XZeGVxJH+899F/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0ENubZAAAADAEAAA8AAAAAAAAAAQAgAAAAIgAAAGRycy9kb3ducmV2Lnht&#10;bFBLAQIUABQAAAAIAIdO4kBrhfn7MQIAAGEEAAAOAAAAAAAAAAEAIAAAACgBAABkcnMvZTJvRG9j&#10;LnhtbFBLBQYAAAAABgAGAFkBAADLBQAAAAA=&#10;">
              <v:fill on="f" focussize="0,0"/>
              <v:stroke on="f" weight="0.5pt"/>
              <v:imagedata o:title=""/>
              <o:lock v:ext="edit" aspectratio="f"/>
              <v:textbox inset="0mm,0mm,0mm,0mm" style="mso-fit-shape-to-text:t;">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2086F62"/>
    <w:rsid w:val="091C2D7B"/>
    <w:rsid w:val="0C400DA6"/>
    <w:rsid w:val="0D740DA9"/>
    <w:rsid w:val="0F501A48"/>
    <w:rsid w:val="0FAA77A9"/>
    <w:rsid w:val="10F06ACC"/>
    <w:rsid w:val="12A96FC7"/>
    <w:rsid w:val="14570C7E"/>
    <w:rsid w:val="158A4102"/>
    <w:rsid w:val="184B770B"/>
    <w:rsid w:val="19E276DA"/>
    <w:rsid w:val="1E0D5BD6"/>
    <w:rsid w:val="1F6B1798"/>
    <w:rsid w:val="204574BA"/>
    <w:rsid w:val="21036B88"/>
    <w:rsid w:val="218A7321"/>
    <w:rsid w:val="230826CF"/>
    <w:rsid w:val="23900338"/>
    <w:rsid w:val="254D7F1D"/>
    <w:rsid w:val="27CE16AB"/>
    <w:rsid w:val="2B12441C"/>
    <w:rsid w:val="31604A69"/>
    <w:rsid w:val="327F3545"/>
    <w:rsid w:val="32E016EB"/>
    <w:rsid w:val="3326095F"/>
    <w:rsid w:val="3DA17A5C"/>
    <w:rsid w:val="3E6C384F"/>
    <w:rsid w:val="418E546C"/>
    <w:rsid w:val="467B090B"/>
    <w:rsid w:val="4AB42918"/>
    <w:rsid w:val="4CC31089"/>
    <w:rsid w:val="4DDF21FE"/>
    <w:rsid w:val="4F9842DC"/>
    <w:rsid w:val="51A05077"/>
    <w:rsid w:val="53B4466B"/>
    <w:rsid w:val="53CA39FE"/>
    <w:rsid w:val="53CF1DDE"/>
    <w:rsid w:val="557823C9"/>
    <w:rsid w:val="60F3752A"/>
    <w:rsid w:val="610F0176"/>
    <w:rsid w:val="64560BB2"/>
    <w:rsid w:val="64743067"/>
    <w:rsid w:val="66A03D4A"/>
    <w:rsid w:val="6DE725E5"/>
    <w:rsid w:val="6E885987"/>
    <w:rsid w:val="702F1229"/>
    <w:rsid w:val="709B46C8"/>
    <w:rsid w:val="71211EAE"/>
    <w:rsid w:val="716B3240"/>
    <w:rsid w:val="76377102"/>
    <w:rsid w:val="7C394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nhideWhenUsed/>
    <w:qFormat/>
    <w:uiPriority w:val="99"/>
    <w:pPr>
      <w:jc w:val="center"/>
    </w:pPr>
    <w:rPr>
      <w:rFonts w:ascii="华文中宋" w:eastAsia="华文中宋"/>
      <w:b/>
      <w:bCs/>
      <w:sz w:val="44"/>
      <w:szCs w:val="36"/>
    </w:rPr>
  </w:style>
  <w:style w:type="paragraph" w:styleId="3">
    <w:name w:val="footer"/>
    <w:basedOn w:val="1"/>
    <w:autoRedefine/>
    <w:unhideWhenUsed/>
    <w:qFormat/>
    <w:uiPriority w:val="0"/>
    <w:pPr>
      <w:tabs>
        <w:tab w:val="center" w:pos="4153"/>
        <w:tab w:val="right" w:pos="8306"/>
      </w:tabs>
      <w:snapToGrid w:val="0"/>
      <w:jc w:val="left"/>
    </w:pPr>
    <w:rPr>
      <w:sz w:val="18"/>
    </w:rPr>
  </w:style>
  <w:style w:type="paragraph" w:styleId="4">
    <w:name w:val="header"/>
    <w:basedOn w:val="1"/>
    <w:autoRedefine/>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正文文本 字符"/>
    <w:basedOn w:val="7"/>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2027</Words>
  <Characters>2210</Characters>
  <Lines>10</Lines>
  <Paragraphs>2</Paragraphs>
  <TotalTime>4</TotalTime>
  <ScaleCrop>false</ScaleCrop>
  <LinksUpToDate>false</LinksUpToDate>
  <CharactersWithSpaces>2359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2008-12-26T08:45:00Z</dcterms:created>
  <dc:creator>Administrator</dc:creator>
  <cp:lastModifiedBy>kekeg</cp:lastModifiedBy>
  <cp:lastPrinted>2023-02-13T07:14:00Z</cp:lastPrinted>
  <dcterms:modified xsi:type="dcterms:W3CDTF">2025-10-29T00:24:15Z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AE3765CBDAEA4EC9910BFF7F80A82524_13</vt:lpwstr>
  </property>
  <property fmtid="{D5CDD505-2E9C-101B-9397-08002B2CF9AE}" pid="4" name="KSOTemplateDocerSaveRecord">
    <vt:lpwstr>eyJoZGlkIjoiMzA3YTA1OWNlNDdmMDlhNjNmMDRjYjJjODM0ZGE3ZDEiLCJ1c2VySWQiOiIxNTQ4ODA1MTAyIn0=</vt:lpwstr>
  </property>
</Properties>
</file>