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85491B3">
      <w:pPr>
        <w:snapToGrid w:val="0"/>
        <w:spacing w:line="700" w:lineRule="exact"/>
        <w:ind w:left="2633" w:leftChars="1254" w:firstLine="6160" w:firstLineChars="1400"/>
        <w:jc w:val="both"/>
        <w:rPr>
          <w:rFonts w:hint="default" w:ascii="Times New Roman" w:hAnsi="Times New Roman" w:eastAsia="方正小标宋简体" w:cs="Times New Roman"/>
          <w:bCs/>
          <w:sz w:val="44"/>
          <w:szCs w:val="44"/>
          <w:lang w:val="en-US" w:eastAsia="zh-CN"/>
        </w:rPr>
      </w:pPr>
      <w:bookmarkStart w:id="0" w:name="_Toc21336"/>
      <w:bookmarkStart w:id="1" w:name="_Toc5085"/>
      <w:bookmarkStart w:id="2" w:name="_Toc24038"/>
      <w:r>
        <w:rPr>
          <w:rFonts w:hint="eastAsia" w:eastAsia="方正小标宋简体" w:cs="Times New Roman"/>
          <w:bCs/>
          <w:sz w:val="44"/>
          <w:szCs w:val="44"/>
          <w:lang w:val="en-US" w:eastAsia="zh-CN"/>
        </w:rPr>
        <w:t xml:space="preserve">          </w:t>
      </w:r>
      <w:r>
        <w:rPr>
          <w:rFonts w:hint="default" w:ascii="Times New Roman" w:hAnsi="Times New Roman" w:eastAsia="方正小标宋简体" w:cs="Times New Roman"/>
          <w:bCs/>
          <w:sz w:val="44"/>
          <w:szCs w:val="44"/>
          <w:lang w:val="en-US" w:eastAsia="zh-CN"/>
        </w:rPr>
        <w:t>焦作市生态环境局</w:t>
      </w:r>
    </w:p>
    <w:p w14:paraId="42D5C9F9">
      <w:pPr>
        <w:snapToGrid w:val="0"/>
        <w:spacing w:line="700" w:lineRule="exact"/>
        <w:jc w:val="center"/>
        <w:rPr>
          <w:rFonts w:hint="default" w:ascii="Times New Roman" w:hAnsi="Times New Roman" w:eastAsia="方正小标宋_GBK" w:cs="Times New Roman"/>
          <w:bCs/>
          <w:sz w:val="44"/>
          <w:szCs w:val="44"/>
        </w:rPr>
      </w:pPr>
      <w:r>
        <w:rPr>
          <w:rFonts w:hint="default" w:ascii="Times New Roman" w:hAnsi="Times New Roman" w:eastAsia="方正小标宋简体" w:cs="Times New Roman"/>
          <w:bCs/>
          <w:sz w:val="44"/>
          <w:szCs w:val="44"/>
        </w:rPr>
        <w:t>行政处罚决定书</w:t>
      </w:r>
      <w:bookmarkEnd w:id="0"/>
      <w:bookmarkEnd w:id="1"/>
      <w:bookmarkEnd w:id="2"/>
    </w:p>
    <w:p w14:paraId="38D2353A">
      <w:pPr>
        <w:snapToGrid w:val="0"/>
        <w:spacing w:line="700" w:lineRule="exact"/>
        <w:jc w:val="right"/>
        <w:rPr>
          <w:rFonts w:hint="default" w:ascii="Times New Roman" w:hAnsi="Times New Roman" w:eastAsia="仿宋" w:cs="Times New Roman"/>
          <w:color w:val="auto"/>
          <w:sz w:val="32"/>
          <w:szCs w:val="32"/>
          <w:lang w:val="en-US" w:eastAsia="zh-CN"/>
        </w:rPr>
      </w:pPr>
      <w:r>
        <w:rPr>
          <w:rFonts w:hint="eastAsia" w:ascii="楷体" w:hAnsi="楷体" w:eastAsia="楷体" w:cs="楷体"/>
          <w:color w:val="FF0000"/>
          <w:sz w:val="32"/>
          <w:szCs w:val="32"/>
          <w:lang w:val="en-US" w:eastAsia="zh-CN"/>
        </w:rPr>
        <w:t xml:space="preserve">  </w:t>
      </w:r>
      <w:r>
        <w:rPr>
          <w:rFonts w:hint="eastAsia" w:ascii="楷体" w:hAnsi="楷体" w:eastAsia="楷体" w:cs="楷体"/>
          <w:color w:val="auto"/>
          <w:sz w:val="32"/>
          <w:szCs w:val="32"/>
        </w:rPr>
        <w:t>焦环罚</w:t>
      </w:r>
      <w:r>
        <w:rPr>
          <w:rFonts w:hint="default" w:ascii="Times New Roman" w:hAnsi="Times New Roman" w:eastAsia="仿宋" w:cs="Times New Roman"/>
          <w:color w:val="auto"/>
          <w:sz w:val="32"/>
          <w:szCs w:val="32"/>
        </w:rPr>
        <w:t>〔</w:t>
      </w:r>
      <w:r>
        <w:rPr>
          <w:rFonts w:hint="default" w:ascii="Times New Roman" w:hAnsi="Times New Roman" w:eastAsia="仿宋" w:cs="Times New Roman"/>
          <w:color w:val="auto"/>
          <w:sz w:val="32"/>
          <w:szCs w:val="32"/>
          <w:lang w:val="en-US" w:eastAsia="zh-CN"/>
        </w:rPr>
        <w:t>2025</w:t>
      </w:r>
      <w:r>
        <w:rPr>
          <w:rFonts w:hint="default" w:ascii="Times New Roman" w:hAnsi="Times New Roman" w:eastAsia="仿宋" w:cs="Times New Roman"/>
          <w:color w:val="auto"/>
          <w:sz w:val="32"/>
          <w:szCs w:val="32"/>
        </w:rPr>
        <w:t>〕</w:t>
      </w:r>
      <w:r>
        <w:rPr>
          <w:rFonts w:hint="eastAsia" w:eastAsia="仿宋" w:cs="Times New Roman"/>
          <w:color w:val="auto"/>
          <w:sz w:val="32"/>
          <w:szCs w:val="32"/>
          <w:lang w:val="en-US" w:eastAsia="zh-CN"/>
        </w:rPr>
        <w:t>327号</w:t>
      </w:r>
    </w:p>
    <w:p w14:paraId="54F3CEC3">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_GB2312" w:cs="Times New Roman"/>
          <w:sz w:val="32"/>
          <w:szCs w:val="32"/>
          <w:lang w:val="en-US" w:eastAsia="zh-CN"/>
        </w:rPr>
      </w:pPr>
      <w:bookmarkStart w:id="3" w:name="_Toc29232"/>
      <w:r>
        <w:rPr>
          <w:rFonts w:hint="default" w:ascii="Times New Roman" w:hAnsi="Times New Roman" w:eastAsia="仿宋_GB2312" w:cs="Times New Roman"/>
          <w:sz w:val="32"/>
          <w:szCs w:val="32"/>
          <w:lang w:val="en-US" w:eastAsia="zh-CN"/>
        </w:rPr>
        <w:t>个人姓名：冯剑阳</w:t>
      </w:r>
    </w:p>
    <w:p w14:paraId="4F7B9A97">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证件类型：身份证                                 </w:t>
      </w:r>
    </w:p>
    <w:p w14:paraId="50611E93">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证件号码：41088319921104</w:t>
      </w:r>
      <w:r>
        <w:rPr>
          <w:rFonts w:hint="eastAsia" w:eastAsia="仿宋_GB2312" w:cs="Times New Roman"/>
          <w:sz w:val="32"/>
          <w:szCs w:val="32"/>
          <w:lang w:val="en-US" w:eastAsia="zh-CN"/>
        </w:rPr>
        <w:t>****</w:t>
      </w:r>
    </w:p>
    <w:p w14:paraId="68D613C9">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_GB2312" w:cs="Times New Roman"/>
          <w:sz w:val="32"/>
          <w:szCs w:val="32"/>
          <w:lang w:val="en-US" w:eastAsia="zh-CN"/>
        </w:rPr>
      </w:pPr>
      <w:bookmarkStart w:id="7" w:name="_GoBack"/>
      <w:bookmarkEnd w:id="7"/>
      <w:r>
        <w:rPr>
          <w:rFonts w:hint="default" w:ascii="Times New Roman" w:hAnsi="Times New Roman" w:eastAsia="仿宋_GB2312" w:cs="Times New Roman"/>
          <w:sz w:val="32"/>
          <w:szCs w:val="32"/>
          <w:lang w:val="en-US" w:eastAsia="zh-CN"/>
        </w:rPr>
        <w:t xml:space="preserve">住址：孟州市赵和镇冯庄村57号            </w:t>
      </w:r>
    </w:p>
    <w:p w14:paraId="5E82CE25">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一、环境违法事实和证据</w:t>
      </w:r>
      <w:bookmarkEnd w:id="3"/>
    </w:p>
    <w:p w14:paraId="5736739D">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我局于2025年8月</w:t>
      </w:r>
      <w:r>
        <w:rPr>
          <w:rFonts w:hint="eastAsia" w:ascii="Times New Roman" w:hAnsi="Times New Roman" w:eastAsia="仿宋_GB2312" w:cs="Times New Roman"/>
          <w:sz w:val="32"/>
          <w:szCs w:val="32"/>
          <w:lang w:val="en-US" w:eastAsia="zh-CN"/>
        </w:rPr>
        <w:t>12</w:t>
      </w:r>
      <w:r>
        <w:rPr>
          <w:rFonts w:hint="default" w:ascii="Times New Roman" w:hAnsi="Times New Roman" w:eastAsia="仿宋_GB2312" w:cs="Times New Roman"/>
          <w:sz w:val="32"/>
          <w:szCs w:val="32"/>
          <w:lang w:val="en-US" w:eastAsia="zh-CN"/>
        </w:rPr>
        <w:t>日对你进行了调查，发现你实施了以下环境违法行为：</w:t>
      </w:r>
    </w:p>
    <w:p w14:paraId="7735DAC1">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8月12日，焦作市生态环境局孟州分局执法人员和焦作市生态环境局委托的第三方检测公司（沁阳市成功机动车检测有限公司）对孟州市行长运新型建材厂开展非道路移动机械现场检查，12时21分第三方检测机构对公司内正在运行的叉车（环保号牌：4-GH830166）使用自由加载不透光烟度法进行排气检测，检测结果判定为不合格。</w:t>
      </w:r>
    </w:p>
    <w:p w14:paraId="3F57D68B">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上述行为违反了《河南省大气污染防治条例》第四十三条第四款 “城市人民政府可以根据大气环境质量状况，划定并公布禁止使用高排放非道路移动机械的区域。”的规定。</w:t>
      </w:r>
    </w:p>
    <w:p w14:paraId="17DC3B65">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以上事实及证据如下：</w:t>
      </w:r>
    </w:p>
    <w:p w14:paraId="0058B2FA">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val="en-US" w:eastAsia="zh-CN"/>
        </w:rPr>
        <w:t>《营业执照》复印件1份、被询问人身份证复印件1份，证明你承包业务公司的基本情况和被询问人员身份。</w:t>
      </w:r>
    </w:p>
    <w:p w14:paraId="0300B511">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lang w:val="en-US" w:eastAsia="zh-CN"/>
        </w:rPr>
        <w:t>2025年8月12日《焦作市生态环境局现场检查（勘察）笔录》1份共2页,证明现场检查勘查时叉车运行情况及检测情况。</w:t>
      </w:r>
    </w:p>
    <w:p w14:paraId="08F2C7AD">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lang w:val="en-US" w:eastAsia="zh-CN"/>
        </w:rPr>
        <w:t>2025年8月13日《焦作市生态环境局调查询问笔录》1份共3页，证明对你的调查询问情况，你承认在禁止使用高排放非道路移动机械的区域使用高排放非道路移动机械的事实。</w:t>
      </w:r>
    </w:p>
    <w:p w14:paraId="03B9F2DD">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val="en-US" w:eastAsia="zh-CN"/>
        </w:rPr>
        <w:t>《项目地理位置图》1份1页，证明你承包业务公司所在行政区位置。</w:t>
      </w:r>
    </w:p>
    <w:p w14:paraId="451C9FF4">
      <w:pPr>
        <w:keepNext w:val="0"/>
        <w:keepLines w:val="0"/>
        <w:pageBreakBefore w:val="0"/>
        <w:widowControl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5、</w:t>
      </w:r>
      <w:r>
        <w:rPr>
          <w:rFonts w:hint="default" w:ascii="Times New Roman" w:hAnsi="Times New Roman" w:eastAsia="仿宋" w:cs="Times New Roman"/>
          <w:sz w:val="32"/>
          <w:szCs w:val="32"/>
          <w:lang w:val="en-US" w:eastAsia="zh-CN"/>
        </w:rPr>
        <w:t>《承包合同》1份5页，证明你与承包业务公司的关系。</w:t>
      </w:r>
    </w:p>
    <w:p w14:paraId="3FE2760F">
      <w:pPr>
        <w:keepNext w:val="0"/>
        <w:keepLines w:val="0"/>
        <w:pageBreakBefore w:val="0"/>
        <w:widowControl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6、</w:t>
      </w:r>
      <w:r>
        <w:rPr>
          <w:rFonts w:hint="default" w:ascii="Times New Roman" w:hAnsi="Times New Roman" w:eastAsia="仿宋" w:cs="Times New Roman"/>
          <w:sz w:val="32"/>
          <w:szCs w:val="32"/>
          <w:lang w:val="en-US" w:eastAsia="zh-CN"/>
        </w:rPr>
        <w:t>非道路移动柴油机械排气烟度检验报告报告1份及送达回证，证明你叉车检测结果不合格。</w:t>
      </w:r>
    </w:p>
    <w:p w14:paraId="57590C09">
      <w:pPr>
        <w:keepNext w:val="0"/>
        <w:keepLines w:val="0"/>
        <w:pageBreakBefore w:val="0"/>
        <w:widowControl w:val="0"/>
        <w:kinsoku/>
        <w:wordWrap/>
        <w:overflowPunct/>
        <w:topLinePunct w:val="0"/>
        <w:autoSpaceDE/>
        <w:autoSpaceDN/>
        <w:bidi w:val="0"/>
        <w:snapToGrid w:val="0"/>
        <w:spacing w:line="520" w:lineRule="exact"/>
        <w:ind w:firstLine="640" w:firstLineChars="200"/>
        <w:textAlignment w:val="auto"/>
        <w:rPr>
          <w:rFonts w:hint="eastAsia"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7、执法人员的执法证复印件1份，证明执法人员的身份和资格</w:t>
      </w:r>
      <w:r>
        <w:rPr>
          <w:rFonts w:hint="eastAsia" w:ascii="Times New Roman" w:hAnsi="Times New Roman" w:eastAsia="仿宋" w:cs="Times New Roman"/>
          <w:sz w:val="32"/>
          <w:szCs w:val="32"/>
          <w:lang w:val="en-US" w:eastAsia="zh-CN"/>
        </w:rPr>
        <w:t>。</w:t>
      </w:r>
    </w:p>
    <w:p w14:paraId="6F7ACF65">
      <w:pPr>
        <w:keepNext w:val="0"/>
        <w:keepLines w:val="0"/>
        <w:pageBreakBefore w:val="0"/>
        <w:widowControl w:val="0"/>
        <w:numPr>
          <w:ilvl w:val="0"/>
          <w:numId w:val="0"/>
        </w:numPr>
        <w:kinsoku/>
        <w:wordWrap/>
        <w:overflowPunct/>
        <w:topLinePunct w:val="0"/>
        <w:autoSpaceDE/>
        <w:autoSpaceDN/>
        <w:bidi w:val="0"/>
        <w:snapToGrid w:val="0"/>
        <w:spacing w:line="520" w:lineRule="exact"/>
        <w:ind w:firstLine="640" w:firstLineChars="200"/>
        <w:textAlignment w:val="auto"/>
        <w:rPr>
          <w:rFonts w:hint="eastAsia"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rPr>
        <w:t>《焦作市生态环境局责令改正违法行为决定书》(焦</w:t>
      </w:r>
      <w:r>
        <w:rPr>
          <w:rFonts w:hint="eastAsia" w:eastAsia="仿宋_GB2312" w:cs="Times New Roman"/>
          <w:sz w:val="32"/>
          <w:szCs w:val="32"/>
          <w:lang w:eastAsia="zh-CN"/>
        </w:rPr>
        <w:t>孟</w:t>
      </w:r>
      <w:r>
        <w:rPr>
          <w:rFonts w:hint="default" w:ascii="Times New Roman" w:hAnsi="Times New Roman" w:eastAsia="仿宋_GB2312" w:cs="Times New Roman"/>
          <w:sz w:val="32"/>
          <w:szCs w:val="32"/>
        </w:rPr>
        <w:t>环责</w:t>
      </w:r>
      <w:r>
        <w:rPr>
          <w:rFonts w:hint="eastAsia" w:eastAsia="仿宋_GB2312" w:cs="Times New Roman"/>
          <w:sz w:val="32"/>
          <w:szCs w:val="32"/>
          <w:lang w:eastAsia="zh-CN"/>
        </w:rPr>
        <w:t>改字</w:t>
      </w:r>
      <w:r>
        <w:rPr>
          <w:rFonts w:hint="default" w:ascii="Times New Roman" w:hAnsi="Times New Roman" w:eastAsia="仿宋_GB2312" w:cs="Times New Roman"/>
          <w:sz w:val="32"/>
          <w:szCs w:val="32"/>
        </w:rPr>
        <w:t>〔2025〕</w:t>
      </w:r>
      <w:r>
        <w:rPr>
          <w:rFonts w:hint="eastAsia" w:ascii="Times New Roman" w:hAnsi="Times New Roman" w:eastAsia="仿宋_GB2312" w:cs="Times New Roman"/>
          <w:sz w:val="32"/>
          <w:szCs w:val="32"/>
          <w:lang w:val="en-US" w:eastAsia="zh-CN"/>
        </w:rPr>
        <w:t>291</w:t>
      </w:r>
      <w:r>
        <w:rPr>
          <w:rFonts w:hint="default" w:ascii="Times New Roman" w:hAnsi="Times New Roman" w:eastAsia="仿宋_GB2312" w:cs="Times New Roman"/>
          <w:sz w:val="32"/>
          <w:szCs w:val="32"/>
        </w:rPr>
        <w:t>号）1份和《 焦作市生态环境局送达回证》1份，证明我局于</w:t>
      </w:r>
      <w:r>
        <w:rPr>
          <w:rFonts w:hint="default" w:ascii="Times New Roman" w:hAnsi="Times New Roman" w:eastAsia="仿宋_GB2312" w:cs="Times New Roman"/>
          <w:color w:val="000000" w:themeColor="text1"/>
          <w:sz w:val="32"/>
          <w:szCs w:val="32"/>
          <w14:textFill>
            <w14:solidFill>
              <w14:schemeClr w14:val="tx1"/>
            </w14:solidFill>
          </w14:textFill>
        </w:rPr>
        <w:t>2025年</w:t>
      </w:r>
      <w:r>
        <w:rPr>
          <w:rFonts w:hint="eastAsia" w:eastAsia="仿宋_GB2312" w:cs="Times New Roman"/>
          <w:color w:val="000000" w:themeColor="text1"/>
          <w:sz w:val="32"/>
          <w:szCs w:val="32"/>
          <w:lang w:val="en-US" w:eastAsia="zh-CN"/>
          <w14:textFill>
            <w14:solidFill>
              <w14:schemeClr w14:val="tx1"/>
            </w14:solidFill>
          </w14:textFill>
        </w:rPr>
        <w:t>8</w:t>
      </w:r>
      <w:r>
        <w:rPr>
          <w:rFonts w:hint="default" w:ascii="Times New Roman" w:hAnsi="Times New Roman" w:eastAsia="仿宋_GB2312" w:cs="Times New Roman"/>
          <w:color w:val="000000" w:themeColor="text1"/>
          <w:sz w:val="32"/>
          <w:szCs w:val="32"/>
          <w14:textFill>
            <w14:solidFill>
              <w14:schemeClr w14:val="tx1"/>
            </w14:solidFill>
          </w14:textFill>
        </w:rPr>
        <w:t>月</w:t>
      </w:r>
      <w:r>
        <w:rPr>
          <w:rFonts w:hint="eastAsia" w:eastAsia="仿宋_GB2312" w:cs="Times New Roman"/>
          <w:color w:val="000000" w:themeColor="text1"/>
          <w:sz w:val="32"/>
          <w:szCs w:val="32"/>
          <w:lang w:val="en-US" w:eastAsia="zh-CN"/>
          <w14:textFill>
            <w14:solidFill>
              <w14:schemeClr w14:val="tx1"/>
            </w14:solidFill>
          </w14:textFill>
        </w:rPr>
        <w:t>27</w:t>
      </w:r>
      <w:r>
        <w:rPr>
          <w:rFonts w:hint="default" w:ascii="Times New Roman" w:hAnsi="Times New Roman" w:eastAsia="仿宋_GB2312" w:cs="Times New Roman"/>
          <w:color w:val="000000" w:themeColor="text1"/>
          <w:sz w:val="32"/>
          <w:szCs w:val="32"/>
          <w14:textFill>
            <w14:solidFill>
              <w14:schemeClr w14:val="tx1"/>
            </w14:solidFill>
          </w14:textFill>
        </w:rPr>
        <w:t>日</w:t>
      </w:r>
      <w:r>
        <w:rPr>
          <w:rFonts w:hint="default" w:ascii="Times New Roman" w:hAnsi="Times New Roman" w:eastAsia="仿宋_GB2312" w:cs="Times New Roman"/>
          <w:sz w:val="32"/>
          <w:szCs w:val="32"/>
        </w:rPr>
        <w:t>已经责令你改正违法行为的情况。</w:t>
      </w:r>
    </w:p>
    <w:p w14:paraId="73F8B00B">
      <w:pPr>
        <w:pStyle w:val="3"/>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outlineLvl w:val="9"/>
        <w:rPr>
          <w:rFonts w:hint="default" w:ascii="Times New Roman" w:hAnsi="Times New Roman" w:eastAsia="仿宋_GB2312" w:cs="Times New Roman"/>
          <w:color w:val="000000" w:themeColor="text1"/>
          <w:sz w:val="32"/>
          <w:szCs w:val="32"/>
          <w:u w:val="none" w:color="auto"/>
          <w:lang w:eastAsia="zh-CN"/>
          <w14:textFill>
            <w14:solidFill>
              <w14:schemeClr w14:val="tx1"/>
            </w14:solidFill>
          </w14:textFill>
        </w:rPr>
      </w:pPr>
      <w:r>
        <w:rPr>
          <w:rFonts w:hint="eastAsia" w:ascii="Times New Roman" w:hAnsi="Times New Roman" w:eastAsia="仿宋_GB2312" w:cs="Times New Roman"/>
          <w:sz w:val="32"/>
          <w:szCs w:val="32"/>
          <w:lang w:val="en-US" w:eastAsia="zh-CN"/>
        </w:rPr>
        <w:t>9</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kern w:val="2"/>
          <w:sz w:val="32"/>
          <w:szCs w:val="32"/>
          <w:lang w:val="en-US" w:eastAsia="zh-CN" w:bidi="ar-SA"/>
        </w:rPr>
        <w:t>2025年</w:t>
      </w:r>
      <w:r>
        <w:rPr>
          <w:rFonts w:hint="eastAsia" w:ascii="Times New Roman" w:hAnsi="Times New Roman" w:eastAsia="仿宋_GB2312" w:cs="Times New Roman"/>
          <w:kern w:val="2"/>
          <w:sz w:val="32"/>
          <w:szCs w:val="32"/>
          <w:lang w:val="en-US" w:eastAsia="zh-CN" w:bidi="ar-SA"/>
        </w:rPr>
        <w:t>9</w:t>
      </w:r>
      <w:r>
        <w:rPr>
          <w:rFonts w:hint="default" w:ascii="Times New Roman" w:hAnsi="Times New Roman" w:eastAsia="仿宋_GB2312" w:cs="Times New Roman"/>
          <w:kern w:val="2"/>
          <w:sz w:val="32"/>
          <w:szCs w:val="32"/>
          <w:lang w:val="en-US" w:eastAsia="zh-CN" w:bidi="ar-SA"/>
        </w:rPr>
        <w:t>月</w:t>
      </w:r>
      <w:r>
        <w:rPr>
          <w:rFonts w:hint="eastAsia" w:ascii="Times New Roman" w:hAnsi="Times New Roman" w:eastAsia="仿宋_GB2312" w:cs="Times New Roman"/>
          <w:kern w:val="2"/>
          <w:sz w:val="32"/>
          <w:szCs w:val="32"/>
          <w:lang w:val="en-US" w:eastAsia="zh-CN" w:bidi="ar-SA"/>
        </w:rPr>
        <w:t>9</w:t>
      </w:r>
      <w:r>
        <w:rPr>
          <w:rFonts w:hint="default" w:ascii="Times New Roman" w:hAnsi="Times New Roman" w:eastAsia="仿宋_GB2312" w:cs="Times New Roman"/>
          <w:kern w:val="2"/>
          <w:sz w:val="32"/>
          <w:szCs w:val="32"/>
          <w:lang w:val="en-US" w:eastAsia="zh-CN" w:bidi="ar-SA"/>
        </w:rPr>
        <w:t>日《</w:t>
      </w:r>
      <w:r>
        <w:rPr>
          <w:rFonts w:hint="default" w:ascii="Times New Roman" w:hAnsi="Times New Roman" w:eastAsia="仿宋_GB2312" w:cs="Times New Roman"/>
          <w:sz w:val="32"/>
          <w:szCs w:val="32"/>
        </w:rPr>
        <w:t>焦作市生态环境局整改复查意见书》(焦</w:t>
      </w:r>
      <w:r>
        <w:rPr>
          <w:rFonts w:hint="eastAsia" w:eastAsia="仿宋_GB2312" w:cs="Times New Roman"/>
          <w:sz w:val="32"/>
          <w:szCs w:val="32"/>
          <w:lang w:eastAsia="zh-CN"/>
        </w:rPr>
        <w:t>孟</w:t>
      </w:r>
      <w:r>
        <w:rPr>
          <w:rFonts w:hint="default" w:ascii="Times New Roman" w:hAnsi="Times New Roman" w:eastAsia="仿宋_GB2312" w:cs="Times New Roman"/>
          <w:sz w:val="32"/>
          <w:szCs w:val="32"/>
        </w:rPr>
        <w:t>环整复</w:t>
      </w:r>
      <w:r>
        <w:rPr>
          <w:rFonts w:hint="eastAsia" w:eastAsia="仿宋_GB2312" w:cs="Times New Roman"/>
          <w:sz w:val="32"/>
          <w:szCs w:val="32"/>
          <w:lang w:eastAsia="zh-CN"/>
        </w:rPr>
        <w:t>字</w:t>
      </w:r>
      <w:r>
        <w:rPr>
          <w:rFonts w:hint="default" w:ascii="Times New Roman" w:hAnsi="Times New Roman" w:eastAsia="仿宋_GB2312" w:cs="Times New Roman"/>
          <w:kern w:val="2"/>
          <w:sz w:val="32"/>
          <w:szCs w:val="32"/>
          <w:lang w:val="en-US" w:eastAsia="zh-CN" w:bidi="ar-SA"/>
        </w:rPr>
        <w:t>〔2025〕</w:t>
      </w:r>
      <w:r>
        <w:rPr>
          <w:rFonts w:hint="eastAsia" w:ascii="Times New Roman" w:hAnsi="Times New Roman" w:eastAsia="仿宋_GB2312" w:cs="Times New Roman"/>
          <w:kern w:val="2"/>
          <w:sz w:val="32"/>
          <w:szCs w:val="32"/>
          <w:lang w:val="en-US" w:eastAsia="zh-CN" w:bidi="ar-SA"/>
        </w:rPr>
        <w:t>291</w:t>
      </w:r>
      <w:r>
        <w:rPr>
          <w:rFonts w:hint="default" w:ascii="Times New Roman" w:hAnsi="Times New Roman" w:eastAsia="仿宋_GB2312" w:cs="Times New Roman"/>
          <w:kern w:val="2"/>
          <w:sz w:val="32"/>
          <w:szCs w:val="32"/>
          <w:lang w:val="en-US" w:eastAsia="zh-CN" w:bidi="ar-SA"/>
        </w:rPr>
        <w:t xml:space="preserve">号）1份和《 </w:t>
      </w:r>
      <w:r>
        <w:rPr>
          <w:rFonts w:hint="default" w:ascii="Times New Roman" w:hAnsi="Times New Roman" w:eastAsia="仿宋_GB2312" w:cs="Times New Roman"/>
          <w:sz w:val="32"/>
          <w:szCs w:val="32"/>
        </w:rPr>
        <w:t>焦作市生态环境局送达回证》1份，通过现场复查，</w:t>
      </w:r>
      <w:r>
        <w:rPr>
          <w:rFonts w:hint="default" w:ascii="Times New Roman" w:hAnsi="Times New Roman" w:eastAsia="仿宋_GB2312" w:cs="Times New Roman"/>
          <w:color w:val="000000" w:themeColor="text1"/>
          <w:sz w:val="32"/>
          <w:szCs w:val="32"/>
          <w14:textFill>
            <w14:solidFill>
              <w14:schemeClr w14:val="tx1"/>
            </w14:solidFill>
          </w14:textFill>
        </w:rPr>
        <w:t>证明</w:t>
      </w:r>
      <w:r>
        <w:rPr>
          <w:rFonts w:hint="default" w:ascii="Times New Roman" w:hAnsi="Times New Roman" w:eastAsia="仿宋_GB2312" w:cs="Times New Roman"/>
          <w:color w:val="000000" w:themeColor="text1"/>
          <w:sz w:val="32"/>
          <w:szCs w:val="32"/>
          <w:u w:val="none" w:color="auto"/>
          <w:lang w:eastAsia="zh-CN"/>
          <w14:textFill>
            <w14:solidFill>
              <w14:schemeClr w14:val="tx1"/>
            </w14:solidFill>
          </w14:textFill>
        </w:rPr>
        <w:t>你已经按照</w:t>
      </w:r>
      <w:r>
        <w:rPr>
          <w:rFonts w:hint="eastAsia" w:ascii="Times New Roman" w:hAnsi="Times New Roman" w:eastAsia="仿宋_GB2312" w:cs="Times New Roman"/>
          <w:color w:val="000000" w:themeColor="text1"/>
          <w:sz w:val="32"/>
          <w:szCs w:val="32"/>
          <w:u w:val="none" w:color="auto"/>
          <w:lang w:eastAsia="zh-CN"/>
          <w14:textFill>
            <w14:solidFill>
              <w14:schemeClr w14:val="tx1"/>
            </w14:solidFill>
          </w14:textFill>
        </w:rPr>
        <w:t>要求完成整改。</w:t>
      </w:r>
    </w:p>
    <w:p w14:paraId="01E26353">
      <w:pPr>
        <w:keepNext w:val="0"/>
        <w:keepLines w:val="0"/>
        <w:pageBreakBefore w:val="0"/>
        <w:widowControl w:val="0"/>
        <w:numPr>
          <w:ilvl w:val="0"/>
          <w:numId w:val="0"/>
        </w:numPr>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sz w:val="32"/>
          <w:szCs w:val="32"/>
        </w:rPr>
      </w:pPr>
      <w:r>
        <w:rPr>
          <w:rFonts w:hint="eastAsia" w:eastAsia="仿宋_GB2312" w:cs="Times New Roman"/>
          <w:sz w:val="32"/>
          <w:szCs w:val="32"/>
          <w:lang w:val="en-US" w:eastAsia="zh-CN"/>
        </w:rPr>
        <w:t>10、</w:t>
      </w:r>
      <w:r>
        <w:rPr>
          <w:rFonts w:hint="default" w:ascii="Times New Roman" w:hAnsi="Times New Roman" w:eastAsia="仿宋_GB2312" w:cs="Times New Roman"/>
          <w:sz w:val="32"/>
          <w:szCs w:val="32"/>
        </w:rPr>
        <w:t>《焦作市生态环境局行政处罚事先（听证）告知书》(焦</w:t>
      </w:r>
      <w:r>
        <w:rPr>
          <w:rFonts w:hint="eastAsia" w:eastAsia="仿宋_GB2312" w:cs="Times New Roman"/>
          <w:sz w:val="32"/>
          <w:szCs w:val="32"/>
          <w:lang w:eastAsia="zh-CN"/>
        </w:rPr>
        <w:t>孟</w:t>
      </w:r>
      <w:r>
        <w:rPr>
          <w:rFonts w:hint="default" w:ascii="Times New Roman" w:hAnsi="Times New Roman" w:eastAsia="仿宋_GB2312" w:cs="Times New Roman"/>
          <w:sz w:val="32"/>
          <w:szCs w:val="32"/>
        </w:rPr>
        <w:t>环</w:t>
      </w:r>
      <w:r>
        <w:rPr>
          <w:rFonts w:hint="eastAsia" w:eastAsia="仿宋_GB2312" w:cs="Times New Roman"/>
          <w:sz w:val="32"/>
          <w:szCs w:val="32"/>
          <w:lang w:eastAsia="zh-CN"/>
        </w:rPr>
        <w:t>罚</w:t>
      </w:r>
      <w:r>
        <w:rPr>
          <w:rFonts w:hint="default" w:ascii="Times New Roman" w:hAnsi="Times New Roman" w:eastAsia="仿宋_GB2312" w:cs="Times New Roman"/>
          <w:sz w:val="32"/>
          <w:szCs w:val="32"/>
        </w:rPr>
        <w:t>告</w:t>
      </w:r>
      <w:r>
        <w:rPr>
          <w:rFonts w:hint="eastAsia" w:eastAsia="仿宋_GB2312" w:cs="Times New Roman"/>
          <w:sz w:val="32"/>
          <w:szCs w:val="32"/>
          <w:lang w:eastAsia="zh-CN"/>
        </w:rPr>
        <w:t>字</w:t>
      </w:r>
      <w:r>
        <w:rPr>
          <w:rFonts w:hint="default" w:ascii="Times New Roman" w:hAnsi="Times New Roman" w:eastAsia="仿宋_GB2312" w:cs="Times New Roman"/>
          <w:sz w:val="32"/>
          <w:szCs w:val="32"/>
        </w:rPr>
        <w:t>〔2025〕</w:t>
      </w:r>
      <w:r>
        <w:rPr>
          <w:rFonts w:hint="eastAsia" w:eastAsia="仿宋_GB2312" w:cs="Times New Roman"/>
          <w:sz w:val="32"/>
          <w:szCs w:val="32"/>
          <w:lang w:val="en-US" w:eastAsia="zh-CN"/>
        </w:rPr>
        <w:t>291</w:t>
      </w:r>
      <w:r>
        <w:rPr>
          <w:rFonts w:hint="default" w:ascii="Times New Roman" w:hAnsi="Times New Roman" w:eastAsia="仿宋_GB2312" w:cs="Times New Roman"/>
          <w:sz w:val="32"/>
          <w:szCs w:val="32"/>
        </w:rPr>
        <w:t>号）1份和《 焦作市生态环境局送达回证》1份，证明我局于2025年</w:t>
      </w:r>
      <w:r>
        <w:rPr>
          <w:rFonts w:hint="eastAsia" w:eastAsia="仿宋_GB2312" w:cs="Times New Roman"/>
          <w:sz w:val="32"/>
          <w:szCs w:val="32"/>
          <w:lang w:val="en-US" w:eastAsia="zh-CN"/>
        </w:rPr>
        <w:t>10</w:t>
      </w:r>
      <w:r>
        <w:rPr>
          <w:rFonts w:hint="default" w:ascii="Times New Roman" w:hAnsi="Times New Roman" w:eastAsia="仿宋_GB2312" w:cs="Times New Roman"/>
          <w:color w:val="000000" w:themeColor="text1"/>
          <w:sz w:val="32"/>
          <w:szCs w:val="32"/>
          <w14:textFill>
            <w14:solidFill>
              <w14:schemeClr w14:val="tx1"/>
            </w14:solidFill>
          </w14:textFill>
        </w:rPr>
        <w:t>月</w:t>
      </w:r>
      <w:r>
        <w:rPr>
          <w:rFonts w:hint="eastAsia" w:eastAsia="仿宋_GB2312" w:cs="Times New Roman"/>
          <w:color w:val="000000" w:themeColor="text1"/>
          <w:sz w:val="32"/>
          <w:szCs w:val="32"/>
          <w:lang w:val="en-US" w:eastAsia="zh-CN"/>
          <w14:textFill>
            <w14:solidFill>
              <w14:schemeClr w14:val="tx1"/>
            </w14:solidFill>
          </w14:textFill>
        </w:rPr>
        <w:t>10</w:t>
      </w:r>
      <w:r>
        <w:rPr>
          <w:rFonts w:hint="default" w:ascii="Times New Roman" w:hAnsi="Times New Roman" w:eastAsia="仿宋_GB2312" w:cs="Times New Roman"/>
          <w:color w:val="000000" w:themeColor="text1"/>
          <w:sz w:val="32"/>
          <w:szCs w:val="32"/>
          <w14:textFill>
            <w14:solidFill>
              <w14:schemeClr w14:val="tx1"/>
            </w14:solidFill>
          </w14:textFill>
        </w:rPr>
        <w:t>日</w:t>
      </w:r>
      <w:r>
        <w:rPr>
          <w:rFonts w:hint="default" w:ascii="Times New Roman" w:hAnsi="Times New Roman" w:eastAsia="仿宋_GB2312" w:cs="Times New Roman"/>
          <w:sz w:val="32"/>
          <w:szCs w:val="32"/>
        </w:rPr>
        <w:t>已经告知拟</w:t>
      </w:r>
      <w:r>
        <w:rPr>
          <w:rFonts w:hint="eastAsia" w:eastAsia="仿宋_GB2312" w:cs="Times New Roman"/>
          <w:sz w:val="32"/>
          <w:szCs w:val="32"/>
          <w:lang w:eastAsia="zh-CN"/>
        </w:rPr>
        <w:t>对</w:t>
      </w:r>
      <w:r>
        <w:rPr>
          <w:rFonts w:hint="default" w:ascii="Times New Roman" w:hAnsi="Times New Roman" w:eastAsia="仿宋_GB2312" w:cs="Times New Roman"/>
          <w:sz w:val="32"/>
          <w:szCs w:val="32"/>
        </w:rPr>
        <w:t>你作出的行政处罚情况。</w:t>
      </w:r>
    </w:p>
    <w:p w14:paraId="65EA2496">
      <w:pPr>
        <w:keepNext w:val="0"/>
        <w:keepLines w:val="0"/>
        <w:pageBreakBefore w:val="0"/>
        <w:widowControl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cs="Times New Roman"/>
        </w:rPr>
      </w:pPr>
      <w:r>
        <w:rPr>
          <w:rFonts w:hint="default" w:ascii="Times New Roman" w:hAnsi="Times New Roman" w:eastAsia="仿宋" w:cs="Times New Roman"/>
          <w:sz w:val="32"/>
          <w:szCs w:val="32"/>
        </w:rPr>
        <w:t>我局于</w:t>
      </w:r>
      <w:r>
        <w:rPr>
          <w:rFonts w:hint="default" w:ascii="Times New Roman" w:hAnsi="Times New Roman" w:eastAsia="仿宋" w:cs="Times New Roman"/>
          <w:kern w:val="2"/>
          <w:sz w:val="32"/>
          <w:szCs w:val="32"/>
          <w:lang w:val="en-US" w:eastAsia="zh-CN" w:bidi="ar-SA"/>
        </w:rPr>
        <w:t>2025年</w:t>
      </w:r>
      <w:r>
        <w:rPr>
          <w:rFonts w:hint="eastAsia" w:ascii="Times New Roman" w:hAnsi="Times New Roman" w:eastAsia="仿宋" w:cs="Times New Roman"/>
          <w:kern w:val="2"/>
          <w:sz w:val="32"/>
          <w:szCs w:val="32"/>
          <w:lang w:val="en-US" w:eastAsia="zh-CN" w:bidi="ar-SA"/>
        </w:rPr>
        <w:t>10</w:t>
      </w:r>
      <w:r>
        <w:rPr>
          <w:rFonts w:hint="default" w:ascii="Times New Roman" w:hAnsi="Times New Roman" w:eastAsia="仿宋" w:cs="Times New Roman"/>
          <w:kern w:val="2"/>
          <w:sz w:val="32"/>
          <w:szCs w:val="32"/>
          <w:lang w:val="en-US" w:eastAsia="zh-CN" w:bidi="ar-SA"/>
        </w:rPr>
        <w:t>月</w:t>
      </w:r>
      <w:r>
        <w:rPr>
          <w:rFonts w:hint="eastAsia" w:ascii="Times New Roman" w:hAnsi="Times New Roman" w:eastAsia="仿宋" w:cs="Times New Roman"/>
          <w:kern w:val="2"/>
          <w:sz w:val="32"/>
          <w:szCs w:val="32"/>
          <w:lang w:val="en-US" w:eastAsia="zh-CN" w:bidi="ar-SA"/>
        </w:rPr>
        <w:t>10</w:t>
      </w:r>
      <w:r>
        <w:rPr>
          <w:rFonts w:hint="default" w:ascii="Times New Roman" w:hAnsi="Times New Roman" w:eastAsia="仿宋" w:cs="Times New Roman"/>
          <w:kern w:val="2"/>
          <w:sz w:val="32"/>
          <w:szCs w:val="32"/>
          <w:lang w:val="en-US" w:eastAsia="zh-CN" w:bidi="ar-SA"/>
        </w:rPr>
        <w:t>日</w:t>
      </w:r>
      <w:r>
        <w:rPr>
          <w:rFonts w:hint="default" w:ascii="Times New Roman" w:hAnsi="Times New Roman" w:eastAsia="仿宋" w:cs="Times New Roman"/>
          <w:sz w:val="32"/>
          <w:szCs w:val="32"/>
        </w:rPr>
        <w:t>送达了《行政处罚事先（听证）告知书》（焦</w:t>
      </w:r>
      <w:r>
        <w:rPr>
          <w:rFonts w:hint="eastAsia" w:eastAsia="仿宋" w:cs="Times New Roman"/>
          <w:sz w:val="32"/>
          <w:szCs w:val="32"/>
          <w:lang w:eastAsia="zh-CN"/>
        </w:rPr>
        <w:t>孟</w:t>
      </w:r>
      <w:r>
        <w:rPr>
          <w:rFonts w:hint="default" w:ascii="Times New Roman" w:hAnsi="Times New Roman" w:eastAsia="仿宋" w:cs="Times New Roman"/>
          <w:sz w:val="32"/>
          <w:szCs w:val="32"/>
        </w:rPr>
        <w:t>环罚告字</w:t>
      </w:r>
      <w:r>
        <w:rPr>
          <w:rFonts w:hint="default" w:ascii="Times New Roman" w:hAnsi="Times New Roman" w:eastAsia="仿宋" w:cs="Times New Roman"/>
          <w:color w:val="auto"/>
          <w:sz w:val="32"/>
          <w:szCs w:val="32"/>
        </w:rPr>
        <w:t>〔</w:t>
      </w:r>
      <w:r>
        <w:rPr>
          <w:rFonts w:hint="default" w:ascii="Times New Roman" w:hAnsi="Times New Roman" w:eastAsia="仿宋" w:cs="Times New Roman"/>
          <w:color w:val="auto"/>
          <w:sz w:val="32"/>
          <w:szCs w:val="32"/>
          <w:lang w:val="en-US" w:eastAsia="zh-CN"/>
        </w:rPr>
        <w:t>2025</w:t>
      </w:r>
      <w:r>
        <w:rPr>
          <w:rFonts w:hint="default" w:ascii="Times New Roman" w:hAnsi="Times New Roman" w:eastAsia="仿宋" w:cs="Times New Roman"/>
          <w:color w:val="auto"/>
          <w:sz w:val="32"/>
          <w:szCs w:val="32"/>
        </w:rPr>
        <w:t>〕</w:t>
      </w:r>
      <w:r>
        <w:rPr>
          <w:rFonts w:hint="eastAsia" w:eastAsia="仿宋" w:cs="Times New Roman"/>
          <w:color w:val="auto"/>
          <w:sz w:val="32"/>
          <w:szCs w:val="32"/>
          <w:lang w:val="en-US" w:eastAsia="zh-CN"/>
        </w:rPr>
        <w:t>291号</w:t>
      </w:r>
      <w:r>
        <w:rPr>
          <w:rFonts w:hint="default" w:ascii="Times New Roman" w:hAnsi="Times New Roman" w:eastAsia="仿宋" w:cs="Times New Roman"/>
          <w:sz w:val="32"/>
          <w:szCs w:val="32"/>
        </w:rPr>
        <w:t>），告知书告知</w:t>
      </w:r>
      <w:r>
        <w:rPr>
          <w:rFonts w:hint="default" w:ascii="Times New Roman" w:hAnsi="Times New Roman" w:eastAsia="仿宋" w:cs="Times New Roman"/>
          <w:sz w:val="32"/>
          <w:szCs w:val="32"/>
          <w:lang w:eastAsia="zh-CN"/>
        </w:rPr>
        <w:t>你</w:t>
      </w:r>
      <w:r>
        <w:rPr>
          <w:rFonts w:hint="default" w:ascii="Times New Roman" w:hAnsi="Times New Roman" w:eastAsia="仿宋" w:cs="Times New Roman"/>
          <w:sz w:val="32"/>
          <w:szCs w:val="32"/>
        </w:rPr>
        <w:t>陈述申辩权</w:t>
      </w:r>
      <w:r>
        <w:rPr>
          <w:rFonts w:hint="eastAsia" w:eastAsia="仿宋" w:cs="Times New Roman"/>
          <w:sz w:val="32"/>
          <w:szCs w:val="32"/>
          <w:lang w:eastAsia="zh-CN"/>
        </w:rPr>
        <w:t>及</w:t>
      </w:r>
      <w:r>
        <w:rPr>
          <w:rFonts w:hint="default" w:ascii="Times New Roman" w:hAnsi="Times New Roman" w:eastAsia="仿宋" w:cs="Times New Roman"/>
          <w:sz w:val="32"/>
          <w:szCs w:val="32"/>
        </w:rPr>
        <w:t>听证申请权，</w:t>
      </w:r>
      <w:r>
        <w:rPr>
          <w:rFonts w:hint="default" w:ascii="Times New Roman" w:hAnsi="Times New Roman" w:eastAsia="仿宋" w:cs="Times New Roman"/>
          <w:sz w:val="32"/>
          <w:szCs w:val="32"/>
          <w:lang w:eastAsia="zh-CN"/>
        </w:rPr>
        <w:t>你</w:t>
      </w:r>
      <w:r>
        <w:rPr>
          <w:rFonts w:hint="default" w:ascii="Times New Roman" w:hAnsi="Times New Roman" w:eastAsia="仿宋" w:cs="Times New Roman"/>
          <w:sz w:val="32"/>
          <w:szCs w:val="32"/>
        </w:rPr>
        <w:t>在</w:t>
      </w:r>
      <w:r>
        <w:rPr>
          <w:rFonts w:hint="default" w:ascii="Times New Roman" w:hAnsi="Times New Roman" w:eastAsia="仿宋" w:cs="Times New Roman"/>
          <w:sz w:val="32"/>
          <w:szCs w:val="32"/>
          <w:lang w:val="en-US" w:eastAsia="zh-CN"/>
        </w:rPr>
        <w:t>法定</w:t>
      </w:r>
      <w:r>
        <w:rPr>
          <w:rFonts w:hint="default" w:ascii="仿宋" w:hAnsi="仿宋" w:eastAsia="仿宋" w:cs="Times New Roman"/>
          <w:sz w:val="32"/>
          <w:szCs w:val="32"/>
        </w:rPr>
        <w:t>的时间内未提出申辩及听证</w:t>
      </w:r>
      <w:r>
        <w:rPr>
          <w:rFonts w:hint="default" w:ascii="Times New Roman" w:hAnsi="Times New Roman" w:eastAsia="仿宋" w:cs="Times New Roman"/>
          <w:sz w:val="32"/>
          <w:szCs w:val="32"/>
          <w:lang w:eastAsia="zh-CN"/>
        </w:rPr>
        <w:t>。</w:t>
      </w:r>
    </w:p>
    <w:p w14:paraId="27551D02">
      <w:pPr>
        <w:keepNext w:val="0"/>
        <w:keepLines w:val="0"/>
        <w:pageBreakBefore w:val="0"/>
        <w:widowControl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黑体" w:cs="Times New Roman"/>
          <w:b w:val="0"/>
          <w:bCs w:val="0"/>
          <w:sz w:val="32"/>
          <w:szCs w:val="32"/>
        </w:rPr>
      </w:pPr>
      <w:bookmarkStart w:id="4" w:name="_Toc7667"/>
      <w:r>
        <w:rPr>
          <w:rFonts w:hint="default" w:ascii="Times New Roman" w:hAnsi="Times New Roman" w:eastAsia="黑体" w:cs="Times New Roman"/>
          <w:b w:val="0"/>
          <w:bCs w:val="0"/>
          <w:sz w:val="32"/>
          <w:szCs w:val="32"/>
        </w:rPr>
        <w:t>二、行政处罚的依据、种类</w:t>
      </w:r>
      <w:bookmarkEnd w:id="4"/>
    </w:p>
    <w:p w14:paraId="068611FF">
      <w:pPr>
        <w:keepNext w:val="0"/>
        <w:keepLines w:val="0"/>
        <w:pageBreakBefore w:val="0"/>
        <w:widowControl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根据</w:t>
      </w:r>
      <w:r>
        <w:rPr>
          <w:rFonts w:hint="eastAsia" w:ascii="Times New Roman" w:hAnsi="Times New Roman" w:eastAsia="仿宋" w:cs="Times New Roman"/>
          <w:sz w:val="32"/>
          <w:szCs w:val="32"/>
          <w:lang w:val="en-US" w:eastAsia="zh-CN"/>
        </w:rPr>
        <w:t>你</w:t>
      </w:r>
      <w:r>
        <w:rPr>
          <w:rFonts w:hint="default" w:ascii="Times New Roman" w:hAnsi="Times New Roman" w:eastAsia="仿宋" w:cs="Times New Roman"/>
          <w:sz w:val="32"/>
          <w:szCs w:val="32"/>
          <w:lang w:val="en-US" w:eastAsia="zh-CN"/>
        </w:rPr>
        <w:t>违法行为的事实、性质、情节、社会危害程度和相关证据，参照《河南省生态环境行政处罚裁量基准适用规则（修订）》《河南省生态环境行政处罚裁量基准》（豫环办〔2022〕72号）：大气污染防治类。</w:t>
      </w:r>
    </w:p>
    <w:p w14:paraId="7229A667">
      <w:pPr>
        <w:keepNext w:val="0"/>
        <w:keepLines w:val="0"/>
        <w:pageBreakBefore w:val="0"/>
        <w:widowControl w:val="0"/>
        <w:kinsoku/>
        <w:wordWrap/>
        <w:overflowPunct/>
        <w:topLinePunct w:val="0"/>
        <w:autoSpaceDE/>
        <w:autoSpaceDN/>
        <w:bidi w:val="0"/>
        <w:snapToGrid w:val="0"/>
        <w:spacing w:line="520" w:lineRule="exact"/>
        <w:ind w:firstLine="643" w:firstLineChars="200"/>
        <w:textAlignment w:val="auto"/>
        <w:rPr>
          <w:rFonts w:hint="default" w:ascii="Times New Roman" w:hAnsi="Times New Roman" w:eastAsia="楷体" w:cs="Times New Roman"/>
          <w:color w:val="000000"/>
          <w:sz w:val="32"/>
          <w:szCs w:val="32"/>
        </w:rPr>
      </w:pPr>
      <w:r>
        <w:rPr>
          <w:rFonts w:hint="default" w:ascii="Times New Roman" w:hAnsi="Times New Roman" w:eastAsia="楷体" w:cs="Times New Roman"/>
          <w:b/>
          <w:bCs/>
          <w:sz w:val="32"/>
          <w:szCs w:val="32"/>
        </w:rPr>
        <w:t>裁量因素：</w:t>
      </w:r>
    </w:p>
    <w:p w14:paraId="7C686E71">
      <w:pPr>
        <w:keepNext w:val="0"/>
        <w:keepLines w:val="0"/>
        <w:pageBreakBefore w:val="0"/>
        <w:widowControl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1</w:t>
      </w:r>
      <w:r>
        <w:rPr>
          <w:rFonts w:hint="eastAsia" w:ascii="Times New Roman" w:hAnsi="Times New Roman" w:eastAsia="仿宋" w:cs="Times New Roman"/>
          <w:sz w:val="32"/>
          <w:szCs w:val="32"/>
          <w:lang w:val="en-US" w:eastAsia="zh-CN"/>
        </w:rPr>
        <w:t>、非道路移动机械数量</w:t>
      </w:r>
      <w:r>
        <w:rPr>
          <w:rFonts w:hint="default" w:ascii="Times New Roman" w:hAnsi="Times New Roman" w:eastAsia="仿宋" w:cs="Times New Roman"/>
          <w:sz w:val="32"/>
          <w:szCs w:val="32"/>
          <w:lang w:val="en-US" w:eastAsia="zh-CN"/>
        </w:rPr>
        <w:t>判定标准：</w:t>
      </w:r>
      <w:r>
        <w:rPr>
          <w:rFonts w:hint="eastAsia" w:ascii="Times New Roman" w:hAnsi="Times New Roman" w:eastAsia="仿宋" w:cs="Times New Roman"/>
          <w:sz w:val="32"/>
          <w:szCs w:val="32"/>
          <w:lang w:val="en-US" w:eastAsia="zh-CN"/>
        </w:rPr>
        <w:t>1台</w:t>
      </w:r>
      <w:r>
        <w:rPr>
          <w:rFonts w:hint="default" w:ascii="Times New Roman" w:hAnsi="Times New Roman" w:eastAsia="仿宋" w:cs="Times New Roman"/>
          <w:sz w:val="32"/>
          <w:szCs w:val="32"/>
          <w:lang w:val="en-US" w:eastAsia="zh-CN"/>
        </w:rPr>
        <w:t>。裁量等级：1；</w:t>
      </w:r>
    </w:p>
    <w:p w14:paraId="0A66B504">
      <w:pPr>
        <w:keepNext w:val="0"/>
        <w:keepLines w:val="0"/>
        <w:pageBreakBefore w:val="0"/>
        <w:widowControl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2、</w:t>
      </w:r>
      <w:r>
        <w:rPr>
          <w:rFonts w:hint="eastAsia" w:ascii="Times New Roman" w:hAnsi="Times New Roman" w:eastAsia="仿宋" w:cs="Times New Roman"/>
          <w:sz w:val="32"/>
          <w:szCs w:val="32"/>
          <w:lang w:val="en-US" w:eastAsia="zh-CN"/>
        </w:rPr>
        <w:t>违法行为发生时期环境敏感度</w:t>
      </w:r>
      <w:r>
        <w:rPr>
          <w:rFonts w:hint="default" w:ascii="Times New Roman" w:hAnsi="Times New Roman" w:eastAsia="仿宋" w:cs="Times New Roman"/>
          <w:sz w:val="32"/>
          <w:szCs w:val="32"/>
          <w:lang w:val="en-US" w:eastAsia="zh-CN"/>
        </w:rPr>
        <w:t>判定标准：</w:t>
      </w:r>
      <w:r>
        <w:rPr>
          <w:rFonts w:hint="eastAsia" w:ascii="Times New Roman" w:hAnsi="Times New Roman" w:eastAsia="仿宋" w:cs="Times New Roman"/>
          <w:sz w:val="32"/>
          <w:szCs w:val="32"/>
          <w:lang w:val="en-US" w:eastAsia="zh-CN"/>
        </w:rPr>
        <w:t>一般期间</w:t>
      </w:r>
      <w:r>
        <w:rPr>
          <w:rFonts w:hint="default" w:ascii="Times New Roman" w:hAnsi="Times New Roman" w:eastAsia="仿宋" w:cs="Times New Roman"/>
          <w:sz w:val="32"/>
          <w:szCs w:val="32"/>
          <w:lang w:val="en-US" w:eastAsia="zh-CN"/>
        </w:rPr>
        <w:t>。裁量等级：</w:t>
      </w:r>
      <w:r>
        <w:rPr>
          <w:rFonts w:hint="eastAsia" w:ascii="Times New Roman" w:hAnsi="Times New Roman" w:eastAsia="仿宋" w:cs="Times New Roman"/>
          <w:sz w:val="32"/>
          <w:szCs w:val="32"/>
          <w:lang w:val="en-US" w:eastAsia="zh-CN"/>
        </w:rPr>
        <w:t>1</w:t>
      </w:r>
      <w:r>
        <w:rPr>
          <w:rFonts w:hint="default" w:ascii="Times New Roman" w:hAnsi="Times New Roman" w:eastAsia="仿宋" w:cs="Times New Roman"/>
          <w:sz w:val="32"/>
          <w:szCs w:val="32"/>
          <w:lang w:val="en-US" w:eastAsia="zh-CN"/>
        </w:rPr>
        <w:t>；</w:t>
      </w:r>
    </w:p>
    <w:p w14:paraId="0532C078">
      <w:pPr>
        <w:keepNext w:val="0"/>
        <w:keepLines w:val="0"/>
        <w:pageBreakBefore w:val="0"/>
        <w:widowControl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3、</w:t>
      </w:r>
      <w:r>
        <w:rPr>
          <w:rFonts w:hint="eastAsia" w:ascii="Times New Roman" w:hAnsi="Times New Roman" w:eastAsia="仿宋" w:cs="Times New Roman"/>
          <w:sz w:val="32"/>
          <w:szCs w:val="32"/>
          <w:lang w:val="en-US" w:eastAsia="zh-CN"/>
        </w:rPr>
        <w:t>超过限期改正时间</w:t>
      </w:r>
      <w:r>
        <w:rPr>
          <w:rFonts w:hint="default" w:ascii="Times New Roman" w:hAnsi="Times New Roman" w:eastAsia="仿宋" w:cs="Times New Roman"/>
          <w:sz w:val="32"/>
          <w:szCs w:val="32"/>
          <w:lang w:val="en-US" w:eastAsia="zh-CN"/>
        </w:rPr>
        <w:t>判定标准：</w:t>
      </w:r>
      <w:r>
        <w:rPr>
          <w:rFonts w:hint="eastAsia" w:ascii="Times New Roman" w:hAnsi="Times New Roman" w:eastAsia="仿宋" w:cs="Times New Roman"/>
          <w:sz w:val="32"/>
          <w:szCs w:val="32"/>
          <w:lang w:val="en-US" w:eastAsia="zh-CN"/>
        </w:rPr>
        <w:t>限期改正</w:t>
      </w:r>
      <w:r>
        <w:rPr>
          <w:rFonts w:hint="default" w:ascii="Times New Roman" w:hAnsi="Times New Roman" w:eastAsia="仿宋" w:cs="Times New Roman"/>
          <w:sz w:val="32"/>
          <w:szCs w:val="32"/>
          <w:lang w:val="en-US" w:eastAsia="zh-CN"/>
        </w:rPr>
        <w:t>。裁量等级：1；</w:t>
      </w:r>
    </w:p>
    <w:p w14:paraId="061F1038">
      <w:pPr>
        <w:keepNext w:val="0"/>
        <w:keepLines w:val="0"/>
        <w:pageBreakBefore w:val="0"/>
        <w:widowControl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4、</w:t>
      </w:r>
      <w:r>
        <w:rPr>
          <w:rFonts w:hint="eastAsia" w:ascii="Times New Roman" w:hAnsi="Times New Roman" w:eastAsia="仿宋" w:cs="Times New Roman"/>
          <w:sz w:val="32"/>
          <w:szCs w:val="32"/>
          <w:lang w:val="en-US" w:eastAsia="zh-CN"/>
        </w:rPr>
        <w:t>受处罚次数</w:t>
      </w:r>
      <w:r>
        <w:rPr>
          <w:rFonts w:hint="default" w:ascii="Times New Roman" w:hAnsi="Times New Roman" w:eastAsia="仿宋" w:cs="Times New Roman"/>
          <w:sz w:val="32"/>
          <w:szCs w:val="32"/>
          <w:lang w:val="en-US" w:eastAsia="zh-CN"/>
        </w:rPr>
        <w:t>判定标准：</w:t>
      </w:r>
      <w:r>
        <w:rPr>
          <w:rFonts w:hint="eastAsia" w:ascii="Times New Roman" w:hAnsi="Times New Roman" w:eastAsia="仿宋" w:cs="Times New Roman"/>
          <w:sz w:val="32"/>
          <w:szCs w:val="32"/>
          <w:lang w:val="en-US" w:eastAsia="zh-CN"/>
        </w:rPr>
        <w:t>两年内未受到过同类处罚</w:t>
      </w:r>
      <w:r>
        <w:rPr>
          <w:rFonts w:hint="default" w:ascii="Times New Roman" w:hAnsi="Times New Roman" w:eastAsia="仿宋" w:cs="Times New Roman"/>
          <w:sz w:val="32"/>
          <w:szCs w:val="32"/>
          <w:lang w:val="en-US" w:eastAsia="zh-CN"/>
        </w:rPr>
        <w:t>。裁量等级：1；</w:t>
      </w:r>
    </w:p>
    <w:p w14:paraId="1FC03E38">
      <w:pPr>
        <w:keepNext w:val="0"/>
        <w:keepLines w:val="0"/>
        <w:pageBreakBefore w:val="0"/>
        <w:widowControl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5、</w:t>
      </w:r>
      <w:r>
        <w:rPr>
          <w:rFonts w:hint="eastAsia" w:ascii="Times New Roman" w:hAnsi="Times New Roman" w:eastAsia="仿宋" w:cs="Times New Roman"/>
          <w:sz w:val="32"/>
          <w:szCs w:val="32"/>
          <w:lang w:val="en-US" w:eastAsia="zh-CN"/>
        </w:rPr>
        <w:t>是否配合执法检查</w:t>
      </w:r>
      <w:r>
        <w:rPr>
          <w:rFonts w:hint="default" w:ascii="Times New Roman" w:hAnsi="Times New Roman" w:eastAsia="仿宋" w:cs="Times New Roman"/>
          <w:sz w:val="32"/>
          <w:szCs w:val="32"/>
          <w:lang w:val="en-US" w:eastAsia="zh-CN"/>
        </w:rPr>
        <w:t>判定标准：</w:t>
      </w:r>
      <w:r>
        <w:rPr>
          <w:rFonts w:hint="eastAsia" w:ascii="Times New Roman" w:hAnsi="Times New Roman" w:eastAsia="仿宋" w:cs="Times New Roman"/>
          <w:sz w:val="32"/>
          <w:szCs w:val="32"/>
          <w:lang w:val="en-US" w:eastAsia="zh-CN"/>
        </w:rPr>
        <w:t>配合检查</w:t>
      </w:r>
      <w:r>
        <w:rPr>
          <w:rFonts w:hint="default" w:ascii="Times New Roman" w:hAnsi="Times New Roman" w:eastAsia="仿宋" w:cs="Times New Roman"/>
          <w:sz w:val="32"/>
          <w:szCs w:val="32"/>
          <w:lang w:val="en-US" w:eastAsia="zh-CN"/>
        </w:rPr>
        <w:t>。裁量等级：</w:t>
      </w:r>
      <w:r>
        <w:rPr>
          <w:rFonts w:hint="eastAsia" w:ascii="Times New Roman" w:hAnsi="Times New Roman" w:eastAsia="仿宋" w:cs="Times New Roman"/>
          <w:sz w:val="32"/>
          <w:szCs w:val="32"/>
          <w:lang w:val="en-US" w:eastAsia="zh-CN"/>
        </w:rPr>
        <w:t>1</w:t>
      </w:r>
      <w:r>
        <w:rPr>
          <w:rFonts w:hint="default" w:ascii="Times New Roman" w:hAnsi="Times New Roman" w:eastAsia="仿宋" w:cs="Times New Roman"/>
          <w:sz w:val="32"/>
          <w:szCs w:val="32"/>
          <w:lang w:val="en-US" w:eastAsia="zh-CN"/>
        </w:rPr>
        <w:t>；</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4"/>
        <w:gridCol w:w="916"/>
        <w:gridCol w:w="1056"/>
        <w:gridCol w:w="500"/>
        <w:gridCol w:w="447"/>
        <w:gridCol w:w="575"/>
        <w:gridCol w:w="575"/>
        <w:gridCol w:w="575"/>
        <w:gridCol w:w="575"/>
      </w:tblGrid>
      <w:tr w14:paraId="666E5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4" w:type="dxa"/>
            <w:tcBorders>
              <w:top w:val="single" w:color="auto" w:sz="4" w:space="0"/>
              <w:left w:val="single" w:color="auto" w:sz="4" w:space="0"/>
              <w:bottom w:val="single" w:color="auto" w:sz="4" w:space="0"/>
              <w:right w:val="single" w:color="auto" w:sz="4" w:space="0"/>
            </w:tcBorders>
            <w:shd w:val="clear" w:color="auto" w:fill="auto"/>
            <w:vAlign w:val="center"/>
          </w:tcPr>
          <w:p w14:paraId="0CBF4D42">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参数</w:t>
            </w:r>
          </w:p>
        </w:tc>
        <w:tc>
          <w:tcPr>
            <w:tcW w:w="916" w:type="dxa"/>
            <w:tcBorders>
              <w:top w:val="single" w:color="auto" w:sz="4" w:space="0"/>
              <w:left w:val="single" w:color="auto" w:sz="4" w:space="0"/>
              <w:bottom w:val="single" w:color="auto" w:sz="4" w:space="0"/>
              <w:right w:val="single" w:color="auto" w:sz="4" w:space="0"/>
            </w:tcBorders>
            <w:shd w:val="clear" w:color="auto" w:fill="auto"/>
            <w:vAlign w:val="center"/>
          </w:tcPr>
          <w:p w14:paraId="756A6D78">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N</w:t>
            </w:r>
          </w:p>
        </w:tc>
        <w:tc>
          <w:tcPr>
            <w:tcW w:w="1056" w:type="dxa"/>
            <w:tcBorders>
              <w:top w:val="single" w:color="auto" w:sz="4" w:space="0"/>
              <w:left w:val="single" w:color="auto" w:sz="4" w:space="0"/>
              <w:bottom w:val="single" w:color="auto" w:sz="4" w:space="0"/>
              <w:right w:val="single" w:color="auto" w:sz="4" w:space="0"/>
            </w:tcBorders>
            <w:shd w:val="clear" w:color="auto" w:fill="auto"/>
            <w:vAlign w:val="center"/>
          </w:tcPr>
          <w:p w14:paraId="6B498B75">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M</w:t>
            </w:r>
          </w:p>
        </w:tc>
        <w:tc>
          <w:tcPr>
            <w:tcW w:w="500" w:type="dxa"/>
            <w:tcBorders>
              <w:top w:val="single" w:color="auto" w:sz="4" w:space="0"/>
              <w:left w:val="single" w:color="auto" w:sz="4" w:space="0"/>
              <w:bottom w:val="single" w:color="auto" w:sz="4" w:space="0"/>
              <w:right w:val="single" w:color="auto" w:sz="4" w:space="0"/>
            </w:tcBorders>
            <w:shd w:val="clear" w:color="auto" w:fill="auto"/>
            <w:vAlign w:val="center"/>
          </w:tcPr>
          <w:p w14:paraId="23EA21FA">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A</w:t>
            </w:r>
          </w:p>
        </w:tc>
        <w:tc>
          <w:tcPr>
            <w:tcW w:w="447" w:type="dxa"/>
            <w:tcBorders>
              <w:top w:val="single" w:color="auto" w:sz="4" w:space="0"/>
              <w:left w:val="single" w:color="auto" w:sz="4" w:space="0"/>
              <w:bottom w:val="single" w:color="auto" w:sz="4" w:space="0"/>
              <w:right w:val="single" w:color="auto" w:sz="4" w:space="0"/>
            </w:tcBorders>
            <w:shd w:val="clear" w:color="auto" w:fill="auto"/>
            <w:vAlign w:val="center"/>
          </w:tcPr>
          <w:p w14:paraId="14C725A8">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n</w:t>
            </w:r>
          </w:p>
        </w:tc>
        <w:tc>
          <w:tcPr>
            <w:tcW w:w="575" w:type="dxa"/>
            <w:tcBorders>
              <w:top w:val="single" w:color="auto" w:sz="4" w:space="0"/>
              <w:left w:val="single" w:color="auto" w:sz="4" w:space="0"/>
              <w:bottom w:val="single" w:color="auto" w:sz="4" w:space="0"/>
              <w:right w:val="single" w:color="auto" w:sz="4" w:space="0"/>
            </w:tcBorders>
            <w:shd w:val="clear" w:color="auto" w:fill="auto"/>
            <w:vAlign w:val="center"/>
          </w:tcPr>
          <w:p w14:paraId="4C3089BE">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1</w:t>
            </w:r>
          </w:p>
        </w:tc>
        <w:tc>
          <w:tcPr>
            <w:tcW w:w="575" w:type="dxa"/>
            <w:tcBorders>
              <w:top w:val="single" w:color="auto" w:sz="4" w:space="0"/>
              <w:left w:val="single" w:color="auto" w:sz="4" w:space="0"/>
              <w:bottom w:val="single" w:color="auto" w:sz="4" w:space="0"/>
              <w:right w:val="single" w:color="auto" w:sz="4" w:space="0"/>
            </w:tcBorders>
            <w:shd w:val="clear" w:color="auto" w:fill="auto"/>
            <w:vAlign w:val="center"/>
          </w:tcPr>
          <w:p w14:paraId="4ABA0323">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2</w:t>
            </w:r>
          </w:p>
        </w:tc>
        <w:tc>
          <w:tcPr>
            <w:tcW w:w="575" w:type="dxa"/>
            <w:tcBorders>
              <w:top w:val="single" w:color="auto" w:sz="4" w:space="0"/>
              <w:left w:val="single" w:color="auto" w:sz="4" w:space="0"/>
              <w:bottom w:val="single" w:color="auto" w:sz="4" w:space="0"/>
              <w:right w:val="single" w:color="auto" w:sz="4" w:space="0"/>
            </w:tcBorders>
            <w:shd w:val="clear" w:color="auto" w:fill="auto"/>
            <w:vAlign w:val="center"/>
          </w:tcPr>
          <w:p w14:paraId="0CF2FDED">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3</w:t>
            </w:r>
          </w:p>
        </w:tc>
        <w:tc>
          <w:tcPr>
            <w:tcW w:w="575" w:type="dxa"/>
            <w:tcBorders>
              <w:top w:val="single" w:color="auto" w:sz="4" w:space="0"/>
              <w:left w:val="single" w:color="auto" w:sz="4" w:space="0"/>
              <w:bottom w:val="single" w:color="auto" w:sz="4" w:space="0"/>
              <w:right w:val="single" w:color="auto" w:sz="4" w:space="0"/>
            </w:tcBorders>
            <w:shd w:val="clear" w:color="auto" w:fill="auto"/>
            <w:vAlign w:val="center"/>
          </w:tcPr>
          <w:p w14:paraId="6B626F17">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4</w:t>
            </w:r>
          </w:p>
        </w:tc>
      </w:tr>
      <w:tr w14:paraId="6D3CB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4" w:type="dxa"/>
            <w:tcBorders>
              <w:top w:val="single" w:color="auto" w:sz="4" w:space="0"/>
              <w:left w:val="single" w:color="auto" w:sz="4" w:space="0"/>
              <w:bottom w:val="single" w:color="auto" w:sz="4" w:space="0"/>
              <w:right w:val="single" w:color="auto" w:sz="4" w:space="0"/>
            </w:tcBorders>
            <w:shd w:val="clear" w:color="auto" w:fill="auto"/>
            <w:vAlign w:val="center"/>
          </w:tcPr>
          <w:p w14:paraId="696549A3">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取值</w:t>
            </w:r>
          </w:p>
        </w:tc>
        <w:tc>
          <w:tcPr>
            <w:tcW w:w="916" w:type="dxa"/>
            <w:tcBorders>
              <w:top w:val="single" w:color="auto" w:sz="4" w:space="0"/>
              <w:left w:val="single" w:color="auto" w:sz="4" w:space="0"/>
              <w:bottom w:val="single" w:color="auto" w:sz="4" w:space="0"/>
              <w:right w:val="single" w:color="auto" w:sz="4" w:space="0"/>
            </w:tcBorders>
            <w:shd w:val="clear" w:color="auto" w:fill="auto"/>
            <w:vAlign w:val="center"/>
          </w:tcPr>
          <w:p w14:paraId="122C38DE">
            <w:pPr>
              <w:adjustRightInd w:val="0"/>
              <w:snapToGrid w:val="0"/>
              <w:spacing w:line="600" w:lineRule="exact"/>
              <w:jc w:val="center"/>
              <w:rPr>
                <w:rFonts w:hint="default" w:ascii="Times New Roman" w:hAnsi="Times New Roman" w:eastAsia="仿宋" w:cs="Times New Roman"/>
                <w:sz w:val="28"/>
                <w:szCs w:val="28"/>
                <w:lang w:val="en-US" w:eastAsia="zh-CN"/>
              </w:rPr>
            </w:pPr>
            <w:r>
              <w:rPr>
                <w:rFonts w:hint="eastAsia" w:eastAsia="仿宋" w:cs="Times New Roman"/>
                <w:sz w:val="28"/>
                <w:szCs w:val="28"/>
                <w:lang w:val="en-US" w:eastAsia="zh-CN"/>
              </w:rPr>
              <w:t>5000</w:t>
            </w:r>
          </w:p>
        </w:tc>
        <w:tc>
          <w:tcPr>
            <w:tcW w:w="1056" w:type="dxa"/>
            <w:tcBorders>
              <w:top w:val="single" w:color="auto" w:sz="4" w:space="0"/>
              <w:left w:val="single" w:color="auto" w:sz="4" w:space="0"/>
              <w:bottom w:val="single" w:color="auto" w:sz="4" w:space="0"/>
              <w:right w:val="single" w:color="auto" w:sz="4" w:space="0"/>
            </w:tcBorders>
            <w:shd w:val="clear" w:color="auto" w:fill="auto"/>
            <w:vAlign w:val="center"/>
          </w:tcPr>
          <w:p w14:paraId="32E984C7">
            <w:pPr>
              <w:adjustRightInd w:val="0"/>
              <w:snapToGrid w:val="0"/>
              <w:spacing w:line="600" w:lineRule="exact"/>
              <w:jc w:val="center"/>
              <w:rPr>
                <w:rFonts w:hint="default" w:ascii="Times New Roman" w:hAnsi="Times New Roman" w:eastAsia="仿宋" w:cs="Times New Roman"/>
                <w:sz w:val="28"/>
                <w:szCs w:val="28"/>
              </w:rPr>
            </w:pPr>
            <w:r>
              <w:rPr>
                <w:rFonts w:hint="default" w:ascii="仿宋" w:hAnsi="仿宋" w:eastAsia="仿宋" w:cs="Times New Roman"/>
                <w:sz w:val="28"/>
                <w:szCs w:val="28"/>
                <w:lang w:bidi="ar"/>
              </w:rPr>
              <w:t>20000</w:t>
            </w:r>
          </w:p>
        </w:tc>
        <w:tc>
          <w:tcPr>
            <w:tcW w:w="500" w:type="dxa"/>
            <w:tcBorders>
              <w:top w:val="single" w:color="auto" w:sz="4" w:space="0"/>
              <w:left w:val="single" w:color="auto" w:sz="4" w:space="0"/>
              <w:bottom w:val="single" w:color="auto" w:sz="4" w:space="0"/>
              <w:right w:val="single" w:color="auto" w:sz="4" w:space="0"/>
            </w:tcBorders>
            <w:shd w:val="clear" w:color="auto" w:fill="auto"/>
            <w:vAlign w:val="center"/>
          </w:tcPr>
          <w:p w14:paraId="47E08174">
            <w:pPr>
              <w:adjustRightInd w:val="0"/>
              <w:snapToGrid w:val="0"/>
              <w:spacing w:line="600" w:lineRule="exact"/>
              <w:jc w:val="center"/>
              <w:rPr>
                <w:rFonts w:hint="default" w:ascii="Times New Roman" w:hAnsi="Times New Roman" w:eastAsia="仿宋" w:cs="Times New Roman"/>
                <w:sz w:val="28"/>
                <w:szCs w:val="28"/>
              </w:rPr>
            </w:pPr>
            <w:r>
              <w:rPr>
                <w:rFonts w:hint="default" w:ascii="仿宋" w:hAnsi="仿宋" w:eastAsia="仿宋" w:cs="Times New Roman"/>
                <w:sz w:val="28"/>
                <w:szCs w:val="28"/>
                <w:lang w:bidi="ar"/>
              </w:rPr>
              <w:t>1</w:t>
            </w:r>
          </w:p>
        </w:tc>
        <w:tc>
          <w:tcPr>
            <w:tcW w:w="447" w:type="dxa"/>
            <w:tcBorders>
              <w:top w:val="single" w:color="auto" w:sz="4" w:space="0"/>
              <w:left w:val="single" w:color="auto" w:sz="4" w:space="0"/>
              <w:bottom w:val="single" w:color="auto" w:sz="4" w:space="0"/>
              <w:right w:val="single" w:color="auto" w:sz="4" w:space="0"/>
            </w:tcBorders>
            <w:shd w:val="clear" w:color="auto" w:fill="auto"/>
            <w:vAlign w:val="center"/>
          </w:tcPr>
          <w:p w14:paraId="1DF4A98D">
            <w:pPr>
              <w:adjustRightInd w:val="0"/>
              <w:snapToGrid w:val="0"/>
              <w:spacing w:line="600" w:lineRule="exact"/>
              <w:jc w:val="center"/>
              <w:rPr>
                <w:rFonts w:hint="eastAsia" w:ascii="Times New Roman" w:hAnsi="Times New Roman" w:eastAsia="仿宋" w:cs="Times New Roman"/>
                <w:sz w:val="28"/>
                <w:szCs w:val="28"/>
                <w:lang w:val="en-US" w:eastAsia="zh-CN"/>
              </w:rPr>
            </w:pPr>
            <w:r>
              <w:rPr>
                <w:rFonts w:hint="eastAsia" w:eastAsia="仿宋" w:cs="Times New Roman"/>
                <w:sz w:val="28"/>
                <w:szCs w:val="28"/>
                <w:lang w:val="en-US" w:eastAsia="zh-CN"/>
              </w:rPr>
              <w:t>4</w:t>
            </w:r>
          </w:p>
        </w:tc>
        <w:tc>
          <w:tcPr>
            <w:tcW w:w="575" w:type="dxa"/>
            <w:tcBorders>
              <w:top w:val="single" w:color="auto" w:sz="4" w:space="0"/>
              <w:left w:val="single" w:color="auto" w:sz="4" w:space="0"/>
              <w:bottom w:val="single" w:color="auto" w:sz="4" w:space="0"/>
              <w:right w:val="single" w:color="auto" w:sz="4" w:space="0"/>
            </w:tcBorders>
            <w:shd w:val="clear" w:color="auto" w:fill="auto"/>
            <w:vAlign w:val="center"/>
          </w:tcPr>
          <w:p w14:paraId="0FAC2920">
            <w:pPr>
              <w:adjustRightInd w:val="0"/>
              <w:snapToGrid w:val="0"/>
              <w:spacing w:line="600" w:lineRule="exact"/>
              <w:jc w:val="center"/>
              <w:rPr>
                <w:rFonts w:hint="eastAsia" w:ascii="Times New Roman" w:hAnsi="Times New Roman" w:eastAsia="仿宋" w:cs="Times New Roman"/>
                <w:sz w:val="28"/>
                <w:szCs w:val="28"/>
                <w:lang w:val="en-US" w:eastAsia="zh-CN"/>
              </w:rPr>
            </w:pPr>
            <w:r>
              <w:rPr>
                <w:rFonts w:hint="eastAsia" w:eastAsia="仿宋" w:cs="Times New Roman"/>
                <w:sz w:val="28"/>
                <w:szCs w:val="28"/>
                <w:lang w:val="en-US" w:eastAsia="zh-CN"/>
              </w:rPr>
              <w:t>1</w:t>
            </w:r>
          </w:p>
        </w:tc>
        <w:tc>
          <w:tcPr>
            <w:tcW w:w="575" w:type="dxa"/>
            <w:tcBorders>
              <w:top w:val="single" w:color="auto" w:sz="4" w:space="0"/>
              <w:left w:val="single" w:color="auto" w:sz="4" w:space="0"/>
              <w:bottom w:val="single" w:color="auto" w:sz="4" w:space="0"/>
              <w:right w:val="single" w:color="auto" w:sz="4" w:space="0"/>
            </w:tcBorders>
            <w:shd w:val="clear" w:color="auto" w:fill="auto"/>
            <w:vAlign w:val="center"/>
          </w:tcPr>
          <w:p w14:paraId="63D33B6B">
            <w:pPr>
              <w:adjustRightInd w:val="0"/>
              <w:snapToGrid w:val="0"/>
              <w:spacing w:line="600" w:lineRule="exact"/>
              <w:jc w:val="center"/>
              <w:rPr>
                <w:rFonts w:hint="default" w:ascii="Times New Roman" w:hAnsi="Times New Roman" w:eastAsia="仿宋" w:cs="Times New Roman"/>
                <w:sz w:val="28"/>
                <w:szCs w:val="28"/>
              </w:rPr>
            </w:pPr>
            <w:r>
              <w:rPr>
                <w:rFonts w:hint="default" w:ascii="仿宋" w:hAnsi="仿宋" w:eastAsia="仿宋" w:cs="Times New Roman"/>
                <w:sz w:val="28"/>
                <w:szCs w:val="28"/>
                <w:lang w:bidi="ar"/>
              </w:rPr>
              <w:t>1</w:t>
            </w:r>
          </w:p>
        </w:tc>
        <w:tc>
          <w:tcPr>
            <w:tcW w:w="575" w:type="dxa"/>
            <w:tcBorders>
              <w:top w:val="single" w:color="auto" w:sz="4" w:space="0"/>
              <w:left w:val="single" w:color="auto" w:sz="4" w:space="0"/>
              <w:bottom w:val="single" w:color="auto" w:sz="4" w:space="0"/>
              <w:right w:val="single" w:color="auto" w:sz="4" w:space="0"/>
            </w:tcBorders>
            <w:shd w:val="clear" w:color="auto" w:fill="auto"/>
            <w:vAlign w:val="center"/>
          </w:tcPr>
          <w:p w14:paraId="1521B94A">
            <w:pPr>
              <w:adjustRightInd w:val="0"/>
              <w:snapToGrid w:val="0"/>
              <w:spacing w:line="600" w:lineRule="exact"/>
              <w:jc w:val="center"/>
              <w:rPr>
                <w:rFonts w:hint="default" w:ascii="Times New Roman" w:hAnsi="Times New Roman" w:eastAsia="仿宋" w:cs="Times New Roman"/>
                <w:sz w:val="28"/>
                <w:szCs w:val="28"/>
              </w:rPr>
            </w:pPr>
            <w:r>
              <w:rPr>
                <w:rFonts w:hint="default" w:ascii="仿宋" w:hAnsi="仿宋" w:eastAsia="仿宋" w:cs="Times New Roman"/>
                <w:sz w:val="28"/>
                <w:szCs w:val="28"/>
                <w:lang w:bidi="ar"/>
              </w:rPr>
              <w:t>1</w:t>
            </w:r>
          </w:p>
        </w:tc>
        <w:tc>
          <w:tcPr>
            <w:tcW w:w="575" w:type="dxa"/>
            <w:tcBorders>
              <w:top w:val="single" w:color="auto" w:sz="4" w:space="0"/>
              <w:left w:val="single" w:color="auto" w:sz="4" w:space="0"/>
              <w:bottom w:val="single" w:color="auto" w:sz="4" w:space="0"/>
              <w:right w:val="single" w:color="auto" w:sz="4" w:space="0"/>
            </w:tcBorders>
            <w:shd w:val="clear" w:color="auto" w:fill="auto"/>
            <w:vAlign w:val="center"/>
          </w:tcPr>
          <w:p w14:paraId="6D2F420B">
            <w:pPr>
              <w:adjustRightInd w:val="0"/>
              <w:snapToGrid w:val="0"/>
              <w:spacing w:line="600" w:lineRule="exact"/>
              <w:jc w:val="center"/>
              <w:rPr>
                <w:rFonts w:hint="eastAsia" w:ascii="Times New Roman" w:hAnsi="Times New Roman" w:eastAsia="仿宋" w:cs="Times New Roman"/>
                <w:sz w:val="28"/>
                <w:szCs w:val="28"/>
                <w:lang w:val="en-US" w:eastAsia="zh-CN"/>
              </w:rPr>
            </w:pPr>
            <w:r>
              <w:rPr>
                <w:rFonts w:hint="eastAsia" w:eastAsia="仿宋" w:cs="Times New Roman"/>
                <w:sz w:val="28"/>
                <w:szCs w:val="28"/>
                <w:lang w:val="en-US" w:eastAsia="zh-CN"/>
              </w:rPr>
              <w:t>1</w:t>
            </w:r>
          </w:p>
        </w:tc>
      </w:tr>
    </w:tbl>
    <w:p w14:paraId="4557C063">
      <w:pPr>
        <w:ind w:firstLine="560" w:firstLineChars="200"/>
        <w:rPr>
          <w:rFonts w:hint="default" w:ascii="Times New Roman" w:hAnsi="Times New Roman" w:cs="Times New Roman"/>
          <w:szCs w:val="32"/>
        </w:rPr>
      </w:pPr>
      <w:r>
        <w:rPr>
          <w:rFonts w:hint="default" w:ascii="Times New Roman" w:hAnsi="Times New Roman" w:cs="Times New Roman"/>
          <w:sz w:val="28"/>
          <w:szCs w:val="28"/>
        </w:rPr>
        <w:t>X=</w:t>
      </w:r>
      <w:r>
        <w:rPr>
          <w:rFonts w:hint="eastAsia" w:ascii="Times New Roman" w:hAnsi="Times New Roman" w:cs="Times New Roman"/>
          <w:sz w:val="28"/>
          <w:szCs w:val="28"/>
          <w:lang w:val="en-US" w:eastAsia="zh-CN"/>
        </w:rPr>
        <w:t>5000</w:t>
      </w:r>
      <w:r>
        <w:rPr>
          <w:rFonts w:hint="default" w:ascii="Times New Roman" w:hAnsi="Times New Roman" w:cs="Times New Roman"/>
          <w:sz w:val="28"/>
          <w:szCs w:val="28"/>
        </w:rPr>
        <w:t>+(20000-</w:t>
      </w:r>
      <w:r>
        <w:rPr>
          <w:rFonts w:hint="eastAsia" w:cs="Times New Roman"/>
          <w:sz w:val="28"/>
          <w:szCs w:val="28"/>
          <w:lang w:val="en-US" w:eastAsia="zh-CN"/>
        </w:rPr>
        <w:t>5000</w:t>
      </w:r>
      <w:r>
        <w:rPr>
          <w:rFonts w:hint="default" w:ascii="Times New Roman" w:hAnsi="Times New Roman" w:cs="Times New Roman"/>
          <w:sz w:val="28"/>
          <w:szCs w:val="28"/>
        </w:rPr>
        <w:t>)×[(1/5)</w:t>
      </w:r>
      <w:r>
        <w:rPr>
          <w:rFonts w:hint="default" w:ascii="Times New Roman" w:hAnsi="Times New Roman" w:cs="Times New Roman"/>
          <w:sz w:val="28"/>
          <w:szCs w:val="28"/>
          <w:vertAlign w:val="superscript"/>
        </w:rPr>
        <w:t>2</w:t>
      </w:r>
      <w:r>
        <w:rPr>
          <w:rFonts w:hint="default" w:ascii="Times New Roman" w:hAnsi="Times New Roman" w:cs="Times New Roman"/>
          <w:sz w:val="28"/>
          <w:szCs w:val="28"/>
        </w:rPr>
        <w:t>+(</w:t>
      </w:r>
      <w:r>
        <w:rPr>
          <w:rFonts w:hint="eastAsia" w:cs="Times New Roman"/>
          <w:sz w:val="28"/>
          <w:szCs w:val="28"/>
          <w:lang w:val="en-US" w:eastAsia="zh-CN"/>
        </w:rPr>
        <w:t>1</w:t>
      </w:r>
      <w:r>
        <w:rPr>
          <w:rFonts w:hint="default" w:ascii="Times New Roman" w:hAnsi="Times New Roman" w:cs="Times New Roman"/>
          <w:sz w:val="28"/>
          <w:szCs w:val="28"/>
          <w:vertAlign w:val="superscript"/>
        </w:rPr>
        <w:t>2</w:t>
      </w:r>
      <w:r>
        <w:rPr>
          <w:rFonts w:hint="default" w:ascii="Times New Roman" w:hAnsi="Times New Roman" w:cs="Times New Roman"/>
          <w:sz w:val="28"/>
          <w:szCs w:val="28"/>
        </w:rPr>
        <w:t>+1</w:t>
      </w:r>
      <w:r>
        <w:rPr>
          <w:rFonts w:hint="default" w:ascii="Times New Roman" w:hAnsi="Times New Roman" w:cs="Times New Roman"/>
          <w:sz w:val="28"/>
          <w:szCs w:val="28"/>
          <w:vertAlign w:val="superscript"/>
        </w:rPr>
        <w:t>2</w:t>
      </w:r>
      <w:r>
        <w:rPr>
          <w:rFonts w:hint="default" w:ascii="Times New Roman" w:hAnsi="Times New Roman" w:cs="Times New Roman"/>
          <w:sz w:val="28"/>
          <w:szCs w:val="28"/>
        </w:rPr>
        <w:t>+1</w:t>
      </w:r>
      <w:r>
        <w:rPr>
          <w:rFonts w:hint="default" w:ascii="Times New Roman" w:hAnsi="Times New Roman" w:cs="Times New Roman"/>
          <w:sz w:val="28"/>
          <w:szCs w:val="28"/>
          <w:vertAlign w:val="superscript"/>
        </w:rPr>
        <w:t>2</w:t>
      </w:r>
      <w:r>
        <w:rPr>
          <w:rFonts w:hint="default" w:ascii="Times New Roman" w:hAnsi="Times New Roman" w:cs="Times New Roman"/>
          <w:sz w:val="28"/>
          <w:szCs w:val="28"/>
        </w:rPr>
        <w:t>+</w:t>
      </w:r>
      <w:r>
        <w:rPr>
          <w:rFonts w:hint="eastAsia" w:cs="Times New Roman"/>
          <w:sz w:val="28"/>
          <w:szCs w:val="28"/>
          <w:lang w:val="en-US" w:eastAsia="zh-CN"/>
        </w:rPr>
        <w:t>1</w:t>
      </w:r>
      <w:r>
        <w:rPr>
          <w:rFonts w:hint="default" w:ascii="Times New Roman" w:hAnsi="Times New Roman" w:cs="Times New Roman"/>
          <w:sz w:val="28"/>
          <w:szCs w:val="28"/>
          <w:vertAlign w:val="superscript"/>
        </w:rPr>
        <w:t>2</w:t>
      </w:r>
      <w:r>
        <w:rPr>
          <w:rFonts w:hint="default" w:ascii="Times New Roman" w:hAnsi="Times New Roman" w:cs="Times New Roman"/>
          <w:sz w:val="28"/>
          <w:szCs w:val="28"/>
        </w:rPr>
        <w:t>)/(5</w:t>
      </w:r>
      <w:r>
        <w:rPr>
          <w:rFonts w:hint="default" w:ascii="Times New Roman" w:hAnsi="Times New Roman" w:cs="Times New Roman"/>
          <w:sz w:val="28"/>
          <w:szCs w:val="28"/>
          <w:vertAlign w:val="superscript"/>
        </w:rPr>
        <w:t>2</w:t>
      </w:r>
      <w:r>
        <w:rPr>
          <w:rFonts w:hint="default" w:ascii="Times New Roman" w:hAnsi="Times New Roman" w:cs="Times New Roman"/>
          <w:sz w:val="28"/>
          <w:szCs w:val="28"/>
        </w:rPr>
        <w:t>×</w:t>
      </w:r>
      <w:r>
        <w:rPr>
          <w:rFonts w:hint="eastAsia" w:cs="Times New Roman"/>
          <w:sz w:val="28"/>
          <w:szCs w:val="28"/>
          <w:lang w:val="en-US" w:eastAsia="zh-CN"/>
        </w:rPr>
        <w:t>4</w:t>
      </w:r>
      <w:r>
        <w:rPr>
          <w:rFonts w:hint="default" w:ascii="Times New Roman" w:hAnsi="Times New Roman" w:cs="Times New Roman"/>
          <w:sz w:val="28"/>
          <w:szCs w:val="28"/>
        </w:rPr>
        <w:t>)] ×50%=</w:t>
      </w:r>
      <w:r>
        <w:rPr>
          <w:rFonts w:hint="eastAsia" w:cs="Times New Roman"/>
          <w:sz w:val="28"/>
          <w:szCs w:val="28"/>
          <w:lang w:val="en-US" w:eastAsia="zh-CN"/>
        </w:rPr>
        <w:t>5600</w:t>
      </w:r>
    </w:p>
    <w:p w14:paraId="1FC08F0F">
      <w:pPr>
        <w:keepNext w:val="0"/>
        <w:keepLines w:val="0"/>
        <w:pageBreakBefore w:val="0"/>
        <w:widowControl/>
        <w:kinsoku/>
        <w:wordWrap/>
        <w:overflowPunct/>
        <w:topLinePunct w:val="0"/>
        <w:autoSpaceDE/>
        <w:autoSpaceDN/>
        <w:bidi w:val="0"/>
        <w:adjustRightInd/>
        <w:snapToGrid w:val="0"/>
        <w:spacing w:line="520" w:lineRule="exact"/>
        <w:ind w:firstLine="640" w:firstLineChars="200"/>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依据《河南省大气污染防治条例》第七十四条第二款 “违反本条例第四十三条第四款规定，在禁止使用高排放非道路移动机械的区域使用高排放非道路移动机械的，由城市人民政府环境保护主管部门或者其他负有大气环境保护监督管理职责的部门责令停止使用，处五千元以上二万元以下罚款</w:t>
      </w:r>
      <w:r>
        <w:rPr>
          <w:rFonts w:hint="eastAsia" w:eastAsia="仿宋" w:cs="Times New Roman"/>
          <w:sz w:val="32"/>
          <w:szCs w:val="32"/>
          <w:lang w:val="en-US" w:eastAsia="zh-CN"/>
        </w:rPr>
        <w:t>。</w:t>
      </w:r>
      <w:r>
        <w:rPr>
          <w:rFonts w:hint="default" w:ascii="Times New Roman" w:hAnsi="Times New Roman" w:eastAsia="仿宋" w:cs="Times New Roman"/>
          <w:kern w:val="2"/>
          <w:sz w:val="32"/>
          <w:szCs w:val="32"/>
          <w:lang w:val="en-US" w:eastAsia="zh-CN" w:bidi="ar-SA"/>
        </w:rPr>
        <w:t>”的规定</w:t>
      </w:r>
      <w:r>
        <w:rPr>
          <w:rFonts w:hint="default" w:ascii="Times New Roman" w:hAnsi="Times New Roman" w:eastAsia="仿宋" w:cs="Times New Roman"/>
          <w:sz w:val="32"/>
          <w:szCs w:val="32"/>
        </w:rPr>
        <w:t>，经集体研究，</w:t>
      </w:r>
      <w:r>
        <w:rPr>
          <w:rFonts w:hint="default" w:ascii="Times New Roman" w:hAnsi="Times New Roman" w:eastAsia="仿宋" w:cs="Times New Roman"/>
          <w:sz w:val="32"/>
          <w:szCs w:val="32"/>
          <w:lang w:val="en-US" w:eastAsia="zh-CN"/>
        </w:rPr>
        <w:t>我局对你在禁止使用高排放非道路移动机械的区域使用高排放非道路移动机械的违法行为</w:t>
      </w:r>
      <w:r>
        <w:rPr>
          <w:rFonts w:hint="eastAsia" w:eastAsia="仿宋" w:cs="Times New Roman"/>
          <w:sz w:val="32"/>
          <w:szCs w:val="32"/>
          <w:lang w:val="en-US" w:eastAsia="zh-CN"/>
        </w:rPr>
        <w:t>，并</w:t>
      </w:r>
      <w:r>
        <w:rPr>
          <w:rFonts w:hint="default" w:ascii="Times New Roman" w:hAnsi="Times New Roman" w:eastAsia="仿宋" w:cs="Times New Roman"/>
          <w:sz w:val="32"/>
          <w:szCs w:val="32"/>
          <w:lang w:val="en-US" w:eastAsia="zh-CN"/>
        </w:rPr>
        <w:t>作出以下处理决定：</w:t>
      </w:r>
    </w:p>
    <w:p w14:paraId="2BE3DDB9">
      <w:pPr>
        <w:keepNext w:val="0"/>
        <w:keepLines w:val="0"/>
        <w:pageBreakBefore w:val="0"/>
        <w:numPr>
          <w:ilvl w:val="0"/>
          <w:numId w:val="0"/>
        </w:numPr>
        <w:kinsoku/>
        <w:wordWrap/>
        <w:overflowPunct/>
        <w:topLinePunct w:val="0"/>
        <w:autoSpaceDE/>
        <w:autoSpaceDN/>
        <w:bidi w:val="0"/>
        <w:adjustRightInd/>
        <w:snapToGrid w:val="0"/>
        <w:spacing w:line="520" w:lineRule="exact"/>
        <w:ind w:firstLine="640" w:firstLineChars="200"/>
        <w:textAlignment w:val="auto"/>
        <w:rPr>
          <w:rFonts w:hint="default" w:ascii="Times New Roman" w:hAnsi="Times New Roman" w:eastAsia="仿宋" w:cs="Times New Roman"/>
          <w:sz w:val="32"/>
          <w:szCs w:val="32"/>
          <w:lang w:eastAsia="zh-CN"/>
        </w:rPr>
      </w:pPr>
      <w:r>
        <w:rPr>
          <w:rFonts w:hint="default" w:ascii="Times New Roman" w:hAnsi="Times New Roman" w:eastAsia="仿宋_GB2312" w:cs="Times New Roman"/>
          <w:sz w:val="32"/>
          <w:szCs w:val="32"/>
        </w:rPr>
        <w:t>罚款</w:t>
      </w:r>
      <w:r>
        <w:rPr>
          <w:rFonts w:hint="default" w:ascii="Times New Roman" w:hAnsi="Times New Roman" w:eastAsia="仿宋_GB2312" w:cs="Times New Roman"/>
          <w:sz w:val="32"/>
          <w:szCs w:val="32"/>
          <w:lang w:eastAsia="zh-CN"/>
        </w:rPr>
        <w:t>伍仟陆佰</w:t>
      </w:r>
      <w:r>
        <w:rPr>
          <w:rFonts w:hint="default" w:ascii="Times New Roman" w:hAnsi="Times New Roman" w:eastAsia="仿宋_GB2312" w:cs="Times New Roman"/>
          <w:sz w:val="32"/>
          <w:szCs w:val="32"/>
        </w:rPr>
        <w:t>元</w:t>
      </w:r>
      <w:r>
        <w:rPr>
          <w:rFonts w:hint="default" w:ascii="Times New Roman" w:hAnsi="Times New Roman" w:eastAsia="仿宋_GB2312" w:cs="Times New Roman"/>
          <w:sz w:val="32"/>
          <w:szCs w:val="32"/>
          <w:lang w:eastAsia="zh-CN"/>
        </w:rPr>
        <w:t>整（</w:t>
      </w:r>
      <w:r>
        <w:rPr>
          <w:rFonts w:hint="default" w:ascii="Times New Roman" w:hAnsi="Times New Roman" w:eastAsia="仿宋_GB2312" w:cs="Times New Roman"/>
          <w:sz w:val="32"/>
          <w:szCs w:val="32"/>
          <w:lang w:val="en-US" w:eastAsia="zh-CN"/>
        </w:rPr>
        <w:t>5600</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w:t>
      </w:r>
    </w:p>
    <w:p w14:paraId="1A018668">
      <w:pPr>
        <w:keepNext w:val="0"/>
        <w:keepLines w:val="0"/>
        <w:pageBreakBefore w:val="0"/>
        <w:kinsoku/>
        <w:wordWrap/>
        <w:overflowPunct/>
        <w:topLinePunct w:val="0"/>
        <w:autoSpaceDE/>
        <w:autoSpaceDN/>
        <w:bidi w:val="0"/>
        <w:adjustRightInd/>
        <w:snapToGrid w:val="0"/>
        <w:spacing w:line="520" w:lineRule="exact"/>
        <w:ind w:firstLine="640" w:firstLineChars="200"/>
        <w:textAlignment w:val="auto"/>
        <w:rPr>
          <w:rFonts w:hint="default" w:ascii="Times New Roman" w:hAnsi="Times New Roman" w:eastAsia="黑体" w:cs="Times New Roman"/>
          <w:b w:val="0"/>
          <w:bCs w:val="0"/>
          <w:sz w:val="32"/>
          <w:szCs w:val="32"/>
        </w:rPr>
      </w:pPr>
      <w:bookmarkStart w:id="5" w:name="_Toc421"/>
      <w:r>
        <w:rPr>
          <w:rFonts w:hint="default" w:ascii="Times New Roman" w:hAnsi="Times New Roman" w:eastAsia="黑体" w:cs="Times New Roman"/>
          <w:b w:val="0"/>
          <w:bCs w:val="0"/>
          <w:sz w:val="32"/>
          <w:szCs w:val="32"/>
        </w:rPr>
        <w:t>三、行政处罚决定的履行方式和期限</w:t>
      </w:r>
      <w:bookmarkEnd w:id="5"/>
    </w:p>
    <w:p w14:paraId="22C70E72">
      <w:pPr>
        <w:keepNext w:val="0"/>
        <w:keepLines w:val="0"/>
        <w:pageBreakBefore w:val="0"/>
        <w:kinsoku/>
        <w:wordWrap/>
        <w:overflowPunct/>
        <w:topLinePunct w:val="0"/>
        <w:autoSpaceDE/>
        <w:autoSpaceDN/>
        <w:bidi w:val="0"/>
        <w:adjustRightInd/>
        <w:snapToGrid w:val="0"/>
        <w:spacing w:line="52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根据《中华人民共和国行政处罚法》和《罚款决定与罚款收缴分离实施办法》的规定，</w:t>
      </w:r>
      <w:r>
        <w:rPr>
          <w:rFonts w:hint="default" w:ascii="Times New Roman" w:hAnsi="Times New Roman" w:eastAsia="仿宋" w:cs="Times New Roman"/>
          <w:sz w:val="32"/>
          <w:szCs w:val="32"/>
          <w:lang w:eastAsia="zh-CN"/>
        </w:rPr>
        <w:t>你</w:t>
      </w:r>
      <w:r>
        <w:rPr>
          <w:rFonts w:hint="default" w:ascii="Times New Roman" w:hAnsi="Times New Roman" w:eastAsia="仿宋" w:cs="Times New Roman"/>
          <w:sz w:val="32"/>
          <w:szCs w:val="32"/>
        </w:rPr>
        <w:t>应当自收到本处罚决定书之日起15日内将罚款缴至我局指定的银行及账户：</w:t>
      </w:r>
    </w:p>
    <w:p w14:paraId="3BCCFC36">
      <w:pPr>
        <w:keepNext w:val="0"/>
        <w:keepLines w:val="0"/>
        <w:pageBreakBefore w:val="0"/>
        <w:kinsoku/>
        <w:wordWrap/>
        <w:overflowPunct/>
        <w:topLinePunct w:val="0"/>
        <w:autoSpaceDE/>
        <w:autoSpaceDN/>
        <w:bidi w:val="0"/>
        <w:adjustRightInd/>
        <w:snapToGrid w:val="0"/>
        <w:spacing w:line="52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开户名称：邮政储蓄银行民主南路支行</w:t>
      </w:r>
    </w:p>
    <w:p w14:paraId="2806306F">
      <w:pPr>
        <w:keepNext w:val="0"/>
        <w:keepLines w:val="0"/>
        <w:pageBreakBefore w:val="0"/>
        <w:kinsoku/>
        <w:wordWrap/>
        <w:overflowPunct/>
        <w:topLinePunct w:val="0"/>
        <w:autoSpaceDE/>
        <w:autoSpaceDN/>
        <w:bidi w:val="0"/>
        <w:adjustRightInd/>
        <w:snapToGrid w:val="0"/>
        <w:spacing w:line="52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开户名称：焦作市财政局非税收入财政专户</w:t>
      </w:r>
    </w:p>
    <w:p w14:paraId="3238834A">
      <w:pPr>
        <w:keepNext w:val="0"/>
        <w:keepLines w:val="0"/>
        <w:pageBreakBefore w:val="0"/>
        <w:kinsoku/>
        <w:wordWrap/>
        <w:overflowPunct/>
        <w:topLinePunct w:val="0"/>
        <w:autoSpaceDE/>
        <w:autoSpaceDN/>
        <w:bidi w:val="0"/>
        <w:adjustRightInd/>
        <w:snapToGrid w:val="0"/>
        <w:spacing w:line="520" w:lineRule="exact"/>
        <w:ind w:firstLine="640" w:firstLineChars="200"/>
        <w:textAlignment w:val="auto"/>
        <w:rPr>
          <w:rFonts w:hint="default" w:ascii="Times New Roman" w:hAnsi="Times New Roman" w:eastAsia="仿宋" w:cs="Times New Roman"/>
          <w:sz w:val="32"/>
          <w:szCs w:val="32"/>
        </w:rPr>
      </w:pPr>
      <w:bookmarkStart w:id="6" w:name="_Toc9167"/>
      <w:r>
        <w:rPr>
          <w:rFonts w:hint="default" w:ascii="Times New Roman" w:hAnsi="Times New Roman" w:eastAsia="仿宋" w:cs="Times New Roman"/>
          <w:sz w:val="32"/>
          <w:szCs w:val="32"/>
        </w:rPr>
        <w:t>账户名称：100195545980010001</w:t>
      </w:r>
    </w:p>
    <w:p w14:paraId="70B76BFE">
      <w:pPr>
        <w:keepNext w:val="0"/>
        <w:keepLines w:val="0"/>
        <w:pageBreakBefore w:val="0"/>
        <w:kinsoku/>
        <w:wordWrap/>
        <w:overflowPunct/>
        <w:topLinePunct w:val="0"/>
        <w:autoSpaceDE/>
        <w:autoSpaceDN/>
        <w:bidi w:val="0"/>
        <w:adjustRightInd/>
        <w:snapToGrid w:val="0"/>
        <w:spacing w:line="520" w:lineRule="exact"/>
        <w:ind w:firstLine="640" w:firstLineChars="200"/>
        <w:textAlignment w:val="auto"/>
        <w:rPr>
          <w:rFonts w:hint="eastAsia" w:eastAsia="仿宋_GB2312" w:cs="Times New Roman"/>
          <w:sz w:val="32"/>
          <w:szCs w:val="32"/>
          <w:lang w:val="en-US" w:eastAsia="zh-CN"/>
        </w:rPr>
      </w:pPr>
      <w:r>
        <w:rPr>
          <w:rFonts w:hint="eastAsia" w:eastAsia="仿宋_GB2312" w:cs="Times New Roman"/>
          <w:sz w:val="32"/>
          <w:szCs w:val="32"/>
          <w:lang w:val="en-US" w:eastAsia="zh-CN"/>
        </w:rPr>
        <w:t>缴款时，需在缴款备注栏注明“生态环境行政处罚款”及具体的处罚决定书编号等信息。</w:t>
      </w:r>
    </w:p>
    <w:p w14:paraId="31371FD5">
      <w:pPr>
        <w:keepNext w:val="0"/>
        <w:keepLines w:val="0"/>
        <w:pageBreakBefore w:val="0"/>
        <w:kinsoku/>
        <w:wordWrap/>
        <w:overflowPunct/>
        <w:topLinePunct w:val="0"/>
        <w:autoSpaceDE/>
        <w:autoSpaceDN/>
        <w:bidi w:val="0"/>
        <w:adjustRightInd/>
        <w:snapToGrid w:val="0"/>
        <w:spacing w:line="520" w:lineRule="exact"/>
        <w:ind w:firstLine="640" w:firstLineChars="200"/>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四、申请行政复议或提起行政诉讼的途径和期限</w:t>
      </w:r>
      <w:bookmarkEnd w:id="6"/>
    </w:p>
    <w:p w14:paraId="46BD950D">
      <w:pPr>
        <w:keepNext w:val="0"/>
        <w:keepLines w:val="0"/>
        <w:pageBreakBefore w:val="0"/>
        <w:kinsoku/>
        <w:wordWrap/>
        <w:overflowPunct/>
        <w:topLinePunct w:val="0"/>
        <w:autoSpaceDE/>
        <w:autoSpaceDN/>
        <w:bidi w:val="0"/>
        <w:adjustRightInd/>
        <w:snapToGrid w:val="0"/>
        <w:spacing w:line="520" w:lineRule="exact"/>
        <w:ind w:firstLine="640" w:firstLineChars="20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eastAsia="zh-CN"/>
          <w14:textFill>
            <w14:solidFill>
              <w14:schemeClr w14:val="tx1"/>
            </w14:solidFill>
          </w14:textFill>
        </w:rPr>
        <w:t>你</w:t>
      </w:r>
      <w:r>
        <w:rPr>
          <w:rFonts w:hint="default" w:ascii="Times New Roman" w:hAnsi="Times New Roman" w:eastAsia="仿宋" w:cs="Times New Roman"/>
          <w:color w:val="000000" w:themeColor="text1"/>
          <w:sz w:val="32"/>
          <w:szCs w:val="32"/>
          <w14:textFill>
            <w14:solidFill>
              <w14:schemeClr w14:val="tx1"/>
            </w14:solidFill>
          </w14:textFill>
        </w:rPr>
        <w:t>如不服本处罚决定，可以在收到本处罚决定书之日起六十日内向焦作市人民政府申请行政复议，也可以在收到本处罚决定书之日起六个月内</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向</w:t>
      </w:r>
      <w:r>
        <w:rPr>
          <w:rFonts w:hint="eastAsia" w:eastAsia="仿宋" w:cs="Times New Roman"/>
          <w:color w:val="000000" w:themeColor="text1"/>
          <w:sz w:val="32"/>
          <w:szCs w:val="32"/>
          <w:lang w:val="en-US" w:eastAsia="zh-CN"/>
          <w14:textFill>
            <w14:solidFill>
              <w14:schemeClr w14:val="tx1"/>
            </w14:solidFill>
          </w14:textFill>
        </w:rPr>
        <w:t>郑州铁路运输法院</w:t>
      </w:r>
      <w:r>
        <w:rPr>
          <w:rFonts w:hint="default" w:ascii="Times New Roman" w:hAnsi="Times New Roman" w:eastAsia="仿宋" w:cs="Times New Roman"/>
          <w:color w:val="000000" w:themeColor="text1"/>
          <w:sz w:val="32"/>
          <w:szCs w:val="32"/>
          <w14:textFill>
            <w14:solidFill>
              <w14:schemeClr w14:val="tx1"/>
            </w14:solidFill>
          </w14:textFill>
        </w:rPr>
        <w:t>提起行政诉讼。申请行政复议或者提起行政诉讼，不停止行政处罚决定的执行。逾期不申请行政复议，不提起行政诉讼，又不履行本处罚决定的，我局将依法申请人民法院强制执行。</w:t>
      </w:r>
    </w:p>
    <w:p w14:paraId="4AD03C28">
      <w:pPr>
        <w:snapToGrid w:val="0"/>
        <w:spacing w:line="540" w:lineRule="exact"/>
        <w:ind w:right="420" w:firstLine="4480" w:firstLineChars="1400"/>
        <w:rPr>
          <w:rFonts w:hint="eastAsia" w:eastAsia="仿宋" w:cs="Times New Roman"/>
          <w:sz w:val="32"/>
          <w:szCs w:val="32"/>
          <w:lang w:eastAsia="zh-CN"/>
        </w:rPr>
      </w:pPr>
    </w:p>
    <w:p w14:paraId="78F6515F">
      <w:pPr>
        <w:snapToGrid w:val="0"/>
        <w:spacing w:line="540" w:lineRule="exact"/>
        <w:ind w:right="420" w:firstLine="4480" w:firstLineChars="1400"/>
        <w:rPr>
          <w:rFonts w:hint="eastAsia" w:ascii="Times New Roman" w:hAnsi="Times New Roman" w:eastAsia="仿宋" w:cs="Times New Roman"/>
          <w:sz w:val="32"/>
          <w:szCs w:val="32"/>
          <w:lang w:eastAsia="zh-CN"/>
        </w:rPr>
      </w:pPr>
    </w:p>
    <w:p w14:paraId="334FD413">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rFonts w:hint="default" w:ascii="Times New Roman" w:hAnsi="Times New Roman" w:eastAsia="仿宋_GB2312" w:cs="Times New Roman"/>
          <w:sz w:val="32"/>
          <w:szCs w:val="32"/>
        </w:rPr>
      </w:pPr>
      <w:r>
        <w:rPr>
          <w:rFonts w:hint="eastAsia" w:eastAsia="仿宋" w:cs="Times New Roman"/>
          <w:spacing w:val="200"/>
          <w:sz w:val="32"/>
          <w:szCs w:val="32"/>
          <w:lang w:val="en-US" w:eastAsia="zh-CN"/>
        </w:rPr>
        <w:t xml:space="preserve">      </w:t>
      </w:r>
      <w:r>
        <w:rPr>
          <w:rFonts w:hint="default" w:ascii="Times New Roman" w:hAnsi="Times New Roman" w:eastAsia="仿宋_GB2312" w:cs="Times New Roman"/>
          <w:sz w:val="32"/>
          <w:szCs w:val="32"/>
        </w:rPr>
        <w:t>焦作市生态环境局</w:t>
      </w:r>
    </w:p>
    <w:p w14:paraId="25CBF605">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jc w:val="left"/>
        <w:textAlignment w:val="auto"/>
        <w:rPr>
          <w:rFonts w:hint="default" w:ascii="Times New Roman" w:hAnsi="Times New Roman" w:eastAsia="仿宋_GB2312" w:cs="Times New Roman"/>
          <w:bCs/>
          <w:sz w:val="32"/>
          <w:szCs w:val="32"/>
          <w:lang w:val="en-US"/>
        </w:rPr>
      </w:pP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color w:val="FF0000"/>
          <w:sz w:val="32"/>
          <w:szCs w:val="32"/>
        </w:rPr>
        <w:t xml:space="preserve"> </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2025年</w:t>
      </w:r>
      <w:r>
        <w:rPr>
          <w:rFonts w:hint="eastAsia" w:eastAsia="仿宋_GB2312" w:cs="Times New Roman"/>
          <w:color w:val="000000" w:themeColor="text1"/>
          <w:sz w:val="32"/>
          <w:szCs w:val="32"/>
          <w:lang w:val="en-US" w:eastAsia="zh-CN"/>
          <w14:textFill>
            <w14:solidFill>
              <w14:schemeClr w14:val="tx1"/>
            </w14:solidFill>
          </w14:textFill>
        </w:rPr>
        <w:t>11</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月</w:t>
      </w:r>
      <w:r>
        <w:rPr>
          <w:rFonts w:hint="eastAsia" w:eastAsia="仿宋_GB2312" w:cs="Times New Roman"/>
          <w:color w:val="000000" w:themeColor="text1"/>
          <w:sz w:val="32"/>
          <w:szCs w:val="32"/>
          <w:lang w:val="en-US" w:eastAsia="zh-CN"/>
          <w14:textFill>
            <w14:solidFill>
              <w14:schemeClr w14:val="tx1"/>
            </w14:solidFill>
          </w14:textFill>
        </w:rPr>
        <w:t>12</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日</w:t>
      </w:r>
      <w:r>
        <w:rPr>
          <w:rFonts w:hint="eastAsia" w:eastAsia="仿宋_GB2312" w:cs="Times New Roman"/>
          <w:color w:val="000000" w:themeColor="text1"/>
          <w:sz w:val="32"/>
          <w:szCs w:val="32"/>
          <w:lang w:val="en-US" w:eastAsia="zh-CN"/>
          <w14:textFill>
            <w14:solidFill>
              <w14:schemeClr w14:val="tx1"/>
            </w14:solidFill>
          </w14:textFill>
        </w:rPr>
        <w:t xml:space="preserve"> </w:t>
      </w:r>
      <w:r>
        <w:rPr>
          <w:rFonts w:hint="eastAsia" w:eastAsia="仿宋_GB2312" w:cs="Times New Roman"/>
          <w:sz w:val="32"/>
          <w:szCs w:val="32"/>
          <w:lang w:val="en-US" w:eastAsia="zh-CN"/>
        </w:rPr>
        <w:t xml:space="preserve"> </w:t>
      </w:r>
    </w:p>
    <w:p w14:paraId="3934CA9F">
      <w:pPr>
        <w:snapToGrid w:val="0"/>
        <w:spacing w:line="540" w:lineRule="exact"/>
        <w:ind w:right="420"/>
        <w:rPr>
          <w:rFonts w:hint="default" w:ascii="Times New Roman" w:hAnsi="Times New Roman" w:eastAsia="仿宋" w:cs="Times New Roman"/>
          <w:spacing w:val="200"/>
          <w:sz w:val="32"/>
          <w:szCs w:val="32"/>
          <w:lang w:val="en-US" w:eastAsia="zh-CN"/>
        </w:rPr>
      </w:pPr>
    </w:p>
    <w:p w14:paraId="1DE6B090">
      <w:pPr>
        <w:spacing w:line="540" w:lineRule="exact"/>
        <w:jc w:val="center"/>
        <w:rPr>
          <w:rFonts w:hint="default" w:ascii="Times New Roman" w:hAnsi="Times New Roman" w:eastAsia="方正小标宋_GBK" w:cs="Times New Roman"/>
          <w:bCs/>
          <w:sz w:val="44"/>
          <w:szCs w:val="44"/>
        </w:rPr>
      </w:pPr>
    </w:p>
    <w:p w14:paraId="4E310386">
      <w:pPr>
        <w:spacing w:line="540" w:lineRule="exact"/>
        <w:rPr>
          <w:rFonts w:hint="default" w:ascii="Times New Roman" w:hAnsi="Times New Roman" w:cs="Times New Roman"/>
        </w:rPr>
      </w:pPr>
    </w:p>
    <w:sectPr>
      <w:footerReference r:id="rId3" w:type="default"/>
      <w:pgSz w:w="11906" w:h="16838"/>
      <w:pgMar w:top="2154" w:right="141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A1AF16E-E2C5-4ED9-888B-7A311A86AD2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embedRegular r:id="rId2" w:fontKey="{D46C1306-8134-45CB-8DBB-0044B73B67EA}"/>
  </w:font>
  <w:font w:name="方正小标宋简体">
    <w:panose1 w:val="02000000000000000000"/>
    <w:charset w:val="86"/>
    <w:family w:val="script"/>
    <w:pitch w:val="default"/>
    <w:sig w:usb0="00000001" w:usb1="08000000" w:usb2="00000000" w:usb3="00000000" w:csb0="00040000" w:csb1="00000000"/>
    <w:embedRegular r:id="rId3" w:fontKey="{CF544A02-CA5F-41DD-9413-AB643D7BEB85}"/>
  </w:font>
  <w:font w:name="方正小标宋_GBK">
    <w:altName w:val="微软雅黑"/>
    <w:panose1 w:val="03000509000000000000"/>
    <w:charset w:val="86"/>
    <w:family w:val="auto"/>
    <w:pitch w:val="default"/>
    <w:sig w:usb0="00000000" w:usb1="00000000" w:usb2="00000000" w:usb3="00000000" w:csb0="00040000" w:csb1="00000000"/>
    <w:embedRegular r:id="rId4" w:fontKey="{A9E0C459-5D24-488D-8185-D87EA0ED1FFD}"/>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embedRegular r:id="rId5" w:fontKey="{25F2CA9E-4F94-42A1-9AA5-D8E537234DD7}"/>
  </w:font>
  <w:font w:name="仿宋_GB2312">
    <w:altName w:val="仿宋"/>
    <w:panose1 w:val="02010609030101010101"/>
    <w:charset w:val="86"/>
    <w:family w:val="auto"/>
    <w:pitch w:val="default"/>
    <w:sig w:usb0="00000000" w:usb1="00000000" w:usb2="00000000" w:usb3="00000000" w:csb0="00040000" w:csb1="00000000"/>
    <w:embedRegular r:id="rId6" w:fontKey="{0DD29011-CB68-42C8-AA2C-57094FB1F8B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4F108E">
    <w:pPr>
      <w:pStyle w:val="4"/>
    </w:pPr>
    <w:r>
      <w:rPr>
        <w:sz w:val="18"/>
      </w:rPr>
      <mc:AlternateContent>
        <mc:Choice Requires="wps">
          <w:drawing>
            <wp:anchor distT="0" distB="0" distL="114300" distR="114300" simplePos="0" relativeHeight="251659264" behindDoc="0" locked="0" layoutInCell="1" allowOverlap="1">
              <wp:simplePos x="0" y="0"/>
              <wp:positionH relativeFrom="margin">
                <wp:posOffset>5113020</wp:posOffset>
              </wp:positionH>
              <wp:positionV relativeFrom="paragraph">
                <wp:posOffset>-111760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B98E32">
                          <w:pPr>
                            <w:pStyle w:val="4"/>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402.6pt;margin-top:-8.8pt;height:144pt;width:144pt;mso-position-horizontal-relative:margin;mso-wrap-style:none;z-index:251659264;mso-width-relative:page;mso-height-relative:page;" filled="f" stroked="f" coordsize="21600,21600" o:gfxdata="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M0ENubZAAAADAEAAA8AAAAAAAAAAQAgAAAAIgAAAGRycy9kb3ducmV2Lnht&#10;bFBLAQIUABQAAAAIAIdO4kBrhfn7MQIAAGEEAAAOAAAAAAAAAAEAIAAAACgBAABkcnMvZTJvRG9j&#10;LnhtbFBLBQYAAAAABgAGAFkBAADLBQAAAAA=&#10;">
              <v:fill on="f" focussize="0,0"/>
              <v:stroke on="f" weight="0.5pt"/>
              <v:imagedata o:title=""/>
              <o:lock v:ext="edit" aspectratio="f"/>
              <v:textbox inset="0mm,0mm,0mm,0mm" style="mso-fit-shape-to-text:t;">
                <w:txbxContent>
                  <w:p w14:paraId="7CB98E32">
                    <w:pPr>
                      <w:pStyle w:val="4"/>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r>
                      <w:rPr>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3YTA1OWNlNDdmMDlhNjNmMDRjYjJjODM0ZGE3ZDEifQ=="/>
  </w:docVars>
  <w:rsids>
    <w:rsidRoot w:val="00172A27"/>
    <w:rsid w:val="00054CD2"/>
    <w:rsid w:val="00172A27"/>
    <w:rsid w:val="001D066A"/>
    <w:rsid w:val="00321CEE"/>
    <w:rsid w:val="005D4603"/>
    <w:rsid w:val="00AB7A64"/>
    <w:rsid w:val="00FF56BA"/>
    <w:rsid w:val="010351AA"/>
    <w:rsid w:val="015C48BA"/>
    <w:rsid w:val="01CA5CC8"/>
    <w:rsid w:val="01DF79C5"/>
    <w:rsid w:val="01E44FDB"/>
    <w:rsid w:val="02086F62"/>
    <w:rsid w:val="02C24BF1"/>
    <w:rsid w:val="03A74512"/>
    <w:rsid w:val="03D33559"/>
    <w:rsid w:val="04651CD8"/>
    <w:rsid w:val="04732647"/>
    <w:rsid w:val="04CB5FDF"/>
    <w:rsid w:val="04E83035"/>
    <w:rsid w:val="04F35535"/>
    <w:rsid w:val="05341DD6"/>
    <w:rsid w:val="05542478"/>
    <w:rsid w:val="059C797B"/>
    <w:rsid w:val="05B44CC5"/>
    <w:rsid w:val="06640499"/>
    <w:rsid w:val="06A765D7"/>
    <w:rsid w:val="06BA455D"/>
    <w:rsid w:val="06C278B5"/>
    <w:rsid w:val="0726579E"/>
    <w:rsid w:val="07CA4C73"/>
    <w:rsid w:val="07CF228A"/>
    <w:rsid w:val="07DE24CD"/>
    <w:rsid w:val="0808754A"/>
    <w:rsid w:val="084F5179"/>
    <w:rsid w:val="086724C2"/>
    <w:rsid w:val="0870581B"/>
    <w:rsid w:val="08AA585C"/>
    <w:rsid w:val="08D13DE0"/>
    <w:rsid w:val="08FD4BD5"/>
    <w:rsid w:val="091C2D7B"/>
    <w:rsid w:val="094D16B8"/>
    <w:rsid w:val="09572537"/>
    <w:rsid w:val="09D122E9"/>
    <w:rsid w:val="0A1C1C22"/>
    <w:rsid w:val="0A5B1BB3"/>
    <w:rsid w:val="0A650C83"/>
    <w:rsid w:val="0A892BC4"/>
    <w:rsid w:val="0AF344E1"/>
    <w:rsid w:val="0B220922"/>
    <w:rsid w:val="0B3C19E4"/>
    <w:rsid w:val="0BD936D7"/>
    <w:rsid w:val="0C177D5B"/>
    <w:rsid w:val="0C400DA6"/>
    <w:rsid w:val="0C8A2C23"/>
    <w:rsid w:val="0CA21D1B"/>
    <w:rsid w:val="0CA77331"/>
    <w:rsid w:val="0CF307C8"/>
    <w:rsid w:val="0D7116ED"/>
    <w:rsid w:val="0D740DA9"/>
    <w:rsid w:val="0D7F3E0A"/>
    <w:rsid w:val="0D8B27AF"/>
    <w:rsid w:val="0D984ECC"/>
    <w:rsid w:val="0DBE0DD6"/>
    <w:rsid w:val="0E2F45A3"/>
    <w:rsid w:val="0E552E8F"/>
    <w:rsid w:val="0E5C414B"/>
    <w:rsid w:val="0ED71A24"/>
    <w:rsid w:val="0EFE3455"/>
    <w:rsid w:val="0F0C5B71"/>
    <w:rsid w:val="0F135152"/>
    <w:rsid w:val="0F501A48"/>
    <w:rsid w:val="0FAA77A9"/>
    <w:rsid w:val="0FF00FEF"/>
    <w:rsid w:val="0FFD54BA"/>
    <w:rsid w:val="1041184B"/>
    <w:rsid w:val="106A6FF4"/>
    <w:rsid w:val="107734BE"/>
    <w:rsid w:val="108D4A90"/>
    <w:rsid w:val="109C2F25"/>
    <w:rsid w:val="10CD30DE"/>
    <w:rsid w:val="10F06ACC"/>
    <w:rsid w:val="111725AC"/>
    <w:rsid w:val="118E0AC0"/>
    <w:rsid w:val="11A007F3"/>
    <w:rsid w:val="11B00A36"/>
    <w:rsid w:val="11F76665"/>
    <w:rsid w:val="11FE3E97"/>
    <w:rsid w:val="12301B77"/>
    <w:rsid w:val="126E269F"/>
    <w:rsid w:val="12A85BB1"/>
    <w:rsid w:val="12CC7AF2"/>
    <w:rsid w:val="13182D37"/>
    <w:rsid w:val="13257202"/>
    <w:rsid w:val="134578A4"/>
    <w:rsid w:val="13C22CA3"/>
    <w:rsid w:val="13C54541"/>
    <w:rsid w:val="13D44784"/>
    <w:rsid w:val="14184FB8"/>
    <w:rsid w:val="141A488D"/>
    <w:rsid w:val="14263231"/>
    <w:rsid w:val="14570C7E"/>
    <w:rsid w:val="14F055ED"/>
    <w:rsid w:val="15192D96"/>
    <w:rsid w:val="151D2886"/>
    <w:rsid w:val="154B447A"/>
    <w:rsid w:val="158A4102"/>
    <w:rsid w:val="16BF1736"/>
    <w:rsid w:val="16E3540A"/>
    <w:rsid w:val="16F07B27"/>
    <w:rsid w:val="175956CC"/>
    <w:rsid w:val="17773DA4"/>
    <w:rsid w:val="17944956"/>
    <w:rsid w:val="17A032FB"/>
    <w:rsid w:val="17B943BD"/>
    <w:rsid w:val="17FF6273"/>
    <w:rsid w:val="18253800"/>
    <w:rsid w:val="184B770B"/>
    <w:rsid w:val="187A7FF0"/>
    <w:rsid w:val="18B74DA0"/>
    <w:rsid w:val="18C82B09"/>
    <w:rsid w:val="194859F8"/>
    <w:rsid w:val="195A572B"/>
    <w:rsid w:val="198804EA"/>
    <w:rsid w:val="19C71013"/>
    <w:rsid w:val="19E276DA"/>
    <w:rsid w:val="19EE2A43"/>
    <w:rsid w:val="19F142E2"/>
    <w:rsid w:val="19FD67E3"/>
    <w:rsid w:val="1A772A39"/>
    <w:rsid w:val="1A8D0644"/>
    <w:rsid w:val="1AD67034"/>
    <w:rsid w:val="1AFD2812"/>
    <w:rsid w:val="1B1738D4"/>
    <w:rsid w:val="1BE0016A"/>
    <w:rsid w:val="1C161DDD"/>
    <w:rsid w:val="1C672639"/>
    <w:rsid w:val="1C896A53"/>
    <w:rsid w:val="1CB735C0"/>
    <w:rsid w:val="1CDB6B83"/>
    <w:rsid w:val="1CFC7225"/>
    <w:rsid w:val="1D0B1216"/>
    <w:rsid w:val="1E01086B"/>
    <w:rsid w:val="1E0345E3"/>
    <w:rsid w:val="1E0D5BD6"/>
    <w:rsid w:val="1E5866DD"/>
    <w:rsid w:val="1EDF6DFF"/>
    <w:rsid w:val="1F0B19A2"/>
    <w:rsid w:val="1F242A63"/>
    <w:rsid w:val="1F2667DB"/>
    <w:rsid w:val="1F5C044F"/>
    <w:rsid w:val="1F6B1798"/>
    <w:rsid w:val="1F7E2174"/>
    <w:rsid w:val="1FC41B50"/>
    <w:rsid w:val="204574BA"/>
    <w:rsid w:val="20D67D8D"/>
    <w:rsid w:val="21036B88"/>
    <w:rsid w:val="21130FE1"/>
    <w:rsid w:val="2115584B"/>
    <w:rsid w:val="213276BA"/>
    <w:rsid w:val="218A7321"/>
    <w:rsid w:val="21B31E7D"/>
    <w:rsid w:val="21DC5877"/>
    <w:rsid w:val="21DD6EFA"/>
    <w:rsid w:val="21FE134A"/>
    <w:rsid w:val="220628F4"/>
    <w:rsid w:val="22244CAB"/>
    <w:rsid w:val="22C81958"/>
    <w:rsid w:val="22DB78DD"/>
    <w:rsid w:val="233F60BE"/>
    <w:rsid w:val="23900338"/>
    <w:rsid w:val="23BC4F34"/>
    <w:rsid w:val="242A477B"/>
    <w:rsid w:val="248F097F"/>
    <w:rsid w:val="24EC5DD1"/>
    <w:rsid w:val="260158AC"/>
    <w:rsid w:val="264834DB"/>
    <w:rsid w:val="265C0D35"/>
    <w:rsid w:val="26773DC1"/>
    <w:rsid w:val="26E66850"/>
    <w:rsid w:val="26F176CF"/>
    <w:rsid w:val="26F947D6"/>
    <w:rsid w:val="27090058"/>
    <w:rsid w:val="271D04C4"/>
    <w:rsid w:val="273870AC"/>
    <w:rsid w:val="27565784"/>
    <w:rsid w:val="276A7481"/>
    <w:rsid w:val="27BC2BBD"/>
    <w:rsid w:val="27CE16AB"/>
    <w:rsid w:val="2826784C"/>
    <w:rsid w:val="28304227"/>
    <w:rsid w:val="28665E9B"/>
    <w:rsid w:val="28B135BA"/>
    <w:rsid w:val="28C36E49"/>
    <w:rsid w:val="28D41056"/>
    <w:rsid w:val="2921749D"/>
    <w:rsid w:val="298011DE"/>
    <w:rsid w:val="298A7967"/>
    <w:rsid w:val="2A36189D"/>
    <w:rsid w:val="2A41271B"/>
    <w:rsid w:val="2A443FBA"/>
    <w:rsid w:val="2A492C8F"/>
    <w:rsid w:val="2ADE7F6A"/>
    <w:rsid w:val="2AEF2177"/>
    <w:rsid w:val="2B0B4AD7"/>
    <w:rsid w:val="2B12441C"/>
    <w:rsid w:val="2B141BDE"/>
    <w:rsid w:val="2B147E30"/>
    <w:rsid w:val="2B595843"/>
    <w:rsid w:val="2B5D17D7"/>
    <w:rsid w:val="2BD31A99"/>
    <w:rsid w:val="2C4E2ECE"/>
    <w:rsid w:val="2C701096"/>
    <w:rsid w:val="2C90798A"/>
    <w:rsid w:val="2CA927FA"/>
    <w:rsid w:val="2D610E71"/>
    <w:rsid w:val="2D8172D3"/>
    <w:rsid w:val="2DA03BFD"/>
    <w:rsid w:val="2DBF0527"/>
    <w:rsid w:val="2E13617D"/>
    <w:rsid w:val="2E444588"/>
    <w:rsid w:val="2E664D9E"/>
    <w:rsid w:val="2EA15E7F"/>
    <w:rsid w:val="2EAF6645"/>
    <w:rsid w:val="2EFE6E2D"/>
    <w:rsid w:val="2F232454"/>
    <w:rsid w:val="2F560A17"/>
    <w:rsid w:val="2FB15C4D"/>
    <w:rsid w:val="2FF3270A"/>
    <w:rsid w:val="302C1778"/>
    <w:rsid w:val="30A25EDE"/>
    <w:rsid w:val="31604A69"/>
    <w:rsid w:val="31772EC7"/>
    <w:rsid w:val="31B00187"/>
    <w:rsid w:val="31D9148B"/>
    <w:rsid w:val="327F3545"/>
    <w:rsid w:val="32E016EB"/>
    <w:rsid w:val="330E33B7"/>
    <w:rsid w:val="3326095F"/>
    <w:rsid w:val="33294694"/>
    <w:rsid w:val="33813B89"/>
    <w:rsid w:val="33D60378"/>
    <w:rsid w:val="33E32A95"/>
    <w:rsid w:val="340D7B12"/>
    <w:rsid w:val="34126ED7"/>
    <w:rsid w:val="34525525"/>
    <w:rsid w:val="345B087E"/>
    <w:rsid w:val="34C46423"/>
    <w:rsid w:val="35A3428A"/>
    <w:rsid w:val="360B0081"/>
    <w:rsid w:val="36201D7F"/>
    <w:rsid w:val="363B0967"/>
    <w:rsid w:val="364F4412"/>
    <w:rsid w:val="36631C6B"/>
    <w:rsid w:val="36681030"/>
    <w:rsid w:val="3676199F"/>
    <w:rsid w:val="36877708"/>
    <w:rsid w:val="369462C9"/>
    <w:rsid w:val="36D13079"/>
    <w:rsid w:val="36D466C5"/>
    <w:rsid w:val="36DA1F2E"/>
    <w:rsid w:val="36F6663C"/>
    <w:rsid w:val="374750E9"/>
    <w:rsid w:val="37BC5AD7"/>
    <w:rsid w:val="38832151"/>
    <w:rsid w:val="38B14F10"/>
    <w:rsid w:val="38F17A02"/>
    <w:rsid w:val="39E9692C"/>
    <w:rsid w:val="39EE7A9E"/>
    <w:rsid w:val="3AEA64B7"/>
    <w:rsid w:val="3B0F23C2"/>
    <w:rsid w:val="3B5D137F"/>
    <w:rsid w:val="3B677B08"/>
    <w:rsid w:val="3B781D15"/>
    <w:rsid w:val="3B9A612F"/>
    <w:rsid w:val="3BAB3E99"/>
    <w:rsid w:val="3C29300F"/>
    <w:rsid w:val="3C3245BA"/>
    <w:rsid w:val="3C4D4F50"/>
    <w:rsid w:val="3C700C3E"/>
    <w:rsid w:val="3C720E5A"/>
    <w:rsid w:val="3CF90C34"/>
    <w:rsid w:val="3DA17A5C"/>
    <w:rsid w:val="3DB57251"/>
    <w:rsid w:val="3E371A14"/>
    <w:rsid w:val="3E6C384F"/>
    <w:rsid w:val="3E974BA8"/>
    <w:rsid w:val="3E9E7CE5"/>
    <w:rsid w:val="3EC15781"/>
    <w:rsid w:val="3F0D6C18"/>
    <w:rsid w:val="3F6E5909"/>
    <w:rsid w:val="3F8F762D"/>
    <w:rsid w:val="3F9115F7"/>
    <w:rsid w:val="3FC574F3"/>
    <w:rsid w:val="3FD80FD4"/>
    <w:rsid w:val="406B009A"/>
    <w:rsid w:val="40BC26A4"/>
    <w:rsid w:val="417E5BAB"/>
    <w:rsid w:val="418E546C"/>
    <w:rsid w:val="41967399"/>
    <w:rsid w:val="41B31CF9"/>
    <w:rsid w:val="41C757A4"/>
    <w:rsid w:val="41D43A1D"/>
    <w:rsid w:val="421F2EEA"/>
    <w:rsid w:val="42213106"/>
    <w:rsid w:val="4255690C"/>
    <w:rsid w:val="425C413F"/>
    <w:rsid w:val="42725710"/>
    <w:rsid w:val="42AB29D0"/>
    <w:rsid w:val="432F53AF"/>
    <w:rsid w:val="43302ED5"/>
    <w:rsid w:val="435412BA"/>
    <w:rsid w:val="437159C8"/>
    <w:rsid w:val="439711A6"/>
    <w:rsid w:val="43A713E9"/>
    <w:rsid w:val="43D61CCF"/>
    <w:rsid w:val="43EF2D90"/>
    <w:rsid w:val="43F403A7"/>
    <w:rsid w:val="44020D16"/>
    <w:rsid w:val="449556E6"/>
    <w:rsid w:val="44F543D6"/>
    <w:rsid w:val="45097E82"/>
    <w:rsid w:val="45440EBA"/>
    <w:rsid w:val="45967968"/>
    <w:rsid w:val="45A2455E"/>
    <w:rsid w:val="45D466E2"/>
    <w:rsid w:val="45E5269D"/>
    <w:rsid w:val="45F8417E"/>
    <w:rsid w:val="46715CDF"/>
    <w:rsid w:val="467B090B"/>
    <w:rsid w:val="46AE0CE1"/>
    <w:rsid w:val="46DB13AA"/>
    <w:rsid w:val="476B0980"/>
    <w:rsid w:val="479B74B7"/>
    <w:rsid w:val="47FB61A8"/>
    <w:rsid w:val="47FE361E"/>
    <w:rsid w:val="48054931"/>
    <w:rsid w:val="484511D1"/>
    <w:rsid w:val="490C1CEF"/>
    <w:rsid w:val="492D2391"/>
    <w:rsid w:val="49CD147E"/>
    <w:rsid w:val="49D96075"/>
    <w:rsid w:val="49EF5898"/>
    <w:rsid w:val="49F20EE5"/>
    <w:rsid w:val="49FE5ADB"/>
    <w:rsid w:val="4A227A1C"/>
    <w:rsid w:val="4AB42918"/>
    <w:rsid w:val="4AC46D25"/>
    <w:rsid w:val="4AF55130"/>
    <w:rsid w:val="4B0615B6"/>
    <w:rsid w:val="4B306168"/>
    <w:rsid w:val="4B8244EA"/>
    <w:rsid w:val="4B906C07"/>
    <w:rsid w:val="4BA803F5"/>
    <w:rsid w:val="4BD25472"/>
    <w:rsid w:val="4C343A36"/>
    <w:rsid w:val="4C6D0CF6"/>
    <w:rsid w:val="4C854292"/>
    <w:rsid w:val="4CC31089"/>
    <w:rsid w:val="4CD64AED"/>
    <w:rsid w:val="4CE27936"/>
    <w:rsid w:val="4D52686A"/>
    <w:rsid w:val="4D704F42"/>
    <w:rsid w:val="4D714816"/>
    <w:rsid w:val="4D72625F"/>
    <w:rsid w:val="4D8602C2"/>
    <w:rsid w:val="4D987FF5"/>
    <w:rsid w:val="4DD03C33"/>
    <w:rsid w:val="4DDF21FE"/>
    <w:rsid w:val="4DFF1E22"/>
    <w:rsid w:val="4E573A0C"/>
    <w:rsid w:val="4E8A2033"/>
    <w:rsid w:val="4E8D742E"/>
    <w:rsid w:val="4EEA0D24"/>
    <w:rsid w:val="4EEF00E8"/>
    <w:rsid w:val="4F005E52"/>
    <w:rsid w:val="4F310701"/>
    <w:rsid w:val="4F334479"/>
    <w:rsid w:val="4F3B1580"/>
    <w:rsid w:val="4F4421E2"/>
    <w:rsid w:val="4F714FA1"/>
    <w:rsid w:val="4F8B1BBF"/>
    <w:rsid w:val="4F9842DC"/>
    <w:rsid w:val="4FBA24A4"/>
    <w:rsid w:val="4FCB2904"/>
    <w:rsid w:val="4FEE03A0"/>
    <w:rsid w:val="50412BC6"/>
    <w:rsid w:val="50700DB5"/>
    <w:rsid w:val="510A745C"/>
    <w:rsid w:val="512322CB"/>
    <w:rsid w:val="5133250E"/>
    <w:rsid w:val="51A05077"/>
    <w:rsid w:val="51AE6039"/>
    <w:rsid w:val="51CC64BF"/>
    <w:rsid w:val="527A5F1B"/>
    <w:rsid w:val="52CA1F01"/>
    <w:rsid w:val="52CD0741"/>
    <w:rsid w:val="52F7756C"/>
    <w:rsid w:val="53B4466B"/>
    <w:rsid w:val="53CA39FE"/>
    <w:rsid w:val="53CC6C4A"/>
    <w:rsid w:val="53CF1DDE"/>
    <w:rsid w:val="5411465D"/>
    <w:rsid w:val="54134879"/>
    <w:rsid w:val="54A92AE8"/>
    <w:rsid w:val="54F55D2D"/>
    <w:rsid w:val="552F7491"/>
    <w:rsid w:val="557823C9"/>
    <w:rsid w:val="5588094F"/>
    <w:rsid w:val="55915A56"/>
    <w:rsid w:val="55BE25C3"/>
    <w:rsid w:val="55E0078B"/>
    <w:rsid w:val="564B02FA"/>
    <w:rsid w:val="56574EF1"/>
    <w:rsid w:val="567A473C"/>
    <w:rsid w:val="567D422C"/>
    <w:rsid w:val="56BC4D54"/>
    <w:rsid w:val="56C34335"/>
    <w:rsid w:val="56C87B9D"/>
    <w:rsid w:val="56D71B8E"/>
    <w:rsid w:val="56FA762A"/>
    <w:rsid w:val="56FF2E93"/>
    <w:rsid w:val="571C1C97"/>
    <w:rsid w:val="582F1556"/>
    <w:rsid w:val="58322102"/>
    <w:rsid w:val="584D65AC"/>
    <w:rsid w:val="587C29ED"/>
    <w:rsid w:val="58C46142"/>
    <w:rsid w:val="59060509"/>
    <w:rsid w:val="59513E7A"/>
    <w:rsid w:val="59B30690"/>
    <w:rsid w:val="59DD395F"/>
    <w:rsid w:val="59EF5441"/>
    <w:rsid w:val="59F40CA9"/>
    <w:rsid w:val="5A0709DC"/>
    <w:rsid w:val="5A1D3D5C"/>
    <w:rsid w:val="5A845B89"/>
    <w:rsid w:val="5ADD173D"/>
    <w:rsid w:val="5ADD34EB"/>
    <w:rsid w:val="5B661732"/>
    <w:rsid w:val="5B745BFD"/>
    <w:rsid w:val="5BFC5BF3"/>
    <w:rsid w:val="5BFE7BBD"/>
    <w:rsid w:val="5C1D44E7"/>
    <w:rsid w:val="5C390BF5"/>
    <w:rsid w:val="5C9347A9"/>
    <w:rsid w:val="5CDD3C76"/>
    <w:rsid w:val="5CED210B"/>
    <w:rsid w:val="5D5E4DB7"/>
    <w:rsid w:val="5D7E7207"/>
    <w:rsid w:val="5D814602"/>
    <w:rsid w:val="5DB8352F"/>
    <w:rsid w:val="5DE84681"/>
    <w:rsid w:val="5E6A778C"/>
    <w:rsid w:val="5E6F4DA2"/>
    <w:rsid w:val="5EF05EE3"/>
    <w:rsid w:val="5F103E8F"/>
    <w:rsid w:val="5F223BC2"/>
    <w:rsid w:val="5F443B39"/>
    <w:rsid w:val="5F6D7533"/>
    <w:rsid w:val="5F9E76ED"/>
    <w:rsid w:val="5FA665A1"/>
    <w:rsid w:val="60563B24"/>
    <w:rsid w:val="60584392"/>
    <w:rsid w:val="60820DBC"/>
    <w:rsid w:val="60CB2763"/>
    <w:rsid w:val="60E92BEA"/>
    <w:rsid w:val="60F3752A"/>
    <w:rsid w:val="610F0176"/>
    <w:rsid w:val="612260FC"/>
    <w:rsid w:val="614147D4"/>
    <w:rsid w:val="61446072"/>
    <w:rsid w:val="615362B5"/>
    <w:rsid w:val="61A42FB4"/>
    <w:rsid w:val="62593D9F"/>
    <w:rsid w:val="62662018"/>
    <w:rsid w:val="62FF66F4"/>
    <w:rsid w:val="634E31D8"/>
    <w:rsid w:val="63827325"/>
    <w:rsid w:val="643E149E"/>
    <w:rsid w:val="64560BB2"/>
    <w:rsid w:val="64743067"/>
    <w:rsid w:val="64963088"/>
    <w:rsid w:val="64F46001"/>
    <w:rsid w:val="6531690D"/>
    <w:rsid w:val="654523B9"/>
    <w:rsid w:val="654725D5"/>
    <w:rsid w:val="65510D5D"/>
    <w:rsid w:val="65660CAD"/>
    <w:rsid w:val="65A92947"/>
    <w:rsid w:val="65C15EE3"/>
    <w:rsid w:val="65E240AB"/>
    <w:rsid w:val="65F8567D"/>
    <w:rsid w:val="66660838"/>
    <w:rsid w:val="66974E96"/>
    <w:rsid w:val="66976C44"/>
    <w:rsid w:val="66A03D4A"/>
    <w:rsid w:val="66CD4D5B"/>
    <w:rsid w:val="66E04A8F"/>
    <w:rsid w:val="66F10A4A"/>
    <w:rsid w:val="66F2031E"/>
    <w:rsid w:val="6703252B"/>
    <w:rsid w:val="672524A2"/>
    <w:rsid w:val="673821D5"/>
    <w:rsid w:val="677B0314"/>
    <w:rsid w:val="678E6299"/>
    <w:rsid w:val="67A23AF2"/>
    <w:rsid w:val="67EB7247"/>
    <w:rsid w:val="68064081"/>
    <w:rsid w:val="68232E85"/>
    <w:rsid w:val="68490412"/>
    <w:rsid w:val="685C1EF3"/>
    <w:rsid w:val="68E1064A"/>
    <w:rsid w:val="69E00902"/>
    <w:rsid w:val="69E421A0"/>
    <w:rsid w:val="6A440E91"/>
    <w:rsid w:val="6A4B66C3"/>
    <w:rsid w:val="6AB2229E"/>
    <w:rsid w:val="6B282560"/>
    <w:rsid w:val="6B3E7FD6"/>
    <w:rsid w:val="6C6C46CF"/>
    <w:rsid w:val="6C8D2FC3"/>
    <w:rsid w:val="6C991968"/>
    <w:rsid w:val="6C9C4FB4"/>
    <w:rsid w:val="6D062D75"/>
    <w:rsid w:val="6D192AA9"/>
    <w:rsid w:val="6D2356D5"/>
    <w:rsid w:val="6D4B0788"/>
    <w:rsid w:val="6DCA78FF"/>
    <w:rsid w:val="6DE725E5"/>
    <w:rsid w:val="6DEF7365"/>
    <w:rsid w:val="6E054DDB"/>
    <w:rsid w:val="6E056B89"/>
    <w:rsid w:val="6E14501E"/>
    <w:rsid w:val="6E777A87"/>
    <w:rsid w:val="6E885987"/>
    <w:rsid w:val="6E971ED7"/>
    <w:rsid w:val="6F6124E5"/>
    <w:rsid w:val="6F7C10CD"/>
    <w:rsid w:val="6F8C7562"/>
    <w:rsid w:val="6F9D176F"/>
    <w:rsid w:val="6FD9207B"/>
    <w:rsid w:val="702E0619"/>
    <w:rsid w:val="702F1229"/>
    <w:rsid w:val="706C1141"/>
    <w:rsid w:val="709B46C8"/>
    <w:rsid w:val="70D6480D"/>
    <w:rsid w:val="70F01D72"/>
    <w:rsid w:val="70FE623D"/>
    <w:rsid w:val="71211EAE"/>
    <w:rsid w:val="712832BA"/>
    <w:rsid w:val="716B3240"/>
    <w:rsid w:val="71754026"/>
    <w:rsid w:val="71864485"/>
    <w:rsid w:val="71F25676"/>
    <w:rsid w:val="72B56DCF"/>
    <w:rsid w:val="72EE408F"/>
    <w:rsid w:val="7329156C"/>
    <w:rsid w:val="73734595"/>
    <w:rsid w:val="737E18B7"/>
    <w:rsid w:val="73AB1F81"/>
    <w:rsid w:val="741E6BF6"/>
    <w:rsid w:val="74A76BEC"/>
    <w:rsid w:val="74B35591"/>
    <w:rsid w:val="74C432FA"/>
    <w:rsid w:val="74D80B53"/>
    <w:rsid w:val="74FF4332"/>
    <w:rsid w:val="755F1275"/>
    <w:rsid w:val="75720FA8"/>
    <w:rsid w:val="75C15A8B"/>
    <w:rsid w:val="76404C02"/>
    <w:rsid w:val="765E152C"/>
    <w:rsid w:val="774B1AB0"/>
    <w:rsid w:val="777728A5"/>
    <w:rsid w:val="779276DF"/>
    <w:rsid w:val="77A25449"/>
    <w:rsid w:val="78061E7B"/>
    <w:rsid w:val="78964FAD"/>
    <w:rsid w:val="78D37FAF"/>
    <w:rsid w:val="78E1748A"/>
    <w:rsid w:val="790A599B"/>
    <w:rsid w:val="792425B9"/>
    <w:rsid w:val="79690914"/>
    <w:rsid w:val="79ED50A1"/>
    <w:rsid w:val="7A1F7224"/>
    <w:rsid w:val="7A806C1C"/>
    <w:rsid w:val="7AB83901"/>
    <w:rsid w:val="7B0326A2"/>
    <w:rsid w:val="7B2014A6"/>
    <w:rsid w:val="7B2C7E4B"/>
    <w:rsid w:val="7B5B603A"/>
    <w:rsid w:val="7BA63759"/>
    <w:rsid w:val="7BEE6EAE"/>
    <w:rsid w:val="7BFA5853"/>
    <w:rsid w:val="7C394C3D"/>
    <w:rsid w:val="7D036989"/>
    <w:rsid w:val="7D40373A"/>
    <w:rsid w:val="7D601028"/>
    <w:rsid w:val="7D605B8A"/>
    <w:rsid w:val="7DD32800"/>
    <w:rsid w:val="7DEE13E8"/>
    <w:rsid w:val="7E470AF8"/>
    <w:rsid w:val="7E4E1E86"/>
    <w:rsid w:val="7EC860DC"/>
    <w:rsid w:val="7ED54355"/>
    <w:rsid w:val="7F0B7D77"/>
    <w:rsid w:val="7FAC33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9"/>
    <w:unhideWhenUsed/>
    <w:qFormat/>
    <w:uiPriority w:val="99"/>
    <w:pPr>
      <w:jc w:val="center"/>
    </w:pPr>
    <w:rPr>
      <w:rFonts w:ascii="华文中宋" w:eastAsia="华文中宋"/>
      <w:b/>
      <w:bCs/>
      <w:sz w:val="44"/>
      <w:szCs w:val="36"/>
    </w:rPr>
  </w:style>
  <w:style w:type="paragraph" w:styleId="3">
    <w:name w:val="Plain Text"/>
    <w:basedOn w:val="1"/>
    <w:unhideWhenUsed/>
    <w:qFormat/>
    <w:uiPriority w:val="99"/>
    <w:rPr>
      <w:rFonts w:ascii="宋体" w:hAnsi="Courier New"/>
    </w:rPr>
  </w:style>
  <w:style w:type="paragraph" w:styleId="4">
    <w:name w:val="footer"/>
    <w:basedOn w:val="1"/>
    <w:autoRedefine/>
    <w:unhideWhenUsed/>
    <w:qFormat/>
    <w:uiPriority w:val="0"/>
    <w:pPr>
      <w:tabs>
        <w:tab w:val="center" w:pos="4153"/>
        <w:tab w:val="right" w:pos="8306"/>
      </w:tabs>
      <w:snapToGrid w:val="0"/>
      <w:jc w:val="left"/>
    </w:pPr>
    <w:rPr>
      <w:sz w:val="18"/>
    </w:rPr>
  </w:style>
  <w:style w:type="paragraph" w:styleId="5">
    <w:name w:val="header"/>
    <w:basedOn w:val="1"/>
    <w:autoRedefine/>
    <w:unhideWhenUsed/>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rPr>
  </w:style>
  <w:style w:type="character" w:customStyle="1" w:styleId="9">
    <w:name w:val="正文文本 字符"/>
    <w:basedOn w:val="8"/>
    <w:link w:val="2"/>
    <w:qFormat/>
    <w:uiPriority w:val="0"/>
    <w:rPr>
      <w:rFonts w:hint="eastAsia" w:ascii="仿宋" w:hAnsi="仿宋" w:eastAsia="仿宋" w:cs="仿宋"/>
      <w:kern w:val="2"/>
      <w:sz w:val="32"/>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1799</Words>
  <Characters>1981</Characters>
  <Lines>10</Lines>
  <Paragraphs>2</Paragraphs>
  <TotalTime>13</TotalTime>
  <ScaleCrop>false</ScaleCrop>
  <LinksUpToDate>false</LinksUpToDate>
  <CharactersWithSpaces>2082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2008-12-26T08:45:00Z</dcterms:created>
  <dc:creator>Administrator</dc:creator>
  <cp:lastModifiedBy>WPS_1684208417</cp:lastModifiedBy>
  <cp:lastPrinted>2023-02-13T07:14:00Z</cp:lastPrinted>
  <dcterms:modified xsi:type="dcterms:W3CDTF">2025-11-25T08:04:42Z</dcterms:modified>
  <dc:title>焦作市生态环境局行政处罚决定书</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1B67D8C72219437EBD815D586769981E_13</vt:lpwstr>
  </property>
  <property fmtid="{D5CDD505-2E9C-101B-9397-08002B2CF9AE}" pid="4" name="KSOTemplateDocerSaveRecord">
    <vt:lpwstr>eyJoZGlkIjoiY2Y0ZjQ5NTU4ZjU0MzQxMDRkODU5NDczZmZhMWFjYTciLCJ1c2VySWQiOiIxNDk0MjY4MzA4In0=</vt:lpwstr>
  </property>
</Properties>
</file>