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wordWrap/>
        <w:adjustRightInd/>
        <w:snapToGrid/>
        <w:spacing w:line="700" w:lineRule="exact"/>
        <w:ind w:left="0" w:leftChars="0" w:right="0" w:firstLine="0" w:firstLineChars="0"/>
        <w:jc w:val="both"/>
        <w:textAlignment w:val="auto"/>
        <w:outlineLvl w:val="9"/>
        <w:rPr>
          <w:rFonts w:hint="eastAsia" w:ascii="宋体" w:hAnsi="宋体" w:eastAsia="宋体" w:cs="宋体"/>
          <w:b/>
          <w:bCs/>
          <w:color w:val="000000"/>
          <w:kern w:val="0"/>
          <w:sz w:val="44"/>
          <w:szCs w:val="44"/>
          <w:lang w:val="en-US" w:eastAsia="zh-CN"/>
        </w:rPr>
      </w:pPr>
    </w:p>
    <w:p>
      <w:pPr>
        <w:widowControl/>
        <w:wordWrap/>
        <w:adjustRightInd/>
        <w:snapToGrid/>
        <w:spacing w:line="700" w:lineRule="exact"/>
        <w:ind w:left="0" w:leftChars="0" w:right="0" w:firstLine="0" w:firstLineChars="0"/>
        <w:jc w:val="both"/>
        <w:textAlignment w:val="auto"/>
        <w:outlineLvl w:val="9"/>
        <w:rPr>
          <w:rFonts w:hint="eastAsia" w:ascii="仿宋" w:hAnsi="仿宋" w:eastAsia="仿宋" w:cs="仿宋"/>
          <w:b/>
          <w:bCs/>
          <w:color w:val="000000"/>
          <w:kern w:val="0"/>
          <w:sz w:val="44"/>
          <w:szCs w:val="44"/>
          <w:lang w:val="en-US" w:eastAsia="zh-CN"/>
        </w:rPr>
      </w:pPr>
    </w:p>
    <w:p>
      <w:pPr>
        <w:wordWrap/>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焦作市生态环境局</w:t>
      </w:r>
    </w:p>
    <w:p>
      <w:pPr>
        <w:wordWrap/>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行政处罚决定书</w:t>
      </w:r>
    </w:p>
    <w:p>
      <w:pPr>
        <w:wordWrap/>
        <w:adjustRightInd/>
        <w:snapToGrid/>
        <w:spacing w:line="560" w:lineRule="exact"/>
        <w:jc w:val="center"/>
        <w:textAlignment w:val="auto"/>
        <w:rPr>
          <w:rFonts w:hint="eastAsia" w:ascii="方正小标宋_GBK" w:hAnsi="华文中宋" w:eastAsia="方正小标宋_GBK" w:cs="Times New Roman"/>
          <w:color w:val="auto"/>
          <w:sz w:val="44"/>
          <w:szCs w:val="44"/>
          <w:lang w:eastAsia="zh-CN"/>
        </w:rPr>
      </w:pPr>
      <w:r>
        <w:rPr>
          <w:rFonts w:hint="eastAsia" w:ascii="楷体" w:hAnsi="楷体" w:eastAsia="楷体" w:cs="Times New Roman"/>
          <w:sz w:val="32"/>
          <w:szCs w:val="32"/>
          <w:lang w:val="en-US" w:eastAsia="zh-CN"/>
        </w:rPr>
        <w:t>焦</w:t>
      </w:r>
      <w:r>
        <w:rPr>
          <w:rFonts w:hint="eastAsia" w:ascii="楷体" w:hAnsi="楷体" w:eastAsia="楷体" w:cs="Times New Roman"/>
          <w:color w:val="auto"/>
          <w:sz w:val="32"/>
          <w:szCs w:val="32"/>
          <w:lang w:val="en-US" w:eastAsia="zh-CN"/>
        </w:rPr>
        <w:t>环罚〔2025〕360号</w:t>
      </w:r>
    </w:p>
    <w:p>
      <w:pPr>
        <w:widowControl/>
        <w:wordWrap/>
        <w:spacing w:line="540" w:lineRule="exact"/>
        <w:jc w:val="left"/>
        <w:textAlignment w:val="auto"/>
        <w:rPr>
          <w:rFonts w:hint="eastAsia" w:ascii="仿宋" w:hAnsi="仿宋" w:eastAsia="仿宋" w:cs="仿宋"/>
          <w:color w:val="000000"/>
          <w:kern w:val="0"/>
          <w:sz w:val="32"/>
          <w:szCs w:val="32"/>
          <w:lang w:val="en-US" w:eastAsia="zh-CN"/>
        </w:rPr>
      </w:pPr>
    </w:p>
    <w:p>
      <w:pPr>
        <w:widowControl w:val="0"/>
        <w:wordWrap/>
        <w:adjustRightInd/>
        <w:snapToGrid/>
        <w:spacing w:line="54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rPr>
        <w:t>单位名称：</w:t>
      </w:r>
      <w:r>
        <w:rPr>
          <w:rFonts w:hint="eastAsia" w:ascii="仿宋_GB2312" w:hAnsi="仿宋_GB2312" w:eastAsia="仿宋_GB2312" w:cs="仿宋_GB2312"/>
          <w:color w:val="auto"/>
          <w:sz w:val="32"/>
          <w:szCs w:val="32"/>
          <w:u w:val="none"/>
          <w:lang w:val="en-US" w:eastAsia="zh-CN"/>
        </w:rPr>
        <w:t>河南卓新环保科技有限公司</w:t>
      </w:r>
    </w:p>
    <w:p>
      <w:pPr>
        <w:widowControl w:val="0"/>
        <w:wordWrap/>
        <w:adjustRightInd/>
        <w:snapToGrid/>
        <w:spacing w:line="54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rPr>
        <w:t>统一社会信用代码</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u w:val="none"/>
          <w:lang w:val="en-US" w:eastAsia="zh-CN"/>
        </w:rPr>
        <w:t xml:space="preserve">91410811326776204G     </w:t>
      </w:r>
    </w:p>
    <w:p>
      <w:pPr>
        <w:widowControl w:val="0"/>
        <w:wordWrap/>
        <w:adjustRightInd/>
        <w:snapToGrid/>
        <w:spacing w:line="54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rPr>
        <w:t>法定代表人：</w:t>
      </w:r>
      <w:r>
        <w:rPr>
          <w:rFonts w:hint="eastAsia" w:ascii="仿宋_GB2312" w:hAnsi="仿宋_GB2312" w:eastAsia="仿宋_GB2312" w:cs="仿宋_GB2312"/>
          <w:color w:val="auto"/>
          <w:sz w:val="32"/>
          <w:szCs w:val="32"/>
          <w:u w:val="none"/>
          <w:lang w:val="en-US" w:eastAsia="zh-CN"/>
        </w:rPr>
        <w:t>靳立志</w:t>
      </w:r>
    </w:p>
    <w:p>
      <w:pPr>
        <w:widowControl w:val="0"/>
        <w:wordWrap/>
        <w:adjustRightInd/>
        <w:snapToGrid/>
        <w:spacing w:line="54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rPr>
        <w:t>地址：</w:t>
      </w:r>
      <w:r>
        <w:rPr>
          <w:rFonts w:hint="eastAsia" w:ascii="仿宋_GB2312" w:hAnsi="仿宋_GB2312" w:eastAsia="仿宋_GB2312" w:cs="仿宋_GB2312"/>
          <w:color w:val="auto"/>
          <w:sz w:val="32"/>
          <w:szCs w:val="32"/>
          <w:u w:val="none"/>
          <w:lang w:val="en-US" w:eastAsia="zh-CN"/>
        </w:rPr>
        <w:t>焦作市中站区纬五路西段路南</w:t>
      </w:r>
    </w:p>
    <w:p>
      <w:pPr>
        <w:widowControl w:val="0"/>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b w:val="0"/>
          <w:bCs w:val="0"/>
          <w:color w:val="000000"/>
          <w:kern w:val="0"/>
          <w:sz w:val="32"/>
          <w:szCs w:val="32"/>
          <w:lang w:val="en-US" w:eastAsia="zh-CN"/>
        </w:rPr>
        <w:t xml:space="preserve">环境违法事实和证据 </w:t>
      </w:r>
    </w:p>
    <w:p>
      <w:pPr>
        <w:widowControl w:val="0"/>
        <w:wordWrap/>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我局于2025年8月22日对你单位进行了调查，发现你单位实施了以下环境违法行为：</w:t>
      </w:r>
    </w:p>
    <w:p>
      <w:pPr>
        <w:widowControl w:val="0"/>
        <w:wordWrap/>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焦作市生态环境局执法人员2025年8月22日到你单位进行检查，经现场检查，发现你单位新建一个搅拌车间，目前正在建设中，主体工程搅拌车间已建成4个200m³粉状物料仓储罐、1台搅拌机、1台皮带传输机，1个50m³粉状添加剂储罐，搅拌车间密闭围墙、密闭管道出料泵等还在建设中，实验楼和生产设备振动台也在建设中。查阅你单位环保相关手续，新建项目还未向环保部门报批建设项目环境影响评价报告表，未取得环保部门批复文件。存在未</w:t>
      </w:r>
      <w:r>
        <w:rPr>
          <w:rFonts w:hint="default" w:ascii="仿宋_GB2312" w:hAnsi="仿宋_GB2312" w:eastAsia="仿宋_GB2312" w:cs="仿宋_GB2312"/>
          <w:color w:val="auto"/>
          <w:sz w:val="32"/>
          <w:szCs w:val="32"/>
          <w:u w:val="none"/>
          <w:lang w:val="en-US" w:eastAsia="zh-CN"/>
        </w:rPr>
        <w:t>依法报批建设项目环境影响报告表，擅自开工建设的</w:t>
      </w:r>
      <w:r>
        <w:rPr>
          <w:rFonts w:hint="eastAsia" w:ascii="仿宋_GB2312" w:hAnsi="仿宋_GB2312" w:eastAsia="仿宋_GB2312" w:cs="仿宋_GB2312"/>
          <w:color w:val="auto"/>
          <w:sz w:val="32"/>
          <w:szCs w:val="32"/>
          <w:u w:val="none"/>
          <w:lang w:val="en-US" w:eastAsia="zh-CN"/>
        </w:rPr>
        <w:t xml:space="preserve">环境违法行为。   </w:t>
      </w:r>
    </w:p>
    <w:p>
      <w:pPr>
        <w:widowControl w:val="0"/>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你单位上述行为违反了</w:t>
      </w:r>
      <w:r>
        <w:rPr>
          <w:rFonts w:hint="default" w:ascii="仿宋_GB2312" w:hAnsi="仿宋_GB2312" w:eastAsia="仿宋_GB2312" w:cs="仿宋_GB2312"/>
          <w:color w:val="auto"/>
          <w:sz w:val="32"/>
          <w:szCs w:val="32"/>
          <w:u w:val="none"/>
          <w:lang w:val="en-US" w:eastAsia="zh-CN"/>
        </w:rPr>
        <w:t>《中华人民共和国环境影响评价法》第二十五条</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val="en-US" w:eastAsia="zh-CN"/>
        </w:rPr>
        <w:t>建设单位的环境影响评价文件未依法经审批部门审查或者审查后未予批准的，建设单位不得开工建设</w:t>
      </w:r>
      <w:r>
        <w:rPr>
          <w:rFonts w:hint="eastAsia" w:ascii="仿宋_GB2312" w:hAnsi="仿宋_GB2312" w:eastAsia="仿宋_GB2312" w:cs="仿宋_GB2312"/>
          <w:color w:val="auto"/>
          <w:sz w:val="32"/>
          <w:szCs w:val="32"/>
          <w:u w:val="none"/>
          <w:lang w:val="en-US" w:eastAsia="zh-CN"/>
        </w:rPr>
        <w:t>。”的规定。以上事实及证据如下：</w:t>
      </w:r>
    </w:p>
    <w:p>
      <w:pPr>
        <w:widowControl w:val="0"/>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1.《营业执照》复印件1份、法定代表人身份证复印件1份、被询问人身份证复印件一份、委托书1份，证明你单位的基本情况和被询问人员身份。</w:t>
      </w:r>
    </w:p>
    <w:p>
      <w:pPr>
        <w:widowControl w:val="0"/>
        <w:wordWrap/>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《河南卓新环保科技有限公司因环保督察事宜涉及固定资产价值资产评估报告》（豫德兴报字</w:t>
      </w:r>
      <w:r>
        <w:rPr>
          <w:rFonts w:hint="eastAsia" w:ascii="仿宋" w:hAnsi="仿宋" w:eastAsia="仿宋" w:cs="仿宋"/>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2025</w:t>
      </w:r>
      <w:r>
        <w:rPr>
          <w:rFonts w:hint="eastAsia" w:ascii="仿宋" w:hAnsi="仿宋" w:eastAsia="仿宋" w:cs="仿宋"/>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第A-30号）证明你单位新建项目已建生产设备的评估值</w:t>
      </w:r>
      <w:r>
        <w:rPr>
          <w:rFonts w:hint="default" w:ascii="仿宋_GB2312" w:hAnsi="仿宋_GB2312" w:eastAsia="仿宋_GB2312" w:cs="仿宋_GB2312"/>
          <w:color w:val="auto"/>
          <w:sz w:val="32"/>
          <w:szCs w:val="32"/>
          <w:u w:val="none"/>
          <w:lang w:val="en-US" w:eastAsia="zh-CN"/>
        </w:rPr>
        <w:t>。</w:t>
      </w:r>
    </w:p>
    <w:p>
      <w:pPr>
        <w:widowControl w:val="0"/>
        <w:wordWrap/>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8</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22</w:t>
      </w:r>
      <w:r>
        <w:rPr>
          <w:rFonts w:hint="default" w:ascii="仿宋_GB2312" w:hAnsi="仿宋_GB2312" w:eastAsia="仿宋_GB2312" w:cs="仿宋_GB2312"/>
          <w:color w:val="auto"/>
          <w:sz w:val="32"/>
          <w:szCs w:val="32"/>
          <w:u w:val="none"/>
          <w:lang w:val="en-US" w:eastAsia="zh-CN"/>
        </w:rPr>
        <w:t>日《焦作市生态环境局现场检查（勘察）笔录》1份,证明你</w:t>
      </w:r>
      <w:r>
        <w:rPr>
          <w:rFonts w:hint="eastAsia" w:ascii="仿宋_GB2312" w:hAnsi="仿宋_GB2312" w:eastAsia="仿宋_GB2312" w:cs="仿宋_GB2312"/>
          <w:color w:val="auto"/>
          <w:sz w:val="32"/>
          <w:szCs w:val="32"/>
          <w:u w:val="none"/>
          <w:lang w:val="en-US" w:eastAsia="zh-CN"/>
        </w:rPr>
        <w:t>单位当时建设情况</w:t>
      </w:r>
      <w:r>
        <w:rPr>
          <w:rFonts w:hint="default" w:ascii="仿宋_GB2312" w:hAnsi="仿宋_GB2312" w:eastAsia="仿宋_GB2312" w:cs="仿宋_GB2312"/>
          <w:color w:val="auto"/>
          <w:sz w:val="32"/>
          <w:szCs w:val="32"/>
          <w:u w:val="none"/>
          <w:lang w:val="en-US" w:eastAsia="zh-CN"/>
        </w:rPr>
        <w:t>。</w:t>
      </w:r>
    </w:p>
    <w:p>
      <w:pPr>
        <w:widowControl w:val="0"/>
        <w:wordWrap/>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8</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22</w:t>
      </w:r>
      <w:r>
        <w:rPr>
          <w:rFonts w:hint="default" w:ascii="仿宋_GB2312" w:hAnsi="仿宋_GB2312" w:eastAsia="仿宋_GB2312" w:cs="仿宋_GB2312"/>
          <w:color w:val="auto"/>
          <w:sz w:val="32"/>
          <w:szCs w:val="32"/>
          <w:u w:val="none"/>
          <w:lang w:val="en-US" w:eastAsia="zh-CN"/>
        </w:rPr>
        <w:t>日《焦作市生态环境局调查询问笔录》1份，证明你</w:t>
      </w:r>
      <w:r>
        <w:rPr>
          <w:rFonts w:hint="eastAsia" w:ascii="仿宋_GB2312" w:hAnsi="仿宋_GB2312" w:eastAsia="仿宋_GB2312" w:cs="仿宋_GB2312"/>
          <w:color w:val="auto"/>
          <w:sz w:val="32"/>
          <w:szCs w:val="32"/>
          <w:u w:val="none"/>
          <w:lang w:val="en-US" w:eastAsia="zh-CN"/>
        </w:rPr>
        <w:t>单位项目建设情况</w:t>
      </w:r>
      <w:r>
        <w:rPr>
          <w:rFonts w:hint="default" w:ascii="仿宋_GB2312" w:hAnsi="仿宋_GB2312" w:eastAsia="仿宋_GB2312" w:cs="仿宋_GB2312"/>
          <w:color w:val="auto"/>
          <w:sz w:val="32"/>
          <w:szCs w:val="32"/>
          <w:u w:val="none"/>
          <w:lang w:val="en-US" w:eastAsia="zh-CN"/>
        </w:rPr>
        <w:t>和</w:t>
      </w:r>
      <w:r>
        <w:rPr>
          <w:rFonts w:hint="eastAsia" w:ascii="仿宋_GB2312" w:hAnsi="仿宋_GB2312" w:eastAsia="仿宋_GB2312" w:cs="仿宋_GB2312"/>
          <w:color w:val="auto"/>
          <w:sz w:val="32"/>
          <w:szCs w:val="32"/>
          <w:u w:val="none"/>
          <w:lang w:val="en-US" w:eastAsia="zh-CN"/>
        </w:rPr>
        <w:t>建设项目环境影响报告表编制报批情况</w:t>
      </w:r>
      <w:r>
        <w:rPr>
          <w:rFonts w:hint="default" w:ascii="仿宋_GB2312" w:hAnsi="仿宋_GB2312" w:eastAsia="仿宋_GB2312" w:cs="仿宋_GB2312"/>
          <w:color w:val="auto"/>
          <w:sz w:val="32"/>
          <w:szCs w:val="32"/>
          <w:u w:val="none"/>
          <w:lang w:val="en-US" w:eastAsia="zh-CN"/>
        </w:rPr>
        <w:t>。</w:t>
      </w:r>
    </w:p>
    <w:p>
      <w:pPr>
        <w:widowControl w:val="0"/>
        <w:wordWrap/>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《焦作市生态环境局现场勘查示意图》1份，证明你单位新建项目具体位置。</w:t>
      </w:r>
    </w:p>
    <w:p>
      <w:pPr>
        <w:widowControl w:val="0"/>
        <w:wordWrap/>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.现场照片</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张，证明</w:t>
      </w:r>
      <w:r>
        <w:rPr>
          <w:rFonts w:hint="eastAsia" w:ascii="仿宋_GB2312" w:hAnsi="仿宋_GB2312" w:eastAsia="仿宋_GB2312" w:cs="仿宋_GB2312"/>
          <w:color w:val="auto"/>
          <w:sz w:val="32"/>
          <w:szCs w:val="32"/>
          <w:u w:val="none"/>
          <w:lang w:val="en-US" w:eastAsia="zh-CN"/>
        </w:rPr>
        <w:t>检查时</w:t>
      </w:r>
      <w:r>
        <w:rPr>
          <w:rFonts w:hint="default" w:ascii="仿宋_GB2312" w:hAnsi="仿宋_GB2312" w:eastAsia="仿宋_GB2312" w:cs="仿宋_GB2312"/>
          <w:color w:val="auto"/>
          <w:sz w:val="32"/>
          <w:szCs w:val="32"/>
          <w:u w:val="none"/>
          <w:lang w:val="en-US" w:eastAsia="zh-CN"/>
        </w:rPr>
        <w:t>你</w:t>
      </w:r>
      <w:r>
        <w:rPr>
          <w:rFonts w:hint="eastAsia" w:ascii="仿宋_GB2312" w:hAnsi="仿宋_GB2312" w:eastAsia="仿宋_GB2312" w:cs="仿宋_GB2312"/>
          <w:color w:val="auto"/>
          <w:sz w:val="32"/>
          <w:szCs w:val="32"/>
          <w:u w:val="none"/>
          <w:lang w:val="en-US" w:eastAsia="zh-CN"/>
        </w:rPr>
        <w:t>单位搅拌车间及生产设备建设</w:t>
      </w:r>
      <w:r>
        <w:rPr>
          <w:rFonts w:hint="default" w:ascii="仿宋_GB2312" w:hAnsi="仿宋_GB2312" w:eastAsia="仿宋_GB2312" w:cs="仿宋_GB2312"/>
          <w:color w:val="auto"/>
          <w:sz w:val="32"/>
          <w:szCs w:val="32"/>
          <w:u w:val="none"/>
          <w:lang w:val="en-US" w:eastAsia="zh-CN"/>
        </w:rPr>
        <w:t>情况。</w:t>
      </w:r>
    </w:p>
    <w:p>
      <w:pPr>
        <w:widowControl w:val="0"/>
        <w:wordWrap/>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w:t>
      </w:r>
      <w:r>
        <w:rPr>
          <w:rFonts w:hint="default" w:ascii="仿宋_GB2312" w:hAnsi="仿宋_GB2312" w:eastAsia="仿宋_GB2312" w:cs="仿宋_GB2312"/>
          <w:color w:val="auto"/>
          <w:sz w:val="32"/>
          <w:szCs w:val="32"/>
          <w:u w:val="none"/>
          <w:lang w:val="en-US" w:eastAsia="zh-CN"/>
        </w:rPr>
        <w:t>.执法人员的执法证复印件，证明执法人员的身份和资格。</w:t>
      </w:r>
    </w:p>
    <w:p>
      <w:pPr>
        <w:widowControl/>
        <w:wordWrap/>
        <w:adjustRightInd/>
        <w:snapToGrid/>
        <w:spacing w:line="560" w:lineRule="exact"/>
        <w:ind w:firstLine="640" w:firstLineChars="200"/>
        <w:jc w:val="left"/>
        <w:textAlignment w:val="auto"/>
        <w:rPr>
          <w:rFonts w:hint="eastAsia" w:ascii="仿宋" w:hAnsi="仿宋" w:eastAsia="仿宋" w:cs="仿宋"/>
          <w:color w:val="0000FF"/>
          <w:sz w:val="32"/>
          <w:szCs w:val="32"/>
        </w:rPr>
      </w:pPr>
      <w:r>
        <w:rPr>
          <w:rFonts w:hint="eastAsia" w:ascii="仿宋_GB2312" w:hAnsi="仿宋_GB2312" w:eastAsia="仿宋_GB2312" w:cs="仿宋_GB2312"/>
          <w:color w:val="auto"/>
          <w:sz w:val="32"/>
          <w:szCs w:val="32"/>
          <w:u w:val="none"/>
          <w:lang w:val="en-US" w:eastAsia="zh-CN"/>
        </w:rPr>
        <w:t>我局于</w:t>
      </w:r>
      <w:r>
        <w:rPr>
          <w:rFonts w:hint="eastAsia" w:ascii="仿宋_GB2312" w:hAnsi="仿宋_GB2312" w:eastAsia="仿宋_GB2312" w:cs="仿宋_GB2312"/>
          <w:color w:val="auto"/>
          <w:kern w:val="2"/>
          <w:sz w:val="32"/>
          <w:szCs w:val="32"/>
          <w:u w:val="none"/>
          <w:lang w:val="en-US" w:eastAsia="zh-CN" w:bidi="ar-SA"/>
        </w:rPr>
        <w:t>2025年10月15日</w:t>
      </w:r>
      <w:r>
        <w:rPr>
          <w:rFonts w:hint="eastAsia" w:ascii="仿宋_GB2312" w:hAnsi="仿宋_GB2312" w:eastAsia="仿宋_GB2312" w:cs="仿宋_GB2312"/>
          <w:color w:val="auto"/>
          <w:sz w:val="32"/>
          <w:szCs w:val="32"/>
          <w:u w:val="none"/>
          <w:lang w:val="en-US" w:eastAsia="zh-CN"/>
        </w:rPr>
        <w:t>直接送达</w:t>
      </w:r>
      <w:r>
        <w:rPr>
          <w:rFonts w:hint="eastAsia" w:ascii="仿宋_GB2312" w:hAnsi="仿宋_GB2312" w:eastAsia="仿宋_GB2312" w:cs="仿宋_GB2312"/>
          <w:color w:val="auto"/>
          <w:kern w:val="2"/>
          <w:sz w:val="32"/>
          <w:szCs w:val="32"/>
          <w:u w:val="none"/>
          <w:lang w:val="en-US" w:eastAsia="zh-CN" w:bidi="ar-SA"/>
        </w:rPr>
        <w:t>《焦作市生态环境局行政处罚事先（听证）告知书》（焦中环先告字〔2025〕3号），</w:t>
      </w:r>
      <w:r>
        <w:rPr>
          <w:rFonts w:hint="eastAsia" w:ascii="仿宋_GB2312" w:hAnsi="仿宋_GB2312" w:eastAsia="仿宋_GB2312" w:cs="仿宋_GB2312"/>
          <w:color w:val="auto"/>
          <w:sz w:val="32"/>
          <w:szCs w:val="32"/>
          <w:u w:val="none"/>
          <w:lang w:val="en-US" w:eastAsia="zh-CN"/>
        </w:rPr>
        <w:t>告知你单位陈述、申辩权,你单位</w:t>
      </w:r>
      <w:r>
        <w:rPr>
          <w:rFonts w:hint="eastAsia" w:ascii="仿宋_GB2312" w:hAnsi="仿宋_GB2312" w:eastAsia="仿宋_GB2312" w:cs="仿宋_GB2312"/>
          <w:color w:val="auto"/>
          <w:kern w:val="2"/>
          <w:sz w:val="32"/>
          <w:szCs w:val="32"/>
          <w:u w:val="none"/>
          <w:lang w:val="en-US" w:eastAsia="zh-CN" w:bidi="ar-SA"/>
        </w:rPr>
        <w:t>在法定期限内未提出陈述、申辩。</w:t>
      </w:r>
    </w:p>
    <w:p>
      <w:pPr>
        <w:widowControl/>
        <w:numPr>
          <w:numId w:val="0"/>
        </w:numPr>
        <w:wordWrap/>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color w:val="000000"/>
          <w:kern w:val="0"/>
          <w:sz w:val="32"/>
          <w:szCs w:val="32"/>
          <w:lang w:val="en-US" w:eastAsia="zh-CN"/>
        </w:rPr>
        <w:t>二、</w:t>
      </w:r>
      <w:r>
        <w:rPr>
          <w:rFonts w:hint="eastAsia" w:ascii="黑体" w:hAnsi="黑体" w:eastAsia="黑体" w:cs="黑体"/>
          <w:b w:val="0"/>
          <w:bCs w:val="0"/>
          <w:color w:val="000000"/>
          <w:kern w:val="0"/>
          <w:sz w:val="32"/>
          <w:szCs w:val="32"/>
          <w:lang w:val="en-US" w:eastAsia="zh-CN"/>
        </w:rPr>
        <w:t xml:space="preserve">行政处罚的依据、种类 </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根据你单位违法行为的事实、性质、情节、社会危害程度和相关证据，参照《河南省生态环境行政处罚裁量基准》建设项目管理</w:t>
      </w:r>
      <w:r>
        <w:rPr>
          <w:rFonts w:hint="default" w:ascii="仿宋_GB2312" w:hAnsi="仿宋_GB2312" w:eastAsia="仿宋_GB2312" w:cs="仿宋_GB2312"/>
          <w:color w:val="auto"/>
          <w:sz w:val="32"/>
          <w:szCs w:val="32"/>
          <w:u w:val="none"/>
          <w:lang w:val="en-US" w:eastAsia="zh-CN"/>
        </w:rPr>
        <w:t>类</w:t>
      </w:r>
      <w:r>
        <w:rPr>
          <w:rFonts w:hint="eastAsia" w:ascii="仿宋_GB2312" w:hAnsi="仿宋_GB2312" w:eastAsia="仿宋_GB2312" w:cs="仿宋_GB2312"/>
          <w:color w:val="auto"/>
          <w:kern w:val="2"/>
          <w:sz w:val="32"/>
          <w:szCs w:val="32"/>
          <w:u w:val="none"/>
          <w:lang w:val="en-US" w:eastAsia="zh-CN" w:bidi="ar-SA"/>
        </w:rPr>
        <w:t>裁量基准的规定</w:t>
      </w:r>
      <w:r>
        <w:rPr>
          <w:rFonts w:hint="eastAsia" w:ascii="仿宋_GB2312" w:hAnsi="仿宋_GB2312" w:eastAsia="仿宋_GB2312" w:cs="仿宋_GB2312"/>
          <w:color w:val="auto"/>
          <w:sz w:val="32"/>
          <w:szCs w:val="32"/>
          <w:u w:val="none"/>
          <w:lang w:val="en-US" w:eastAsia="zh-CN"/>
        </w:rPr>
        <w:t>，裁量如下：</w:t>
      </w:r>
    </w:p>
    <w:p>
      <w:pPr>
        <w:widowControl w:val="0"/>
        <w:wordWrap/>
        <w:adjustRightInd w:val="0"/>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val="en-US" w:eastAsia="zh-CN"/>
        </w:rPr>
        <w:t>、首要裁量因素：</w:t>
      </w:r>
      <w:r>
        <w:rPr>
          <w:rFonts w:hint="default" w:ascii="仿宋_GB2312" w:hAnsi="仿宋_GB2312" w:eastAsia="仿宋_GB2312" w:cs="仿宋_GB2312"/>
          <w:color w:val="auto"/>
          <w:sz w:val="32"/>
          <w:szCs w:val="32"/>
          <w:u w:val="none"/>
          <w:lang w:val="en-US" w:eastAsia="zh-CN"/>
        </w:rPr>
        <w:t>项目建设情况</w:t>
      </w:r>
      <w:r>
        <w:rPr>
          <w:rFonts w:hint="eastAsia" w:ascii="仿宋_GB2312" w:hAnsi="仿宋_GB2312" w:eastAsia="仿宋_GB2312" w:cs="仿宋_GB2312"/>
          <w:color w:val="auto"/>
          <w:sz w:val="32"/>
          <w:szCs w:val="32"/>
          <w:u w:val="none"/>
          <w:lang w:val="en-US" w:eastAsia="zh-CN"/>
        </w:rPr>
        <w:t>，内容：</w:t>
      </w:r>
      <w:r>
        <w:rPr>
          <w:rFonts w:hint="default" w:ascii="仿宋_GB2312" w:hAnsi="仿宋_GB2312" w:eastAsia="仿宋_GB2312" w:cs="仿宋_GB2312"/>
          <w:color w:val="auto"/>
          <w:sz w:val="32"/>
          <w:szCs w:val="32"/>
          <w:u w:val="none"/>
          <w:lang w:val="en-US" w:eastAsia="zh-CN"/>
        </w:rPr>
        <w:t>已开工建设但主体工程未建成，未报批或重新审核环评文件，裁量等级：</w:t>
      </w: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 xml:space="preserve"> </w:t>
      </w:r>
    </w:p>
    <w:p>
      <w:pPr>
        <w:widowControl w:val="0"/>
        <w:wordWrap/>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2、裁量因素：项目应报批的环评文件类别，内容：</w:t>
      </w:r>
      <w:r>
        <w:rPr>
          <w:rFonts w:hint="eastAsia" w:ascii="仿宋_GB2312" w:hAnsi="仿宋_GB2312" w:eastAsia="仿宋_GB2312" w:cs="仿宋_GB2312"/>
          <w:color w:val="auto"/>
          <w:sz w:val="32"/>
          <w:szCs w:val="32"/>
          <w:u w:val="none"/>
          <w:lang w:val="en-US" w:eastAsia="zh-CN"/>
        </w:rPr>
        <w:t>报告表</w:t>
      </w:r>
      <w:r>
        <w:rPr>
          <w:rFonts w:hint="default" w:ascii="仿宋_GB2312" w:hAnsi="仿宋_GB2312" w:eastAsia="仿宋_GB2312" w:cs="仿宋_GB2312"/>
          <w:color w:val="auto"/>
          <w:sz w:val="32"/>
          <w:szCs w:val="32"/>
          <w:u w:val="none"/>
          <w:lang w:val="en-US" w:eastAsia="zh-CN"/>
        </w:rPr>
        <w:t>，裁量等级：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 xml:space="preserve"> </w:t>
      </w:r>
    </w:p>
    <w:p>
      <w:pPr>
        <w:widowControl w:val="0"/>
        <w:wordWrap/>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3、裁量因素：项目建设地点，内容：符合环境功能区划，裁量等级：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 xml:space="preserve"> </w:t>
      </w:r>
    </w:p>
    <w:p>
      <w:pPr>
        <w:widowControl w:val="0"/>
        <w:wordWrap/>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4、裁量因素：违法</w:t>
      </w:r>
      <w:r>
        <w:rPr>
          <w:rFonts w:hint="default" w:ascii="仿宋_GB2312" w:hAnsi="仿宋_GB2312" w:eastAsia="仿宋_GB2312" w:cs="仿宋_GB2312"/>
          <w:color w:val="auto"/>
          <w:sz w:val="32"/>
          <w:szCs w:val="32"/>
          <w:u w:val="none"/>
          <w:lang w:val="en-US"/>
        </w:rPr>
        <w:t>行为</w:t>
      </w:r>
      <w:r>
        <w:rPr>
          <w:rFonts w:hint="default" w:ascii="仿宋_GB2312" w:hAnsi="仿宋_GB2312" w:eastAsia="仿宋_GB2312" w:cs="仿宋_GB2312"/>
          <w:color w:val="auto"/>
          <w:sz w:val="32"/>
          <w:szCs w:val="32"/>
          <w:u w:val="none"/>
          <w:lang w:val="en-US" w:eastAsia="zh-CN"/>
        </w:rPr>
        <w:t>持续时间，内容：3个月以上6个月</w:t>
      </w:r>
      <w:r>
        <w:rPr>
          <w:rFonts w:hint="default" w:ascii="仿宋_GB2312" w:hAnsi="仿宋_GB2312" w:eastAsia="仿宋_GB2312" w:cs="仿宋_GB2312"/>
          <w:color w:val="auto"/>
          <w:sz w:val="32"/>
          <w:szCs w:val="32"/>
          <w:u w:val="none"/>
          <w:lang w:val="en-US"/>
        </w:rPr>
        <w:t>以下</w:t>
      </w:r>
      <w:r>
        <w:rPr>
          <w:rFonts w:hint="default" w:ascii="仿宋_GB2312" w:hAnsi="仿宋_GB2312" w:eastAsia="仿宋_GB2312" w:cs="仿宋_GB2312"/>
          <w:color w:val="auto"/>
          <w:sz w:val="32"/>
          <w:szCs w:val="32"/>
          <w:u w:val="none"/>
          <w:lang w:val="en-US" w:eastAsia="zh-CN"/>
        </w:rPr>
        <w:t>，裁量等级：</w:t>
      </w:r>
      <w:r>
        <w:rPr>
          <w:rFonts w:hint="eastAsia" w:ascii="仿宋_GB2312" w:hAnsi="仿宋_GB2312" w:eastAsia="仿宋_GB2312" w:cs="仿宋_GB2312"/>
          <w:color w:val="auto"/>
          <w:sz w:val="32"/>
          <w:szCs w:val="32"/>
          <w:u w:val="none"/>
          <w:lang w:val="en-US" w:eastAsia="zh-CN"/>
        </w:rPr>
        <w:t>3；</w:t>
      </w:r>
    </w:p>
    <w:p>
      <w:pPr>
        <w:widowControl w:val="0"/>
        <w:wordWrap/>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裁量因素：</w:t>
      </w:r>
      <w:r>
        <w:rPr>
          <w:rFonts w:hint="default" w:ascii="仿宋_GB2312" w:hAnsi="仿宋_GB2312" w:eastAsia="仿宋_GB2312" w:cs="仿宋_GB2312"/>
          <w:color w:val="auto"/>
          <w:sz w:val="32"/>
          <w:szCs w:val="32"/>
          <w:u w:val="none"/>
          <w:lang w:val="en-US"/>
        </w:rPr>
        <w:t>超过限期改正时间</w:t>
      </w:r>
      <w:r>
        <w:rPr>
          <w:rFonts w:hint="default" w:ascii="仿宋_GB2312" w:hAnsi="仿宋_GB2312" w:eastAsia="仿宋_GB2312" w:cs="仿宋_GB2312"/>
          <w:color w:val="auto"/>
          <w:sz w:val="32"/>
          <w:szCs w:val="32"/>
          <w:u w:val="none"/>
          <w:lang w:val="en-US" w:eastAsia="zh-CN"/>
        </w:rPr>
        <w:t>，内容：</w:t>
      </w:r>
      <w:r>
        <w:rPr>
          <w:rFonts w:hint="eastAsia" w:ascii="仿宋_GB2312" w:hAnsi="仿宋_GB2312" w:eastAsia="仿宋_GB2312" w:cs="仿宋_GB2312"/>
          <w:color w:val="auto"/>
          <w:sz w:val="32"/>
          <w:szCs w:val="32"/>
          <w:u w:val="none"/>
          <w:lang w:val="en-US" w:eastAsia="zh-CN"/>
        </w:rPr>
        <w:t>限期改正，</w:t>
      </w:r>
      <w:r>
        <w:rPr>
          <w:rFonts w:hint="default" w:ascii="仿宋_GB2312" w:hAnsi="仿宋_GB2312" w:eastAsia="仿宋_GB2312" w:cs="仿宋_GB2312"/>
          <w:color w:val="auto"/>
          <w:sz w:val="32"/>
          <w:szCs w:val="32"/>
          <w:u w:val="none"/>
          <w:lang w:val="en-US" w:eastAsia="zh-CN"/>
        </w:rPr>
        <w:t>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 xml:space="preserve"> </w:t>
      </w:r>
    </w:p>
    <w:p>
      <w:pPr>
        <w:widowControl w:val="0"/>
        <w:wordWrap/>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、裁量因素：是否配合执法检查，内容：配合调查，裁量等级：1</w:t>
      </w:r>
      <w:r>
        <w:rPr>
          <w:rFonts w:hint="eastAsia" w:ascii="仿宋_GB2312" w:hAnsi="仿宋_GB2312" w:eastAsia="仿宋_GB2312" w:cs="仿宋_GB2312"/>
          <w:color w:val="auto"/>
          <w:sz w:val="32"/>
          <w:szCs w:val="32"/>
          <w:u w:val="none"/>
          <w:lang w:val="en-US" w:eastAsia="zh-CN"/>
        </w:rPr>
        <w:t>。</w:t>
      </w:r>
    </w:p>
    <w:p>
      <w:pPr>
        <w:widowControl/>
        <w:wordWrap/>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u w:val="none"/>
          <w:lang w:val="en-US" w:eastAsia="zh-CN"/>
        </w:rPr>
        <w:t>我局委托河南德兴资产评估事务所对你单位新建项目生产设备进行资产评估，经评估，</w:t>
      </w:r>
      <w:r>
        <w:rPr>
          <w:rFonts w:hint="default" w:ascii="仿宋_GB2312" w:hAnsi="仿宋_GB2312" w:eastAsia="仿宋_GB2312" w:cs="仿宋_GB2312"/>
          <w:color w:val="auto"/>
          <w:sz w:val="32"/>
          <w:szCs w:val="32"/>
          <w:u w:val="none"/>
          <w:lang w:val="en-US" w:eastAsia="zh-CN"/>
        </w:rPr>
        <w:t>认定</w:t>
      </w:r>
      <w:r>
        <w:rPr>
          <w:rFonts w:hint="eastAsia" w:ascii="仿宋_GB2312" w:hAnsi="仿宋_GB2312" w:eastAsia="仿宋_GB2312" w:cs="仿宋_GB2312"/>
          <w:color w:val="auto"/>
          <w:sz w:val="32"/>
          <w:szCs w:val="32"/>
          <w:u w:val="none"/>
          <w:lang w:val="en-US" w:eastAsia="zh-CN"/>
        </w:rPr>
        <w:t>价值为510600元</w:t>
      </w:r>
      <w:r>
        <w:rPr>
          <w:rFonts w:hint="default" w:ascii="仿宋_GB2312" w:hAnsi="仿宋_GB2312" w:eastAsia="仿宋_GB2312" w:cs="仿宋_GB2312"/>
          <w:color w:val="auto"/>
          <w:sz w:val="32"/>
          <w:szCs w:val="32"/>
          <w:u w:val="none"/>
          <w:lang w:val="en-US" w:eastAsia="zh-CN"/>
        </w:rPr>
        <w:t>，法定处罚金额上限：</w:t>
      </w:r>
      <w:r>
        <w:rPr>
          <w:rFonts w:hint="eastAsia" w:ascii="仿宋_GB2312" w:hAnsi="仿宋_GB2312" w:eastAsia="仿宋_GB2312" w:cs="仿宋_GB2312"/>
          <w:color w:val="auto"/>
          <w:sz w:val="32"/>
          <w:szCs w:val="32"/>
          <w:u w:val="none"/>
          <w:lang w:val="en-US" w:eastAsia="zh-CN"/>
        </w:rPr>
        <w:t>25530</w:t>
      </w:r>
      <w:r>
        <w:rPr>
          <w:rFonts w:hint="default" w:ascii="仿宋_GB2312" w:hAnsi="仿宋_GB2312" w:eastAsia="仿宋_GB2312" w:cs="仿宋_GB2312"/>
          <w:color w:val="auto"/>
          <w:sz w:val="32"/>
          <w:szCs w:val="32"/>
          <w:u w:val="none"/>
          <w:lang w:val="en-US" w:eastAsia="zh-CN"/>
        </w:rPr>
        <w:t>，法定处罚金额下限：</w:t>
      </w:r>
      <w:r>
        <w:rPr>
          <w:rFonts w:hint="eastAsia" w:ascii="仿宋_GB2312" w:hAnsi="仿宋_GB2312" w:eastAsia="仿宋_GB2312" w:cs="仿宋_GB2312"/>
          <w:color w:val="auto"/>
          <w:sz w:val="32"/>
          <w:szCs w:val="32"/>
          <w:u w:val="none"/>
          <w:lang w:val="en-US" w:eastAsia="zh-CN"/>
        </w:rPr>
        <w:t>5106</w:t>
      </w:r>
      <w:r>
        <w:rPr>
          <w:rFonts w:hint="default" w:ascii="仿宋_GB2312" w:hAnsi="仿宋_GB2312" w:eastAsia="仿宋_GB2312" w:cs="仿宋_GB2312"/>
          <w:color w:val="auto"/>
          <w:sz w:val="32"/>
          <w:szCs w:val="32"/>
          <w:u w:val="none"/>
          <w:lang w:val="en-US" w:eastAsia="zh-CN"/>
        </w:rPr>
        <w:t>，首要裁量因素裁量等级：</w:t>
      </w: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kern w:val="2"/>
          <w:sz w:val="32"/>
          <w:szCs w:val="32"/>
          <w:u w:val="none"/>
          <w:lang w:val="en-US" w:eastAsia="zh-CN" w:bidi="ar-SA"/>
        </w:rPr>
        <w:t>其余裁量因素个数：</w:t>
      </w:r>
      <w:r>
        <w:rPr>
          <w:rFonts w:hint="eastAsia" w:ascii="仿宋_GB2312" w:hAnsi="仿宋_GB2312" w:eastAsia="仿宋_GB2312" w:cs="仿宋_GB2312"/>
          <w:color w:val="auto"/>
          <w:kern w:val="2"/>
          <w:sz w:val="32"/>
          <w:szCs w:val="32"/>
          <w:u w:val="none"/>
          <w:lang w:val="en-US" w:eastAsia="zh-CN" w:bidi="ar-SA"/>
        </w:rPr>
        <w:t>5</w:t>
      </w:r>
      <w:r>
        <w:rPr>
          <w:rFonts w:hint="default" w:ascii="仿宋_GB2312" w:hAnsi="仿宋_GB2312" w:eastAsia="仿宋_GB2312" w:cs="仿宋_GB2312"/>
          <w:color w:val="auto"/>
          <w:kern w:val="2"/>
          <w:sz w:val="32"/>
          <w:szCs w:val="32"/>
          <w:u w:val="none"/>
          <w:lang w:val="en-US" w:eastAsia="zh-CN" w:bidi="ar-SA"/>
        </w:rPr>
        <w:t>，其余裁量因素裁量等级：</w:t>
      </w:r>
      <w:r>
        <w:rPr>
          <w:rFonts w:hint="eastAsia" w:ascii="仿宋_GB2312" w:hAnsi="仿宋_GB2312" w:eastAsia="仿宋_GB2312" w:cs="仿宋_GB2312"/>
          <w:color w:val="auto"/>
          <w:kern w:val="2"/>
          <w:sz w:val="32"/>
          <w:szCs w:val="32"/>
          <w:u w:val="none"/>
          <w:lang w:val="en-US" w:eastAsia="zh-CN" w:bidi="ar-SA"/>
        </w:rPr>
        <w:t>1、1、3、</w:t>
      </w:r>
      <w:r>
        <w:rPr>
          <w:rFonts w:hint="default" w:ascii="仿宋_GB2312" w:hAnsi="仿宋_GB2312" w:eastAsia="仿宋_GB2312" w:cs="仿宋_GB2312"/>
          <w:color w:val="auto"/>
          <w:kern w:val="2"/>
          <w:sz w:val="32"/>
          <w:szCs w:val="32"/>
          <w:u w:val="none"/>
          <w:lang w:val="en-US" w:eastAsia="zh-CN" w:bidi="ar-SA"/>
        </w:rPr>
        <w:t>1</w:t>
      </w:r>
      <w:r>
        <w:rPr>
          <w:rFonts w:hint="eastAsia" w:ascii="仿宋_GB2312" w:hAnsi="仿宋_GB2312" w:eastAsia="仿宋_GB2312" w:cs="仿宋_GB2312"/>
          <w:color w:val="auto"/>
          <w:kern w:val="2"/>
          <w:sz w:val="32"/>
          <w:szCs w:val="32"/>
          <w:u w:val="none"/>
          <w:lang w:val="en-US" w:eastAsia="zh-CN" w:bidi="ar-SA"/>
        </w:rPr>
        <w:t>、1。</w:t>
      </w:r>
    </w:p>
    <w:p>
      <w:pPr>
        <w:widowControl/>
        <w:wordWrap/>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default" w:ascii="仿宋_GB2312" w:hAnsi="仿宋_GB2312" w:eastAsia="仿宋_GB2312" w:cs="仿宋_GB2312"/>
          <w:color w:val="auto"/>
          <w:kern w:val="2"/>
          <w:sz w:val="32"/>
          <w:szCs w:val="32"/>
          <w:u w:val="none"/>
          <w:lang w:val="en-US" w:eastAsia="zh-CN" w:bidi="ar-SA"/>
        </w:rPr>
        <w:t>代入公式：</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5106</w:t>
      </w:r>
      <w:r>
        <w:rPr>
          <w:rFonts w:hint="default" w:ascii="仿宋_GB2312" w:hAnsi="仿宋_GB2312" w:eastAsia="仿宋_GB2312" w:cs="仿宋_GB2312"/>
          <w:color w:val="auto"/>
          <w:kern w:val="2"/>
          <w:sz w:val="32"/>
          <w:szCs w:val="32"/>
          <w:u w:val="none"/>
          <w:lang w:val="en-US" w:eastAsia="zh-CN" w:bidi="ar-SA"/>
        </w:rPr>
        <w:t>+(</w:t>
      </w:r>
      <w:r>
        <w:rPr>
          <w:rFonts w:hint="eastAsia" w:ascii="仿宋_GB2312" w:hAnsi="仿宋_GB2312" w:eastAsia="仿宋_GB2312" w:cs="仿宋_GB2312"/>
          <w:color w:val="auto"/>
          <w:kern w:val="2"/>
          <w:sz w:val="32"/>
          <w:szCs w:val="32"/>
          <w:u w:val="none"/>
          <w:lang w:val="en-US" w:eastAsia="zh-CN" w:bidi="ar-SA"/>
        </w:rPr>
        <w:t>25530</w:t>
      </w:r>
      <w:r>
        <w:rPr>
          <w:rFonts w:hint="default" w:ascii="仿宋_GB2312" w:hAnsi="仿宋_GB2312" w:eastAsia="仿宋_GB2312" w:cs="仿宋_GB2312"/>
          <w:color w:val="auto"/>
          <w:kern w:val="2"/>
          <w:sz w:val="32"/>
          <w:szCs w:val="32"/>
          <w:u w:val="none"/>
          <w:lang w:val="en-US" w:eastAsia="zh-CN" w:bidi="ar-SA"/>
        </w:rPr>
        <w:t>-</w:t>
      </w:r>
      <w:r>
        <w:rPr>
          <w:rFonts w:hint="eastAsia" w:ascii="仿宋_GB2312" w:hAnsi="仿宋_GB2312" w:eastAsia="仿宋_GB2312" w:cs="仿宋_GB2312"/>
          <w:color w:val="auto"/>
          <w:kern w:val="2"/>
          <w:sz w:val="32"/>
          <w:szCs w:val="32"/>
          <w:u w:val="none"/>
          <w:lang w:val="en-US" w:eastAsia="zh-CN" w:bidi="ar-SA"/>
        </w:rPr>
        <w:t>5106</w:t>
      </w:r>
      <w:r>
        <w:rPr>
          <w:rFonts w:hint="default" w:ascii="仿宋_GB2312" w:hAnsi="仿宋_GB2312" w:eastAsia="仿宋_GB2312" w:cs="仿宋_GB2312"/>
          <w:color w:val="auto"/>
          <w:kern w:val="2"/>
          <w:sz w:val="32"/>
          <w:szCs w:val="32"/>
          <w:u w:val="none"/>
          <w:lang w:val="en-US" w:eastAsia="zh-CN" w:bidi="ar-SA"/>
        </w:rPr>
        <w:t>)x[(</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/5)²+(1²+</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²+</w:t>
      </w:r>
      <w:r>
        <w:rPr>
          <w:rFonts w:hint="eastAsia" w:ascii="仿宋_GB2312" w:hAnsi="仿宋_GB2312" w:eastAsia="仿宋_GB2312" w:cs="仿宋_GB2312"/>
          <w:color w:val="auto"/>
          <w:kern w:val="2"/>
          <w:sz w:val="32"/>
          <w:szCs w:val="32"/>
          <w:u w:val="none"/>
          <w:lang w:val="en-US" w:eastAsia="zh-CN" w:bidi="ar-SA"/>
        </w:rPr>
        <w:t>3</w:t>
      </w:r>
      <w:r>
        <w:rPr>
          <w:rFonts w:hint="default" w:ascii="仿宋_GB2312" w:hAnsi="仿宋_GB2312" w:eastAsia="仿宋_GB2312" w:cs="仿宋_GB2312"/>
          <w:color w:val="auto"/>
          <w:kern w:val="2"/>
          <w:sz w:val="32"/>
          <w:szCs w:val="32"/>
          <w:u w:val="none"/>
          <w:lang w:val="en-US" w:eastAsia="zh-CN" w:bidi="ar-SA"/>
        </w:rPr>
        <w:t>²+1²+1² )/(5²x</w:t>
      </w:r>
      <w:r>
        <w:rPr>
          <w:rFonts w:hint="eastAsia" w:ascii="仿宋_GB2312" w:hAnsi="仿宋_GB2312" w:eastAsia="仿宋_GB2312" w:cs="仿宋_GB2312"/>
          <w:color w:val="auto"/>
          <w:kern w:val="2"/>
          <w:sz w:val="32"/>
          <w:szCs w:val="32"/>
          <w:u w:val="none"/>
          <w:lang w:val="en-US" w:eastAsia="zh-CN" w:bidi="ar-SA"/>
        </w:rPr>
        <w:t>5</w:t>
      </w:r>
      <w:r>
        <w:rPr>
          <w:rFonts w:hint="default" w:ascii="仿宋_GB2312" w:hAnsi="仿宋_GB2312" w:eastAsia="仿宋_GB2312" w:cs="仿宋_GB2312"/>
          <w:color w:val="auto"/>
          <w:kern w:val="2"/>
          <w:sz w:val="32"/>
          <w:szCs w:val="32"/>
          <w:u w:val="none"/>
          <w:lang w:val="en-US" w:eastAsia="zh-CN" w:bidi="ar-SA"/>
        </w:rPr>
        <w:t>)]x50%</w:t>
      </w:r>
      <w:r>
        <w:rPr>
          <w:rFonts w:hint="eastAsia" w:ascii="仿宋_GB2312" w:hAnsi="仿宋_GB2312" w:eastAsia="仿宋_GB2312" w:cs="仿宋_GB2312"/>
          <w:color w:val="auto"/>
          <w:kern w:val="2"/>
          <w:sz w:val="32"/>
          <w:szCs w:val="32"/>
          <w:u w:val="none"/>
          <w:lang w:val="en-US" w:eastAsia="zh-CN" w:bidi="ar-SA"/>
        </w:rPr>
        <w:t xml:space="preserve">=7802       </w:t>
      </w:r>
      <w:r>
        <w:rPr>
          <w:rFonts w:hint="default" w:ascii="仿宋_GB2312" w:hAnsi="仿宋_GB2312" w:eastAsia="仿宋_GB2312" w:cs="仿宋_GB2312"/>
          <w:color w:val="auto"/>
          <w:kern w:val="2"/>
          <w:sz w:val="32"/>
          <w:szCs w:val="32"/>
          <w:u w:val="none"/>
          <w:lang w:val="en-US" w:eastAsia="zh-CN" w:bidi="ar-SA"/>
        </w:rPr>
        <w:t>最终裁量金额：</w:t>
      </w:r>
      <w:r>
        <w:rPr>
          <w:rFonts w:hint="eastAsia" w:ascii="仿宋_GB2312" w:hAnsi="仿宋_GB2312" w:eastAsia="仿宋_GB2312" w:cs="仿宋_GB2312"/>
          <w:color w:val="auto"/>
          <w:kern w:val="2"/>
          <w:sz w:val="32"/>
          <w:szCs w:val="32"/>
          <w:u w:val="none"/>
          <w:lang w:val="en-US" w:eastAsia="zh-CN" w:bidi="ar-SA"/>
        </w:rPr>
        <w:t>7802</w:t>
      </w:r>
      <w:r>
        <w:rPr>
          <w:rFonts w:hint="default" w:ascii="仿宋_GB2312" w:hAnsi="仿宋_GB2312" w:eastAsia="仿宋_GB2312" w:cs="仿宋_GB2312"/>
          <w:color w:val="auto"/>
          <w:kern w:val="2"/>
          <w:sz w:val="32"/>
          <w:szCs w:val="32"/>
          <w:u w:val="none"/>
          <w:lang w:val="en-US" w:eastAsia="zh-CN" w:bidi="ar-SA"/>
        </w:rPr>
        <w:t>元。</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w:t>
      </w:r>
      <w:r>
        <w:rPr>
          <w:rFonts w:hint="default" w:ascii="仿宋_GB2312" w:hAnsi="仿宋_GB2312" w:eastAsia="仿宋_GB2312" w:cs="仿宋_GB2312"/>
          <w:color w:val="auto"/>
          <w:sz w:val="32"/>
          <w:szCs w:val="32"/>
          <w:u w:val="none"/>
          <w:lang w:val="en-US" w:eastAsia="zh-CN"/>
        </w:rPr>
        <w:t>《中华人民共和国环境影响评价法》第三十一条第一款</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val="en-US" w:eastAsia="zh-CN"/>
        </w:rPr>
        <w:t>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r>
        <w:rPr>
          <w:rFonts w:hint="eastAsia" w:ascii="仿宋_GB2312" w:hAnsi="仿宋_GB2312" w:eastAsia="仿宋_GB2312" w:cs="仿宋_GB2312"/>
          <w:color w:val="auto"/>
          <w:sz w:val="32"/>
          <w:szCs w:val="32"/>
          <w:u w:val="none"/>
          <w:lang w:val="en-US" w:eastAsia="zh-CN"/>
        </w:rPr>
        <w:t>。”的规定，经研究，我局对你单位</w:t>
      </w:r>
      <w:r>
        <w:rPr>
          <w:rFonts w:hint="default" w:ascii="仿宋_GB2312" w:hAnsi="仿宋_GB2312" w:eastAsia="仿宋_GB2312" w:cs="仿宋_GB2312"/>
          <w:color w:val="auto"/>
          <w:sz w:val="32"/>
          <w:szCs w:val="32"/>
          <w:u w:val="none"/>
          <w:lang w:val="en-US" w:eastAsia="zh-CN"/>
        </w:rPr>
        <w:t>未依法报批建设项目环境影响报告</w:t>
      </w:r>
      <w:r>
        <w:rPr>
          <w:rFonts w:hint="eastAsia" w:ascii="仿宋_GB2312" w:hAnsi="仿宋_GB2312" w:eastAsia="仿宋_GB2312" w:cs="仿宋_GB2312"/>
          <w:color w:val="auto"/>
          <w:sz w:val="32"/>
          <w:szCs w:val="32"/>
          <w:u w:val="none"/>
          <w:lang w:val="en-US" w:eastAsia="zh-CN"/>
        </w:rPr>
        <w:t>表、</w:t>
      </w:r>
      <w:r>
        <w:rPr>
          <w:rFonts w:hint="default" w:ascii="仿宋_GB2312" w:hAnsi="仿宋_GB2312" w:eastAsia="仿宋_GB2312" w:cs="仿宋_GB2312"/>
          <w:color w:val="auto"/>
          <w:sz w:val="32"/>
          <w:szCs w:val="32"/>
          <w:u w:val="none"/>
          <w:lang w:val="en-US" w:eastAsia="zh-CN"/>
        </w:rPr>
        <w:t>擅自开工建设</w:t>
      </w:r>
      <w:r>
        <w:rPr>
          <w:rFonts w:hint="eastAsia" w:ascii="仿宋_GB2312" w:hAnsi="仿宋_GB2312" w:eastAsia="仿宋_GB2312" w:cs="仿宋_GB2312"/>
          <w:color w:val="auto"/>
          <w:sz w:val="32"/>
          <w:szCs w:val="32"/>
          <w:u w:val="none"/>
          <w:lang w:val="en-US" w:eastAsia="zh-CN"/>
        </w:rPr>
        <w:t xml:space="preserve">的环境违法行为作出以下处理决定： </w:t>
      </w:r>
    </w:p>
    <w:p>
      <w:pPr>
        <w:widowControl w:val="0"/>
        <w:wordWrap/>
        <w:spacing w:line="560" w:lineRule="exact"/>
        <w:ind w:left="0" w:leftChars="0"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u w:val="none"/>
          <w:lang w:eastAsia="zh-CN"/>
        </w:rPr>
        <w:t>罚款</w:t>
      </w:r>
      <w:r>
        <w:rPr>
          <w:rFonts w:hint="eastAsia" w:ascii="仿宋_GB2312" w:hAnsi="仿宋_GB2312" w:eastAsia="仿宋_GB2312" w:cs="仿宋_GB2312"/>
          <w:color w:val="auto"/>
          <w:sz w:val="32"/>
          <w:szCs w:val="32"/>
          <w:u w:val="none"/>
          <w:lang w:val="en-US" w:eastAsia="zh-CN"/>
        </w:rPr>
        <w:t>柒仟捌佰零贰元整</w:t>
      </w:r>
      <w:r>
        <w:rPr>
          <w:rFonts w:hint="eastAsia" w:ascii="仿宋_GB2312" w:hAnsi="仿宋_GB2312" w:eastAsia="仿宋_GB2312" w:cs="仿宋_GB2312"/>
          <w:color w:val="auto"/>
          <w:kern w:val="2"/>
          <w:sz w:val="32"/>
          <w:szCs w:val="32"/>
          <w:u w:val="none"/>
          <w:lang w:val="en-US" w:eastAsia="zh-CN" w:bidi="ar-SA"/>
        </w:rPr>
        <w:t>（7802元整）。</w:t>
      </w:r>
    </w:p>
    <w:p>
      <w:pPr>
        <w:widowControl/>
        <w:numPr>
          <w:numId w:val="0"/>
        </w:numPr>
        <w:wordWrap/>
        <w:adjustRightInd/>
        <w:snapToGrid/>
        <w:spacing w:line="560" w:lineRule="exact"/>
        <w:ind w:leftChars="0" w:firstLine="640" w:firstLineChars="200"/>
        <w:jc w:val="left"/>
        <w:textAlignment w:val="auto"/>
        <w:rPr>
          <w:rFonts w:hint="eastAsia" w:ascii="仿宋" w:hAnsi="仿宋" w:eastAsia="仿宋" w:cs="仿宋"/>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三、行政处罚决定的履行方式和期限</w:t>
      </w:r>
      <w:r>
        <w:rPr>
          <w:rFonts w:hint="eastAsia" w:ascii="仿宋" w:hAnsi="仿宋" w:eastAsia="仿宋" w:cs="仿宋"/>
          <w:color w:val="000000"/>
          <w:kern w:val="0"/>
          <w:sz w:val="32"/>
          <w:szCs w:val="32"/>
          <w:lang w:val="en-US" w:eastAsia="zh-CN"/>
        </w:rPr>
        <w:t xml:space="preserve"> </w:t>
      </w:r>
    </w:p>
    <w:p>
      <w:pPr>
        <w:widowControl/>
        <w:numPr>
          <w:numId w:val="0"/>
        </w:numPr>
        <w:wordWrap/>
        <w:adjustRightInd/>
        <w:snapToGrid/>
        <w:spacing w:line="560" w:lineRule="exact"/>
        <w:ind w:leftChars="0"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根据《中华人民共和国行政处罚法》和《罚款决定与罚款收缴分离实施办法》的规定，你单位应当自收到本处罚决定书之日起15日内将罚款缴至指定银行和账号：</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收款银行：邮政储蓄银行民主南路支行；</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银行账号：100195545980010001；</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户名：焦作市财政局非税收入财政专户。</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款项缴清后，请持银行受理回单到我局索取罚款收据，并将缴款凭据报送我局备案。 </w:t>
      </w:r>
    </w:p>
    <w:p>
      <w:pPr>
        <w:widowControl/>
        <w:wordWrap/>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color w:val="000000"/>
          <w:kern w:val="0"/>
          <w:sz w:val="32"/>
          <w:szCs w:val="32"/>
          <w:lang w:val="en-US" w:eastAsia="zh-CN"/>
        </w:rPr>
        <w:t xml:space="preserve">四、申请行政复议或提起行政诉讼的途径和期限 </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你单位如不服本处罚决定，可以在收到本处罚决定书之日起六十日内向焦作市人民政府申请行政复议，也可以在收到本处罚决定书之日起六个月内向焦作市解放区人民法院提起行政诉讼。申请行政复议或者提起行政诉</w:t>
      </w:r>
      <w:bookmarkStart w:id="0" w:name="_GoBack"/>
      <w:bookmarkEnd w:id="0"/>
      <w:r>
        <w:rPr>
          <w:rFonts w:hint="eastAsia" w:ascii="仿宋_GB2312" w:hAnsi="仿宋_GB2312" w:eastAsia="仿宋_GB2312" w:cs="仿宋_GB2312"/>
          <w:color w:val="auto"/>
          <w:sz w:val="32"/>
          <w:szCs w:val="32"/>
          <w:u w:val="none"/>
          <w:lang w:val="en-US" w:eastAsia="zh-CN"/>
        </w:rPr>
        <w:t xml:space="preserve">讼，不停止行政处罚决定的执行。逾期不申请行政复议，不提起行政诉讼，又不履行本处罚决定的，我局将依法申请人民法院强制执行。 </w:t>
      </w:r>
    </w:p>
    <w:p>
      <w:pPr>
        <w:widowControl/>
        <w:wordWrap/>
        <w:adjustRightInd/>
        <w:snapToGrid/>
        <w:spacing w:line="560" w:lineRule="exact"/>
        <w:jc w:val="left"/>
        <w:textAlignment w:val="auto"/>
        <w:rPr>
          <w:rFonts w:hint="eastAsia" w:ascii="仿宋" w:hAnsi="仿宋" w:eastAsia="仿宋" w:cs="仿宋"/>
          <w:color w:val="000000"/>
          <w:kern w:val="0"/>
          <w:sz w:val="32"/>
          <w:szCs w:val="32"/>
          <w:lang w:val="en-US" w:eastAsia="zh-CN"/>
        </w:rPr>
      </w:pPr>
    </w:p>
    <w:p>
      <w:pPr>
        <w:widowControl/>
        <w:wordWrap/>
        <w:adjustRightInd/>
        <w:snapToGrid/>
        <w:spacing w:line="560" w:lineRule="exact"/>
        <w:jc w:val="left"/>
        <w:textAlignment w:val="auto"/>
        <w:rPr>
          <w:rFonts w:hint="eastAsia" w:ascii="仿宋" w:hAnsi="仿宋" w:eastAsia="仿宋" w:cs="仿宋"/>
          <w:color w:val="000000"/>
          <w:kern w:val="0"/>
          <w:sz w:val="32"/>
          <w:szCs w:val="32"/>
          <w:lang w:val="en-US" w:eastAsia="zh-CN"/>
        </w:rPr>
      </w:pPr>
    </w:p>
    <w:p>
      <w:pPr>
        <w:widowControl/>
        <w:wordWrap/>
        <w:adjustRightInd/>
        <w:snapToGrid/>
        <w:spacing w:line="560" w:lineRule="exact"/>
        <w:ind w:firstLine="5440" w:firstLineChars="17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rPr>
        <w:t>2025年11月24日</w:t>
      </w:r>
    </w:p>
    <w:sectPr>
      <w:footerReference r:id="rId4" w:type="default"/>
      <w:pgSz w:w="11906" w:h="16838"/>
      <w:pgMar w:top="1984" w:right="1474" w:bottom="1928"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Meiryo">
    <w:panose1 w:val="020B0604030504040204"/>
    <w:charset w:val="80"/>
    <w:family w:val="auto"/>
    <w:pitch w:val="default"/>
    <w:sig w:usb0="E10102FF" w:usb1="EAC7FFFF" w:usb2="00010012" w:usb3="00000000" w:csb0="6002009F" w:csb1="DFD70000"/>
  </w:font>
  <w:font w:name="MS PGothic">
    <w:panose1 w:val="020B0600070205080204"/>
    <w:charset w:val="80"/>
    <w:family w:val="auto"/>
    <w:pitch w:val="default"/>
    <w:sig w:usb0="E00002FF" w:usb1="6AC7FDFB" w:usb2="00000012" w:usb3="00000000" w:csb0="4002009F" w:csb1="DFD70000"/>
  </w:font>
  <w:font w:name="MS PMincho">
    <w:panose1 w:val="02020600040205080304"/>
    <w:charset w:val="80"/>
    <w:family w:val="auto"/>
    <w:pitch w:val="default"/>
    <w:sig w:usb0="E00002FF" w:usb1="6AC7FDFB" w:usb2="00000012" w:usb3="00000000" w:csb0="4002009F" w:csb1="DFD70000"/>
  </w:font>
  <w:font w:name="PMingLiU-ExtB">
    <w:panose1 w:val="02020500000000000000"/>
    <w:charset w:val="88"/>
    <w:family w:val="auto"/>
    <w:pitch w:val="default"/>
    <w:sig w:usb0="8000002F" w:usb1="02000008" w:usb2="00000000" w:usb3="00000000" w:csb0="00100001" w:csb1="00000000"/>
  </w:font>
  <w:font w:name="SimSun-ExtB">
    <w:panose1 w:val="02010609060101010101"/>
    <w:charset w:val="86"/>
    <w:family w:val="auto"/>
    <w:pitch w:val="default"/>
    <w:sig w:usb0="00000001" w:usb1="02000000" w:usb2="00000000" w:usb3="00000000" w:csb0="00040001" w:csb1="00000000"/>
  </w:font>
  <w:font w:name="AngsanaUPC">
    <w:panose1 w:val="02020603050405020304"/>
    <w:charset w:val="00"/>
    <w:family w:val="auto"/>
    <w:pitch w:val="default"/>
    <w:sig w:usb0="81000003" w:usb1="00000000" w:usb2="00000000" w:usb3="00000000" w:csb0="00010001" w:csb1="00000000"/>
  </w:font>
  <w:font w:name="Aparajita">
    <w:panose1 w:val="020B0604020202020204"/>
    <w:charset w:val="00"/>
    <w:family w:val="auto"/>
    <w:pitch w:val="default"/>
    <w:sig w:usb0="00008003" w:usb1="00000000" w:usb2="00000000" w:usb3="00000000" w:csb0="00000001" w:csb1="00000000"/>
  </w:font>
  <w:font w:name="Cambria Math">
    <w:panose1 w:val="02040503050406030204"/>
    <w:charset w:val="00"/>
    <w:family w:val="auto"/>
    <w:pitch w:val="default"/>
    <w:sig w:usb0="E00002FF" w:usb1="420024FF" w:usb2="00000000" w:usb3="00000000" w:csb0="2000019F" w:csb1="00000000"/>
  </w:font>
  <w:font w:name="Constantia">
    <w:panose1 w:val="02030602050306030303"/>
    <w:charset w:val="00"/>
    <w:family w:val="auto"/>
    <w:pitch w:val="default"/>
    <w:sig w:usb0="A00002EF" w:usb1="4000204B" w:usb2="00000000" w:usb3="00000000" w:csb0="2000019F" w:csb1="00000000"/>
  </w:font>
  <w:font w:name="DaunPenh">
    <w:panose1 w:val="01010101010101010101"/>
    <w:charset w:val="00"/>
    <w:family w:val="auto"/>
    <w:pitch w:val="default"/>
    <w:sig w:usb0="00000003" w:usb1="00000000" w:usb2="00010000" w:usb3="00000000" w:csb0="00000001" w:csb1="00000000"/>
  </w:font>
  <w:font w:name="DokChampa">
    <w:panose1 w:val="020B0604020202020204"/>
    <w:charset w:val="00"/>
    <w:family w:val="auto"/>
    <w:pitch w:val="default"/>
    <w:sig w:usb0="03000003" w:usb1="00000000" w:usb2="00000000" w:usb3="00000000" w:csb0="40010001" w:csb1="00000000"/>
  </w:font>
  <w:font w:name="DilleniaUPC">
    <w:panose1 w:val="02020603050405020304"/>
    <w:charset w:val="00"/>
    <w:family w:val="auto"/>
    <w:pitch w:val="default"/>
    <w:sig w:usb0="81000027" w:usb1="00000002" w:usb2="00000000" w:usb3="00000000" w:csb0="00010001" w:csb1="00000000"/>
  </w:font>
  <w:font w:name="David">
    <w:panose1 w:val="020E0502060401010101"/>
    <w:charset w:val="00"/>
    <w:family w:val="auto"/>
    <w:pitch w:val="default"/>
    <w:sig w:usb0="00000801" w:usb1="00000000" w:usb2="00000000" w:usb3="00000000" w:csb0="00000020" w:csb1="002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黑体"/>
        <w:kern w:val="2"/>
        <w:sz w:val="18"/>
        <w:szCs w:val="24"/>
        <w:lang w:val="en-US" w:eastAsia="zh-CN" w:bidi="ar-SA"/>
      </w:rPr>
      <w:pict>
        <v:rect id="文本框 3" o:spid="_x0000_s1025" style="position:absolute;left:0;margin-top:0pt;height:144pt;width:144pt;mso-position-horizontal:right;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2"/>
                </w:pPr>
                <w:r>
                  <w:rPr>
                    <w:sz w:val="28"/>
                    <w:szCs w:val="28"/>
                  </w:rPr>
                  <w:fldChar w:fldCharType="begin"/>
                </w:r>
                <w:r>
                  <w:rPr>
                    <w:sz w:val="28"/>
                    <w:szCs w:val="28"/>
                  </w:rPr>
                  <w:instrText xml:space="preserve"> PAGE  \* MERGEFORMAT </w:instrText>
                </w:r>
                <w:r>
                  <w:rPr>
                    <w:sz w:val="28"/>
                    <w:szCs w:val="28"/>
                  </w:rPr>
                  <w:fldChar w:fldCharType="separate"/>
                </w:r>
                <w:r>
                  <w:t>- 1 -</w:t>
                </w:r>
                <w:r>
                  <w:rPr>
                    <w:sz w:val="28"/>
                    <w:szCs w:val="28"/>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OWExYTc1MmRlODczYjhhN2YxMDEzODJmYTA4ODRlZDIifQ=="/>
  </w:docVars>
  <w:rsids>
    <w:rsidRoot w:val="00000000"/>
    <w:rsid w:val="00135135"/>
    <w:rsid w:val="01C42B8B"/>
    <w:rsid w:val="01CF1530"/>
    <w:rsid w:val="01DC1F93"/>
    <w:rsid w:val="025739FF"/>
    <w:rsid w:val="027C5214"/>
    <w:rsid w:val="031A4A2D"/>
    <w:rsid w:val="034D6BB0"/>
    <w:rsid w:val="035A2350"/>
    <w:rsid w:val="043A3F7F"/>
    <w:rsid w:val="04C93D38"/>
    <w:rsid w:val="050D7603"/>
    <w:rsid w:val="055F2BCB"/>
    <w:rsid w:val="07097292"/>
    <w:rsid w:val="07366C2D"/>
    <w:rsid w:val="07707311"/>
    <w:rsid w:val="077C7570"/>
    <w:rsid w:val="07F07552"/>
    <w:rsid w:val="07F41CF0"/>
    <w:rsid w:val="0804406F"/>
    <w:rsid w:val="094445B2"/>
    <w:rsid w:val="095F2B82"/>
    <w:rsid w:val="09DA3522"/>
    <w:rsid w:val="0AC41E4E"/>
    <w:rsid w:val="0B723658"/>
    <w:rsid w:val="0B8247A8"/>
    <w:rsid w:val="0BC32105"/>
    <w:rsid w:val="0BEB36B6"/>
    <w:rsid w:val="0C1C4E42"/>
    <w:rsid w:val="0EA37FCC"/>
    <w:rsid w:val="0F2C1D70"/>
    <w:rsid w:val="0FA12ED9"/>
    <w:rsid w:val="10D26947"/>
    <w:rsid w:val="11125559"/>
    <w:rsid w:val="11166833"/>
    <w:rsid w:val="11C24DB9"/>
    <w:rsid w:val="12BE7183"/>
    <w:rsid w:val="131F7C1A"/>
    <w:rsid w:val="136E0BA9"/>
    <w:rsid w:val="13963C5C"/>
    <w:rsid w:val="139C3D90"/>
    <w:rsid w:val="141D25CF"/>
    <w:rsid w:val="14221993"/>
    <w:rsid w:val="15280A08"/>
    <w:rsid w:val="153B777B"/>
    <w:rsid w:val="162C5FD5"/>
    <w:rsid w:val="169C3C7F"/>
    <w:rsid w:val="19434886"/>
    <w:rsid w:val="196C3361"/>
    <w:rsid w:val="1B0F0EC3"/>
    <w:rsid w:val="1B3F0488"/>
    <w:rsid w:val="1BF14125"/>
    <w:rsid w:val="1C2D25EA"/>
    <w:rsid w:val="1CB810E7"/>
    <w:rsid w:val="1D3952EA"/>
    <w:rsid w:val="1DB23D88"/>
    <w:rsid w:val="1F850636"/>
    <w:rsid w:val="1FAA740D"/>
    <w:rsid w:val="20967991"/>
    <w:rsid w:val="209B1936"/>
    <w:rsid w:val="21E309B4"/>
    <w:rsid w:val="23104D3E"/>
    <w:rsid w:val="2355009E"/>
    <w:rsid w:val="23580F2E"/>
    <w:rsid w:val="23BF71FF"/>
    <w:rsid w:val="242805EF"/>
    <w:rsid w:val="24822706"/>
    <w:rsid w:val="26056D25"/>
    <w:rsid w:val="267C4F33"/>
    <w:rsid w:val="28C64B8B"/>
    <w:rsid w:val="2A7C17D7"/>
    <w:rsid w:val="2BED61CA"/>
    <w:rsid w:val="2DCB6456"/>
    <w:rsid w:val="2E4B1573"/>
    <w:rsid w:val="2ECD27D0"/>
    <w:rsid w:val="2F212B1B"/>
    <w:rsid w:val="2F2B0E3D"/>
    <w:rsid w:val="2F37309F"/>
    <w:rsid w:val="2FBF1468"/>
    <w:rsid w:val="2FD00438"/>
    <w:rsid w:val="30EE07A4"/>
    <w:rsid w:val="32902492"/>
    <w:rsid w:val="32C51A10"/>
    <w:rsid w:val="33272EB9"/>
    <w:rsid w:val="34B63817"/>
    <w:rsid w:val="353B5773"/>
    <w:rsid w:val="35897678"/>
    <w:rsid w:val="362F1321"/>
    <w:rsid w:val="36455341"/>
    <w:rsid w:val="36F0565E"/>
    <w:rsid w:val="376932B2"/>
    <w:rsid w:val="37DC3A83"/>
    <w:rsid w:val="38244D74"/>
    <w:rsid w:val="3864654A"/>
    <w:rsid w:val="388F6D48"/>
    <w:rsid w:val="3928108D"/>
    <w:rsid w:val="396803DC"/>
    <w:rsid w:val="3A064DE8"/>
    <w:rsid w:val="3B255741"/>
    <w:rsid w:val="3B516536"/>
    <w:rsid w:val="3BDA2B5B"/>
    <w:rsid w:val="3D441CBF"/>
    <w:rsid w:val="3EBB6D22"/>
    <w:rsid w:val="3F493A88"/>
    <w:rsid w:val="3FA94B93"/>
    <w:rsid w:val="41D25BC6"/>
    <w:rsid w:val="41F320F5"/>
    <w:rsid w:val="42AE426E"/>
    <w:rsid w:val="42F02AD9"/>
    <w:rsid w:val="43187C81"/>
    <w:rsid w:val="43482856"/>
    <w:rsid w:val="439F6030"/>
    <w:rsid w:val="441D5B50"/>
    <w:rsid w:val="45AA28B2"/>
    <w:rsid w:val="45B914F0"/>
    <w:rsid w:val="462135D6"/>
    <w:rsid w:val="46B02CAB"/>
    <w:rsid w:val="4A356AF2"/>
    <w:rsid w:val="4A563B69"/>
    <w:rsid w:val="4ACB4469"/>
    <w:rsid w:val="4DFA13A3"/>
    <w:rsid w:val="4E604FB7"/>
    <w:rsid w:val="4FBF7ABB"/>
    <w:rsid w:val="50CF1F80"/>
    <w:rsid w:val="527F424D"/>
    <w:rsid w:val="54B41BB8"/>
    <w:rsid w:val="55380DEE"/>
    <w:rsid w:val="554867E0"/>
    <w:rsid w:val="55F12998"/>
    <w:rsid w:val="564C1E6A"/>
    <w:rsid w:val="56935C96"/>
    <w:rsid w:val="579B2BBB"/>
    <w:rsid w:val="585F6DF5"/>
    <w:rsid w:val="58967E45"/>
    <w:rsid w:val="59623707"/>
    <w:rsid w:val="59D83276"/>
    <w:rsid w:val="5B2F1F99"/>
    <w:rsid w:val="5E327412"/>
    <w:rsid w:val="5E9F5BCB"/>
    <w:rsid w:val="5ECB647C"/>
    <w:rsid w:val="5F564316"/>
    <w:rsid w:val="5FFF389A"/>
    <w:rsid w:val="60933679"/>
    <w:rsid w:val="60B53531"/>
    <w:rsid w:val="60DD4245"/>
    <w:rsid w:val="612E4AA0"/>
    <w:rsid w:val="613100ED"/>
    <w:rsid w:val="61D03DA9"/>
    <w:rsid w:val="620A18F0"/>
    <w:rsid w:val="633A597E"/>
    <w:rsid w:val="64515AA2"/>
    <w:rsid w:val="667C153E"/>
    <w:rsid w:val="66B67785"/>
    <w:rsid w:val="66D63C10"/>
    <w:rsid w:val="676034DA"/>
    <w:rsid w:val="67B473BE"/>
    <w:rsid w:val="67FD341E"/>
    <w:rsid w:val="684D7F02"/>
    <w:rsid w:val="6B8A4FC9"/>
    <w:rsid w:val="6CC30793"/>
    <w:rsid w:val="6D154D66"/>
    <w:rsid w:val="6E45376A"/>
    <w:rsid w:val="6E906D9A"/>
    <w:rsid w:val="6EB05D06"/>
    <w:rsid w:val="6EDD3240"/>
    <w:rsid w:val="6F4B00EC"/>
    <w:rsid w:val="6F52416F"/>
    <w:rsid w:val="705D30C6"/>
    <w:rsid w:val="70BC408C"/>
    <w:rsid w:val="71C91292"/>
    <w:rsid w:val="72B15F9C"/>
    <w:rsid w:val="73C3376E"/>
    <w:rsid w:val="73CD266E"/>
    <w:rsid w:val="751678CE"/>
    <w:rsid w:val="75CA35C8"/>
    <w:rsid w:val="76A71125"/>
    <w:rsid w:val="777930D2"/>
    <w:rsid w:val="777F79AC"/>
    <w:rsid w:val="77FF289B"/>
    <w:rsid w:val="7863107C"/>
    <w:rsid w:val="78B611AB"/>
    <w:rsid w:val="798B6ADC"/>
    <w:rsid w:val="7B637FE8"/>
    <w:rsid w:val="7BFD7A10"/>
    <w:rsid w:val="7CB85610"/>
    <w:rsid w:val="7D2F3738"/>
    <w:rsid w:val="7D5A47C1"/>
    <w:rsid w:val="7E1C7D03"/>
    <w:rsid w:val="7EC67583"/>
    <w:rsid w:val="7F81443E"/>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Style w:val="5"/>
      <w:tblLayout w:type="fixed"/>
      <w:tblCellMar>
        <w:top w:w="0" w:type="dxa"/>
        <w:left w:w="108" w:type="dxa"/>
        <w:bottom w:w="0" w:type="dxa"/>
        <w:right w:w="108" w:type="dxa"/>
      </w:tblCellMar>
    </w:tblPr>
    <w:tcPr>
      <w:textDirection w:val="lrTb"/>
    </w:tc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1888</Words>
  <Characters>2053</Characters>
  <Lines>0</Lines>
  <Paragraphs>0</Paragraphs>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2025-08-05T02:35:00Z</cp:lastPrinted>
  <dcterms:modified xsi:type="dcterms:W3CDTF">2025-11-26T03:11:27Z</dcterms:modified>
  <dc:title>焦作市生态环境局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y fmtid="{D5CDD505-2E9C-101B-9397-08002B2CF9AE}" pid="3" name="ICV">
    <vt:lpwstr>305A3F1FEEA8421F87554FA3528EFFA1</vt:lpwstr>
  </property>
  <property fmtid="{D5CDD505-2E9C-101B-9397-08002B2CF9AE}" pid="4" name="KSOTemplateDocerSaveRecord">
    <vt:lpwstr>eyJoZGlkIjoiOWExYTc1MmRlODczYjhhN2YxMDEzODJmYTA4ODRlZDIiLCJ1c2VySWQiOiIzNDYwNjExMzgifQ==</vt:lpwstr>
  </property>
</Properties>
</file>