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DF4196">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14:paraId="08ABD8C0">
      <w:pPr>
        <w:pStyle w:val="3"/>
        <w:rPr>
          <w:rFonts w:hint="eastAsia"/>
          <w:color w:val="000000" w:themeColor="text1"/>
          <w14:textFill>
            <w14:solidFill>
              <w14:schemeClr w14:val="tx1"/>
            </w14:solidFill>
          </w14:textFill>
        </w:rPr>
      </w:pPr>
    </w:p>
    <w:p w14:paraId="0474CE01">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焦作市生态环境局</w:t>
      </w:r>
    </w:p>
    <w:p w14:paraId="308E65D6">
      <w:pPr>
        <w:keepNext w:val="0"/>
        <w:keepLines w:val="0"/>
        <w:pageBreakBefore w:val="0"/>
        <w:widowControl w:val="0"/>
        <w:kinsoku/>
        <w:wordWrap/>
        <w:overflowPunct/>
        <w:topLinePunct w:val="0"/>
        <w:autoSpaceDN/>
        <w:bidi w:val="0"/>
        <w:spacing w:before="0" w:beforeLines="0" w:beforeAutospacing="0" w:line="560" w:lineRule="exact"/>
        <w:ind w:left="0" w:leftChars="0" w:firstLine="0" w:firstLineChars="0"/>
        <w:jc w:val="center"/>
        <w:rPr>
          <w:rFonts w:hint="eastAsia" w:ascii="方正小标宋简体" w:hAnsi="?????_GBK" w:eastAsia="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行政处罚决定书</w:t>
      </w:r>
    </w:p>
    <w:p w14:paraId="5EC36E76">
      <w:pPr>
        <w:keepNext w:val="0"/>
        <w:keepLines w:val="0"/>
        <w:pageBreakBefore w:val="0"/>
        <w:widowControl w:val="0"/>
        <w:kinsoku/>
        <w:wordWrap/>
        <w:overflowPunct/>
        <w:topLinePunct w:val="0"/>
        <w:autoSpaceDE/>
        <w:autoSpaceDN/>
        <w:bidi w:val="0"/>
        <w:adjustRightInd/>
        <w:snapToGrid w:val="0"/>
        <w:spacing w:line="560" w:lineRule="exact"/>
        <w:ind w:right="0" w:firstLine="2976" w:firstLineChars="930"/>
        <w:jc w:val="both"/>
        <w:textAlignment w:val="auto"/>
        <w:rPr>
          <w:rFonts w:hint="eastAsia" w:ascii="KaiTi_GB2312" w:hAnsi="KaiTi_GB2312" w:eastAsia="KaiTi_GB2312" w:cs="KaiTi_GB2312"/>
          <w:color w:val="000000" w:themeColor="text1"/>
          <w:sz w:val="32"/>
          <w:szCs w:val="32"/>
          <w14:textFill>
            <w14:solidFill>
              <w14:schemeClr w14:val="tx1"/>
            </w14:solidFill>
          </w14:textFill>
        </w:rPr>
      </w:pPr>
      <w:r>
        <w:rPr>
          <w:rFonts w:hint="eastAsia" w:ascii="KaiTi_GB2312" w:hAnsi="KaiTi_GB2312" w:eastAsia="KaiTi_GB2312" w:cs="KaiTi_GB2312"/>
          <w:color w:val="000000" w:themeColor="text1"/>
          <w:sz w:val="32"/>
          <w:szCs w:val="32"/>
          <w:lang w:eastAsia="zh-CN"/>
          <w14:textFill>
            <w14:solidFill>
              <w14:schemeClr w14:val="tx1"/>
            </w14:solidFill>
          </w14:textFill>
        </w:rPr>
        <w:t>焦</w:t>
      </w:r>
      <w:r>
        <w:rPr>
          <w:rFonts w:hint="eastAsia" w:ascii="KaiTi_GB2312" w:hAnsi="KaiTi_GB2312" w:eastAsia="KaiTi_GB2312" w:cs="KaiTi_GB2312"/>
          <w:color w:val="000000" w:themeColor="text1"/>
          <w:sz w:val="32"/>
          <w:szCs w:val="32"/>
          <w14:textFill>
            <w14:solidFill>
              <w14:schemeClr w14:val="tx1"/>
            </w14:solidFill>
          </w14:textFill>
        </w:rPr>
        <w:t>环罚〔</w:t>
      </w:r>
      <w:r>
        <w:rPr>
          <w:rFonts w:hint="eastAsia" w:ascii="KaiTi_GB2312" w:hAnsi="KaiTi_GB2312" w:eastAsia="KaiTi_GB2312" w:cs="KaiTi_GB2312"/>
          <w:color w:val="000000" w:themeColor="text1"/>
          <w:sz w:val="32"/>
          <w:szCs w:val="32"/>
          <w:lang w:val="en-US" w:eastAsia="zh"/>
          <w14:textFill>
            <w14:solidFill>
              <w14:schemeClr w14:val="tx1"/>
            </w14:solidFill>
          </w14:textFill>
        </w:rPr>
        <w:t>2025</w:t>
      </w:r>
      <w:r>
        <w:rPr>
          <w:rFonts w:hint="eastAsia" w:ascii="KaiTi_GB2312" w:hAnsi="KaiTi_GB2312" w:eastAsia="KaiTi_GB2312" w:cs="KaiTi_GB2312"/>
          <w:color w:val="000000" w:themeColor="text1"/>
          <w:sz w:val="32"/>
          <w:szCs w:val="32"/>
          <w14:textFill>
            <w14:solidFill>
              <w14:schemeClr w14:val="tx1"/>
            </w14:solidFill>
          </w14:textFill>
        </w:rPr>
        <w:t>〕</w:t>
      </w:r>
      <w:r>
        <w:rPr>
          <w:rFonts w:hint="eastAsia" w:ascii="KaiTi_GB2312" w:hAnsi="KaiTi_GB2312" w:eastAsia="KaiTi_GB2312" w:cs="KaiTi_GB2312"/>
          <w:color w:val="000000" w:themeColor="text1"/>
          <w:sz w:val="32"/>
          <w:szCs w:val="32"/>
          <w:lang w:val="en-US" w:eastAsia="zh-CN"/>
          <w14:textFill>
            <w14:solidFill>
              <w14:schemeClr w14:val="tx1"/>
            </w14:solidFill>
          </w14:textFill>
        </w:rPr>
        <w:t>361</w:t>
      </w:r>
      <w:r>
        <w:rPr>
          <w:rFonts w:hint="eastAsia" w:ascii="KaiTi_GB2312" w:hAnsi="KaiTi_GB2312" w:eastAsia="KaiTi_GB2312" w:cs="KaiTi_GB2312"/>
          <w:color w:val="000000" w:themeColor="text1"/>
          <w:sz w:val="32"/>
          <w:szCs w:val="32"/>
          <w14:textFill>
            <w14:solidFill>
              <w14:schemeClr w14:val="tx1"/>
            </w14:solidFill>
          </w14:textFill>
        </w:rPr>
        <w:t>号</w:t>
      </w:r>
    </w:p>
    <w:p w14:paraId="37CB577C">
      <w:pPr>
        <w:pStyle w:val="3"/>
        <w:keepNext w:val="0"/>
        <w:keepLines w:val="0"/>
        <w:pageBreakBefore w:val="0"/>
        <w:widowControl w:val="0"/>
        <w:kinsoku/>
        <w:wordWrap/>
        <w:overflowPunct/>
        <w:topLinePunct w:val="0"/>
        <w:autoSpaceDE/>
        <w:autoSpaceDN/>
        <w:bidi w:val="0"/>
        <w:adjustRightInd/>
        <w:snapToGrid/>
        <w:spacing w:line="400" w:lineRule="exact"/>
        <w:ind w:left="0" w:firstLine="420"/>
        <w:textAlignment w:val="bottom"/>
        <w:rPr>
          <w:color w:val="000000" w:themeColor="text1"/>
          <w14:textFill>
            <w14:solidFill>
              <w14:schemeClr w14:val="tx1"/>
            </w14:solidFill>
          </w14:textFill>
        </w:rPr>
      </w:pPr>
    </w:p>
    <w:p w14:paraId="6A1993AA">
      <w:pPr>
        <w:keepNext w:val="0"/>
        <w:keepLines w:val="0"/>
        <w:widowControl w:val="0"/>
        <w:suppressLineNumbers w:val="0"/>
        <w:autoSpaceDE w:val="0"/>
        <w:autoSpaceDN/>
        <w:spacing w:before="0" w:beforeLines="0" w:beforeAutospacing="0" w:after="0" w:afterLines="0" w:afterAutospacing="0" w:line="540" w:lineRule="exact"/>
        <w:ind w:left="0" w:right="0" w:firstLine="0" w:firstLineChars="0"/>
        <w:jc w:val="both"/>
        <w:textAlignment w:val="bottom"/>
        <w:rPr>
          <w:rFonts w:hint="eastAsia" w:ascii="仿宋_GB2312" w:hAnsi="仿宋_GB2312" w:eastAsia="仿宋_GB2312" w:cs="仿宋_GB2312"/>
          <w:color w:val="000000"/>
          <w:sz w:val="32"/>
          <w:szCs w:val="32"/>
          <w:u w:val="single"/>
        </w:rPr>
      </w:pPr>
      <w:r>
        <w:rPr>
          <w:rFonts w:hint="eastAsia" w:ascii="黑体" w:hAnsi="宋体" w:eastAsia="黑体" w:cs="黑体"/>
          <w:color w:val="000000"/>
          <w:kern w:val="0"/>
          <w:sz w:val="32"/>
          <w:szCs w:val="32"/>
          <w:lang w:val="en-US" w:eastAsia="zh-CN" w:bidi="ar"/>
        </w:rPr>
        <w:t>单位名称：</w:t>
      </w:r>
      <w:r>
        <w:rPr>
          <w:rFonts w:hint="eastAsia" w:ascii="仿宋_GB2312" w:hAnsi="Times New Roman" w:eastAsia="仿宋_GB2312" w:cs="仿宋_GB2312"/>
          <w:color w:val="000000"/>
          <w:kern w:val="0"/>
          <w:sz w:val="32"/>
          <w:szCs w:val="32"/>
          <w:lang w:val="en-US" w:eastAsia="zh-CN" w:bidi="ar"/>
        </w:rPr>
        <w:t>温县恒泰安塑料厂</w:t>
      </w:r>
    </w:p>
    <w:p w14:paraId="1ECC4777">
      <w:pPr>
        <w:keepNext w:val="0"/>
        <w:keepLines w:val="0"/>
        <w:widowControl w:val="0"/>
        <w:suppressLineNumbers w:val="0"/>
        <w:autoSpaceDE w:val="0"/>
        <w:autoSpaceDN/>
        <w:spacing w:before="0" w:beforeLines="0" w:beforeAutospacing="0" w:after="0" w:afterLines="0" w:afterAutospacing="0" w:line="540" w:lineRule="exact"/>
        <w:ind w:left="0" w:right="0" w:firstLine="0" w:firstLineChars="0"/>
        <w:jc w:val="both"/>
        <w:textAlignment w:val="bottom"/>
        <w:rPr>
          <w:rFonts w:hint="eastAsia" w:ascii="仿宋_GB2312" w:eastAsia="仿宋_GB2312" w:cs="仿宋_GB2312"/>
          <w:color w:val="000000"/>
          <w:sz w:val="32"/>
          <w:szCs w:val="32"/>
        </w:rPr>
      </w:pPr>
      <w:r>
        <w:rPr>
          <w:rFonts w:hint="eastAsia" w:ascii="黑体" w:hAnsi="宋体" w:eastAsia="黑体" w:cs="黑体"/>
          <w:color w:val="000000"/>
          <w:kern w:val="0"/>
          <w:sz w:val="32"/>
          <w:szCs w:val="32"/>
          <w:lang w:val="en-US" w:eastAsia="zh-CN" w:bidi="ar"/>
        </w:rPr>
        <w:t>统一社会信用代码：</w:t>
      </w:r>
      <w:r>
        <w:rPr>
          <w:rFonts w:hint="eastAsia" w:ascii="仿宋_GB2312" w:hAnsi="Times New Roman" w:eastAsia="仿宋_GB2312" w:cs="仿宋_GB2312"/>
          <w:color w:val="000000"/>
          <w:kern w:val="0"/>
          <w:sz w:val="32"/>
          <w:szCs w:val="32"/>
          <w:lang w:val="en-US" w:eastAsia="zh-CN" w:bidi="ar"/>
        </w:rPr>
        <w:t xml:space="preserve">91410825MA44CM6G2N            </w:t>
      </w:r>
    </w:p>
    <w:p w14:paraId="5BCD3111">
      <w:pPr>
        <w:keepNext w:val="0"/>
        <w:keepLines w:val="0"/>
        <w:widowControl w:val="0"/>
        <w:suppressLineNumbers w:val="0"/>
        <w:autoSpaceDE w:val="0"/>
        <w:autoSpaceDN/>
        <w:spacing w:before="0" w:beforeLines="0" w:beforeAutospacing="0" w:after="0" w:afterLines="0" w:afterAutospacing="0" w:line="540" w:lineRule="exact"/>
        <w:ind w:left="0" w:right="0" w:firstLine="0" w:firstLineChars="0"/>
        <w:jc w:val="both"/>
        <w:textAlignment w:val="bottom"/>
        <w:rPr>
          <w:rFonts w:hint="eastAsia" w:ascii="仿宋_GB2312" w:eastAsia="仿宋_GB2312" w:cs="仿宋_GB2312"/>
          <w:color w:val="000000"/>
          <w:sz w:val="32"/>
          <w:szCs w:val="32"/>
        </w:rPr>
      </w:pPr>
      <w:r>
        <w:rPr>
          <w:rFonts w:hint="eastAsia" w:ascii="黑体" w:hAnsi="宋体" w:eastAsia="黑体" w:cs="黑体"/>
          <w:color w:val="000000"/>
          <w:kern w:val="0"/>
          <w:sz w:val="32"/>
          <w:szCs w:val="32"/>
          <w:lang w:val="en-US" w:eastAsia="zh-CN" w:bidi="ar"/>
        </w:rPr>
        <w:t>地址：</w:t>
      </w:r>
      <w:r>
        <w:rPr>
          <w:rFonts w:hint="eastAsia" w:ascii="仿宋_GB2312" w:hAnsi="Times New Roman" w:eastAsia="仿宋_GB2312" w:cs="仿宋_GB2312"/>
          <w:color w:val="000000"/>
          <w:kern w:val="0"/>
          <w:sz w:val="32"/>
          <w:szCs w:val="32"/>
          <w:lang w:val="en-US" w:eastAsia="zh-CN" w:bidi="ar"/>
        </w:rPr>
        <w:t>温县黄庄镇四号桥加油站西100米路南</w:t>
      </w:r>
    </w:p>
    <w:p w14:paraId="5A6E0EE1">
      <w:pPr>
        <w:keepNext w:val="0"/>
        <w:keepLines w:val="0"/>
        <w:widowControl w:val="0"/>
        <w:suppressLineNumbers w:val="0"/>
        <w:spacing w:before="0" w:beforeLines="0" w:beforeAutospacing="0" w:after="0" w:afterLines="0" w:afterAutospacing="0" w:line="345" w:lineRule="auto"/>
        <w:ind w:left="0" w:leftChars="0" w:right="0" w:firstLine="0" w:firstLineChars="0"/>
        <w:jc w:val="both"/>
        <w:textAlignment w:val="bottom"/>
        <w:rPr>
          <w:rFonts w:hint="eastAsia" w:ascii="FangSong_GB2312" w:hAnsi="FangSong_GB2312" w:eastAsia="FangSong_GB2312" w:cs="FangSong_GB2312"/>
          <w:color w:val="auto"/>
          <w:sz w:val="32"/>
          <w:szCs w:val="32"/>
          <w:lang w:val="en-US" w:eastAsia="zh-CN"/>
        </w:rPr>
      </w:pPr>
      <w:r>
        <w:rPr>
          <w:rFonts w:hint="eastAsia" w:ascii="黑体" w:hAnsi="宋体" w:eastAsia="黑体" w:cs="黑体"/>
          <w:color w:val="000000"/>
          <w:kern w:val="0"/>
          <w:sz w:val="32"/>
          <w:szCs w:val="32"/>
          <w:lang w:val="en-US" w:eastAsia="zh-CN" w:bidi="ar"/>
        </w:rPr>
        <w:t>法定代表人（负责人）：</w:t>
      </w:r>
      <w:r>
        <w:rPr>
          <w:rFonts w:hint="eastAsia" w:ascii="仿宋_GB2312" w:hAnsi="Times New Roman" w:eastAsia="仿宋_GB2312" w:cs="仿宋_GB2312"/>
          <w:color w:val="000000"/>
          <w:kern w:val="0"/>
          <w:sz w:val="32"/>
          <w:szCs w:val="32"/>
          <w:u w:val="single" w:color="FFFFFF"/>
          <w:lang w:val="en-US" w:eastAsia="zh-CN" w:bidi="ar"/>
        </w:rPr>
        <w:t>申向阳</w:t>
      </w:r>
      <w:r>
        <w:rPr>
          <w:rFonts w:hint="eastAsia" w:ascii="仿宋_GB2312" w:hAnsi="Times New Roman" w:eastAsia="仿宋_GB2312" w:cs="仿宋_GB2312"/>
          <w:color w:val="000000"/>
          <w:kern w:val="0"/>
          <w:sz w:val="32"/>
          <w:szCs w:val="32"/>
          <w:lang w:val="en-US" w:eastAsia="zh-CN" w:bidi="ar"/>
        </w:rPr>
        <w:t xml:space="preserve">   </w:t>
      </w:r>
      <w:r>
        <w:rPr>
          <w:rFonts w:hint="eastAsia" w:ascii="仿宋_GB2312" w:hAnsi="仿宋_GB2312" w:eastAsia="仿宋_GB2312" w:cs="仿宋_GB2312"/>
          <w:color w:val="000000"/>
          <w:kern w:val="0"/>
          <w:sz w:val="32"/>
          <w:szCs w:val="32"/>
          <w:lang w:val="en-US" w:eastAsia="zh-CN" w:bidi="ar"/>
        </w:rPr>
        <w:t xml:space="preserve"> </w:t>
      </w:r>
    </w:p>
    <w:p w14:paraId="1BE88A6C">
      <w:pPr>
        <w:pStyle w:val="3"/>
        <w:keepNext w:val="0"/>
        <w:keepLines w:val="0"/>
        <w:pageBreakBefore w:val="0"/>
        <w:widowControl w:val="0"/>
        <w:numPr>
          <w:ilvl w:val="0"/>
          <w:numId w:val="2"/>
        </w:numPr>
        <w:kinsoku/>
        <w:wordWrap/>
        <w:overflowPunct/>
        <w:topLinePunct w:val="0"/>
        <w:autoSpaceDE/>
        <w:autoSpaceDN/>
        <w:bidi w:val="0"/>
        <w:adjustRightInd/>
        <w:snapToGrid/>
        <w:spacing w:before="0" w:beforeLines="0" w:beforeAutospacing="0" w:after="0" w:line="560" w:lineRule="exact"/>
        <w:ind w:left="0" w:leftChars="0" w:firstLine="640" w:firstLineChars="200"/>
        <w:rPr>
          <w:rFonts w:hint="eastAsia" w:ascii="黑体" w:hAnsi="黑体" w:eastAsia="黑体" w:cs="黑体"/>
          <w:b w:val="0"/>
          <w:bCs w:val="0"/>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环境违法事实和证据</w:t>
      </w:r>
    </w:p>
    <w:p w14:paraId="534ABF8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both"/>
        <w:rPr>
          <w:rFonts w:hint="eastAsia" w:ascii="FangSong_GB2312" w:hAnsi="FangSong_GB2312" w:eastAsia="FangSong_GB2312" w:cs="FangSong_GB2312"/>
          <w:color w:val="auto"/>
          <w:sz w:val="32"/>
          <w:szCs w:val="32"/>
          <w:lang w:val="en-US" w:eastAsia="zh-CN"/>
        </w:rPr>
      </w:pPr>
      <w:r>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t>2025年10月31日，我局执法人员对你单位进行现场检查，你单位年产260万双鞋材项目注塑工段的注塑机正在生产，配套建设的污染防治设施活性炭吸附设备未启动，导致注塑工段产生的有机废气无法得到有效处理。</w:t>
      </w:r>
      <w:r>
        <w:rPr>
          <w:rFonts w:hint="eastAsia" w:ascii="FangSong_GB2312" w:hAnsi="FangSong_GB2312" w:eastAsia="FangSong_GB2312" w:cs="FangSong_GB2312"/>
          <w:color w:val="auto"/>
          <w:sz w:val="32"/>
          <w:szCs w:val="32"/>
          <w:lang w:val="en-US" w:eastAsia="zh-CN"/>
        </w:rPr>
        <w:t xml:space="preserve"> </w:t>
      </w:r>
    </w:p>
    <w:p w14:paraId="6829EEF2">
      <w:pPr>
        <w:pStyle w:val="3"/>
        <w:keepNext w:val="0"/>
        <w:keepLines w:val="0"/>
        <w:pageBreakBefore w:val="0"/>
        <w:widowControl w:val="0"/>
        <w:kinsoku/>
        <w:wordWrap/>
        <w:overflowPunct/>
        <w:topLinePunct w:val="0"/>
        <w:autoSpaceDE/>
        <w:autoSpaceDN/>
        <w:bidi w:val="0"/>
        <w:adjustRightInd/>
        <w:snapToGrid/>
        <w:spacing w:after="0" w:line="570" w:lineRule="exact"/>
        <w:ind w:left="0" w:firstLine="640" w:firstLineChars="200"/>
        <w:jc w:val="both"/>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你</w:t>
      </w:r>
      <w:r>
        <w:rPr>
          <w:rFonts w:hint="eastAsia" w:ascii="仿宋_GB2312" w:hAnsi="仿宋_GB2312" w:cs="仿宋_GB2312"/>
          <w:color w:val="000000" w:themeColor="text1"/>
          <w:sz w:val="32"/>
          <w:szCs w:val="32"/>
          <w:lang w:val="en-US" w:eastAsia="zh-CN"/>
          <w14:textFill>
            <w14:solidFill>
              <w14:schemeClr w14:val="tx1"/>
            </w14:solidFill>
          </w14:textFill>
        </w:rPr>
        <w:t>单位</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上述行为违反了《中华人民共和国大气污染防治法》第四十五条“ 产生含挥发性有机物废气的生产和服务活动，应当在密闭空间或者设备中进行，并按照规定安装、使用污染防治设施;无法密闭的，应当采取措施减少废气排放。”的规定。</w:t>
      </w:r>
    </w:p>
    <w:p w14:paraId="7503698A">
      <w:pPr>
        <w:pStyle w:val="3"/>
        <w:keepNext w:val="0"/>
        <w:keepLines w:val="0"/>
        <w:pageBreakBefore w:val="0"/>
        <w:widowControl w:val="0"/>
        <w:kinsoku/>
        <w:wordWrap/>
        <w:overflowPunct/>
        <w:topLinePunct w:val="0"/>
        <w:autoSpaceDE/>
        <w:autoSpaceDN/>
        <w:bidi w:val="0"/>
        <w:adjustRightInd/>
        <w:snapToGrid/>
        <w:spacing w:before="0" w:beforeLines="0" w:beforeAutospacing="0" w:after="0" w:line="570" w:lineRule="exact"/>
        <w:ind w:left="0" w:firstLine="640" w:firstLineChars="200"/>
        <w:jc w:val="both"/>
        <w:textAlignment w:val="bottom"/>
        <w:outlineLvl w:val="9"/>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以上事实</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主要有以下证据证明：</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　</w:t>
      </w:r>
    </w:p>
    <w:p w14:paraId="5F038D65">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left="0" w:right="0" w:rightChars="0" w:firstLine="640" w:firstLineChars="200"/>
        <w:jc w:val="both"/>
        <w:textAlignment w:val="bottom"/>
        <w:outlineLvl w:val="9"/>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14:textFill>
            <w14:solidFill>
              <w14:schemeClr w14:val="tx1"/>
            </w14:solidFill>
          </w14:textFill>
        </w:rPr>
        <w:t>202</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u w:val="none"/>
          <w14:textFill>
            <w14:solidFill>
              <w14:schemeClr w14:val="tx1"/>
            </w14:solidFill>
          </w14:textFill>
        </w:rPr>
        <w:t>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10</w:t>
      </w:r>
      <w:r>
        <w:rPr>
          <w:rFonts w:hint="eastAsia" w:ascii="仿宋_GB2312" w:hAnsi="仿宋_GB2312" w:eastAsia="仿宋_GB2312" w:cs="仿宋_GB2312"/>
          <w:color w:val="000000" w:themeColor="text1"/>
          <w:sz w:val="32"/>
          <w:szCs w:val="32"/>
          <w:u w:val="none"/>
          <w14:textFill>
            <w14:solidFill>
              <w14:schemeClr w14:val="tx1"/>
            </w14:solidFill>
          </w14:textFill>
        </w:rPr>
        <w:t>月</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31</w:t>
      </w:r>
      <w:r>
        <w:rPr>
          <w:rFonts w:hint="eastAsia" w:ascii="仿宋_GB2312" w:hAnsi="仿宋_GB2312" w:eastAsia="仿宋_GB2312" w:cs="仿宋_GB2312"/>
          <w:color w:val="000000" w:themeColor="text1"/>
          <w:sz w:val="32"/>
          <w:szCs w:val="32"/>
          <w:u w:val="none"/>
          <w14:textFill>
            <w14:solidFill>
              <w14:schemeClr w14:val="tx1"/>
            </w14:solidFill>
          </w14:textFill>
        </w:rPr>
        <w:t>日</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
          <w14:textFill>
            <w14:solidFill>
              <w14:schemeClr w14:val="tx1"/>
            </w14:solidFill>
          </w14:textFill>
        </w:rPr>
        <w:t>现场检查（勘验）笔录</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1份3页</w:t>
      </w:r>
      <w:r>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t>。</w:t>
      </w:r>
    </w:p>
    <w:p w14:paraId="163B1215">
      <w:pPr>
        <w:keepNext w:val="0"/>
        <w:keepLines w:val="0"/>
        <w:pageBreakBefore w:val="0"/>
        <w:widowControl w:val="0"/>
        <w:kinsoku/>
        <w:wordWrap/>
        <w:overflowPunct/>
        <w:topLinePunct w:val="0"/>
        <w:autoSpaceDE/>
        <w:autoSpaceDN/>
        <w:bidi w:val="0"/>
        <w:adjustRightInd/>
        <w:snapToGrid/>
        <w:spacing w:after="0" w:line="540" w:lineRule="exact"/>
        <w:ind w:left="0" w:firstLine="640" w:firstLineChars="200"/>
        <w:jc w:val="both"/>
        <w:textAlignment w:val="auto"/>
        <w:outlineLvl w:val="9"/>
        <w:rPr>
          <w:rFonts w:hint="eastAsia" w:ascii="仿宋_GB2312" w:hAnsi="仿宋_GB2312" w:eastAsia="仿宋_GB2312" w:cs="仿宋_GB2312"/>
          <w:color w:val="000000" w:themeColor="text1"/>
          <w:sz w:val="32"/>
          <w:szCs w:val="32"/>
          <w:lang w:val="en" w:eastAsia="zh-CN"/>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证明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对你单位的现场检查勘察情况，你单位</w:t>
      </w:r>
      <w:r>
        <w:rPr>
          <w:rFonts w:hint="eastAsia" w:ascii="仿宋_GB2312" w:hAnsi="仿宋_GB2312" w:eastAsia="仿宋_GB2312" w:cs="仿宋_GB2312"/>
          <w:color w:val="000000" w:themeColor="text1"/>
          <w:sz w:val="32"/>
          <w:szCs w:val="32"/>
          <w:lang w:val="en"/>
          <w14:textFill>
            <w14:solidFill>
              <w14:schemeClr w14:val="tx1"/>
            </w14:solidFill>
          </w14:textFill>
        </w:rPr>
        <w:t>存在</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生产时产生的有机废气未能得到有效收集及处理</w:t>
      </w:r>
      <w:r>
        <w:rPr>
          <w:rFonts w:hint="eastAsia" w:ascii="仿宋_GB2312" w:hAnsi="仿宋_GB2312" w:eastAsia="仿宋_GB2312" w:cs="仿宋_GB2312"/>
          <w:color w:val="000000" w:themeColor="text1"/>
          <w:sz w:val="32"/>
          <w:szCs w:val="32"/>
          <w:lang w:val="en"/>
          <w14:textFill>
            <w14:solidFill>
              <w14:schemeClr w14:val="tx1"/>
            </w14:solidFill>
          </w14:textFill>
        </w:rPr>
        <w:t>的事实</w:t>
      </w:r>
      <w:r>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t>。</w:t>
      </w:r>
    </w:p>
    <w:p w14:paraId="42ADA1AE">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u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14:textFill>
            <w14:solidFill>
              <w14:schemeClr w14:val="tx1"/>
            </w14:solidFill>
          </w14:textFill>
        </w:rPr>
        <w:t>2</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14:textFill>
            <w14:solidFill>
              <w14:schemeClr w14:val="tx1"/>
            </w14:solidFill>
          </w14:textFill>
        </w:rPr>
        <w:t>202</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u w:val="none"/>
          <w14:textFill>
            <w14:solidFill>
              <w14:schemeClr w14:val="tx1"/>
            </w14:solidFill>
          </w14:textFill>
        </w:rPr>
        <w:t>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11</w:t>
      </w:r>
      <w:r>
        <w:rPr>
          <w:rFonts w:hint="eastAsia" w:ascii="仿宋_GB2312" w:hAnsi="仿宋_GB2312" w:eastAsia="仿宋_GB2312" w:cs="仿宋_GB2312"/>
          <w:color w:val="000000" w:themeColor="text1"/>
          <w:sz w:val="32"/>
          <w:szCs w:val="32"/>
          <w:u w:val="none"/>
          <w14:textFill>
            <w14:solidFill>
              <w14:schemeClr w14:val="tx1"/>
            </w14:solidFill>
          </w14:textFill>
        </w:rPr>
        <w:t>月</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u w:val="none"/>
          <w14:textFill>
            <w14:solidFill>
              <w14:schemeClr w14:val="tx1"/>
            </w14:solidFill>
          </w14:textFill>
        </w:rPr>
        <w:t>日</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对</w:t>
      </w:r>
      <w:r>
        <w:rPr>
          <w:rFonts w:hint="eastAsia" w:ascii="仿宋_GB2312" w:hAnsi="仿宋_GB2312" w:eastAsia="仿宋_GB2312" w:cs="仿宋_GB2312"/>
          <w:color w:val="000000" w:themeColor="text1"/>
          <w:sz w:val="32"/>
          <w:szCs w:val="32"/>
          <w:u w:val="single" w:color="FFFFFF"/>
          <w:lang w:eastAsia="zh-CN"/>
          <w14:textFill>
            <w14:solidFill>
              <w14:schemeClr w14:val="tx1"/>
            </w14:solidFill>
          </w14:textFill>
        </w:rPr>
        <w:t>申向阳</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u w:val="none"/>
          <w14:textFill>
            <w14:solidFill>
              <w14:schemeClr w14:val="tx1"/>
            </w14:solidFill>
          </w14:textFill>
        </w:rPr>
        <w:t>调查询问笔录</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1份5页</w:t>
      </w:r>
      <w:r>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t>。</w:t>
      </w:r>
    </w:p>
    <w:p w14:paraId="17CFD65D">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14:textFill>
            <w14:solidFill>
              <w14:schemeClr w14:val="tx1"/>
            </w14:solidFill>
          </w14:textFill>
        </w:rPr>
        <w:t>证明</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对你</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单位</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的调查询问情况，你单位承认</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生产时产生的有机废气未能得到有效收集及处理</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事实</w:t>
      </w:r>
      <w:r>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ab/>
      </w:r>
    </w:p>
    <w:p w14:paraId="24C79AE6">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lang w:val="en"/>
          <w14:textFill>
            <w14:solidFill>
              <w14:schemeClr w14:val="tx1"/>
            </w14:solidFill>
          </w14:textFill>
        </w:rPr>
        <w:t>营业执照复印件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1份、法定代表人（负责人）</w:t>
      </w:r>
      <w:r>
        <w:rPr>
          <w:rFonts w:hint="eastAsia" w:ascii="仿宋_GB2312" w:hAnsi="仿宋_GB2312" w:eastAsia="仿宋_GB2312" w:cs="仿宋_GB2312"/>
          <w:color w:val="000000" w:themeColor="text1"/>
          <w:sz w:val="32"/>
          <w:szCs w:val="32"/>
          <w:u w:val="single" w:color="FFFFFF"/>
          <w:lang w:eastAsia="zh-CN"/>
          <w14:textFill>
            <w14:solidFill>
              <w14:schemeClr w14:val="tx1"/>
            </w14:solidFill>
          </w14:textFill>
        </w:rPr>
        <w:t>申向阳</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身份证复印件1份</w:t>
      </w:r>
      <w:r>
        <w:rPr>
          <w:rFonts w:hint="eastAsia" w:ascii="仿宋_GB2312" w:hAnsi="仿宋_GB2312" w:eastAsia="仿宋_GB2312" w:cs="仿宋_GB2312"/>
          <w:color w:val="000000" w:themeColor="text1"/>
          <w:sz w:val="32"/>
          <w:szCs w:val="32"/>
          <w:lang w:val="en"/>
          <w14:textFill>
            <w14:solidFill>
              <w14:schemeClr w14:val="tx1"/>
            </w14:solidFill>
          </w14:textFill>
        </w:rPr>
        <w:t>。</w:t>
      </w:r>
    </w:p>
    <w:p w14:paraId="77698D10">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outlineLvl w:val="9"/>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证明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你单位</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法定代表人</w:t>
      </w:r>
      <w:r>
        <w:rPr>
          <w:rFonts w:hint="eastAsia" w:ascii="仿宋_GB2312" w:hAnsi="仿宋_GB2312" w:eastAsia="仿宋_GB2312" w:cs="仿宋_GB2312"/>
          <w:color w:val="000000" w:themeColor="text1"/>
          <w:sz w:val="32"/>
          <w:szCs w:val="32"/>
          <w:lang w:val="en"/>
          <w14:textFill>
            <w14:solidFill>
              <w14:schemeClr w14:val="tx1"/>
            </w14:solidFill>
          </w14:textFill>
        </w:rPr>
        <w:t>主体资格</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法定代表人</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身份</w:t>
      </w:r>
      <w:r>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t>。</w:t>
      </w:r>
    </w:p>
    <w:p w14:paraId="6986A3F9">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4.2025年10月31日《现场勘察示意图》1份1页和</w:t>
      </w:r>
      <w:r>
        <w:rPr>
          <w:rFonts w:hint="eastAsia" w:ascii="仿宋_GB2312" w:hAnsi="仿宋_GB2312" w:eastAsia="仿宋_GB2312" w:cs="仿宋_GB2312"/>
          <w:color w:val="000000" w:themeColor="text1"/>
          <w:sz w:val="32"/>
          <w:szCs w:val="32"/>
          <w:lang w:val="en"/>
          <w14:textFill>
            <w14:solidFill>
              <w14:schemeClr w14:val="tx1"/>
            </w14:solidFill>
          </w14:textFill>
        </w:rPr>
        <w:t>现场照片</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11页</w:t>
      </w:r>
      <w:r>
        <w:rPr>
          <w:rFonts w:hint="eastAsia" w:ascii="仿宋_GB2312" w:hAnsi="仿宋_GB2312" w:eastAsia="仿宋_GB2312" w:cs="仿宋_GB2312"/>
          <w:color w:val="000000" w:themeColor="text1"/>
          <w:sz w:val="32"/>
          <w:szCs w:val="32"/>
          <w:lang w:val="en"/>
          <w14:textFill>
            <w14:solidFill>
              <w14:schemeClr w14:val="tx1"/>
            </w14:solidFill>
          </w14:textFill>
        </w:rPr>
        <w:t>。</w:t>
      </w:r>
    </w:p>
    <w:p w14:paraId="26B951A3">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证明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你</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单位</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于检查当日生产情况</w:t>
      </w:r>
      <w:r>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t>。</w:t>
      </w:r>
    </w:p>
    <w:p w14:paraId="57E79DF5">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outlineLvl w:val="9"/>
        <w:rPr>
          <w:rFonts w:hint="eastAsia" w:ascii="仿宋_GB2312" w:hAnsi="仿宋_GB2312" w:eastAsia="仿宋_GB2312" w:cs="仿宋_GB2312"/>
          <w:color w:val="000000" w:themeColor="text1"/>
          <w:kern w:val="2"/>
          <w:sz w:val="32"/>
          <w:szCs w:val="32"/>
          <w:u w:val="single" w:color="FFFFFF" w:themeColor="background1"/>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u w:val="single" w:color="FFFFFF" w:themeColor="background1"/>
          <w:lang w:val="en-US" w:eastAsia="zh-CN" w:bidi="ar-SA"/>
          <w14:textFill>
            <w14:solidFill>
              <w14:schemeClr w14:val="tx1"/>
            </w14:solidFill>
          </w14:textFill>
        </w:rPr>
        <w:t>5.固定污染源排污登记表</w:t>
      </w:r>
      <w:r>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t>。</w:t>
      </w:r>
    </w:p>
    <w:p w14:paraId="24BA3C32">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outlineLvl w:val="9"/>
        <w:rPr>
          <w:rFonts w:hint="eastAsia" w:ascii="仿宋_GB2312" w:hAnsi="仿宋_GB2312" w:eastAsia="仿宋_GB2312" w:cs="仿宋_GB2312"/>
          <w:color w:val="000000" w:themeColor="text1"/>
          <w:kern w:val="2"/>
          <w:sz w:val="32"/>
          <w:szCs w:val="32"/>
          <w:u w:val="single" w:color="FFFFFF" w:themeColor="background1"/>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u w:val="single" w:color="FFFFFF" w:themeColor="background1"/>
          <w:lang w:val="en-US" w:eastAsia="zh-CN" w:bidi="ar-SA"/>
          <w14:textFill>
            <w14:solidFill>
              <w14:schemeClr w14:val="tx1"/>
            </w14:solidFill>
          </w14:textFill>
        </w:rPr>
        <w:t>证明:你</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单位</w:t>
      </w:r>
      <w:r>
        <w:rPr>
          <w:rFonts w:hint="eastAsia" w:ascii="仿宋_GB2312" w:hAnsi="仿宋_GB2312" w:eastAsia="仿宋_GB2312" w:cs="仿宋_GB2312"/>
          <w:color w:val="000000" w:themeColor="text1"/>
          <w:kern w:val="2"/>
          <w:sz w:val="32"/>
          <w:szCs w:val="32"/>
          <w:u w:val="single" w:color="FFFFFF" w:themeColor="background1"/>
          <w:lang w:val="en-US" w:eastAsia="zh-CN" w:bidi="ar-SA"/>
          <w14:textFill>
            <w14:solidFill>
              <w14:schemeClr w14:val="tx1"/>
            </w14:solidFill>
          </w14:textFill>
        </w:rPr>
        <w:t>依法办理排污许可手续，并按要求进行排污</w:t>
      </w:r>
      <w:r>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t>。</w:t>
      </w:r>
    </w:p>
    <w:p w14:paraId="62D62928">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right="0" w:rightChars="0" w:firstLine="640" w:firstLineChars="200"/>
        <w:jc w:val="both"/>
        <w:textAlignment w:val="bottom"/>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kern w:val="2"/>
          <w:sz w:val="32"/>
          <w:szCs w:val="32"/>
          <w:u w:val="none"/>
          <w:lang w:val="en-US" w:eastAsia="zh-CN" w:bidi="ar"/>
          <w14:textFill>
            <w14:solidFill>
              <w14:schemeClr w14:val="tx1"/>
            </w14:solidFill>
          </w14:textFill>
        </w:rPr>
        <w:t>6.年产260万双鞋材</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项目</w:t>
      </w:r>
      <w:r>
        <w:rPr>
          <w:rFonts w:hint="eastAsia" w:ascii="仿宋_GB2312" w:hAnsi="仿宋_GB2312" w:eastAsia="仿宋_GB2312" w:cs="仿宋_GB2312"/>
          <w:color w:val="000000" w:themeColor="text1"/>
          <w:sz w:val="32"/>
          <w:szCs w:val="32"/>
          <w:lang w:val="en"/>
          <w14:textFill>
            <w14:solidFill>
              <w14:schemeClr w14:val="tx1"/>
            </w14:solidFill>
          </w14:textFill>
        </w:rPr>
        <w:t>环境影响报告表（</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2020</w:t>
      </w:r>
      <w:r>
        <w:rPr>
          <w:rFonts w:hint="eastAsia" w:ascii="仿宋_GB2312" w:hAnsi="仿宋_GB2312" w:eastAsia="仿宋_GB2312" w:cs="仿宋_GB2312"/>
          <w:color w:val="000000" w:themeColor="text1"/>
          <w:sz w:val="32"/>
          <w:szCs w:val="32"/>
          <w:u w:val="none"/>
          <w14:textFill>
            <w14:solidFill>
              <w14:schemeClr w14:val="tx1"/>
            </w14:solidFill>
          </w14:textFill>
        </w:rPr>
        <w:t>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12</w:t>
      </w:r>
      <w:r>
        <w:rPr>
          <w:rFonts w:hint="eastAsia" w:ascii="仿宋_GB2312" w:hAnsi="仿宋_GB2312" w:eastAsia="仿宋_GB2312" w:cs="仿宋_GB2312"/>
          <w:color w:val="000000" w:themeColor="text1"/>
          <w:sz w:val="32"/>
          <w:szCs w:val="32"/>
          <w:u w:val="none"/>
          <w14:textFill>
            <w14:solidFill>
              <w14:schemeClr w14:val="tx1"/>
            </w14:solidFill>
          </w14:textFill>
        </w:rPr>
        <w:t>月</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通过审批</w:t>
      </w:r>
      <w:r>
        <w:rPr>
          <w:rFonts w:hint="eastAsia" w:ascii="仿宋_GB2312" w:hAnsi="仿宋_GB2312" w:eastAsia="仿宋_GB2312" w:cs="仿宋_GB2312"/>
          <w:color w:val="000000" w:themeColor="text1"/>
          <w:sz w:val="32"/>
          <w:szCs w:val="32"/>
          <w:lang w:val="en"/>
          <w14:textFill>
            <w14:solidFill>
              <w14:schemeClr w14:val="tx1"/>
            </w14:solidFill>
          </w14:textFill>
        </w:rPr>
        <w:t>）。</w:t>
      </w:r>
    </w:p>
    <w:p w14:paraId="1AEBDAA9">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right="0" w:rightChars="0" w:firstLine="640" w:firstLineChars="200"/>
        <w:jc w:val="both"/>
        <w:textAlignment w:val="bottom"/>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证明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你</w:t>
      </w:r>
      <w:r>
        <w:rPr>
          <w:rFonts w:hint="eastAsia" w:ascii="仿宋_GB2312" w:hAnsi="仿宋_GB2312" w:eastAsia="仿宋_GB2312" w:cs="仿宋_GB2312"/>
          <w:color w:val="000000" w:themeColor="text1"/>
          <w:sz w:val="32"/>
          <w:szCs w:val="32"/>
          <w:lang w:val="en"/>
          <w14:textFill>
            <w14:solidFill>
              <w14:schemeClr w14:val="tx1"/>
            </w14:solidFill>
          </w14:textFill>
        </w:rPr>
        <w:t>单位建设项目依法通过项目审批，生产工艺</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中各产污环节</w:t>
      </w:r>
      <w:r>
        <w:rPr>
          <w:rFonts w:hint="eastAsia" w:ascii="仿宋_GB2312" w:hAnsi="仿宋_GB2312" w:eastAsia="仿宋_GB2312" w:cs="仿宋_GB2312"/>
          <w:color w:val="000000" w:themeColor="text1"/>
          <w:sz w:val="32"/>
          <w:szCs w:val="32"/>
          <w:lang w:val="en"/>
          <w14:textFill>
            <w14:solidFill>
              <w14:schemeClr w14:val="tx1"/>
            </w14:solidFill>
          </w14:textFill>
        </w:rPr>
        <w:t>，以及相关处理要求。</w:t>
      </w:r>
    </w:p>
    <w:p w14:paraId="40129E8E">
      <w:pPr>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leftChars="200" w:right="0" w:rightChars="0"/>
        <w:jc w:val="both"/>
        <w:textAlignment w:val="auto"/>
        <w:outlineLvl w:val="9"/>
        <w:rPr>
          <w:rFonts w:hint="eastAsia" w:ascii="FangSong_GB2312" w:hAnsi="FangSong_GB2312" w:eastAsia="FangSong_GB2312" w:cs="FangSong_GB2312"/>
          <w:color w:val="000000" w:themeColor="text1"/>
          <w:sz w:val="32"/>
          <w:szCs w:val="32"/>
          <w:lang w:val="en-US" w:eastAsia="zh-CN"/>
          <w14:textFill>
            <w14:solidFill>
              <w14:schemeClr w14:val="tx1"/>
            </w14:solidFill>
          </w14:textFill>
        </w:rPr>
      </w:pPr>
      <w:r>
        <w:rPr>
          <w:rFonts w:hint="eastAsia" w:ascii="FangSong_GB2312" w:hAnsi="FangSong_GB2312" w:eastAsia="FangSong_GB2312" w:cs="FangSong_GB2312"/>
          <w:color w:val="000000" w:themeColor="text1"/>
          <w:sz w:val="32"/>
          <w:szCs w:val="32"/>
          <w:lang w:val="en-US" w:eastAsia="zh-CN"/>
          <w14:textFill>
            <w14:solidFill>
              <w14:schemeClr w14:val="tx1"/>
            </w14:solidFill>
          </w14:textFill>
        </w:rPr>
        <w:t>7.其他</w:t>
      </w:r>
      <w:r>
        <w:rPr>
          <w:rFonts w:hint="eastAsia" w:ascii="FangSong_GB2312" w:hAnsi="FangSong_GB2312" w:cs="FangSong_GB2312"/>
          <w:color w:val="000000" w:themeColor="text1"/>
          <w:sz w:val="32"/>
          <w:szCs w:val="32"/>
          <w:lang w:val="en-US" w:eastAsia="zh-CN"/>
          <w14:textFill>
            <w14:solidFill>
              <w14:schemeClr w14:val="tx1"/>
            </w14:solidFill>
          </w14:textFill>
        </w:rPr>
        <w:t>证据</w:t>
      </w:r>
      <w:r>
        <w:rPr>
          <w:rFonts w:hint="eastAsia" w:ascii="FangSong_GB2312" w:hAnsi="FangSong_GB2312" w:eastAsia="FangSong_GB2312" w:cs="FangSong_GB2312"/>
          <w:color w:val="000000" w:themeColor="text1"/>
          <w:sz w:val="32"/>
          <w:szCs w:val="32"/>
          <w:lang w:val="en-US" w:eastAsia="zh-CN"/>
          <w14:textFill>
            <w14:solidFill>
              <w14:schemeClr w14:val="tx1"/>
            </w14:solidFill>
          </w14:textFill>
        </w:rPr>
        <w:t>材料</w:t>
      </w:r>
      <w:r>
        <w:rPr>
          <w:rFonts w:hint="eastAsia" w:ascii="仿宋_GB2312" w:hAnsi="仿宋_GB2312" w:eastAsia="仿宋_GB2312" w:cs="仿宋_GB2312"/>
          <w:color w:val="000000" w:themeColor="text1"/>
          <w:sz w:val="32"/>
          <w:szCs w:val="32"/>
          <w:lang w:val="en"/>
          <w14:textFill>
            <w14:solidFill>
              <w14:schemeClr w14:val="tx1"/>
            </w14:solidFill>
          </w14:textFill>
        </w:rPr>
        <w:t>。</w:t>
      </w:r>
    </w:p>
    <w:p w14:paraId="7D328272">
      <w:pPr>
        <w:keepNext w:val="0"/>
        <w:keepLines w:val="0"/>
        <w:pageBreakBefore w:val="0"/>
        <w:widowControl w:val="0"/>
        <w:kinsoku/>
        <w:wordWrap/>
        <w:overflowPunct/>
        <w:topLinePunct w:val="0"/>
        <w:autoSpaceDE/>
        <w:autoSpaceDN/>
        <w:bidi w:val="0"/>
        <w:adjustRightInd/>
        <w:snapToGrid/>
        <w:spacing w:before="0" w:beforeLines="0" w:beforeAutospacing="0" w:line="560" w:lineRule="exact"/>
        <w:ind w:left="0" w:leftChars="0" w:firstLine="640" w:firstLineChars="200"/>
        <w:jc w:val="both"/>
        <w:textAlignment w:val="auto"/>
        <w:rPr>
          <w:rFonts w:hint="eastAsia" w:ascii="FangSong_GB2312" w:hAnsi="FangSong_GB2312" w:eastAsia="FangSong_GB2312" w:cs="FangSong_GB2312"/>
          <w:color w:val="000000" w:themeColor="text1"/>
          <w:sz w:val="32"/>
          <w:szCs w:val="32"/>
          <w:lang w:eastAsia="zh-CN"/>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我局于20</w:t>
      </w:r>
      <w:r>
        <w:rPr>
          <w:rFonts w:hint="eastAsia" w:ascii="仿宋_GB2312" w:hAnsi="仿宋_GB2312" w:cs="仿宋_GB2312"/>
          <w:color w:val="000000" w:themeColor="text1"/>
          <w:sz w:val="32"/>
          <w:szCs w:val="32"/>
          <w:lang w:val="en-US" w:eastAsia="zh"/>
          <w14:textFill>
            <w14:solidFill>
              <w14:schemeClr w14:val="tx1"/>
            </w14:solidFill>
          </w14:textFill>
        </w:rPr>
        <w:t>25</w:t>
      </w:r>
      <w:r>
        <w:rPr>
          <w:rFonts w:hint="eastAsia" w:ascii="仿宋_GB2312" w:hAnsi="仿宋_GB2312" w:cs="仿宋_GB2312"/>
          <w:color w:val="000000" w:themeColor="text1"/>
          <w:sz w:val="32"/>
          <w:szCs w:val="32"/>
          <w:lang w:val="en-US" w:eastAsia="zh-CN"/>
          <w14:textFill>
            <w14:solidFill>
              <w14:schemeClr w14:val="tx1"/>
            </w14:solidFill>
          </w14:textFill>
        </w:rPr>
        <w:t>年11月14日向你单位送达《焦作市生态环境局行政处罚事先（听证）告知书》(焦温环先告〔202</w:t>
      </w:r>
      <w:r>
        <w:rPr>
          <w:rFonts w:hint="eastAsia" w:ascii="仿宋_GB2312" w:hAnsi="仿宋_GB2312" w:cs="仿宋_GB2312"/>
          <w:color w:val="000000" w:themeColor="text1"/>
          <w:sz w:val="32"/>
          <w:szCs w:val="32"/>
          <w:lang w:val="en-US" w:eastAsia="zh"/>
          <w14:textFill>
            <w14:solidFill>
              <w14:schemeClr w14:val="tx1"/>
            </w14:solidFill>
          </w14:textFill>
        </w:rPr>
        <w:t>5</w:t>
      </w:r>
      <w:r>
        <w:rPr>
          <w:rFonts w:hint="eastAsia" w:ascii="仿宋_GB2312" w:hAnsi="仿宋_GB2312" w:cs="仿宋_GB2312"/>
          <w:color w:val="000000" w:themeColor="text1"/>
          <w:sz w:val="32"/>
          <w:szCs w:val="32"/>
          <w:lang w:val="en-US" w:eastAsia="zh-CN"/>
          <w14:textFill>
            <w14:solidFill>
              <w14:schemeClr w14:val="tx1"/>
            </w14:solidFill>
          </w14:textFill>
        </w:rPr>
        <w:t>〕28号)，</w:t>
      </w:r>
      <w:r>
        <w:rPr>
          <w:rFonts w:hint="eastAsia" w:ascii="FangSong_GB2312" w:hAnsi="FangSong_GB2312" w:eastAsia="FangSong_GB2312" w:cs="FangSong_GB2312"/>
          <w:color w:val="000000" w:themeColor="text1"/>
          <w:sz w:val="32"/>
          <w:szCs w:val="32"/>
          <w:u w:val="none"/>
          <w14:textFill>
            <w14:solidFill>
              <w14:schemeClr w14:val="tx1"/>
            </w14:solidFill>
          </w14:textFill>
        </w:rPr>
        <w:t>告知书</w:t>
      </w:r>
      <w:r>
        <w:rPr>
          <w:rFonts w:hint="eastAsia" w:ascii="FangSong_GB2312" w:hAnsi="FangSong_GB2312" w:eastAsia="FangSong_GB2312" w:cs="FangSong_GB2312"/>
          <w:color w:val="000000" w:themeColor="text1"/>
          <w:sz w:val="32"/>
          <w:szCs w:val="32"/>
          <w14:textFill>
            <w14:solidFill>
              <w14:schemeClr w14:val="tx1"/>
            </w14:solidFill>
          </w14:textFill>
        </w:rPr>
        <w:t>告知你单位陈述申辩权。</w:t>
      </w:r>
      <w:r>
        <w:rPr>
          <w:rFonts w:hint="eastAsia" w:ascii="FangSong_GB2312" w:hAnsi="FangSong_GB2312" w:eastAsia="FangSong_GB2312" w:cs="FangSong_GB2312"/>
          <w:color w:val="000000" w:themeColor="text1"/>
          <w:sz w:val="32"/>
          <w:szCs w:val="32"/>
          <w:lang w:eastAsia="zh-CN"/>
          <w14:textFill>
            <w14:solidFill>
              <w14:schemeClr w14:val="tx1"/>
            </w14:solidFill>
          </w14:textFill>
        </w:rPr>
        <w:t>你单位在规定的时间的未进行</w:t>
      </w:r>
      <w:r>
        <w:rPr>
          <w:rFonts w:hint="eastAsia" w:ascii="FangSong_GB2312" w:hAnsi="FangSong_GB2312" w:eastAsia="FangSong_GB2312" w:cs="FangSong_GB2312"/>
          <w:color w:val="000000" w:themeColor="text1"/>
          <w:sz w:val="32"/>
          <w:szCs w:val="32"/>
          <w14:textFill>
            <w14:solidFill>
              <w14:schemeClr w14:val="tx1"/>
            </w14:solidFill>
          </w14:textFill>
        </w:rPr>
        <w:t>陈述申辩</w:t>
      </w:r>
      <w:r>
        <w:rPr>
          <w:rFonts w:hint="eastAsia" w:ascii="FangSong_GB2312" w:hAnsi="FangSong_GB2312" w:eastAsia="FangSong_GB2312" w:cs="FangSong_GB2312"/>
          <w:color w:val="000000" w:themeColor="text1"/>
          <w:sz w:val="32"/>
          <w:szCs w:val="32"/>
          <w:lang w:eastAsia="zh-CN"/>
          <w14:textFill>
            <w14:solidFill>
              <w14:schemeClr w14:val="tx1"/>
            </w14:solidFill>
          </w14:textFill>
        </w:rPr>
        <w:t>。</w:t>
      </w:r>
    </w:p>
    <w:p w14:paraId="5A0C967F">
      <w:pPr>
        <w:keepNext w:val="0"/>
        <w:keepLines w:val="0"/>
        <w:pageBreakBefore w:val="0"/>
        <w:widowControl w:val="0"/>
        <w:kinsoku/>
        <w:wordWrap/>
        <w:overflowPunct/>
        <w:topLinePunct w:val="0"/>
        <w:autoSpaceDE/>
        <w:autoSpaceDN/>
        <w:bidi w:val="0"/>
        <w:adjustRightInd/>
        <w:snapToGrid/>
        <w:spacing w:before="0" w:beforeLines="0" w:beforeAutospacing="0" w:line="560" w:lineRule="exact"/>
        <w:ind w:left="0" w:leftChars="0" w:firstLine="640" w:firstLineChars="200"/>
        <w:jc w:val="both"/>
        <w:textAlignment w:val="auto"/>
        <w:rPr>
          <w:rFonts w:hint="eastAsia" w:ascii="黑体" w:hAnsi="黑体" w:eastAsia="黑体" w:cs="黑体"/>
          <w:b w:val="0"/>
          <w:bCs w:val="0"/>
          <w:color w:val="000000" w:themeColor="text1"/>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二、行政处罚的依据、种类</w:t>
      </w:r>
    </w:p>
    <w:p w14:paraId="2E729935">
      <w:pPr>
        <w:pStyle w:val="3"/>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依据《中华人民共和国行政处罚法》</w:t>
      </w:r>
      <w:bookmarkStart w:id="0" w:name="_GoBack"/>
      <w:bookmarkEnd w:id="0"/>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第二十八条第一款</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行政机关实施行政处罚时，应当责令当事人改正或者限期改正违法行为</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和《中华人民共和国大气污染防治法》</w:t>
      </w: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第一百零八条第（一）项：“违反本法规定，有下列行为之一的，由县级以上人民政府生态环境主管部门责令改正，处二万元以上二十万元以下的罚款；拒不改正的，责令停产整治:（一）产生含挥发性有机物废气的生产和服务活动，未在密闭空间或者设备中进行，未按照规定安装、使用污染防治设施，或者未采取减少废气排放措施的。”</w:t>
      </w:r>
      <w:r>
        <w:rPr>
          <w:rFonts w:hint="default"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的规定</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w:t>
      </w:r>
    </w:p>
    <w:p w14:paraId="6566AC7C">
      <w:pPr>
        <w:keepNext w:val="0"/>
        <w:keepLines w:val="0"/>
        <w:pageBreakBefore w:val="0"/>
        <w:widowControl w:val="0"/>
        <w:kinsoku/>
        <w:wordWrap/>
        <w:overflowPunct/>
        <w:topLinePunct w:val="0"/>
        <w:autoSpaceDE/>
        <w:autoSpaceDN/>
        <w:bidi w:val="0"/>
        <w:adjustRightInd/>
        <w:snapToGrid/>
        <w:spacing w:before="0" w:beforeLines="0" w:beforeAutospacing="0" w:after="0" w:afterLines="0" w:line="560" w:lineRule="exact"/>
        <w:ind w:left="0" w:leftChars="0" w:right="0" w:rightChars="0" w:firstLine="640" w:firstLineChars="200"/>
        <w:jc w:val="both"/>
        <w:textAlignment w:val="auto"/>
        <w:outlineLvl w:val="9"/>
        <w:rPr>
          <w:rFonts w:hint="eastAsia" w:ascii="仿宋_GB2312" w:hAnsi="仿宋_GB2312"/>
          <w:color w:val="000000" w:themeColor="text1"/>
          <w:sz w:val="32"/>
          <w:szCs w:val="32"/>
          <w:u w:val="none"/>
          <w:lang w:eastAsia="zh-CN"/>
          <w14:textFill>
            <w14:solidFill>
              <w14:schemeClr w14:val="tx1"/>
            </w14:solidFill>
          </w14:textFill>
        </w:rPr>
      </w:pPr>
      <w:r>
        <w:rPr>
          <w:rFonts w:hint="eastAsia" w:ascii="仿宋_GB2312" w:hAnsi="仿宋_GB2312" w:eastAsia="仿宋_GB2312"/>
          <w:color w:val="000000" w:themeColor="text1"/>
          <w:sz w:val="32"/>
          <w:szCs w:val="32"/>
          <w:u w:val="none"/>
          <w14:textFill>
            <w14:solidFill>
              <w14:schemeClr w14:val="tx1"/>
            </w14:solidFill>
          </w14:textFill>
        </w:rPr>
        <w:t>根据你</w:t>
      </w:r>
      <w:r>
        <w:rPr>
          <w:rFonts w:hint="eastAsia" w:ascii="仿宋_GB2312" w:hAnsi="仿宋_GB2312"/>
          <w:color w:val="000000" w:themeColor="text1"/>
          <w:sz w:val="32"/>
          <w:szCs w:val="32"/>
          <w:u w:val="none"/>
          <w:lang w:eastAsia="zh-CN"/>
          <w14:textFill>
            <w14:solidFill>
              <w14:schemeClr w14:val="tx1"/>
            </w14:solidFill>
          </w14:textFill>
        </w:rPr>
        <w:t>单位</w:t>
      </w:r>
      <w:r>
        <w:rPr>
          <w:rFonts w:hint="eastAsia" w:ascii="仿宋_GB2312" w:hAnsi="仿宋_GB2312" w:eastAsia="仿宋_GB2312"/>
          <w:color w:val="000000" w:themeColor="text1"/>
          <w:sz w:val="32"/>
          <w:szCs w:val="32"/>
          <w:u w:val="none"/>
          <w14:textFill>
            <w14:solidFill>
              <w14:schemeClr w14:val="tx1"/>
            </w14:solidFill>
          </w14:textFill>
        </w:rPr>
        <w:t>违法行为的事实、性质、情节、社会危害程度和相关证据，参照《河南省生态环境行政处罚裁量基准适用规则（修订）》（豫环办〔2022〕72 号）</w:t>
      </w:r>
      <w:r>
        <w:rPr>
          <w:rFonts w:hint="eastAsia" w:ascii="仿宋_GB2312" w:hAnsi="仿宋_GB2312"/>
          <w:color w:val="000000" w:themeColor="text1"/>
          <w:sz w:val="32"/>
          <w:szCs w:val="32"/>
          <w:u w:val="none"/>
          <w:lang w:eastAsia="zh-CN"/>
          <w14:textFill>
            <w14:solidFill>
              <w14:schemeClr w14:val="tx1"/>
            </w14:solidFill>
          </w14:textFill>
        </w:rPr>
        <w:t>，</w:t>
      </w:r>
      <w:r>
        <w:rPr>
          <w:rFonts w:hint="eastAsia" w:ascii="仿宋_GB2312" w:hAnsi="仿宋_GB2312" w:eastAsia="仿宋_GB2312"/>
          <w:color w:val="000000" w:themeColor="text1"/>
          <w:sz w:val="32"/>
          <w:szCs w:val="32"/>
          <w:u w:val="none"/>
          <w14:textFill>
            <w14:solidFill>
              <w14:schemeClr w14:val="tx1"/>
            </w14:solidFill>
          </w14:textFill>
        </w:rPr>
        <w:t>裁量</w:t>
      </w:r>
      <w:r>
        <w:rPr>
          <w:rFonts w:hint="eastAsia" w:ascii="仿宋_GB2312" w:hAnsi="仿宋_GB2312"/>
          <w:color w:val="000000" w:themeColor="text1"/>
          <w:sz w:val="32"/>
          <w:szCs w:val="32"/>
          <w:u w:val="none"/>
          <w:lang w:eastAsia="zh-CN"/>
          <w14:textFill>
            <w14:solidFill>
              <w14:schemeClr w14:val="tx1"/>
            </w14:solidFill>
          </w14:textFill>
        </w:rPr>
        <w:t>内容如下：</w:t>
      </w:r>
    </w:p>
    <w:p w14:paraId="028F48AE">
      <w:pPr>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left="0" w:firstLine="640" w:firstLineChars="200"/>
        <w:jc w:val="both"/>
        <w:textAlignment w:val="auto"/>
        <w:outlineLvl w:val="9"/>
        <w:rPr>
          <w:rFonts w:hint="eastAsia" w:ascii="仿宋_GB2312" w:hAnsi="仿宋_GB2312" w:eastAsia="仿宋_GB2312" w:cs="仿宋_GB2312"/>
          <w:color w:val="000000" w:themeColor="text1"/>
          <w:sz w:val="32"/>
          <w:szCs w:val="32"/>
          <w:u w:val="single" w:color="FFFFFF" w:themeColor="background1"/>
          <w14:textFill>
            <w14:solidFill>
              <w14:schemeClr w14:val="tx1"/>
            </w14:solidFill>
          </w14:textFill>
        </w:rPr>
      </w:pPr>
      <w:r>
        <w:rPr>
          <w:rFonts w:hint="eastAsia" w:ascii="仿宋_GB2312" w:hAnsi="仿宋_GB2312" w:eastAsia="仿宋_GB2312" w:cs="仿宋_GB2312"/>
          <w:color w:val="000000" w:themeColor="text1"/>
          <w:sz w:val="32"/>
          <w:szCs w:val="32"/>
          <w:u w:val="single" w:color="FFFFFF" w:themeColor="background1"/>
          <w14:textFill>
            <w14:solidFill>
              <w14:schemeClr w14:val="tx1"/>
            </w14:solidFill>
          </w14:textFill>
        </w:rPr>
        <w:t>根据《河南省生态环境行政处罚裁量基准适用规则（修订）》（豫环办〔2022〕72 号），结合</w:t>
      </w:r>
      <w:r>
        <w:rPr>
          <w:rFonts w:hint="eastAsia" w:ascii="仿宋_GB2312" w:hAnsi="仿宋_GB2312" w:cs="仿宋_GB2312"/>
          <w:color w:val="000000" w:themeColor="text1"/>
          <w:sz w:val="32"/>
          <w:szCs w:val="32"/>
          <w:u w:val="single" w:color="FFFFFF" w:themeColor="background1"/>
          <w:lang w:eastAsia="zh-CN"/>
          <w14:textFill>
            <w14:solidFill>
              <w14:schemeClr w14:val="tx1"/>
            </w14:solidFill>
          </w14:textFill>
        </w:rPr>
        <w:t>你</w:t>
      </w:r>
      <w:r>
        <w:rPr>
          <w:rFonts w:hint="eastAsia" w:ascii="仿宋_GB2312" w:hAnsi="仿宋_GB2312" w:eastAsia="仿宋_GB2312" w:cs="仿宋_GB2312"/>
          <w:color w:val="000000" w:themeColor="text1"/>
          <w:sz w:val="32"/>
          <w:szCs w:val="32"/>
          <w:u w:val="single" w:color="FFFFFF" w:themeColor="background1"/>
          <w14:textFill>
            <w14:solidFill>
              <w14:schemeClr w14:val="tx1"/>
            </w14:solidFill>
          </w14:textFill>
        </w:rPr>
        <w:t>单位违法行为的事实、性质、情节、社会危害程度和相关证据，裁量内容如下：</w:t>
      </w:r>
    </w:p>
    <w:p w14:paraId="20C63377">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 xml:space="preserve">A.★违法事实判定标准：未按要求密闭/未规范使用污染防治设施，裁量等级为1； </w:t>
      </w:r>
    </w:p>
    <w:p w14:paraId="3BCAE657">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B1.涉及行业判定标准：涂装、印刷、包装、粘合等含挥发性有机物的产品使用，基础化学原料制造、化学药品原料药制造等含挥发性有机物的产品生产，裁量等级为2；</w:t>
      </w:r>
    </w:p>
    <w:p w14:paraId="17DEC675">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 xml:space="preserve">B2.生产和服务活动地点：符合环境功能区划，裁量等级为 1； </w:t>
      </w:r>
    </w:p>
    <w:p w14:paraId="3E0D7DCB">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 xml:space="preserve">B3.企业规模判定标准：微型企业，裁量等级为1； </w:t>
      </w:r>
    </w:p>
    <w:p w14:paraId="0303853B">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 xml:space="preserve">B4.管理类别判定标准：登记管理，裁量等级为 1； </w:t>
      </w:r>
    </w:p>
    <w:p w14:paraId="129AB227">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 xml:space="preserve">B5.违法行为持续时间判定标准：1个月以下，裁量等级为 1； </w:t>
      </w:r>
    </w:p>
    <w:p w14:paraId="0D20FB07">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 xml:space="preserve">B6.超过限期改正时间判定标准：限期改正，裁量等级为 1； </w:t>
      </w:r>
    </w:p>
    <w:p w14:paraId="1E109BC6">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eastAsia" w:ascii="仿宋_GB2312" w:hAnsi="仿宋_GB2312" w:eastAsia="仿宋_GB2312" w:cs="仿宋_GB2312"/>
          <w:color w:val="000000"/>
          <w:sz w:val="32"/>
          <w:szCs w:val="32"/>
          <w:u w:val="none" w:color="auto"/>
        </w:rPr>
      </w:pPr>
      <w:r>
        <w:rPr>
          <w:rFonts w:hint="eastAsia" w:ascii="仿宋_GB2312" w:hAnsi="仿宋_GB2312" w:eastAsia="仿宋_GB2312" w:cs="仿宋_GB2312"/>
          <w:color w:val="000000"/>
          <w:sz w:val="32"/>
          <w:szCs w:val="32"/>
          <w:u w:val="none" w:color="auto"/>
        </w:rPr>
        <w:t>B7.受处罚次数判定标准：</w:t>
      </w:r>
      <w:r>
        <w:rPr>
          <w:rFonts w:hint="eastAsia" w:ascii="仿宋_GB2312" w:hAnsi="仿宋_GB2312" w:eastAsia="仿宋_GB2312" w:cs="仿宋_GB2312"/>
          <w:color w:val="auto"/>
          <w:sz w:val="32"/>
          <w:szCs w:val="32"/>
          <w:shd w:val="clear" w:color="auto" w:fill="auto"/>
        </w:rPr>
        <w:t>两年内受到同类处罚1次</w:t>
      </w:r>
      <w:r>
        <w:rPr>
          <w:rFonts w:hint="eastAsia" w:ascii="仿宋_GB2312" w:hAnsi="仿宋_GB2312" w:eastAsia="仿宋_GB2312" w:cs="仿宋_GB2312"/>
          <w:color w:val="000000"/>
          <w:sz w:val="32"/>
          <w:szCs w:val="32"/>
          <w:u w:val="none" w:color="auto"/>
        </w:rPr>
        <w:t xml:space="preserve">，裁量等级为 </w:t>
      </w:r>
      <w:r>
        <w:rPr>
          <w:rFonts w:hint="eastAsia" w:ascii="仿宋_GB2312" w:hAnsi="仿宋_GB2312" w:eastAsia="仿宋_GB2312" w:cs="仿宋_GB2312"/>
          <w:color w:val="000000"/>
          <w:sz w:val="32"/>
          <w:szCs w:val="32"/>
          <w:u w:val="none" w:color="auto"/>
          <w:lang w:val="en-US" w:eastAsia="zh-CN"/>
        </w:rPr>
        <w:t>3</w:t>
      </w:r>
      <w:r>
        <w:rPr>
          <w:rFonts w:hint="eastAsia" w:ascii="仿宋_GB2312" w:hAnsi="仿宋_GB2312" w:eastAsia="仿宋_GB2312" w:cs="仿宋_GB2312"/>
          <w:color w:val="000000"/>
          <w:sz w:val="32"/>
          <w:szCs w:val="32"/>
          <w:u w:val="none" w:color="auto"/>
        </w:rPr>
        <w:t xml:space="preserve">； </w:t>
      </w:r>
    </w:p>
    <w:p w14:paraId="0559C96F">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eastAsia" w:ascii="仿宋_GB2312" w:hAnsi="仿宋_GB2312" w:eastAsia="仿宋_GB2312" w:cs="仿宋_GB2312"/>
          <w:color w:val="auto"/>
          <w:sz w:val="32"/>
          <w:szCs w:val="32"/>
          <w:u w:val="none" w:color="auto"/>
        </w:rPr>
      </w:pPr>
      <w:r>
        <w:rPr>
          <w:rFonts w:hint="eastAsia" w:ascii="仿宋_GB2312" w:hAnsi="仿宋_GB2312" w:eastAsia="仿宋_GB2312" w:cs="仿宋_GB2312"/>
          <w:color w:val="000000"/>
          <w:sz w:val="32"/>
          <w:szCs w:val="32"/>
          <w:u w:val="none" w:color="auto"/>
        </w:rPr>
        <w:t xml:space="preserve">B8.是否配合执法检查：配合调查，裁量等级为1。 </w:t>
      </w:r>
    </w:p>
    <w:p w14:paraId="72F00ED2">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jc w:val="both"/>
        <w:textAlignment w:val="auto"/>
        <w:outlineLvl w:val="9"/>
        <w:rPr>
          <w:rFonts w:hint="eastAsia"/>
          <w:lang w:eastAsia="zh-CN"/>
        </w:rPr>
      </w:pPr>
      <w:r>
        <w:rPr>
          <w:rFonts w:hint="eastAsia" w:ascii="仿宋_GB2312" w:hAnsi="仿宋_GB2312" w:eastAsia="仿宋_GB2312" w:cs="仿宋_GB2312"/>
          <w:color w:val="auto"/>
          <w:sz w:val="32"/>
          <w:szCs w:val="32"/>
          <w:u w:val="none" w:color="auto"/>
        </w:rPr>
        <w:t>结合本案案情，将各项裁量因素等级套入公式中进行计算得</w:t>
      </w:r>
      <w:r>
        <w:rPr>
          <w:rFonts w:hint="eastAsia" w:ascii="仿宋_GB2312" w:hAnsi="仿宋_GB2312" w:eastAsia="仿宋_GB2312" w:cs="仿宋_GB2312"/>
          <w:color w:val="auto"/>
          <w:sz w:val="32"/>
          <w:szCs w:val="32"/>
          <w:u w:val="none" w:color="auto"/>
          <w:lang w:eastAsia="zh-CN"/>
        </w:rPr>
        <w:t>：</w:t>
      </w:r>
    </w:p>
    <w:tbl>
      <w:tblPr>
        <w:tblStyle w:val="7"/>
        <w:tblpPr w:leftFromText="180" w:rightFromText="180" w:vertAnchor="text" w:horzAnchor="page" w:tblpX="2250" w:tblpY="286"/>
        <w:tblOverlap w:val="never"/>
        <w:tblW w:w="79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687"/>
        <w:gridCol w:w="631"/>
        <w:gridCol w:w="554"/>
        <w:gridCol w:w="555"/>
        <w:gridCol w:w="555"/>
        <w:gridCol w:w="585"/>
        <w:gridCol w:w="555"/>
        <w:gridCol w:w="600"/>
        <w:gridCol w:w="570"/>
        <w:gridCol w:w="600"/>
        <w:gridCol w:w="570"/>
        <w:gridCol w:w="570"/>
      </w:tblGrid>
      <w:tr w14:paraId="7B865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956" w:type="dxa"/>
            <w:noWrap w:val="0"/>
            <w:vAlign w:val="top"/>
          </w:tcPr>
          <w:p w14:paraId="7C5FC035">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参数</w:t>
            </w:r>
          </w:p>
        </w:tc>
        <w:tc>
          <w:tcPr>
            <w:tcW w:w="687" w:type="dxa"/>
            <w:noWrap w:val="0"/>
            <w:vAlign w:val="top"/>
          </w:tcPr>
          <w:p w14:paraId="2AE5D2F3">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N</w:t>
            </w:r>
          </w:p>
        </w:tc>
        <w:tc>
          <w:tcPr>
            <w:tcW w:w="631" w:type="dxa"/>
            <w:noWrap w:val="0"/>
            <w:vAlign w:val="top"/>
          </w:tcPr>
          <w:p w14:paraId="28B5F121">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M</w:t>
            </w:r>
          </w:p>
        </w:tc>
        <w:tc>
          <w:tcPr>
            <w:tcW w:w="554" w:type="dxa"/>
            <w:noWrap w:val="0"/>
            <w:vAlign w:val="top"/>
          </w:tcPr>
          <w:p w14:paraId="46BEB6D4">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A</w:t>
            </w:r>
          </w:p>
        </w:tc>
        <w:tc>
          <w:tcPr>
            <w:tcW w:w="555" w:type="dxa"/>
            <w:noWrap w:val="0"/>
            <w:vAlign w:val="top"/>
          </w:tcPr>
          <w:p w14:paraId="2BF78EDE">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n</w:t>
            </w:r>
          </w:p>
        </w:tc>
        <w:tc>
          <w:tcPr>
            <w:tcW w:w="555" w:type="dxa"/>
            <w:noWrap w:val="0"/>
            <w:vAlign w:val="top"/>
          </w:tcPr>
          <w:p w14:paraId="052F35AA">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B1</w:t>
            </w:r>
          </w:p>
        </w:tc>
        <w:tc>
          <w:tcPr>
            <w:tcW w:w="585" w:type="dxa"/>
            <w:noWrap w:val="0"/>
            <w:vAlign w:val="top"/>
          </w:tcPr>
          <w:p w14:paraId="07C3812D">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B2</w:t>
            </w:r>
          </w:p>
        </w:tc>
        <w:tc>
          <w:tcPr>
            <w:tcW w:w="555" w:type="dxa"/>
            <w:noWrap w:val="0"/>
            <w:vAlign w:val="top"/>
          </w:tcPr>
          <w:p w14:paraId="2934B43F">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B3</w:t>
            </w:r>
          </w:p>
        </w:tc>
        <w:tc>
          <w:tcPr>
            <w:tcW w:w="600" w:type="dxa"/>
            <w:noWrap w:val="0"/>
            <w:vAlign w:val="top"/>
          </w:tcPr>
          <w:p w14:paraId="731A5DAF">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B4</w:t>
            </w:r>
          </w:p>
        </w:tc>
        <w:tc>
          <w:tcPr>
            <w:tcW w:w="570" w:type="dxa"/>
            <w:noWrap w:val="0"/>
            <w:vAlign w:val="top"/>
          </w:tcPr>
          <w:p w14:paraId="3EAFE762">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B5</w:t>
            </w:r>
          </w:p>
        </w:tc>
        <w:tc>
          <w:tcPr>
            <w:tcW w:w="600" w:type="dxa"/>
            <w:noWrap w:val="0"/>
            <w:vAlign w:val="top"/>
          </w:tcPr>
          <w:p w14:paraId="0C3E7AD1">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B6</w:t>
            </w:r>
          </w:p>
        </w:tc>
        <w:tc>
          <w:tcPr>
            <w:tcW w:w="570" w:type="dxa"/>
            <w:noWrap w:val="0"/>
            <w:vAlign w:val="top"/>
          </w:tcPr>
          <w:p w14:paraId="578B3EEB">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B7</w:t>
            </w:r>
          </w:p>
        </w:tc>
        <w:tc>
          <w:tcPr>
            <w:tcW w:w="570" w:type="dxa"/>
            <w:noWrap w:val="0"/>
            <w:vAlign w:val="top"/>
          </w:tcPr>
          <w:p w14:paraId="16C8CED1">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B8</w:t>
            </w:r>
          </w:p>
        </w:tc>
      </w:tr>
      <w:tr w14:paraId="1C1BE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956" w:type="dxa"/>
            <w:noWrap w:val="0"/>
            <w:vAlign w:val="top"/>
          </w:tcPr>
          <w:p w14:paraId="384824F1">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eastAsia="仿宋_GB2312" w:cs="仿宋_GB2312"/>
                <w:kern w:val="0"/>
                <w:sz w:val="32"/>
                <w:szCs w:val="32"/>
                <w:u w:val="none" w:color="auto"/>
                <w:shd w:val="clear" w:color="auto" w:fill="FFFFFF"/>
                <w:lang w:val="en-US" w:eastAsia="zh-CN"/>
              </w:rPr>
            </w:pPr>
            <w:r>
              <w:rPr>
                <w:rFonts w:hint="eastAsia" w:ascii="仿宋_GB2312" w:hAnsi="仿宋_GB2312" w:eastAsia="仿宋_GB2312" w:cs="仿宋_GB2312"/>
                <w:kern w:val="0"/>
                <w:sz w:val="32"/>
                <w:szCs w:val="32"/>
                <w:u w:val="none" w:color="auto"/>
                <w:shd w:val="clear" w:color="auto" w:fill="FFFFFF"/>
                <w:lang w:val="en-US" w:eastAsia="zh-CN"/>
              </w:rPr>
              <w:t>取值</w:t>
            </w:r>
          </w:p>
        </w:tc>
        <w:tc>
          <w:tcPr>
            <w:tcW w:w="687" w:type="dxa"/>
            <w:noWrap w:val="0"/>
            <w:vAlign w:val="top"/>
          </w:tcPr>
          <w:p w14:paraId="793E558A">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eastAsia="仿宋_GB2312" w:cs="仿宋_GB2312"/>
                <w:kern w:val="0"/>
                <w:sz w:val="32"/>
                <w:szCs w:val="32"/>
                <w:u w:val="none" w:color="auto"/>
                <w:shd w:val="clear" w:color="auto" w:fill="FFFFFF"/>
                <w:lang w:val="en-US" w:eastAsia="zh-CN"/>
              </w:rPr>
            </w:pPr>
            <w:r>
              <w:rPr>
                <w:rFonts w:hint="eastAsia" w:ascii="仿宋_GB2312" w:hAnsi="仿宋_GB2312" w:eastAsia="仿宋_GB2312" w:cs="仿宋_GB2312"/>
                <w:kern w:val="0"/>
                <w:sz w:val="32"/>
                <w:szCs w:val="32"/>
                <w:u w:val="none" w:color="auto"/>
                <w:shd w:val="clear" w:color="auto" w:fill="FFFFFF"/>
                <w:lang w:val="en-US" w:eastAsia="zh-CN"/>
              </w:rPr>
              <w:t>2</w:t>
            </w:r>
          </w:p>
        </w:tc>
        <w:tc>
          <w:tcPr>
            <w:tcW w:w="631" w:type="dxa"/>
            <w:noWrap w:val="0"/>
            <w:vAlign w:val="top"/>
          </w:tcPr>
          <w:p w14:paraId="462482DC">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eastAsia="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20</w:t>
            </w:r>
          </w:p>
        </w:tc>
        <w:tc>
          <w:tcPr>
            <w:tcW w:w="554" w:type="dxa"/>
            <w:noWrap w:val="0"/>
            <w:vAlign w:val="top"/>
          </w:tcPr>
          <w:p w14:paraId="4CD8938C">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eastAsia="仿宋_GB2312" w:cs="仿宋_GB2312"/>
                <w:kern w:val="0"/>
                <w:sz w:val="32"/>
                <w:szCs w:val="32"/>
                <w:u w:val="none" w:color="auto"/>
                <w:shd w:val="clear" w:color="auto" w:fill="FFFFFF"/>
                <w:lang w:val="en-US" w:eastAsia="zh-CN"/>
              </w:rPr>
            </w:pPr>
            <w:r>
              <w:rPr>
                <w:rFonts w:hint="eastAsia" w:ascii="仿宋_GB2312" w:hAnsi="仿宋_GB2312" w:eastAsia="仿宋_GB2312" w:cs="仿宋_GB2312"/>
                <w:kern w:val="0"/>
                <w:sz w:val="32"/>
                <w:szCs w:val="32"/>
                <w:u w:val="none" w:color="auto"/>
                <w:shd w:val="clear" w:color="auto" w:fill="FFFFFF"/>
                <w:lang w:val="en-US" w:eastAsia="zh-CN"/>
              </w:rPr>
              <w:t>1</w:t>
            </w:r>
          </w:p>
        </w:tc>
        <w:tc>
          <w:tcPr>
            <w:tcW w:w="555" w:type="dxa"/>
            <w:noWrap w:val="0"/>
            <w:vAlign w:val="top"/>
          </w:tcPr>
          <w:p w14:paraId="337DB909">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eastAsia="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8</w:t>
            </w:r>
          </w:p>
        </w:tc>
        <w:tc>
          <w:tcPr>
            <w:tcW w:w="555" w:type="dxa"/>
            <w:noWrap w:val="0"/>
            <w:vAlign w:val="top"/>
          </w:tcPr>
          <w:p w14:paraId="412418ED">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eastAsia="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2</w:t>
            </w:r>
          </w:p>
        </w:tc>
        <w:tc>
          <w:tcPr>
            <w:tcW w:w="585" w:type="dxa"/>
            <w:noWrap w:val="0"/>
            <w:vAlign w:val="top"/>
          </w:tcPr>
          <w:p w14:paraId="773CCBDE">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eastAsia="仿宋_GB2312" w:cs="仿宋_GB2312"/>
                <w:kern w:val="0"/>
                <w:sz w:val="32"/>
                <w:szCs w:val="32"/>
                <w:u w:val="none" w:color="auto"/>
                <w:shd w:val="clear" w:color="auto" w:fill="FFFFFF"/>
                <w:lang w:val="en-US" w:eastAsia="zh-CN"/>
              </w:rPr>
            </w:pPr>
            <w:r>
              <w:rPr>
                <w:rFonts w:hint="eastAsia" w:ascii="仿宋_GB2312" w:hAnsi="仿宋_GB2312" w:eastAsia="仿宋_GB2312" w:cs="仿宋_GB2312"/>
                <w:kern w:val="0"/>
                <w:sz w:val="32"/>
                <w:szCs w:val="32"/>
                <w:u w:val="none" w:color="auto"/>
                <w:shd w:val="clear" w:color="auto" w:fill="FFFFFF"/>
                <w:lang w:val="en-US" w:eastAsia="zh-CN"/>
              </w:rPr>
              <w:t>1</w:t>
            </w:r>
          </w:p>
        </w:tc>
        <w:tc>
          <w:tcPr>
            <w:tcW w:w="555" w:type="dxa"/>
            <w:noWrap w:val="0"/>
            <w:vAlign w:val="top"/>
          </w:tcPr>
          <w:p w14:paraId="6FC6D982">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eastAsia="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1</w:t>
            </w:r>
          </w:p>
        </w:tc>
        <w:tc>
          <w:tcPr>
            <w:tcW w:w="600" w:type="dxa"/>
            <w:noWrap w:val="0"/>
            <w:vAlign w:val="top"/>
          </w:tcPr>
          <w:p w14:paraId="448490E0">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eastAsia="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1</w:t>
            </w:r>
          </w:p>
        </w:tc>
        <w:tc>
          <w:tcPr>
            <w:tcW w:w="570" w:type="dxa"/>
            <w:noWrap w:val="0"/>
            <w:vAlign w:val="top"/>
          </w:tcPr>
          <w:p w14:paraId="7E541224">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eastAsia" w:ascii="仿宋_GB2312" w:hAnsi="仿宋_GB2312" w:eastAsia="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1</w:t>
            </w:r>
          </w:p>
        </w:tc>
        <w:tc>
          <w:tcPr>
            <w:tcW w:w="600" w:type="dxa"/>
            <w:noWrap w:val="0"/>
            <w:vAlign w:val="top"/>
          </w:tcPr>
          <w:p w14:paraId="31A9D668">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eastAsia="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1</w:t>
            </w:r>
          </w:p>
        </w:tc>
        <w:tc>
          <w:tcPr>
            <w:tcW w:w="570" w:type="dxa"/>
            <w:noWrap w:val="0"/>
            <w:vAlign w:val="top"/>
          </w:tcPr>
          <w:p w14:paraId="5927B890">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eastAsia="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3</w:t>
            </w:r>
          </w:p>
        </w:tc>
        <w:tc>
          <w:tcPr>
            <w:tcW w:w="570" w:type="dxa"/>
            <w:noWrap w:val="0"/>
            <w:vAlign w:val="top"/>
          </w:tcPr>
          <w:p w14:paraId="30181724">
            <w:pPr>
              <w:keepNext w:val="0"/>
              <w:keepLines w:val="0"/>
              <w:pageBreakBefore w:val="0"/>
              <w:widowControl w:val="0"/>
              <w:kinsoku/>
              <w:wordWrap/>
              <w:overflowPunct/>
              <w:topLinePunct w:val="0"/>
              <w:autoSpaceDE/>
              <w:autoSpaceDN/>
              <w:bidi w:val="0"/>
              <w:adjustRightInd/>
              <w:snapToGrid/>
              <w:spacing w:line="590" w:lineRule="exact"/>
              <w:ind w:left="0" w:leftChars="0" w:firstLine="0" w:firstLineChars="0"/>
              <w:jc w:val="both"/>
              <w:textAlignment w:val="auto"/>
              <w:rPr>
                <w:rFonts w:hint="default" w:ascii="仿宋_GB2312" w:hAnsi="仿宋_GB2312" w:cs="仿宋_GB2312"/>
                <w:kern w:val="0"/>
                <w:sz w:val="32"/>
                <w:szCs w:val="32"/>
                <w:u w:val="none" w:color="auto"/>
                <w:shd w:val="clear" w:color="auto" w:fill="FFFFFF"/>
                <w:lang w:val="en-US" w:eastAsia="zh-CN"/>
              </w:rPr>
            </w:pPr>
            <w:r>
              <w:rPr>
                <w:rFonts w:hint="eastAsia" w:ascii="仿宋_GB2312" w:hAnsi="仿宋_GB2312" w:cs="仿宋_GB2312"/>
                <w:kern w:val="0"/>
                <w:sz w:val="32"/>
                <w:szCs w:val="32"/>
                <w:u w:val="none" w:color="auto"/>
                <w:shd w:val="clear" w:color="auto" w:fill="FFFFFF"/>
                <w:lang w:val="en-US" w:eastAsia="zh-CN"/>
              </w:rPr>
              <w:t>1</w:t>
            </w:r>
          </w:p>
        </w:tc>
      </w:tr>
    </w:tbl>
    <w:p w14:paraId="4D27831B">
      <w:pPr>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eastAsia="仿宋_GB2312"/>
          <w:u w:val="none" w:color="auto"/>
          <w:lang w:eastAsia="zh-CN"/>
        </w:rPr>
      </w:pPr>
      <w:r>
        <w:rPr>
          <w:rFonts w:hint="eastAsia" w:ascii="仿宋_GB2312" w:hAnsi="仿宋_GB2312" w:eastAsia="仿宋_GB2312" w:cs="仿宋_GB2312"/>
          <w:color w:val="auto"/>
          <w:sz w:val="32"/>
          <w:szCs w:val="32"/>
          <w:u w:val="none" w:color="auto"/>
          <w:lang w:val="en-US" w:eastAsia="zh-CN"/>
        </w:rPr>
        <w:t>X</w:t>
      </w:r>
      <w:r>
        <w:rPr>
          <w:rFonts w:hint="eastAsia" w:ascii="仿宋_GB2312" w:hAnsi="仿宋_GB2312" w:eastAsia="仿宋_GB2312" w:cs="仿宋_GB2312"/>
          <w:color w:val="auto"/>
          <w:sz w:val="32"/>
          <w:szCs w:val="32"/>
          <w:u w:val="none" w:color="auto"/>
        </w:rPr>
        <w:t>=</w:t>
      </w:r>
      <w:r>
        <w:rPr>
          <w:rFonts w:hint="eastAsia" w:ascii="仿宋_GB2312" w:hAnsi="仿宋_GB2312" w:eastAsia="仿宋_GB2312" w:cs="仿宋_GB2312"/>
          <w:color w:val="auto"/>
          <w:sz w:val="32"/>
          <w:szCs w:val="32"/>
          <w:u w:val="none" w:color="auto"/>
          <w:lang w:val="en-US" w:eastAsia="zh-CN"/>
        </w:rPr>
        <w:t>2</w:t>
      </w:r>
      <w:r>
        <w:rPr>
          <w:rFonts w:hint="eastAsia" w:ascii="仿宋_GB2312" w:hAnsi="仿宋_GB2312" w:eastAsia="仿宋_GB2312" w:cs="仿宋_GB2312"/>
          <w:color w:val="auto"/>
          <w:sz w:val="32"/>
          <w:szCs w:val="32"/>
          <w:u w:val="none" w:color="auto"/>
        </w:rPr>
        <w:t>+（</w:t>
      </w:r>
      <w:r>
        <w:rPr>
          <w:rFonts w:hint="eastAsia" w:ascii="仿宋_GB2312" w:hAnsi="仿宋_GB2312" w:eastAsia="仿宋_GB2312" w:cs="仿宋_GB2312"/>
          <w:color w:val="auto"/>
          <w:sz w:val="32"/>
          <w:szCs w:val="32"/>
          <w:u w:val="none" w:color="auto"/>
          <w:lang w:val="en-US" w:eastAsia="zh-CN"/>
        </w:rPr>
        <w:t>20</w:t>
      </w:r>
      <w:r>
        <w:rPr>
          <w:rFonts w:hint="eastAsia" w:ascii="仿宋_GB2312" w:hAnsi="仿宋_GB2312" w:eastAsia="仿宋_GB2312" w:cs="仿宋_GB2312"/>
          <w:color w:val="auto"/>
          <w:sz w:val="32"/>
          <w:szCs w:val="32"/>
          <w:u w:val="none" w:color="auto"/>
        </w:rPr>
        <w:t>-</w:t>
      </w:r>
      <w:r>
        <w:rPr>
          <w:rFonts w:hint="eastAsia" w:ascii="仿宋_GB2312" w:hAnsi="仿宋_GB2312" w:eastAsia="仿宋_GB2312" w:cs="仿宋_GB2312"/>
          <w:color w:val="auto"/>
          <w:sz w:val="32"/>
          <w:szCs w:val="32"/>
          <w:u w:val="none" w:color="auto"/>
          <w:lang w:val="en-US" w:eastAsia="zh-CN"/>
        </w:rPr>
        <w:t>2</w:t>
      </w:r>
      <w:r>
        <w:rPr>
          <w:rFonts w:hint="eastAsia" w:ascii="仿宋_GB2312" w:hAnsi="仿宋_GB2312" w:eastAsia="仿宋_GB2312" w:cs="仿宋_GB2312"/>
          <w:color w:val="auto"/>
          <w:sz w:val="32"/>
          <w:szCs w:val="32"/>
          <w:u w:val="none" w:color="auto"/>
        </w:rPr>
        <w:t>）×[（</w:t>
      </w:r>
      <w:r>
        <w:rPr>
          <w:rFonts w:hint="eastAsia" w:ascii="仿宋_GB2312" w:hAnsi="仿宋_GB2312" w:eastAsia="仿宋_GB2312" w:cs="仿宋_GB2312"/>
          <w:color w:val="auto"/>
          <w:sz w:val="32"/>
          <w:szCs w:val="32"/>
          <w:u w:val="none" w:color="auto"/>
          <w:lang w:val="en-US" w:eastAsia="zh-CN"/>
        </w:rPr>
        <w:t>1</w:t>
      </w:r>
      <w:r>
        <w:rPr>
          <w:rFonts w:hint="eastAsia" w:ascii="仿宋_GB2312" w:hAnsi="仿宋_GB2312" w:eastAsia="仿宋_GB2312" w:cs="仿宋_GB2312"/>
          <w:color w:val="auto"/>
          <w:sz w:val="32"/>
          <w:szCs w:val="32"/>
          <w:u w:val="none" w:color="auto"/>
        </w:rPr>
        <w:t>/5）²+（</w:t>
      </w:r>
      <w:r>
        <w:rPr>
          <w:rFonts w:hint="eastAsia" w:ascii="仿宋_GB2312" w:hAnsi="仿宋_GB2312" w:eastAsia="仿宋_GB2312" w:cs="仿宋_GB2312"/>
          <w:color w:val="auto"/>
          <w:sz w:val="32"/>
          <w:szCs w:val="32"/>
          <w:u w:val="none" w:color="auto"/>
          <w:lang w:val="en-US" w:eastAsia="zh-CN"/>
        </w:rPr>
        <w:t>2</w:t>
      </w:r>
      <w:r>
        <w:rPr>
          <w:rFonts w:hint="eastAsia" w:ascii="仿宋_GB2312" w:hAnsi="仿宋_GB2312" w:eastAsia="仿宋_GB2312" w:cs="仿宋_GB2312"/>
          <w:color w:val="auto"/>
          <w:sz w:val="32"/>
          <w:szCs w:val="32"/>
          <w:u w:val="none" w:color="auto"/>
        </w:rPr>
        <w:t>²+</w:t>
      </w:r>
      <w:r>
        <w:rPr>
          <w:rFonts w:hint="eastAsia" w:ascii="仿宋_GB2312" w:hAnsi="仿宋_GB2312" w:eastAsia="仿宋_GB2312" w:cs="仿宋_GB2312"/>
          <w:color w:val="auto"/>
          <w:sz w:val="32"/>
          <w:szCs w:val="32"/>
          <w:u w:val="none" w:color="auto"/>
          <w:lang w:val="en-US" w:eastAsia="zh-CN"/>
        </w:rPr>
        <w:t>1</w:t>
      </w:r>
      <w:r>
        <w:rPr>
          <w:rFonts w:hint="eastAsia" w:ascii="仿宋_GB2312" w:hAnsi="仿宋_GB2312" w:eastAsia="仿宋_GB2312" w:cs="仿宋_GB2312"/>
          <w:color w:val="auto"/>
          <w:sz w:val="32"/>
          <w:szCs w:val="32"/>
          <w:u w:val="none" w:color="auto"/>
        </w:rPr>
        <w:t>²+</w:t>
      </w:r>
      <w:r>
        <w:rPr>
          <w:rFonts w:hint="eastAsia" w:ascii="仿宋_GB2312" w:hAnsi="仿宋_GB2312" w:eastAsia="仿宋_GB2312" w:cs="仿宋_GB2312"/>
          <w:color w:val="auto"/>
          <w:sz w:val="32"/>
          <w:szCs w:val="32"/>
          <w:u w:val="none" w:color="auto"/>
          <w:lang w:val="en-US" w:eastAsia="zh-CN"/>
        </w:rPr>
        <w:t>1</w:t>
      </w:r>
      <w:r>
        <w:rPr>
          <w:rFonts w:hint="eastAsia" w:ascii="仿宋_GB2312" w:hAnsi="仿宋_GB2312" w:eastAsia="仿宋_GB2312" w:cs="仿宋_GB2312"/>
          <w:color w:val="auto"/>
          <w:sz w:val="32"/>
          <w:szCs w:val="32"/>
          <w:u w:val="none" w:color="auto"/>
        </w:rPr>
        <w:t>²+</w:t>
      </w:r>
      <w:r>
        <w:rPr>
          <w:rFonts w:hint="eastAsia" w:ascii="仿宋_GB2312" w:hAnsi="仿宋_GB2312" w:cs="仿宋_GB2312"/>
          <w:color w:val="auto"/>
          <w:sz w:val="32"/>
          <w:szCs w:val="32"/>
          <w:u w:val="none" w:color="auto"/>
          <w:lang w:val="en-US" w:eastAsia="zh-CN"/>
        </w:rPr>
        <w:t>1</w:t>
      </w:r>
      <w:r>
        <w:rPr>
          <w:rFonts w:hint="eastAsia" w:ascii="仿宋_GB2312" w:hAnsi="仿宋_GB2312" w:eastAsia="仿宋_GB2312" w:cs="仿宋_GB2312"/>
          <w:color w:val="auto"/>
          <w:sz w:val="32"/>
          <w:szCs w:val="32"/>
          <w:u w:val="none" w:color="auto"/>
        </w:rPr>
        <w:t>²+</w:t>
      </w:r>
      <w:r>
        <w:rPr>
          <w:rFonts w:hint="eastAsia" w:ascii="仿宋_GB2312" w:hAnsi="仿宋_GB2312" w:eastAsia="仿宋_GB2312" w:cs="仿宋_GB2312"/>
          <w:color w:val="auto"/>
          <w:sz w:val="32"/>
          <w:szCs w:val="32"/>
          <w:u w:val="none" w:color="auto"/>
          <w:lang w:val="en-US" w:eastAsia="zh-CN"/>
        </w:rPr>
        <w:t>1</w:t>
      </w:r>
      <w:r>
        <w:rPr>
          <w:rFonts w:hint="eastAsia" w:ascii="仿宋_GB2312" w:hAnsi="仿宋_GB2312" w:eastAsia="仿宋_GB2312" w:cs="仿宋_GB2312"/>
          <w:color w:val="auto"/>
          <w:sz w:val="32"/>
          <w:szCs w:val="32"/>
          <w:u w:val="none" w:color="auto"/>
        </w:rPr>
        <w:t>²</w:t>
      </w:r>
      <w:r>
        <w:rPr>
          <w:rFonts w:hint="eastAsia" w:ascii="仿宋_GB2312" w:hAnsi="仿宋_GB2312" w:eastAsia="仿宋_GB2312" w:cs="仿宋_GB2312"/>
          <w:color w:val="auto"/>
          <w:sz w:val="32"/>
          <w:szCs w:val="32"/>
          <w:u w:val="none" w:color="auto"/>
          <w:lang w:val="en-US" w:eastAsia="zh-CN"/>
        </w:rPr>
        <w:t>+1</w:t>
      </w:r>
      <w:r>
        <w:rPr>
          <w:rFonts w:hint="eastAsia" w:ascii="仿宋_GB2312" w:hAnsi="仿宋_GB2312" w:eastAsia="仿宋_GB2312" w:cs="仿宋_GB2312"/>
          <w:color w:val="auto"/>
          <w:sz w:val="32"/>
          <w:szCs w:val="32"/>
          <w:u w:val="none" w:color="auto"/>
        </w:rPr>
        <w:t>²+</w:t>
      </w:r>
      <w:r>
        <w:rPr>
          <w:rFonts w:hint="eastAsia" w:ascii="仿宋_GB2312" w:hAnsi="仿宋_GB2312" w:cs="仿宋_GB2312"/>
          <w:color w:val="auto"/>
          <w:sz w:val="32"/>
          <w:szCs w:val="32"/>
          <w:u w:val="none" w:color="auto"/>
          <w:lang w:val="en-US" w:eastAsia="zh-CN"/>
        </w:rPr>
        <w:t>3</w:t>
      </w:r>
      <w:r>
        <w:rPr>
          <w:rFonts w:hint="eastAsia" w:ascii="仿宋_GB2312" w:hAnsi="仿宋_GB2312" w:eastAsia="仿宋_GB2312" w:cs="仿宋_GB2312"/>
          <w:color w:val="auto"/>
          <w:sz w:val="32"/>
          <w:szCs w:val="32"/>
          <w:u w:val="none" w:color="auto"/>
        </w:rPr>
        <w:t>²+</w:t>
      </w:r>
      <w:r>
        <w:rPr>
          <w:rFonts w:hint="eastAsia" w:ascii="仿宋_GB2312" w:hAnsi="仿宋_GB2312" w:cs="仿宋_GB2312"/>
          <w:color w:val="auto"/>
          <w:sz w:val="32"/>
          <w:szCs w:val="32"/>
          <w:u w:val="none" w:color="auto"/>
          <w:lang w:val="en-US" w:eastAsia="zh-CN"/>
        </w:rPr>
        <w:t>1</w:t>
      </w:r>
      <w:r>
        <w:rPr>
          <w:rFonts w:hint="eastAsia" w:ascii="仿宋_GB2312" w:hAnsi="仿宋_GB2312" w:eastAsia="仿宋_GB2312" w:cs="仿宋_GB2312"/>
          <w:color w:val="auto"/>
          <w:sz w:val="32"/>
          <w:szCs w:val="32"/>
          <w:u w:val="none" w:color="auto"/>
        </w:rPr>
        <w:t>²）/（5²×</w:t>
      </w:r>
      <w:r>
        <w:rPr>
          <w:rFonts w:hint="eastAsia" w:ascii="仿宋_GB2312" w:hAnsi="仿宋_GB2312" w:eastAsia="仿宋_GB2312" w:cs="仿宋_GB2312"/>
          <w:color w:val="auto"/>
          <w:sz w:val="32"/>
          <w:szCs w:val="32"/>
          <w:u w:val="none" w:color="auto"/>
          <w:lang w:val="en-US" w:eastAsia="zh-CN"/>
        </w:rPr>
        <w:t>8</w:t>
      </w:r>
      <w:r>
        <w:rPr>
          <w:rFonts w:hint="eastAsia" w:ascii="仿宋_GB2312" w:hAnsi="仿宋_GB2312" w:eastAsia="仿宋_GB2312" w:cs="仿宋_GB2312"/>
          <w:color w:val="auto"/>
          <w:sz w:val="32"/>
          <w:szCs w:val="32"/>
          <w:u w:val="none" w:color="auto"/>
        </w:rPr>
        <w:t>）]×50%</w:t>
      </w:r>
      <w:r>
        <w:rPr>
          <w:rFonts w:hint="eastAsia" w:ascii="仿宋_GB2312" w:hAnsi="仿宋_GB2312" w:eastAsia="仿宋_GB2312" w:cs="仿宋_GB2312"/>
          <w:color w:val="auto"/>
          <w:sz w:val="32"/>
          <w:szCs w:val="32"/>
          <w:u w:val="none" w:color="auto"/>
          <w:lang w:val="en-US" w:eastAsia="zh-CN"/>
        </w:rPr>
        <w:t xml:space="preserve"> </w:t>
      </w:r>
      <w:r>
        <w:rPr>
          <w:rFonts w:hint="eastAsia" w:ascii="仿宋_GB2312" w:hAnsi="仿宋_GB2312" w:eastAsia="仿宋_GB2312" w:cs="仿宋_GB2312"/>
          <w:color w:val="auto"/>
          <w:sz w:val="32"/>
          <w:szCs w:val="32"/>
          <w:u w:val="none" w:color="auto"/>
        </w:rPr>
        <w:t>=</w:t>
      </w:r>
      <w:r>
        <w:rPr>
          <w:rFonts w:hint="eastAsia" w:ascii="仿宋_GB2312" w:hAnsi="仿宋_GB2312" w:eastAsia="仿宋_GB2312" w:cs="仿宋_GB2312"/>
          <w:color w:val="auto"/>
          <w:sz w:val="32"/>
          <w:szCs w:val="32"/>
          <w:u w:val="none" w:color="auto"/>
          <w:lang w:val="en-US" w:eastAsia="zh-CN"/>
        </w:rPr>
        <w:t>3.215</w:t>
      </w:r>
      <w:r>
        <w:rPr>
          <w:rFonts w:hint="eastAsia" w:ascii="仿宋_GB2312" w:hAnsi="仿宋_GB2312" w:eastAsia="仿宋_GB2312" w:cs="仿宋_GB2312"/>
          <w:color w:val="auto"/>
          <w:sz w:val="32"/>
          <w:szCs w:val="32"/>
          <w:u w:val="none" w:color="auto"/>
        </w:rPr>
        <w:t>万元</w:t>
      </w:r>
      <w:r>
        <w:rPr>
          <w:rFonts w:hint="eastAsia" w:ascii="仿宋_GB2312" w:hAnsi="仿宋_GB2312" w:eastAsia="仿宋_GB2312" w:cs="仿宋_GB2312"/>
          <w:color w:val="auto"/>
          <w:sz w:val="32"/>
          <w:szCs w:val="32"/>
          <w:u w:val="none" w:color="auto"/>
          <w:lang w:eastAsia="zh-CN"/>
        </w:rPr>
        <w:t>。</w:t>
      </w:r>
    </w:p>
    <w:p w14:paraId="5808976C">
      <w:pPr>
        <w:keepNext w:val="0"/>
        <w:keepLines w:val="0"/>
        <w:pageBreakBefore w:val="0"/>
        <w:widowControl w:val="0"/>
        <w:kinsoku/>
        <w:wordWrap/>
        <w:overflowPunct/>
        <w:topLinePunct w:val="0"/>
        <w:autoSpaceDE/>
        <w:autoSpaceDN/>
        <w:bidi w:val="0"/>
        <w:adjustRightInd/>
        <w:snapToGrid/>
        <w:spacing w:before="0" w:beforeLines="0" w:beforeAutospacing="0" w:after="0" w:line="560" w:lineRule="exact"/>
        <w:ind w:left="0" w:firstLine="640" w:firstLineChars="200"/>
        <w:jc w:val="both"/>
        <w:textAlignment w:val="auto"/>
        <w:outlineLvl w:val="9"/>
        <w:rPr>
          <w:rFonts w:hint="default"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仿宋_GB2312" w:hAnsi="宋体" w:eastAsia="仿宋_GB2312" w:cs="Times New Roman"/>
          <w:color w:val="000000" w:themeColor="text1"/>
          <w:sz w:val="32"/>
          <w:szCs w:val="32"/>
          <w:lang w:val="en-US" w:eastAsia="zh-CN"/>
          <w14:textFill>
            <w14:solidFill>
              <w14:schemeClr w14:val="tx1"/>
            </w14:solidFill>
          </w14:textFill>
        </w:rPr>
        <w:t>经裁量计算，我局决定对你</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单位</w:t>
      </w:r>
      <w:r>
        <w:rPr>
          <w:rFonts w:hint="eastAsia" w:ascii="仿宋_GB2312" w:hAnsi="宋体" w:eastAsia="仿宋_GB2312" w:cs="Times New Roman"/>
          <w:color w:val="000000" w:themeColor="text1"/>
          <w:sz w:val="32"/>
          <w:szCs w:val="32"/>
          <w:lang w:val="en-US" w:eastAsia="zh-CN"/>
          <w14:textFill>
            <w14:solidFill>
              <w14:schemeClr w14:val="tx1"/>
            </w14:solidFill>
          </w14:textFill>
        </w:rPr>
        <w:t>作出以下处理决定：</w:t>
      </w:r>
      <w:r>
        <w:rPr>
          <w:rFonts w:hint="eastAsia" w:ascii="仿宋_GB2312" w:hAnsi="仿宋_GB2312" w:eastAsia="仿宋_GB2312" w:cs="仿宋_GB2312"/>
          <w:color w:val="auto"/>
          <w:sz w:val="32"/>
          <w:szCs w:val="32"/>
          <w:u w:val="none" w:color="auto"/>
          <w:lang w:val="en-US" w:eastAsia="zh-CN"/>
        </w:rPr>
        <w:t>处叁</w:t>
      </w:r>
      <w:r>
        <w:rPr>
          <w:rFonts w:hint="eastAsia" w:ascii="仿宋_GB2312" w:hAnsi="仿宋_GB2312" w:eastAsia="仿宋_GB2312" w:cs="仿宋_GB2312"/>
          <w:color w:val="000000"/>
          <w:sz w:val="32"/>
          <w:szCs w:val="32"/>
          <w:u w:val="none" w:color="auto"/>
          <w:lang w:val="en-US" w:eastAsia="zh-CN"/>
        </w:rPr>
        <w:t>万</w:t>
      </w:r>
      <w:r>
        <w:rPr>
          <w:rFonts w:hint="eastAsia" w:ascii="仿宋_GB2312" w:hAnsi="仿宋_GB2312" w:eastAsia="仿宋_GB2312" w:cs="仿宋_GB2312"/>
          <w:color w:val="auto"/>
          <w:sz w:val="32"/>
          <w:szCs w:val="32"/>
          <w:u w:val="none" w:color="auto"/>
          <w:lang w:val="en-US" w:eastAsia="zh-CN"/>
        </w:rPr>
        <w:t>贰</w:t>
      </w:r>
      <w:r>
        <w:rPr>
          <w:rFonts w:hint="eastAsia" w:ascii="仿宋_GB2312" w:hAnsi="仿宋_GB2312" w:eastAsia="仿宋_GB2312" w:cs="仿宋_GB2312"/>
          <w:color w:val="000000"/>
          <w:sz w:val="32"/>
          <w:szCs w:val="32"/>
          <w:u w:val="none" w:color="auto"/>
          <w:lang w:val="en-US" w:eastAsia="zh-CN"/>
        </w:rPr>
        <w:t>仟</w:t>
      </w:r>
      <w:r>
        <w:rPr>
          <w:rFonts w:hint="eastAsia" w:ascii="仿宋_GB2312" w:hAnsi="仿宋_GB2312" w:eastAsia="仿宋_GB2312" w:cs="仿宋_GB2312"/>
          <w:color w:val="auto"/>
          <w:sz w:val="32"/>
          <w:szCs w:val="32"/>
          <w:u w:val="none" w:color="auto"/>
          <w:lang w:val="en-US" w:eastAsia="zh-CN"/>
        </w:rPr>
        <w:t>壹</w:t>
      </w:r>
      <w:r>
        <w:rPr>
          <w:rFonts w:hint="eastAsia" w:ascii="仿宋_GB2312" w:hAnsi="仿宋_GB2312" w:eastAsia="仿宋_GB2312" w:cs="仿宋_GB2312"/>
          <w:color w:val="000000"/>
          <w:sz w:val="32"/>
          <w:szCs w:val="32"/>
          <w:u w:val="none" w:color="auto"/>
          <w:lang w:val="en-US" w:eastAsia="zh-CN"/>
        </w:rPr>
        <w:t>佰伍拾元</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罚款</w:t>
      </w:r>
      <w:r>
        <w:rPr>
          <w:rFonts w:hint="eastAsia" w:ascii="仿宋_GB2312" w:hAnsi="仿宋_GB2312" w:eastAsia="仿宋_GB2312" w:cs="仿宋_GB2312"/>
          <w:color w:val="000000" w:themeColor="text1"/>
          <w:sz w:val="32"/>
          <w:szCs w:val="32"/>
          <w:u w:val="single" w:color="FFFFFF" w:themeColor="background1"/>
          <w:lang w:val="en-US" w:eastAsia="zh-CN"/>
          <w14:textFill>
            <w14:solidFill>
              <w14:schemeClr w14:val="tx1"/>
            </w14:solidFill>
          </w14:textFill>
        </w:rPr>
        <w:t>（</w:t>
      </w:r>
      <w:r>
        <w:rPr>
          <w:rFonts w:hint="eastAsia" w:ascii="仿宋_GB2312" w:hAnsi="仿宋_GB2312" w:eastAsia="仿宋_GB2312" w:cs="仿宋_GB2312"/>
          <w:color w:val="auto"/>
          <w:sz w:val="32"/>
          <w:szCs w:val="32"/>
          <w:u w:val="none" w:color="auto"/>
          <w:lang w:val="en-US" w:eastAsia="zh-CN"/>
        </w:rPr>
        <w:t>3.215</w:t>
      </w:r>
      <w:r>
        <w:rPr>
          <w:rFonts w:hint="eastAsia" w:ascii="仿宋_GB2312" w:hAnsi="仿宋_GB2312" w:eastAsia="仿宋_GB2312" w:cs="仿宋_GB2312"/>
          <w:color w:val="000000" w:themeColor="text1"/>
          <w:sz w:val="32"/>
          <w:szCs w:val="32"/>
          <w:u w:val="single" w:color="FFFFFF" w:themeColor="background1"/>
          <w:lang w:val="en-US" w:eastAsia="zh-CN"/>
          <w14:textFill>
            <w14:solidFill>
              <w14:schemeClr w14:val="tx1"/>
            </w14:solidFill>
          </w14:textFill>
        </w:rPr>
        <w:t>万元）</w:t>
      </w:r>
      <w:r>
        <w:rPr>
          <w:rFonts w:hint="eastAsia" w:ascii="仿宋_GB2312" w:hAnsi="仿宋_GB2312" w:cs="仿宋_GB2312"/>
          <w:color w:val="000000" w:themeColor="text1"/>
          <w:sz w:val="32"/>
          <w:szCs w:val="32"/>
          <w:u w:val="single" w:color="FFFFFF" w:themeColor="background1"/>
          <w:lang w:val="en-US" w:eastAsia="zh-CN"/>
          <w14:textFill>
            <w14:solidFill>
              <w14:schemeClr w14:val="tx1"/>
            </w14:solidFill>
          </w14:textFill>
        </w:rPr>
        <w:t>。</w:t>
      </w:r>
    </w:p>
    <w:p w14:paraId="1877DC63">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Chars="200" w:right="0" w:rightChars="0"/>
        <w:rPr>
          <w:rFonts w:hint="eastAsia" w:ascii="黑体" w:hAnsi="黑体" w:eastAsia="黑体" w:cs="黑体"/>
          <w:b w:val="0"/>
          <w:bCs w:val="0"/>
          <w:color w:val="000000" w:themeColor="text1"/>
          <w:sz w:val="32"/>
          <w:szCs w:val="32"/>
          <w:lang w:eastAsia="zh-CN"/>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三、行政处罚决定的履行方式和期限</w:t>
      </w:r>
    </w:p>
    <w:p w14:paraId="61A2F543">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right="0" w:rightChars="0" w:firstLine="640" w:firstLineChars="200"/>
        <w:rPr>
          <w:rFonts w:hint="eastAsia" w:ascii="微软雅黑" w:hAnsi="微软雅黑" w:eastAsia="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根据《中华人民共和国行政处罚法》和《罚款决定与罚款收缴分离实施办法》的规定，你单位应当自收到本决定书之日起 15 日内将罚款缴至指定银行和账号</w:t>
      </w:r>
      <w:r>
        <w:rPr>
          <w:rFonts w:hint="eastAsia" w:ascii="仿宋_GB2312" w:hAnsi="Times New Roman" w:eastAsia="仿宋_GB2312"/>
          <w:color w:val="000000" w:themeColor="text1"/>
          <w:sz w:val="32"/>
          <w:szCs w:val="32"/>
          <w14:textFill>
            <w14:solidFill>
              <w14:schemeClr w14:val="tx1"/>
            </w14:solidFill>
          </w14:textFill>
        </w:rPr>
        <w:t>：</w:t>
      </w:r>
      <w:r>
        <w:rPr>
          <w:rFonts w:hint="eastAsia" w:ascii="微软雅黑" w:hAnsi="微软雅黑" w:eastAsia="仿宋_GB2312"/>
          <w:color w:val="000000" w:themeColor="text1"/>
          <w:sz w:val="32"/>
          <w:szCs w:val="32"/>
          <w:shd w:val="clear" w:color="auto" w:fill="FFFFFF"/>
          <w14:textFill>
            <w14:solidFill>
              <w14:schemeClr w14:val="tx1"/>
            </w14:solidFill>
          </w14:textFill>
        </w:rPr>
        <w:t> </w:t>
      </w:r>
    </w:p>
    <w:p w14:paraId="02AF69C6">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户  名：焦作市财政局非税收入财政专户。</w:t>
      </w:r>
    </w:p>
    <w:p w14:paraId="372D9B96">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开户行：邮政储蓄银行民主南路支行；</w:t>
      </w:r>
    </w:p>
    <w:p w14:paraId="41FF8F2B">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银行账号：100195545980010001</w:t>
      </w:r>
    </w:p>
    <w:p w14:paraId="15E6465B">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rPr>
          <w:rFonts w:hint="eastAsia"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缴款时，当事人需在缴款备注栏注明“生态环境行政处罚款”及具体的处罚决定书编号等信息，以便准确核对缴款记录。</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缴纳罚款后，应将缴款凭据报送我局备案。</w:t>
      </w:r>
    </w:p>
    <w:p w14:paraId="7DEDFBEA">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黑体" w:hAnsi="黑体" w:eastAsia="黑体" w:cs="黑体"/>
          <w:b w:val="0"/>
          <w:bCs w:val="0"/>
          <w:color w:val="000000" w:themeColor="text1"/>
          <w:sz w:val="32"/>
          <w:szCs w:val="32"/>
          <w:lang w:val="en-US" w:eastAsia="zh-CN"/>
          <w14:textFill>
            <w14:solidFill>
              <w14:schemeClr w14:val="tx1"/>
            </w14:solidFill>
          </w14:textFill>
        </w:rPr>
      </w:pPr>
      <w:r>
        <w:rPr>
          <w:rFonts w:hint="default" w:ascii="黑体" w:hAnsi="黑体" w:eastAsia="黑体" w:cs="黑体"/>
          <w:b w:val="0"/>
          <w:bCs w:val="0"/>
          <w:color w:val="000000" w:themeColor="text1"/>
          <w:sz w:val="32"/>
          <w:szCs w:val="32"/>
          <w:lang w:val="en-US" w:eastAsia="zh-CN"/>
          <w14:textFill>
            <w14:solidFill>
              <w14:schemeClr w14:val="tx1"/>
            </w14:solidFill>
          </w14:textFill>
        </w:rPr>
        <w:t>四、申请行政复议或提起行政诉讼的途径和期限</w:t>
      </w:r>
    </w:p>
    <w:p w14:paraId="17B87F88">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仿宋_GB2312" w:hAnsi="仿宋_GB2312" w:cs="仿宋_GB2312"/>
          <w:color w:val="000000" w:themeColor="text1"/>
          <w:sz w:val="32"/>
          <w:szCs w:val="32"/>
          <w:lang w:val="en-US" w:eastAsia="zh-CN"/>
          <w14:textFill>
            <w14:solidFill>
              <w14:schemeClr w14:val="tx1"/>
            </w14:solidFill>
          </w14:textFill>
        </w:rPr>
      </w:pPr>
      <w:r>
        <w:rPr>
          <w:rFonts w:hint="default" w:ascii="仿宋_GB2312" w:hAnsi="仿宋_GB2312" w:cs="仿宋_GB2312"/>
          <w:color w:val="000000" w:themeColor="text1"/>
          <w:sz w:val="32"/>
          <w:szCs w:val="32"/>
          <w:lang w:val="en-US" w:eastAsia="zh-CN"/>
          <w14:textFill>
            <w14:solidFill>
              <w14:schemeClr w14:val="tx1"/>
            </w14:solidFill>
          </w14:textFill>
        </w:rPr>
        <w:t>你</w:t>
      </w:r>
      <w:r>
        <w:rPr>
          <w:rFonts w:hint="eastAsia" w:ascii="仿宋_GB2312" w:hAnsi="仿宋_GB2312" w:cs="仿宋_GB2312"/>
          <w:color w:val="000000" w:themeColor="text1"/>
          <w:sz w:val="32"/>
          <w:szCs w:val="32"/>
          <w:lang w:val="en-US" w:eastAsia="zh-CN"/>
          <w14:textFill>
            <w14:solidFill>
              <w14:schemeClr w14:val="tx1"/>
            </w14:solidFill>
          </w14:textFill>
        </w:rPr>
        <w:t>单位</w:t>
      </w:r>
      <w:r>
        <w:rPr>
          <w:rFonts w:hint="default" w:ascii="仿宋_GB2312" w:hAnsi="仿宋_GB2312" w:cs="仿宋_GB2312"/>
          <w:color w:val="000000" w:themeColor="text1"/>
          <w:sz w:val="32"/>
          <w:szCs w:val="32"/>
          <w:lang w:val="en-US" w:eastAsia="zh-CN"/>
          <w14:textFill>
            <w14:solidFill>
              <w14:schemeClr w14:val="tx1"/>
            </w14:solidFill>
          </w14:textFill>
        </w:rPr>
        <w:t>如不服本决定，可以自收到本决定书之日起六十日内向焦作市人民政府申请行政复议；也可以在接到本决定书之日起6个月内向郑州铁路运输法院提起行政诉讼。申请行政复议或者提起行政诉讼，不停止行政处罚决定的执行。</w:t>
      </w:r>
    </w:p>
    <w:p w14:paraId="59764AB9">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仿宋_GB2312" w:hAnsi="仿宋_GB2312" w:cs="仿宋_GB2312"/>
          <w:color w:val="000000" w:themeColor="text1"/>
          <w:sz w:val="32"/>
          <w:szCs w:val="32"/>
          <w:lang w:val="en-US" w:eastAsia="zh-CN"/>
          <w14:textFill>
            <w14:solidFill>
              <w14:schemeClr w14:val="tx1"/>
            </w14:solidFill>
          </w14:textFill>
        </w:rPr>
      </w:pPr>
      <w:r>
        <w:rPr>
          <w:rFonts w:hint="default" w:ascii="仿宋_GB2312" w:hAnsi="仿宋_GB2312" w:cs="仿宋_GB2312"/>
          <w:color w:val="000000" w:themeColor="text1"/>
          <w:sz w:val="32"/>
          <w:szCs w:val="32"/>
          <w:lang w:val="en-US" w:eastAsia="zh-CN"/>
          <w14:textFill>
            <w14:solidFill>
              <w14:schemeClr w14:val="tx1"/>
            </w14:solidFill>
          </w14:textFill>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4CC51088">
      <w:pPr>
        <w:pStyle w:val="5"/>
        <w:keepNext w:val="0"/>
        <w:keepLines w:val="0"/>
        <w:pageBreakBefore w:val="0"/>
        <w:widowControl w:val="0"/>
        <w:numPr>
          <w:ilvl w:val="0"/>
          <w:numId w:val="0"/>
        </w:numPr>
        <w:kinsoku/>
        <w:wordWrap/>
        <w:overflowPunct/>
        <w:topLinePunct w:val="0"/>
        <w:autoSpaceDE/>
        <w:autoSpaceDN/>
        <w:bidi w:val="0"/>
        <w:spacing w:before="0" w:beforeLines="0" w:beforeAutospacing="0" w:line="560" w:lineRule="exact"/>
        <w:ind w:left="0" w:leftChars="0" w:right="0" w:rightChars="0" w:firstLine="640" w:firstLineChars="200"/>
        <w:rPr>
          <w:rFonts w:hint="default" w:ascii="仿宋_GB2312" w:hAnsi="仿宋_GB2312" w:cs="仿宋_GB2312"/>
          <w:color w:val="000000" w:themeColor="text1"/>
          <w:sz w:val="32"/>
          <w:szCs w:val="32"/>
          <w:lang w:val="en-US" w:eastAsia="zh-CN"/>
          <w14:textFill>
            <w14:solidFill>
              <w14:schemeClr w14:val="tx1"/>
            </w14:solidFill>
          </w14:textFill>
        </w:rPr>
      </w:pPr>
    </w:p>
    <w:p w14:paraId="14A24CA5">
      <w:pPr>
        <w:pStyle w:val="5"/>
        <w:keepNext w:val="0"/>
        <w:keepLines w:val="0"/>
        <w:pageBreakBefore w:val="0"/>
        <w:widowControl w:val="0"/>
        <w:numPr>
          <w:ilvl w:val="0"/>
          <w:numId w:val="0"/>
        </w:numPr>
        <w:kinsoku/>
        <w:wordWrap/>
        <w:overflowPunct/>
        <w:topLinePunct w:val="0"/>
        <w:autoSpaceDE/>
        <w:autoSpaceDN/>
        <w:bidi w:val="0"/>
        <w:spacing w:before="0" w:beforeLines="0" w:beforeAutospacing="0" w:line="560" w:lineRule="exact"/>
        <w:ind w:left="0" w:leftChars="0" w:right="0" w:rightChars="0" w:firstLine="640" w:firstLineChars="200"/>
        <w:rPr>
          <w:rFonts w:hint="default"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 xml:space="preserve">                                           </w:t>
      </w:r>
    </w:p>
    <w:p w14:paraId="7DD2BBA0">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4800" w:firstLineChars="1500"/>
        <w:rPr>
          <w:rFonts w:hint="eastAsia"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焦作市生态环境局</w:t>
      </w:r>
    </w:p>
    <w:p w14:paraId="77880686">
      <w:pPr>
        <w:pStyle w:val="5"/>
        <w:keepNext w:val="0"/>
        <w:keepLines w:val="0"/>
        <w:pageBreakBefore w:val="0"/>
        <w:widowControl w:val="0"/>
        <w:numPr>
          <w:ilvl w:val="0"/>
          <w:numId w:val="0"/>
        </w:numPr>
        <w:kinsoku/>
        <w:wordWrap/>
        <w:overflowPunct/>
        <w:topLinePunct w:val="0"/>
        <w:autoSpaceDE/>
        <w:autoSpaceDN/>
        <w:bidi w:val="0"/>
        <w:spacing w:before="0" w:beforeLines="0" w:beforeAutospacing="0" w:line="560" w:lineRule="exact"/>
        <w:ind w:left="0" w:leftChars="0" w:right="0" w:rightChars="0" w:firstLine="4800" w:firstLineChars="1500"/>
        <w:rPr>
          <w:color w:val="000000" w:themeColor="text1"/>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2025年11月26日</w:t>
      </w:r>
    </w:p>
    <w:sectPr>
      <w:headerReference r:id="rId5" w:type="default"/>
      <w:footerReference r:id="rId7" w:type="default"/>
      <w:headerReference r:id="rId6" w:type="even"/>
      <w:footerReference r:id="rId8" w:type="even"/>
      <w:footnotePr>
        <w:numFmt w:val="decimalHalfWidth"/>
      </w:footnotePr>
      <w:endnotePr>
        <w:numFmt w:val="chineseCounting"/>
      </w:endnotePr>
      <w:pgSz w:w="11905" w:h="16837"/>
      <w:pgMar w:top="2098" w:right="1474" w:bottom="1984" w:left="1587" w:header="566" w:footer="1474" w:gutter="0"/>
      <w:pgNumType w:start="1"/>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FangSong_GB2312">
    <w:altName w:val="仿宋_GB2312"/>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_GBK">
    <w:altName w:val="DejaVu Math TeX Gyre"/>
    <w:panose1 w:val="00000000000000000000"/>
    <w:charset w:val="00"/>
    <w:family w:val="auto"/>
    <w:pitch w:val="default"/>
    <w:sig w:usb0="00000000" w:usb1="00000000" w:usb2="00000000" w:usb3="00000000" w:csb0="00000001" w:csb1="00000000"/>
  </w:font>
  <w:font w:name="DejaVu Math TeX Gyre">
    <w:panose1 w:val="02000503000000000000"/>
    <w:charset w:val="00"/>
    <w:family w:val="auto"/>
    <w:pitch w:val="default"/>
    <w:sig w:usb0="A10000EF" w:usb1="4201F9EE" w:usb2="02000000" w:usb3="00000000" w:csb0="60000193" w:csb1="0DD40000"/>
  </w:font>
  <w:font w:name="KaiTi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4688CE">
    <w:pPr>
      <w:spacing w:line="1" w:lineRule="atLeast"/>
    </w:pPr>
    <w:r>
      <w:rPr>
        <w:sz w:val="32"/>
      </w:rPr>
      <mc:AlternateContent>
        <mc:Choice Requires="wps">
          <w:drawing>
            <wp:anchor distT="0" distB="0" distL="114300" distR="114300" simplePos="0" relativeHeight="251664384" behindDoc="0" locked="0" layoutInCell="1" allowOverlap="1">
              <wp:simplePos x="0" y="0"/>
              <wp:positionH relativeFrom="margin">
                <wp:posOffset>2594610</wp:posOffset>
              </wp:positionH>
              <wp:positionV relativeFrom="paragraph">
                <wp:posOffset>-10160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422A1C">
                          <w:pPr>
                            <w:pStyle w:val="4"/>
                            <w:rPr>
                              <w:rFonts w:hint="eastAsia" w:asciiTheme="minorEastAsia" w:hAnsiTheme="minorEastAsia" w:eastAsiaTheme="minorEastAsia" w:cstheme="minorEastAsia"/>
                              <w:sz w:val="28"/>
                              <w:szCs w:val="2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4.3pt;margin-top:-0.8pt;height:144pt;width:144pt;mso-position-horizontal-relative:margin;mso-wrap-style:none;z-index:251664384;mso-width-relative:page;mso-height-relative:page;" filled="f" stroked="f" coordsize="21600,21600" o:gfxdata="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7473d1wAAAAoBAAAPAAAAAAAAAAEAIAAAACIAAABkcnMvZG93bnJldi54bWxQ&#10;SwECFAAUAAAACACHTuJAa4X5+zECAABhBAAADgAAAAAAAAABACAAAAAmAQAAZHJzL2Uyb0RvYy54&#10;bWxQSwUGAAAAAAYABgBZAQAAyQUAAAAA&#10;">
              <v:fill on="f" focussize="0,0"/>
              <v:stroke on="f" weight="0.5pt"/>
              <v:imagedata o:title=""/>
              <o:lock v:ext="edit" aspectratio="f"/>
              <v:textbox inset="0mm,0mm,0mm,0mm" style="mso-fit-shape-to-text:t;">
                <w:txbxContent>
                  <w:p w14:paraId="3B422A1C">
                    <w:pPr>
                      <w:pStyle w:val="4"/>
                      <w:rPr>
                        <w:rFonts w:hint="eastAsia" w:asciiTheme="minorEastAsia" w:hAnsiTheme="minorEastAsia" w:eastAsiaTheme="minorEastAsia" w:cstheme="minorEastAsia"/>
                        <w:sz w:val="28"/>
                        <w:szCs w:val="28"/>
                      </w:rPr>
                    </w:pPr>
                  </w:p>
                </w:txbxContent>
              </v:textbox>
            </v:shape>
          </w:pict>
        </mc:Fallback>
      </mc:AlternateContent>
    </w:r>
    <w:r>
      <mc:AlternateContent>
        <mc:Choice Requires="wps">
          <w:drawing>
            <wp:anchor distT="0" distB="0" distL="114300" distR="114300" simplePos="0" relativeHeight="251663360" behindDoc="0" locked="1" layoutInCell="1" allowOverlap="1">
              <wp:simplePos x="0" y="0"/>
              <wp:positionH relativeFrom="column">
                <wp:posOffset>0</wp:posOffset>
              </wp:positionH>
              <wp:positionV relativeFrom="paragraph">
                <wp:posOffset>0</wp:posOffset>
              </wp:positionV>
              <wp:extent cx="5471795" cy="2514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3A7CD072">
                          <w:pPr>
                            <w:widowControl w:val="0"/>
                            <w:spacing w:line="439" w:lineRule="atLeast"/>
                            <w:jc w:val="right"/>
                            <w:rPr>
                              <w:rFonts w:hint="eastAsia"/>
                              <w:sz w:val="28"/>
                            </w:rPr>
                          </w:pP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3360;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OUI+SnWAAAABAEAAA8AAAAAAAAAAQAgAAAAIgAAAGRycy9kb3ducmV2&#10;LnhtbFBLAQIUABQAAAAIAIdO4kAFhM7NxQEAAHsDAAAOAAAAAAAAAAEAIAAAACUBAABkcnMvZTJv&#10;RG9jLnhtbFBLBQYAAAAABgAGAFkBAABcBQAAAAA=&#10;">
              <v:fill on="f" focussize="0,0"/>
              <v:stroke on="f" weight="0.566929133858268pt"/>
              <v:imagedata o:title=""/>
              <o:lock v:ext="edit" aspectratio="f"/>
              <v:textbox inset="0mm,0mm,0mm,0mm">
                <w:txbxContent>
                  <w:p w14:paraId="3A7CD072">
                    <w:pPr>
                      <w:widowControl w:val="0"/>
                      <w:spacing w:line="439" w:lineRule="atLeast"/>
                      <w:jc w:val="right"/>
                      <w:rPr>
                        <w:rFonts w:hint="eastAsia"/>
                        <w:sz w:val="28"/>
                      </w:rPr>
                    </w:pPr>
                  </w:p>
                </w:txbxContent>
              </v:textbox>
              <w10:anchorlock/>
            </v:shape>
          </w:pict>
        </mc:Fallback>
      </mc:AlternateContent>
    </w:r>
    <w:r>
      <mc:AlternateContent>
        <mc:Choice Requires="wps">
          <w:drawing>
            <wp:inline distT="0" distB="0" distL="114300" distR="114300">
              <wp:extent cx="5471795" cy="251460"/>
              <wp:effectExtent l="0" t="0" r="0" b="0"/>
              <wp:docPr id="4"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XtoNB7MBAABiAwAADgAAAAAAAAABACAAAAAmAQAAZHJzL2Uyb0RvYy54bWxQSwUGAAAAAAYA&#10;BgBZAQAASwU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9D86DF">
    <w:pPr>
      <w:spacing w:line="1" w:lineRule="atLeast"/>
    </w:pPr>
    <w:r>
      <mc:AlternateContent>
        <mc:Choice Requires="wps">
          <w:drawing>
            <wp:anchor distT="0" distB="0" distL="114300" distR="114300" simplePos="0" relativeHeight="251662336" behindDoc="0" locked="1" layoutInCell="1" allowOverlap="1">
              <wp:simplePos x="0" y="0"/>
              <wp:positionH relativeFrom="column">
                <wp:posOffset>0</wp:posOffset>
              </wp:positionH>
              <wp:positionV relativeFrom="paragraph">
                <wp:posOffset>0</wp:posOffset>
              </wp:positionV>
              <wp:extent cx="5471795" cy="251460"/>
              <wp:effectExtent l="0" t="0" r="0" b="0"/>
              <wp:wrapNone/>
              <wp:docPr id="7" name="文本框 7"/>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3420C80C">
                          <w:pPr>
                            <w:widowControl w:val="0"/>
                            <w:spacing w:line="439" w:lineRule="atLeast"/>
                            <w:ind w:firstLine="0" w:firstLineChars="0"/>
                            <w:rPr>
                              <w:rFonts w:hint="eastAsia"/>
                              <w:sz w:val="28"/>
                            </w:rPr>
                          </w:pPr>
                          <w:r>
                            <w:rPr>
                              <w:rFonts w:hint="eastAsia"/>
                              <w:sz w:val="28"/>
                            </w:rPr>
                            <w:t>　</w:t>
                          </w: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2336;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lCPkp1gAAAAQBAAAPAAAAAAAAAAEAIAAAACIAAABkcnMvZG93bnJldi54&#10;bWxQSwECFAAUAAAACACHTuJArwpk5cMBAAB7AwAADgAAAAAAAAABACAAAAAlAQAAZHJzL2Uyb0Rv&#10;Yy54bWxQSwUGAAAAAAYABgBZAQAAWgUAAAAA&#10;">
              <v:fill on="f" focussize="0,0"/>
              <v:stroke on="f" weight="0.566929133858268pt"/>
              <v:imagedata o:title=""/>
              <o:lock v:ext="edit" aspectratio="f"/>
              <v:textbox inset="0mm,0mm,0mm,0mm">
                <w:txbxContent>
                  <w:p w14:paraId="3420C80C">
                    <w:pPr>
                      <w:widowControl w:val="0"/>
                      <w:spacing w:line="439" w:lineRule="atLeast"/>
                      <w:ind w:firstLine="0" w:firstLineChars="0"/>
                      <w:rPr>
                        <w:rFonts w:hint="eastAsia"/>
                        <w:sz w:val="28"/>
                      </w:rPr>
                    </w:pPr>
                    <w:r>
                      <w:rPr>
                        <w:rFonts w:hint="eastAsia"/>
                        <w:sz w:val="28"/>
                      </w:rPr>
                      <w:t>　</w:t>
                    </w:r>
                  </w:p>
                </w:txbxContent>
              </v:textbox>
              <w10:anchorlock/>
            </v:shape>
          </w:pict>
        </mc:Fallback>
      </mc:AlternateContent>
    </w:r>
    <w:r>
      <mc:AlternateContent>
        <mc:Choice Requires="wps">
          <w:drawing>
            <wp:inline distT="0" distB="0" distL="114300" distR="114300">
              <wp:extent cx="5471795" cy="251460"/>
              <wp:effectExtent l="0" t="0" r="0" b="0"/>
              <wp:docPr id="8" name="矩形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UPMBh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FEEA8E">
    <w:pPr>
      <w:spacing w:line="1" w:lineRule="atLeast"/>
    </w:pPr>
    <w:r>
      <mc:AlternateContent>
        <mc:Choice Requires="wps">
          <w:drawing>
            <wp:anchor distT="0" distB="0" distL="114300" distR="114300" simplePos="0" relativeHeight="251661312"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5851030D">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1312;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5851030D">
                    <w:pPr>
                      <w:widowControl w:val="0"/>
                      <w:spacing w:line="272" w:lineRule="atLeast"/>
                      <w:rPr>
                        <w:rFonts w:hint="eastAsia"/>
                      </w:rPr>
                    </w:pPr>
                  </w:p>
                </w:txbxContent>
              </v:textbox>
              <w10:anchorlock/>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A4E26">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0</wp:posOffset>
              </wp:positionH>
              <wp:positionV relativeFrom="paragraph">
                <wp:posOffset>0</wp:posOffset>
              </wp:positionV>
              <wp:extent cx="5471795" cy="1043940"/>
              <wp:effectExtent l="0" t="0" r="0" b="0"/>
              <wp:wrapNone/>
              <wp:docPr id="5" name="文本框 5"/>
              <wp:cNvGraphicFramePr/>
              <a:graphic xmlns:a="http://schemas.openxmlformats.org/drawingml/2006/main">
                <a:graphicData uri="http://schemas.microsoft.com/office/word/2010/wordprocessingShape">
                  <wps:wsp>
                    <wps:cNvSpPr txBox="1"/>
                    <wps:spPr>
                      <a:xfrm>
                        <a:off x="0" y="0"/>
                        <a:ext cx="5471795" cy="1043940"/>
                      </a:xfrm>
                      <a:prstGeom prst="rect">
                        <a:avLst/>
                      </a:prstGeom>
                      <a:noFill/>
                      <a:ln w="7200">
                        <a:noFill/>
                      </a:ln>
                    </wps:spPr>
                    <wps:txbx>
                      <w:txbxContent>
                        <w:p w14:paraId="1E0D103F">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0pt;margin-top:0pt;height:82.2pt;width:430.85pt;z-index:251660288;mso-width-relative:page;mso-height-relative:page;" filled="f" stroked="f" coordsize="21600,21600" o:gfxdata="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L0g9YnWAAAABQEAAA8AAAAAAAAAAQAgAAAAIgAAAGRycy9kb3ducmV2&#10;LnhtbFBLAQIUABQAAAAIAIdO4kAxXpcMxQEAAHwDAAAOAAAAAAAAAAEAIAAAACUBAABkcnMvZTJv&#10;RG9jLnhtbFBLBQYAAAAABgAGAFkBAABcBQAAAAA=&#10;">
              <v:fill on="f" focussize="0,0"/>
              <v:stroke on="f" weight="0.566929133858268pt"/>
              <v:imagedata o:title=""/>
              <o:lock v:ext="edit" aspectratio="f"/>
              <v:textbox inset="0mm,0mm,0mm,0mm">
                <w:txbxContent>
                  <w:p w14:paraId="1E0D103F">
                    <w:pPr>
                      <w:widowControl w:val="0"/>
                      <w:spacing w:line="272" w:lineRule="atLeast"/>
                      <w:rPr>
                        <w:rFonts w:hint="eastAsia"/>
                      </w:rPr>
                    </w:pPr>
                  </w:p>
                </w:txbxContent>
              </v:textbox>
              <w10:anchorlock/>
            </v:shape>
          </w:pict>
        </mc:Fallback>
      </mc:AlternateContent>
    </w:r>
    <w:r>
      <mc:AlternateContent>
        <mc:Choice Requires="wps">
          <w:drawing>
            <wp:inline distT="0" distB="0" distL="114300" distR="114300">
              <wp:extent cx="5471795" cy="1043940"/>
              <wp:effectExtent l="0" t="0" r="0" b="0"/>
              <wp:docPr id="6" name="矩形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1043940"/>
                      </a:xfrm>
                      <a:prstGeom prst="rect">
                        <a:avLst/>
                      </a:prstGeom>
                      <a:noFill/>
                      <a:ln>
                        <a:noFill/>
                      </a:ln>
                    </wps:spPr>
                    <wps:bodyPr upright="1"/>
                  </wps:wsp>
                </a:graphicData>
              </a:graphic>
            </wp:inline>
          </w:drawing>
        </mc:Choice>
        <mc:Fallback>
          <w:pict>
            <v:rect id="_x0000_s1026" o:spid="_x0000_s1026" o:spt="1" style="height:82.2pt;width:430.85pt;" filled="f" stroked="f" coordsize="21600,21600" o:gfxdata="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97MMbXAAAABQEAAA8AAAAAAAAAAQAgAAAAIgAAAGRycy9kb3ducmV2LnhtbFBLAQIUABQAAAAI&#10;AIdO4kAdOaeAtQEAAGMDAAAOAAAAAAAAAAEAIAAAACYBAABkcnMvZTJvRG9jLnhtbFBLBQYAAAAA&#10;BgAGAFkBAABNBQAAAAA=&#10;">
              <v:fill on="f" focussize="0,0"/>
              <v:stroke on="f"/>
              <v:imagedata o:title=""/>
              <o:lock v:ext="edit" aspectratio="t"/>
              <w10:wrap type="none"/>
              <w10:anchorlock/>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EB4E08"/>
    <w:multiLevelType w:val="singleLevel"/>
    <w:tmpl w:val="F5EB4E08"/>
    <w:lvl w:ilvl="0" w:tentative="0">
      <w:start w:val="1"/>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5"/>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5D4603"/>
    <w:rsid w:val="00D9637F"/>
    <w:rsid w:val="00FE4338"/>
    <w:rsid w:val="027A666A"/>
    <w:rsid w:val="02B26E88"/>
    <w:rsid w:val="057A3B2F"/>
    <w:rsid w:val="06135E8F"/>
    <w:rsid w:val="07A33243"/>
    <w:rsid w:val="07DD1DB1"/>
    <w:rsid w:val="08AB6F60"/>
    <w:rsid w:val="09242B63"/>
    <w:rsid w:val="0B79041E"/>
    <w:rsid w:val="0BB51E86"/>
    <w:rsid w:val="0BFA364D"/>
    <w:rsid w:val="0C813921"/>
    <w:rsid w:val="0D64615A"/>
    <w:rsid w:val="0D8A22A8"/>
    <w:rsid w:val="0D906017"/>
    <w:rsid w:val="0E195ADB"/>
    <w:rsid w:val="0F5F0397"/>
    <w:rsid w:val="108F3402"/>
    <w:rsid w:val="10CA7A92"/>
    <w:rsid w:val="12015736"/>
    <w:rsid w:val="12DB7D35"/>
    <w:rsid w:val="134D2F31"/>
    <w:rsid w:val="13531FC1"/>
    <w:rsid w:val="13FD3CDB"/>
    <w:rsid w:val="14427189"/>
    <w:rsid w:val="15213D69"/>
    <w:rsid w:val="15A40959"/>
    <w:rsid w:val="172F7E9F"/>
    <w:rsid w:val="17EC7A44"/>
    <w:rsid w:val="18647C7D"/>
    <w:rsid w:val="19A075E2"/>
    <w:rsid w:val="1AC7CB04"/>
    <w:rsid w:val="1B1F6DEE"/>
    <w:rsid w:val="1B4D3B04"/>
    <w:rsid w:val="1BA83CBF"/>
    <w:rsid w:val="1CAB69CA"/>
    <w:rsid w:val="1D7126C9"/>
    <w:rsid w:val="1E564C4E"/>
    <w:rsid w:val="1E7E1EBC"/>
    <w:rsid w:val="1F2FF017"/>
    <w:rsid w:val="1F578693"/>
    <w:rsid w:val="1F5A5839"/>
    <w:rsid w:val="1FBF0319"/>
    <w:rsid w:val="1FDE1689"/>
    <w:rsid w:val="20FB72B3"/>
    <w:rsid w:val="20FF1092"/>
    <w:rsid w:val="224A458F"/>
    <w:rsid w:val="227F3D22"/>
    <w:rsid w:val="23002C86"/>
    <w:rsid w:val="2367400B"/>
    <w:rsid w:val="252217F3"/>
    <w:rsid w:val="253416D6"/>
    <w:rsid w:val="253D8A0F"/>
    <w:rsid w:val="268A0303"/>
    <w:rsid w:val="274C6FFB"/>
    <w:rsid w:val="275B2D9A"/>
    <w:rsid w:val="27F3419F"/>
    <w:rsid w:val="28724840"/>
    <w:rsid w:val="28A349F9"/>
    <w:rsid w:val="28B41057"/>
    <w:rsid w:val="2922287F"/>
    <w:rsid w:val="294FB27F"/>
    <w:rsid w:val="296F6FD1"/>
    <w:rsid w:val="2A244EDE"/>
    <w:rsid w:val="2A666797"/>
    <w:rsid w:val="2A783C63"/>
    <w:rsid w:val="2B041349"/>
    <w:rsid w:val="2B162E29"/>
    <w:rsid w:val="2BFF15E0"/>
    <w:rsid w:val="2C416438"/>
    <w:rsid w:val="2C935267"/>
    <w:rsid w:val="2CD535EF"/>
    <w:rsid w:val="2DBE0B43"/>
    <w:rsid w:val="2DDCB953"/>
    <w:rsid w:val="2ED43FD4"/>
    <w:rsid w:val="2F9B28CE"/>
    <w:rsid w:val="2FFFC9A7"/>
    <w:rsid w:val="306C7DC6"/>
    <w:rsid w:val="327C4DBB"/>
    <w:rsid w:val="33FB514C"/>
    <w:rsid w:val="340920F5"/>
    <w:rsid w:val="34403D92"/>
    <w:rsid w:val="34F51D13"/>
    <w:rsid w:val="371422F1"/>
    <w:rsid w:val="37367E1B"/>
    <w:rsid w:val="38DB3D3B"/>
    <w:rsid w:val="390D66F3"/>
    <w:rsid w:val="395D0899"/>
    <w:rsid w:val="39DA600C"/>
    <w:rsid w:val="3A44036E"/>
    <w:rsid w:val="3B5B1ACD"/>
    <w:rsid w:val="3BC60A9D"/>
    <w:rsid w:val="3C1A7270"/>
    <w:rsid w:val="3C8F2D11"/>
    <w:rsid w:val="3CD6EEC9"/>
    <w:rsid w:val="3D375BF2"/>
    <w:rsid w:val="3E47FB1D"/>
    <w:rsid w:val="3E990920"/>
    <w:rsid w:val="3EB30AAA"/>
    <w:rsid w:val="3EB5188C"/>
    <w:rsid w:val="3F1A7BAE"/>
    <w:rsid w:val="3F237562"/>
    <w:rsid w:val="3F8E34A5"/>
    <w:rsid w:val="3FDE2B12"/>
    <w:rsid w:val="3FEB17F6"/>
    <w:rsid w:val="3FF53436"/>
    <w:rsid w:val="402A5650"/>
    <w:rsid w:val="42440BA3"/>
    <w:rsid w:val="429F792A"/>
    <w:rsid w:val="43754386"/>
    <w:rsid w:val="449A0075"/>
    <w:rsid w:val="44BF705C"/>
    <w:rsid w:val="44FD82B5"/>
    <w:rsid w:val="4588524B"/>
    <w:rsid w:val="476E14BB"/>
    <w:rsid w:val="47CA0235"/>
    <w:rsid w:val="47F5EBD9"/>
    <w:rsid w:val="485B747D"/>
    <w:rsid w:val="49311E92"/>
    <w:rsid w:val="493E1CA1"/>
    <w:rsid w:val="493E586F"/>
    <w:rsid w:val="49706E83"/>
    <w:rsid w:val="4AE20311"/>
    <w:rsid w:val="4BE3142D"/>
    <w:rsid w:val="4BF6D037"/>
    <w:rsid w:val="4BF76A89"/>
    <w:rsid w:val="4C0D20F5"/>
    <w:rsid w:val="4D1347BD"/>
    <w:rsid w:val="4F2F9A41"/>
    <w:rsid w:val="4F634A24"/>
    <w:rsid w:val="4FA15887"/>
    <w:rsid w:val="4FCFE5B0"/>
    <w:rsid w:val="4FDDF5EE"/>
    <w:rsid w:val="4FFB2E20"/>
    <w:rsid w:val="4FFBE0F3"/>
    <w:rsid w:val="51DC4954"/>
    <w:rsid w:val="524353A3"/>
    <w:rsid w:val="526359BE"/>
    <w:rsid w:val="539C4FEA"/>
    <w:rsid w:val="53CE651E"/>
    <w:rsid w:val="53FB18C1"/>
    <w:rsid w:val="54502B4E"/>
    <w:rsid w:val="55F840E4"/>
    <w:rsid w:val="565F3E59"/>
    <w:rsid w:val="569F41A2"/>
    <w:rsid w:val="56E75176"/>
    <w:rsid w:val="56FE009F"/>
    <w:rsid w:val="573963A5"/>
    <w:rsid w:val="57EC3417"/>
    <w:rsid w:val="57FDD9BA"/>
    <w:rsid w:val="585B62F1"/>
    <w:rsid w:val="5ABF613D"/>
    <w:rsid w:val="5C5A1297"/>
    <w:rsid w:val="5CDFC78A"/>
    <w:rsid w:val="5DFB65D6"/>
    <w:rsid w:val="5E7C08A4"/>
    <w:rsid w:val="5F2E07B9"/>
    <w:rsid w:val="5F5F21FF"/>
    <w:rsid w:val="5F77BD67"/>
    <w:rsid w:val="5F7D704B"/>
    <w:rsid w:val="5FB3CDE1"/>
    <w:rsid w:val="5FE30CBD"/>
    <w:rsid w:val="5FF7F2A0"/>
    <w:rsid w:val="601B0D3D"/>
    <w:rsid w:val="623256AA"/>
    <w:rsid w:val="62BC0916"/>
    <w:rsid w:val="639B7BD6"/>
    <w:rsid w:val="63D71080"/>
    <w:rsid w:val="63F22588"/>
    <w:rsid w:val="647E1E99"/>
    <w:rsid w:val="651B533C"/>
    <w:rsid w:val="665B420E"/>
    <w:rsid w:val="6674153C"/>
    <w:rsid w:val="677C7366"/>
    <w:rsid w:val="677F7E04"/>
    <w:rsid w:val="67FD2463"/>
    <w:rsid w:val="68FF0E6F"/>
    <w:rsid w:val="6A687275"/>
    <w:rsid w:val="6AFA5023"/>
    <w:rsid w:val="6B6F26A1"/>
    <w:rsid w:val="6BEE3329"/>
    <w:rsid w:val="6BFDF7D8"/>
    <w:rsid w:val="6C025952"/>
    <w:rsid w:val="6CEF0BB5"/>
    <w:rsid w:val="6D26144E"/>
    <w:rsid w:val="6D96418D"/>
    <w:rsid w:val="6DEFF66C"/>
    <w:rsid w:val="6EA16E48"/>
    <w:rsid w:val="6EF8049C"/>
    <w:rsid w:val="6F9FCCA2"/>
    <w:rsid w:val="6FBFB198"/>
    <w:rsid w:val="6FBFCF44"/>
    <w:rsid w:val="6FD37122"/>
    <w:rsid w:val="6FF9B198"/>
    <w:rsid w:val="71035A94"/>
    <w:rsid w:val="72F83160"/>
    <w:rsid w:val="733E0B1C"/>
    <w:rsid w:val="73FB8F7A"/>
    <w:rsid w:val="74962C31"/>
    <w:rsid w:val="757FF35B"/>
    <w:rsid w:val="758B689E"/>
    <w:rsid w:val="761402B1"/>
    <w:rsid w:val="76226B94"/>
    <w:rsid w:val="76BC6698"/>
    <w:rsid w:val="773F8DC5"/>
    <w:rsid w:val="777244FC"/>
    <w:rsid w:val="777FEEDD"/>
    <w:rsid w:val="77947590"/>
    <w:rsid w:val="779F93BF"/>
    <w:rsid w:val="77BFB2DF"/>
    <w:rsid w:val="77D62445"/>
    <w:rsid w:val="77EF50EB"/>
    <w:rsid w:val="77F740C6"/>
    <w:rsid w:val="791D56CF"/>
    <w:rsid w:val="79754E9F"/>
    <w:rsid w:val="79E74E84"/>
    <w:rsid w:val="7A8B0BA1"/>
    <w:rsid w:val="7A9F42A7"/>
    <w:rsid w:val="7AF20495"/>
    <w:rsid w:val="7B31E931"/>
    <w:rsid w:val="7B7DA536"/>
    <w:rsid w:val="7BF28304"/>
    <w:rsid w:val="7BFBD578"/>
    <w:rsid w:val="7BFD6D3F"/>
    <w:rsid w:val="7D5F78C1"/>
    <w:rsid w:val="7D634AB7"/>
    <w:rsid w:val="7D7E12DA"/>
    <w:rsid w:val="7D983576"/>
    <w:rsid w:val="7DBBDB1D"/>
    <w:rsid w:val="7DC5315A"/>
    <w:rsid w:val="7DEC0221"/>
    <w:rsid w:val="7DF78C5C"/>
    <w:rsid w:val="7DFDBF70"/>
    <w:rsid w:val="7E6F240E"/>
    <w:rsid w:val="7ECF788C"/>
    <w:rsid w:val="7EE8E827"/>
    <w:rsid w:val="7EED55A5"/>
    <w:rsid w:val="7EEEE334"/>
    <w:rsid w:val="7EF7085B"/>
    <w:rsid w:val="7F3BD060"/>
    <w:rsid w:val="7F6BA90E"/>
    <w:rsid w:val="7F7D297D"/>
    <w:rsid w:val="7F7D4B43"/>
    <w:rsid w:val="7FAB95C0"/>
    <w:rsid w:val="7FAEB9F6"/>
    <w:rsid w:val="7FBF3861"/>
    <w:rsid w:val="7FBF96FE"/>
    <w:rsid w:val="7FC9A0F3"/>
    <w:rsid w:val="7FDF19E5"/>
    <w:rsid w:val="7FDF8641"/>
    <w:rsid w:val="7FEFAA2B"/>
    <w:rsid w:val="7FF86792"/>
    <w:rsid w:val="7FFB66CA"/>
    <w:rsid w:val="7FFD30B5"/>
    <w:rsid w:val="7FFF28E3"/>
    <w:rsid w:val="7FFF309E"/>
    <w:rsid w:val="7FFF50A8"/>
    <w:rsid w:val="7FFFAB99"/>
    <w:rsid w:val="7FFFD837"/>
    <w:rsid w:val="897B4B3D"/>
    <w:rsid w:val="8FBDB79B"/>
    <w:rsid w:val="93FF24CE"/>
    <w:rsid w:val="9A4848C3"/>
    <w:rsid w:val="9C3F5738"/>
    <w:rsid w:val="9DF12117"/>
    <w:rsid w:val="A5F7A9AE"/>
    <w:rsid w:val="ABEE5341"/>
    <w:rsid w:val="ABFFF7D5"/>
    <w:rsid w:val="AC3FA2BA"/>
    <w:rsid w:val="ADFFE666"/>
    <w:rsid w:val="AF0DE260"/>
    <w:rsid w:val="AF1F7F6E"/>
    <w:rsid w:val="AF3F0D63"/>
    <w:rsid w:val="B2FF9F0F"/>
    <w:rsid w:val="B6E75A35"/>
    <w:rsid w:val="B6FFB5B0"/>
    <w:rsid w:val="B7FD3370"/>
    <w:rsid w:val="BBBE4E94"/>
    <w:rsid w:val="BC9F4B72"/>
    <w:rsid w:val="BDFE6AB4"/>
    <w:rsid w:val="BF4C3C8D"/>
    <w:rsid w:val="BF7E25C2"/>
    <w:rsid w:val="BFB66ED3"/>
    <w:rsid w:val="BFFDCB4F"/>
    <w:rsid w:val="C56C77CB"/>
    <w:rsid w:val="C5F2F9BE"/>
    <w:rsid w:val="C6FC4CD0"/>
    <w:rsid w:val="C6FDB2D1"/>
    <w:rsid w:val="C77B31C3"/>
    <w:rsid w:val="CB5736E5"/>
    <w:rsid w:val="CBF35ACF"/>
    <w:rsid w:val="CDF786C6"/>
    <w:rsid w:val="CF9ACE2B"/>
    <w:rsid w:val="D3AB412E"/>
    <w:rsid w:val="D3FB8036"/>
    <w:rsid w:val="D53B4355"/>
    <w:rsid w:val="D7FF2EE5"/>
    <w:rsid w:val="DABEE28D"/>
    <w:rsid w:val="DBB7EC3C"/>
    <w:rsid w:val="DBDEA60F"/>
    <w:rsid w:val="DBFF7843"/>
    <w:rsid w:val="DDFF5532"/>
    <w:rsid w:val="DEBF4056"/>
    <w:rsid w:val="DEF6D8F4"/>
    <w:rsid w:val="DF77640A"/>
    <w:rsid w:val="DF7797A7"/>
    <w:rsid w:val="DF7BB42C"/>
    <w:rsid w:val="DF8F2448"/>
    <w:rsid w:val="DFEF4B05"/>
    <w:rsid w:val="DFFAA832"/>
    <w:rsid w:val="E1BD40EC"/>
    <w:rsid w:val="E76EE975"/>
    <w:rsid w:val="E77FB84E"/>
    <w:rsid w:val="E7B6D9B0"/>
    <w:rsid w:val="E7F3FB23"/>
    <w:rsid w:val="E9E780C0"/>
    <w:rsid w:val="EB331DEC"/>
    <w:rsid w:val="EBBB5C8B"/>
    <w:rsid w:val="EBDBC23C"/>
    <w:rsid w:val="EC6FFCE4"/>
    <w:rsid w:val="EDDF40AD"/>
    <w:rsid w:val="EEEF4FD2"/>
    <w:rsid w:val="EEFEA47F"/>
    <w:rsid w:val="EF57D666"/>
    <w:rsid w:val="EF6A62D1"/>
    <w:rsid w:val="EFE74D85"/>
    <w:rsid w:val="EFFA6C98"/>
    <w:rsid w:val="EFFBF659"/>
    <w:rsid w:val="EFFF4059"/>
    <w:rsid w:val="F1B66B73"/>
    <w:rsid w:val="F27BB2DE"/>
    <w:rsid w:val="F2F6F815"/>
    <w:rsid w:val="F3FBBC3D"/>
    <w:rsid w:val="F5FB8B31"/>
    <w:rsid w:val="F77B0189"/>
    <w:rsid w:val="F77FDEC8"/>
    <w:rsid w:val="F79F4DF5"/>
    <w:rsid w:val="F7FC78B6"/>
    <w:rsid w:val="F9B7A365"/>
    <w:rsid w:val="F9FDA610"/>
    <w:rsid w:val="FAFD258F"/>
    <w:rsid w:val="FB774621"/>
    <w:rsid w:val="FBBD7C70"/>
    <w:rsid w:val="FBDFDCD8"/>
    <w:rsid w:val="FBED9DB9"/>
    <w:rsid w:val="FBFA8F1F"/>
    <w:rsid w:val="FBFD176F"/>
    <w:rsid w:val="FD77F19D"/>
    <w:rsid w:val="FD7D0B2C"/>
    <w:rsid w:val="FDBFAAEB"/>
    <w:rsid w:val="FDFACCB6"/>
    <w:rsid w:val="FDFFB57B"/>
    <w:rsid w:val="FDFFE89B"/>
    <w:rsid w:val="FE3E1D92"/>
    <w:rsid w:val="FE7ECFD2"/>
    <w:rsid w:val="FEBB9681"/>
    <w:rsid w:val="FEEB37BD"/>
    <w:rsid w:val="FEEFF743"/>
    <w:rsid w:val="FEF5A2DC"/>
    <w:rsid w:val="FEFE4C8E"/>
    <w:rsid w:val="FF593415"/>
    <w:rsid w:val="FF5F2649"/>
    <w:rsid w:val="FF77193D"/>
    <w:rsid w:val="FF77C7F0"/>
    <w:rsid w:val="FF7E4B8A"/>
    <w:rsid w:val="FF7FB7F5"/>
    <w:rsid w:val="FFBAAAE0"/>
    <w:rsid w:val="FFBB529F"/>
    <w:rsid w:val="FFBFB584"/>
    <w:rsid w:val="FFCF6008"/>
    <w:rsid w:val="FFCFAF0B"/>
    <w:rsid w:val="FFD77A67"/>
    <w:rsid w:val="FFE7140D"/>
    <w:rsid w:val="FFFBA578"/>
    <w:rsid w:val="FFFF778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仿宋_GB2312" w:cs="Times New Roman"/>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 w:type="paragraph" w:styleId="3">
    <w:name w:val="Body Text"/>
    <w:basedOn w:val="1"/>
    <w:next w:val="1"/>
    <w:qFormat/>
    <w:uiPriority w:val="0"/>
    <w:pPr>
      <w:spacing w:after="120"/>
    </w:pPr>
    <w:rPr>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Body Text 2"/>
    <w:basedOn w:val="1"/>
    <w:qFormat/>
    <w:uiPriority w:val="0"/>
    <w:pPr>
      <w:numPr>
        <w:ilvl w:val="0"/>
        <w:numId w:val="1"/>
      </w:numPr>
      <w:spacing w:before="156" w:beforeLines="50" w:line="336" w:lineRule="auto"/>
      <w:ind w:left="0" w:firstLine="0"/>
    </w:pPr>
    <w:rPr>
      <w:rFonts w:ascii="Times New Roman" w:hAnsi="Times New Roman" w:eastAsia="仿宋_GB2312" w:cs="仿宋"/>
      <w:szCs w:val="20"/>
      <w:lang w:eastAsia="en-US"/>
    </w:rPr>
  </w:style>
  <w:style w:type="paragraph" w:styleId="6">
    <w:name w:val="Normal (Web)"/>
    <w:basedOn w:val="1"/>
    <w:qFormat/>
    <w:uiPriority w:val="0"/>
    <w:rPr>
      <w:sz w:val="24"/>
    </w:rPr>
  </w:style>
  <w:style w:type="paragraph" w:customStyle="1" w:styleId="9">
    <w:name w:val="p0"/>
    <w:basedOn w:val="1"/>
    <w:qFormat/>
    <w:uiPriority w:val="99"/>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1979</Words>
  <Characters>2151</Characters>
  <Lines>1</Lines>
  <Paragraphs>1</Paragraphs>
  <TotalTime>7</TotalTime>
  <ScaleCrop>false</ScaleCrop>
  <LinksUpToDate>false</LinksUpToDate>
  <CharactersWithSpaces>2235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2023-03-09T01:58:00Z</dcterms:created>
  <dc:creator>冯春有</dc:creator>
  <cp:lastModifiedBy>小可爱1999。</cp:lastModifiedBy>
  <cp:lastPrinted>2025-11-25T17:04:00Z</cp:lastPrinted>
  <dcterms:modified xsi:type="dcterms:W3CDTF">2025-11-26T08:19:22Z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0082B729189A4A0398EFB2D023BC8A12</vt:lpwstr>
  </property>
  <property fmtid="{D5CDD505-2E9C-101B-9397-08002B2CF9AE}" pid="4" name="KSOTemplateDocerSaveRecord">
    <vt:lpwstr>eyJoZGlkIjoiZTQyN2M1M2U3YjFhNzg3ZTlhZGQwMGM5ODcyZDJlZWIiLCJ1c2VySWQiOiI0MTgxMzM4MDgifQ==</vt:lpwstr>
  </property>
</Properties>
</file>