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8377AE">
      <w:pPr>
        <w:keepNext w:val="0"/>
        <w:keepLines w:val="0"/>
        <w:pageBreakBefore w:val="0"/>
        <w:widowControl w:val="0"/>
        <w:kinsoku/>
        <w:wordWrap/>
        <w:overflowPunct/>
        <w:topLinePunct w:val="0"/>
        <w:autoSpaceDE/>
        <w:autoSpaceDN/>
        <w:bidi w:val="0"/>
        <w:adjustRightInd/>
        <w:snapToGrid w:val="0"/>
        <w:spacing w:line="58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21B842B8">
      <w:pPr>
        <w:keepNext w:val="0"/>
        <w:keepLines w:val="0"/>
        <w:pageBreakBefore w:val="0"/>
        <w:widowControl w:val="0"/>
        <w:kinsoku/>
        <w:wordWrap/>
        <w:overflowPunct/>
        <w:topLinePunct w:val="0"/>
        <w:autoSpaceDE/>
        <w:autoSpaceDN/>
        <w:bidi w:val="0"/>
        <w:adjustRightInd/>
        <w:snapToGrid w:val="0"/>
        <w:spacing w:line="58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1C906593">
      <w:pPr>
        <w:keepNext w:val="0"/>
        <w:keepLines w:val="0"/>
        <w:pageBreakBefore w:val="0"/>
        <w:widowControl w:val="0"/>
        <w:kinsoku/>
        <w:wordWrap/>
        <w:overflowPunct/>
        <w:topLinePunct w:val="0"/>
        <w:autoSpaceDE/>
        <w:autoSpaceDN/>
        <w:bidi w:val="0"/>
        <w:adjustRightInd/>
        <w:snapToGrid w:val="0"/>
        <w:spacing w:line="580" w:lineRule="exact"/>
        <w:ind w:left="0" w:leftChars="0"/>
        <w:jc w:val="center"/>
        <w:textAlignment w:val="auto"/>
        <w:rPr>
          <w:rFonts w:hint="default" w:ascii="Times New Roman" w:hAnsi="Times New Roman" w:eastAsia="方正小标宋_GBK" w:cs="Times New Roman"/>
          <w:b w:val="0"/>
          <w:bCs/>
          <w:color w:val="auto"/>
          <w:sz w:val="44"/>
          <w:szCs w:val="44"/>
        </w:rPr>
      </w:pPr>
      <w:r>
        <w:rPr>
          <w:rFonts w:hint="eastAsia" w:ascii="Times New Roman" w:hAnsi="Times New Roman" w:eastAsia="方正小标宋_GBK" w:cs="Times New Roman"/>
          <w:b w:val="0"/>
          <w:bCs/>
          <w:color w:val="auto"/>
          <w:sz w:val="44"/>
          <w:szCs w:val="44"/>
          <w:lang w:eastAsia="zh-CN"/>
        </w:rPr>
        <w:t>焦作市</w:t>
      </w:r>
      <w:r>
        <w:rPr>
          <w:rFonts w:hint="default" w:ascii="Times New Roman" w:hAnsi="Times New Roman" w:eastAsia="方正小标宋_GBK" w:cs="Times New Roman"/>
          <w:b w:val="0"/>
          <w:bCs/>
          <w:color w:val="auto"/>
          <w:sz w:val="44"/>
          <w:szCs w:val="44"/>
        </w:rPr>
        <w:t>生态环境局</w:t>
      </w:r>
    </w:p>
    <w:p w14:paraId="26B5C8DE">
      <w:pPr>
        <w:keepNext w:val="0"/>
        <w:keepLines w:val="0"/>
        <w:pageBreakBefore w:val="0"/>
        <w:widowControl w:val="0"/>
        <w:kinsoku/>
        <w:wordWrap/>
        <w:overflowPunct/>
        <w:topLinePunct w:val="0"/>
        <w:autoSpaceDE/>
        <w:autoSpaceDN/>
        <w:bidi w:val="0"/>
        <w:adjustRightInd/>
        <w:snapToGrid w:val="0"/>
        <w:spacing w:line="580" w:lineRule="exact"/>
        <w:ind w:left="0" w:leftChars="0"/>
        <w:jc w:val="center"/>
        <w:textAlignment w:val="auto"/>
        <w:outlineLvl w:val="0"/>
        <w:rPr>
          <w:rFonts w:hint="eastAsia" w:ascii="仿宋" w:hAnsi="仿宋" w:eastAsia="仿宋" w:cs="仿宋"/>
          <w:sz w:val="32"/>
          <w:szCs w:val="32"/>
        </w:rPr>
      </w:pPr>
      <w:bookmarkStart w:id="0" w:name="_Toc5085"/>
      <w:bookmarkStart w:id="1" w:name="_Toc21336"/>
      <w:bookmarkStart w:id="2" w:name="_Toc24038"/>
      <w:r>
        <w:rPr>
          <w:rFonts w:hint="default" w:ascii="Times New Roman" w:hAnsi="Times New Roman" w:eastAsia="方正小标宋_GBK" w:cs="Times New Roman"/>
          <w:b w:val="0"/>
          <w:bCs/>
          <w:color w:val="auto"/>
          <w:sz w:val="44"/>
          <w:szCs w:val="44"/>
        </w:rPr>
        <w:t>行政处罚决定书</w:t>
      </w:r>
      <w:bookmarkEnd w:id="0"/>
      <w:bookmarkEnd w:id="1"/>
      <w:bookmarkEnd w:id="2"/>
    </w:p>
    <w:p w14:paraId="7F0FDE5F">
      <w:pPr>
        <w:keepNext w:val="0"/>
        <w:keepLines w:val="0"/>
        <w:pageBreakBefore w:val="0"/>
        <w:widowControl w:val="0"/>
        <w:wordWrap/>
        <w:overflowPunct/>
        <w:topLinePunct w:val="0"/>
        <w:bidi w:val="0"/>
        <w:adjustRightInd/>
        <w:snapToGrid/>
        <w:spacing w:line="580" w:lineRule="exact"/>
        <w:ind w:left="0" w:leftChars="0"/>
        <w:jc w:val="center"/>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焦环罚〔2025〕362号</w:t>
      </w:r>
    </w:p>
    <w:p w14:paraId="5EB4AF94">
      <w:pPr>
        <w:keepNext w:val="0"/>
        <w:keepLines w:val="0"/>
        <w:pageBreakBefore w:val="0"/>
        <w:widowControl w:val="0"/>
        <w:kinsoku/>
        <w:wordWrap/>
        <w:overflowPunct/>
        <w:topLinePunct w:val="0"/>
        <w:autoSpaceDE/>
        <w:autoSpaceDN/>
        <w:bidi w:val="0"/>
        <w:adjustRightInd/>
        <w:snapToGrid/>
        <w:spacing w:line="580" w:lineRule="exact"/>
        <w:ind w:left="0" w:leftChars="0"/>
        <w:jc w:val="center"/>
        <w:textAlignment w:val="auto"/>
        <w:rPr>
          <w:rFonts w:hint="eastAsia" w:ascii="CESI仿宋-GB2312" w:hAnsi="CESI仿宋-GB2312" w:eastAsia="CESI仿宋-GB2312" w:cs="CESI仿宋-GB2312"/>
          <w:color w:val="auto"/>
          <w:sz w:val="32"/>
          <w:szCs w:val="32"/>
          <w:lang w:val="en-US" w:eastAsia="zh-CN"/>
        </w:rPr>
      </w:pPr>
    </w:p>
    <w:p w14:paraId="60B08DF6">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leftChars="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沁阳市金辉整体橱柜衣柜加工厂：</w:t>
      </w:r>
    </w:p>
    <w:p w14:paraId="51984EA3">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leftChars="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统一社会信用代码：92410882MA47JYMJ2K</w:t>
      </w:r>
    </w:p>
    <w:p w14:paraId="592DF6D8">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leftChars="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地址：沁阳市怀府西路与常付路交叉口西南角</w:t>
      </w:r>
    </w:p>
    <w:p w14:paraId="3E11D958">
      <w:pPr>
        <w:keepNext w:val="0"/>
        <w:keepLines w:val="0"/>
        <w:pageBreakBefore w:val="0"/>
        <w:widowControl w:val="0"/>
        <w:kinsoku/>
        <w:wordWrap/>
        <w:overflowPunct/>
        <w:topLinePunct w:val="0"/>
        <w:autoSpaceDE/>
        <w:autoSpaceDN/>
        <w:bidi w:val="0"/>
        <w:snapToGrid w:val="0"/>
        <w:spacing w:line="580" w:lineRule="exact"/>
        <w:ind w:left="0" w:leftChars="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经营者：车金辉</w:t>
      </w:r>
    </w:p>
    <w:p w14:paraId="20815E2B">
      <w:pPr>
        <w:keepNext w:val="0"/>
        <w:keepLines w:val="0"/>
        <w:pageBreakBefore w:val="0"/>
        <w:widowControl w:val="0"/>
        <w:kinsoku/>
        <w:wordWrap/>
        <w:overflowPunct/>
        <w:topLinePunct w:val="0"/>
        <w:autoSpaceDE/>
        <w:autoSpaceDN/>
        <w:bidi w:val="0"/>
        <w:snapToGrid w:val="0"/>
        <w:spacing w:line="580" w:lineRule="exact"/>
        <w:ind w:left="0" w:leftChars="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一、环境违法事实和证据</w:t>
      </w:r>
    </w:p>
    <w:p w14:paraId="547A9CED">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我局执法人员于2025年10月13日对你单位现场检查时发现，你单位生产车间有1台封边机正在生产，生产时产生的废气为非甲烷总烃，该封边机配套的废气污染防治设施未开启。（集气罩＋UV催化氧化装置＋低温等离子装置＋活性碳吸附装置＋15M高排气筒）。</w:t>
      </w:r>
    </w:p>
    <w:p w14:paraId="2893E721">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你</w:t>
      </w:r>
      <w:r>
        <w:rPr>
          <w:rFonts w:hint="eastAsia" w:ascii="CESI仿宋-GB2312" w:hAnsi="CESI仿宋-GB2312" w:eastAsia="CESI仿宋-GB2312" w:cs="CESI仿宋-GB2312"/>
          <w:color w:val="000000"/>
          <w:sz w:val="32"/>
          <w:szCs w:val="32"/>
          <w:lang w:eastAsia="zh-CN"/>
        </w:rPr>
        <w:t>单位</w:t>
      </w:r>
      <w:r>
        <w:rPr>
          <w:rFonts w:hint="eastAsia" w:ascii="CESI仿宋-GB2312" w:hAnsi="CESI仿宋-GB2312" w:eastAsia="CESI仿宋-GB2312" w:cs="CESI仿宋-GB2312"/>
          <w:color w:val="000000"/>
          <w:sz w:val="32"/>
          <w:szCs w:val="32"/>
        </w:rPr>
        <w:t>的上述行为违反了</w:t>
      </w:r>
      <w:r>
        <w:rPr>
          <w:rFonts w:hint="eastAsia" w:ascii="CESI仿宋-GB2312" w:hAnsi="CESI仿宋-GB2312" w:eastAsia="CESI仿宋-GB2312" w:cs="CESI仿宋-GB2312"/>
          <w:color w:val="000000"/>
          <w:sz w:val="32"/>
          <w:szCs w:val="32"/>
          <w:lang w:val="en-US" w:eastAsia="zh-CN"/>
        </w:rPr>
        <w:t>《中华人民共和国大气污染防治法》第四十五条：</w:t>
      </w:r>
      <w:r>
        <w:rPr>
          <w:rFonts w:hint="eastAsia" w:ascii="CESI仿宋-GB2312" w:hAnsi="CESI仿宋-GB2312" w:eastAsia="CESI仿宋-GB2312" w:cs="CESI仿宋-GB2312"/>
          <w:color w:val="000000"/>
          <w:sz w:val="32"/>
          <w:szCs w:val="32"/>
        </w:rPr>
        <w:t>“</w:t>
      </w:r>
      <w:r>
        <w:rPr>
          <w:rFonts w:hint="eastAsia" w:ascii="CESI仿宋-GB2312" w:hAnsi="CESI仿宋-GB2312" w:eastAsia="CESI仿宋-GB2312" w:cs="CESI仿宋-GB2312"/>
          <w:color w:val="000000"/>
          <w:sz w:val="32"/>
          <w:szCs w:val="32"/>
          <w:u w:val="none"/>
          <w:lang w:eastAsia="zh-CN"/>
        </w:rPr>
        <w:t>产生含挥发性有机物废气的生产和服务活动，应当在密闭空间或者设备中进行，并按照规定安装、使用污染防治设施；无法密闭的，应当采取措施减少废气排放。</w:t>
      </w:r>
      <w:r>
        <w:rPr>
          <w:rFonts w:hint="eastAsia" w:ascii="CESI仿宋-GB2312" w:hAnsi="CESI仿宋-GB2312" w:eastAsia="CESI仿宋-GB2312" w:cs="CESI仿宋-GB2312"/>
          <w:color w:val="000000"/>
          <w:sz w:val="32"/>
          <w:szCs w:val="32"/>
        </w:rPr>
        <w:t>”的规定。</w:t>
      </w:r>
    </w:p>
    <w:p w14:paraId="23F9A8AF">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以上事实，主要有以下证据证明：</w:t>
      </w:r>
    </w:p>
    <w:p w14:paraId="5121FD79">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both"/>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1.现场检查(勘察)笔录及现场照片/视频(2025年10月13日),证明你单位</w:t>
      </w:r>
      <w:r>
        <w:rPr>
          <w:rFonts w:hint="eastAsia" w:ascii="CESI仿宋-GB2312" w:hAnsi="CESI仿宋-GB2312" w:eastAsia="CESI仿宋-GB2312" w:cs="CESI仿宋-GB2312"/>
          <w:color w:val="000000"/>
          <w:sz w:val="32"/>
          <w:szCs w:val="32"/>
          <w:u w:val="none"/>
          <w:lang w:val="en-US" w:eastAsia="zh-CN"/>
        </w:rPr>
        <w:t>封边机生产时没有开启配套环保设施</w:t>
      </w:r>
      <w:r>
        <w:rPr>
          <w:rFonts w:hint="eastAsia" w:ascii="CESI仿宋-GB2312" w:hAnsi="CESI仿宋-GB2312" w:eastAsia="CESI仿宋-GB2312" w:cs="CESI仿宋-GB2312"/>
          <w:color w:val="auto"/>
          <w:kern w:val="0"/>
          <w:sz w:val="32"/>
          <w:szCs w:val="32"/>
          <w:lang w:val="en-US" w:eastAsia="zh-CN" w:bidi="ar"/>
        </w:rPr>
        <w:t>的事实；</w:t>
      </w:r>
    </w:p>
    <w:p w14:paraId="43794FAB">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2.调查询问笔录(2025年10月15日对经营者车金辉的调查询问),证明车金辉认可</w:t>
      </w:r>
      <w:r>
        <w:rPr>
          <w:rFonts w:hint="eastAsia" w:ascii="CESI仿宋-GB2312" w:hAnsi="CESI仿宋-GB2312" w:eastAsia="CESI仿宋-GB2312" w:cs="CESI仿宋-GB2312"/>
          <w:color w:val="000000"/>
          <w:sz w:val="32"/>
          <w:szCs w:val="32"/>
          <w:u w:val="none"/>
          <w:lang w:val="en-US" w:eastAsia="zh-CN"/>
        </w:rPr>
        <w:t>封边机正在生产，生产时没有开启配套环保设施</w:t>
      </w:r>
      <w:r>
        <w:rPr>
          <w:rFonts w:hint="eastAsia" w:ascii="CESI仿宋-GB2312" w:hAnsi="CESI仿宋-GB2312" w:eastAsia="CESI仿宋-GB2312" w:cs="CESI仿宋-GB2312"/>
          <w:color w:val="auto"/>
          <w:kern w:val="0"/>
          <w:sz w:val="32"/>
          <w:szCs w:val="32"/>
          <w:lang w:val="en-US" w:eastAsia="zh-CN" w:bidi="ar"/>
        </w:rPr>
        <w:t>的事实；</w:t>
      </w:r>
    </w:p>
    <w:p w14:paraId="0FBB80DA">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3.身份证复印件，证明被询问人车金辉的身份信息；</w:t>
      </w:r>
    </w:p>
    <w:p w14:paraId="2884455C">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4.环境影响报告表（复印件节选）、环评批复（复印件）、验收报告（节选）、排污许可登记表（复印件）证明你单位办理的环保材料</w:t>
      </w:r>
    </w:p>
    <w:p w14:paraId="5BEB242D">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5.执法人员的执法证复印件，证明执法人员的身份和资格；</w:t>
      </w:r>
    </w:p>
    <w:p w14:paraId="3A31BF1E">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auto"/>
          <w:kern w:val="0"/>
          <w:sz w:val="32"/>
          <w:szCs w:val="32"/>
          <w:lang w:val="en-US" w:eastAsia="zh-CN" w:bidi="ar"/>
        </w:rPr>
        <w:t>6.其他证据</w:t>
      </w:r>
    </w:p>
    <w:p w14:paraId="5A0D0C02">
      <w:pPr>
        <w:keepNext w:val="0"/>
        <w:keepLines w:val="0"/>
        <w:pageBreakBefore w:val="0"/>
        <w:widowControl/>
        <w:suppressLineNumbers w:val="0"/>
        <w:overflowPunct/>
        <w:topLinePunct w:val="0"/>
        <w:bidi w:val="0"/>
        <w:spacing w:line="580" w:lineRule="exact"/>
        <w:ind w:left="0" w:leftChars="0" w:firstLine="640" w:firstLineChars="200"/>
        <w:jc w:val="left"/>
        <w:rPr>
          <w:rFonts w:hint="eastAsia" w:ascii="CESI仿宋-GB2312" w:hAnsi="CESI仿宋-GB2312" w:eastAsia="CESI仿宋-GB2312" w:cs="CESI仿宋-GB2312"/>
          <w:sz w:val="32"/>
          <w:szCs w:val="32"/>
        </w:rPr>
      </w:pPr>
      <w:r>
        <w:rPr>
          <w:rFonts w:hint="eastAsia" w:ascii="CESI仿宋-GB2312" w:hAnsi="CESI仿宋-GB2312" w:eastAsia="CESI仿宋-GB2312" w:cs="CESI仿宋-GB2312"/>
          <w:color w:val="auto"/>
          <w:sz w:val="32"/>
          <w:szCs w:val="32"/>
          <w:lang w:val="en-US" w:eastAsia="zh-CN"/>
        </w:rPr>
        <w:t>我局于2025年11月10日直接送达了《行政处罚事先（听证）告知书》（</w:t>
      </w:r>
      <w:r>
        <w:rPr>
          <w:rFonts w:hint="eastAsia" w:ascii="CESI仿宋-GB2312" w:hAnsi="CESI仿宋-GB2312" w:eastAsia="CESI仿宋-GB2312" w:cs="CESI仿宋-GB2312"/>
          <w:color w:val="auto"/>
          <w:kern w:val="2"/>
          <w:sz w:val="32"/>
          <w:szCs w:val="32"/>
          <w:lang w:val="en-US" w:eastAsia="zh-CN" w:bidi="ar-SA"/>
        </w:rPr>
        <w:t>焦沁环先</w:t>
      </w:r>
      <w:r>
        <w:rPr>
          <w:rFonts w:hint="eastAsia" w:ascii="CESI仿宋-GB2312" w:hAnsi="CESI仿宋-GB2312" w:eastAsia="CESI仿宋-GB2312" w:cs="CESI仿宋-GB2312"/>
          <w:color w:val="auto"/>
          <w:kern w:val="2"/>
          <w:sz w:val="32"/>
          <w:szCs w:val="32"/>
          <w:highlight w:val="none"/>
          <w:lang w:val="en-US" w:eastAsia="zh-CN" w:bidi="ar-SA"/>
        </w:rPr>
        <w:t>告〔2025〕34号</w:t>
      </w:r>
      <w:r>
        <w:rPr>
          <w:rFonts w:hint="eastAsia" w:ascii="CESI仿宋-GB2312" w:hAnsi="CESI仿宋-GB2312" w:eastAsia="CESI仿宋-GB2312" w:cs="CESI仿宋-GB2312"/>
          <w:color w:val="auto"/>
          <w:sz w:val="32"/>
          <w:szCs w:val="32"/>
          <w:lang w:val="en-US" w:eastAsia="zh-CN"/>
        </w:rPr>
        <w:t>），告知书告知你单位陈述申辩权（听证申请权）。你单位于法定期限内未提出陈述申辩，也未要求听证，</w:t>
      </w:r>
      <w:r>
        <w:rPr>
          <w:rFonts w:hint="eastAsia" w:ascii="CESI仿宋-GB2312" w:hAnsi="CESI仿宋-GB2312" w:eastAsia="CESI仿宋-GB2312" w:cs="CESI仿宋-GB2312"/>
          <w:b w:val="0"/>
          <w:color w:val="auto"/>
          <w:sz w:val="32"/>
          <w:szCs w:val="32"/>
          <w:lang w:val="en-US" w:eastAsia="zh-CN"/>
        </w:rPr>
        <w:t>视为你单位放弃陈述申辩和听证权利。</w:t>
      </w:r>
    </w:p>
    <w:p w14:paraId="24117784">
      <w:pPr>
        <w:keepNext w:val="0"/>
        <w:keepLines w:val="0"/>
        <w:pageBreakBefore w:val="0"/>
        <w:widowControl w:val="0"/>
        <w:numPr>
          <w:ilvl w:val="0"/>
          <w:numId w:val="1"/>
        </w:numPr>
        <w:kinsoku/>
        <w:wordWrap/>
        <w:overflowPunct/>
        <w:topLinePunct w:val="0"/>
        <w:autoSpaceDE/>
        <w:autoSpaceDN/>
        <w:bidi w:val="0"/>
        <w:snapToGrid w:val="0"/>
        <w:spacing w:line="580" w:lineRule="exact"/>
        <w:ind w:left="0" w:leftChars="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行政处罚的依据、种类</w:t>
      </w:r>
    </w:p>
    <w:p w14:paraId="41255DB9">
      <w:pPr>
        <w:keepNext w:val="0"/>
        <w:keepLines w:val="0"/>
        <w:pageBreakBefore w:val="0"/>
        <w:widowControl w:val="0"/>
        <w:kinsoku/>
        <w:wordWrap w:val="0"/>
        <w:overflowPunct/>
        <w:topLinePunct w:val="0"/>
        <w:autoSpaceDE/>
        <w:autoSpaceDN/>
        <w:bidi w:val="0"/>
        <w:adjustRightInd w:val="0"/>
        <w:snapToGrid w:val="0"/>
        <w:spacing w:line="580" w:lineRule="exact"/>
        <w:ind w:left="0" w:leftChars="0" w:firstLine="640" w:firstLineChars="200"/>
        <w:jc w:val="both"/>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sz w:val="32"/>
          <w:szCs w:val="32"/>
        </w:rPr>
        <w:t>根据你单位违法行为的事实、性质、情节、社会危害程度和相关证据，</w:t>
      </w:r>
      <w:r>
        <w:rPr>
          <w:rFonts w:hint="eastAsia" w:ascii="CESI仿宋-GB2312" w:hAnsi="CESI仿宋-GB2312" w:eastAsia="CESI仿宋-GB2312" w:cs="CESI仿宋-GB2312"/>
          <w:color w:val="000000"/>
          <w:kern w:val="0"/>
          <w:sz w:val="32"/>
          <w:szCs w:val="32"/>
          <w:lang w:val="en-US" w:eastAsia="zh-CN" w:bidi="ar"/>
        </w:rPr>
        <w:t>参照《河南省生态环境行政处罚裁量基准》中的裁量基准为：裁量因素：违法事实，内容：未规范使用污染防治设施，裁量等级：1，裁量因素：涉及行业，内容：涂装、印刷、包装、粘合等含挥发性有机物的产品使用，基础化学原料制造、化学药品原料药制造等含挥发性有机物的产品生产，裁量等级：2，裁量因素：生产和服务活动地点，内容：符合环境功能区划，裁量等级：1，裁量因素：企业规模，内容：微型企业，裁量等级：1，裁量因素：管理类别，内容：登记管理，裁量等级：1，裁量因素：违法行为持续时间，内容：1个月以下，裁量等级：1，裁量因素：超过限期改正时间，内容：限期改正，裁量等级：1，裁量因素：受处罚次数，内容：两年内未受到过同类处罚，裁量等级：1，裁量因素：是否配合执法检查，内容：配合检查，裁量等级：1，法定处罚金额上限(M)：200000，法定处罚金额下限(N)：20000，首要裁量因素裁量等级(A)：1，其余裁量因素个数(n)：8，其余裁量因素裁量等级(Bi)：[2,1,1,1,1,1,1,1],处罚金额(X)：28550,代入公式：28550=20000+(200000-20000)×[（1/5）</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+(2</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)/(5</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×8)]×50%，自定义裁量计算值：0，最终裁量金额：28550元</w:t>
      </w:r>
      <w:r>
        <w:rPr>
          <w:rFonts w:hint="eastAsia" w:ascii="CESI仿宋-GB2312" w:hAnsi="CESI仿宋-GB2312" w:eastAsia="CESI仿宋-GB2312" w:cs="CESI仿宋-GB2312"/>
          <w:color w:val="000000"/>
          <w:w w:val="95"/>
          <w:kern w:val="0"/>
          <w:sz w:val="32"/>
          <w:szCs w:val="32"/>
          <w:lang w:val="en-US" w:eastAsia="zh-CN" w:bidi="ar"/>
        </w:rPr>
        <w:t>。</w:t>
      </w:r>
    </w:p>
    <w:p w14:paraId="277B1210">
      <w:pPr>
        <w:keepNext w:val="0"/>
        <w:keepLines w:val="0"/>
        <w:pageBreakBefore w:val="0"/>
        <w:widowControl w:val="0"/>
        <w:kinsoku/>
        <w:wordWrap w:val="0"/>
        <w:overflowPunct/>
        <w:topLinePunct w:val="0"/>
        <w:autoSpaceDE/>
        <w:autoSpaceDN/>
        <w:bidi w:val="0"/>
        <w:adjustRightInd w:val="0"/>
        <w:snapToGrid w:val="0"/>
        <w:spacing w:line="580" w:lineRule="exact"/>
        <w:ind w:left="0" w:leftChars="0" w:firstLine="640" w:firstLineChars="200"/>
        <w:jc w:val="both"/>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sz w:val="32"/>
          <w:szCs w:val="32"/>
          <w:lang w:val="en-US" w:eastAsia="zh-CN"/>
        </w:rPr>
        <w:t>根据《中华人民共和国大气污染防治法》</w:t>
      </w:r>
      <w:r>
        <w:rPr>
          <w:rFonts w:hint="eastAsia" w:ascii="CESI仿宋-GB2312" w:hAnsi="CESI仿宋-GB2312" w:eastAsia="CESI仿宋-GB2312" w:cs="CESI仿宋-GB2312"/>
          <w:color w:val="000000"/>
          <w:sz w:val="32"/>
          <w:szCs w:val="32"/>
        </w:rPr>
        <w:t>第</w:t>
      </w:r>
      <w:r>
        <w:rPr>
          <w:rFonts w:hint="eastAsia" w:ascii="CESI仿宋-GB2312" w:hAnsi="CESI仿宋-GB2312" w:eastAsia="CESI仿宋-GB2312" w:cs="CESI仿宋-GB2312"/>
          <w:color w:val="000000"/>
          <w:sz w:val="32"/>
          <w:szCs w:val="32"/>
          <w:lang w:eastAsia="zh-CN"/>
        </w:rPr>
        <w:t>一百零八</w:t>
      </w:r>
      <w:r>
        <w:rPr>
          <w:rFonts w:hint="eastAsia" w:ascii="CESI仿宋-GB2312" w:hAnsi="CESI仿宋-GB2312" w:eastAsia="CESI仿宋-GB2312" w:cs="CESI仿宋-GB2312"/>
          <w:color w:val="000000"/>
          <w:sz w:val="32"/>
          <w:szCs w:val="32"/>
        </w:rPr>
        <w:t>条</w:t>
      </w:r>
      <w:r>
        <w:rPr>
          <w:rFonts w:hint="eastAsia" w:ascii="CESI仿宋-GB2312" w:hAnsi="CESI仿宋-GB2312" w:eastAsia="CESI仿宋-GB2312" w:cs="CESI仿宋-GB2312"/>
          <w:color w:val="000000"/>
          <w:sz w:val="32"/>
          <w:szCs w:val="32"/>
          <w:lang w:eastAsia="zh-CN"/>
        </w:rPr>
        <w:t>第一项：“违反本法规定，有下列行为之一的，由县级以上人民政府生态环境主管部门责令改正，处二万元以上二十万元以下的罚款；拒不改正的，责令停产整治：（一）</w:t>
      </w:r>
      <w:r>
        <w:rPr>
          <w:rFonts w:hint="eastAsia" w:ascii="CESI仿宋-GB2312" w:hAnsi="CESI仿宋-GB2312" w:eastAsia="CESI仿宋-GB2312" w:cs="CESI仿宋-GB2312"/>
          <w:color w:val="000000"/>
          <w:sz w:val="32"/>
          <w:szCs w:val="32"/>
          <w:u w:val="none"/>
          <w:lang w:eastAsia="zh-CN"/>
        </w:rPr>
        <w:t>产生含挥发性有机物废气的生产和服务活动，应当在密闭空间或者设备中进行，并按照规定安装、使用污染防治设施，或者未采取减少废气排放措施”</w:t>
      </w:r>
      <w:r>
        <w:rPr>
          <w:rFonts w:hint="eastAsia" w:ascii="CESI仿宋-GB2312" w:hAnsi="CESI仿宋-GB2312" w:eastAsia="CESI仿宋-GB2312" w:cs="CESI仿宋-GB2312"/>
          <w:color w:val="000000"/>
          <w:sz w:val="32"/>
          <w:szCs w:val="32"/>
        </w:rPr>
        <w:t>的规定，</w:t>
      </w:r>
      <w:r>
        <w:rPr>
          <w:rFonts w:hint="eastAsia" w:ascii="CESI仿宋-GB2312" w:hAnsi="CESI仿宋-GB2312" w:eastAsia="CESI仿宋-GB2312" w:cs="CESI仿宋-GB2312"/>
          <w:color w:val="000000"/>
          <w:kern w:val="0"/>
          <w:sz w:val="32"/>
          <w:szCs w:val="32"/>
          <w:lang w:val="en-US" w:eastAsia="zh-CN" w:bidi="ar"/>
        </w:rPr>
        <w:t>我局决定对你单位未正常使用污染防治设施的违法行为作出以下处理决定：</w:t>
      </w:r>
    </w:p>
    <w:p w14:paraId="3860FF4D">
      <w:pPr>
        <w:keepNext w:val="0"/>
        <w:keepLines w:val="0"/>
        <w:pageBreakBefore w:val="0"/>
        <w:widowControl w:val="0"/>
        <w:kinsoku/>
        <w:wordWrap w:val="0"/>
        <w:overflowPunct/>
        <w:topLinePunct w:val="0"/>
        <w:autoSpaceDE/>
        <w:autoSpaceDN/>
        <w:bidi w:val="0"/>
        <w:adjustRightInd w:val="0"/>
        <w:snapToGrid w:val="0"/>
        <w:spacing w:line="580" w:lineRule="exact"/>
        <w:ind w:left="0" w:leftChars="0" w:firstLine="640" w:firstLineChars="200"/>
        <w:jc w:val="both"/>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给予罚款贰万捌仟伍佰伍拾元（28550元）的行政处罚。</w:t>
      </w:r>
    </w:p>
    <w:p w14:paraId="5539E7BC">
      <w:pPr>
        <w:keepNext w:val="0"/>
        <w:keepLines w:val="0"/>
        <w:pageBreakBefore w:val="0"/>
        <w:widowControl/>
        <w:kinsoku w:val="0"/>
        <w:wordWrap/>
        <w:overflowPunct/>
        <w:topLinePunct w:val="0"/>
        <w:autoSpaceDE w:val="0"/>
        <w:autoSpaceDN w:val="0"/>
        <w:bidi w:val="0"/>
        <w:adjustRightInd w:val="0"/>
        <w:snapToGrid w:val="0"/>
        <w:spacing w:line="58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三、行政处罚决定的履行方式和期限</w:t>
      </w:r>
    </w:p>
    <w:p w14:paraId="041B8E28">
      <w:pPr>
        <w:keepNext w:val="0"/>
        <w:keepLines w:val="0"/>
        <w:pageBreakBefore w:val="0"/>
        <w:wordWrap/>
        <w:overflowPunct/>
        <w:topLinePunct w:val="0"/>
        <w:bidi w:val="0"/>
        <w:adjustRightInd w:val="0"/>
        <w:snapToGrid w:val="0"/>
        <w:spacing w:line="580" w:lineRule="exact"/>
        <w:ind w:left="0" w:leftChars="0" w:right="0" w:firstLine="640" w:firstLineChars="200"/>
        <w:textAlignment w:val="auto"/>
        <w:outlineLvl w:val="9"/>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根据《中华人民共和国行政处罚法》和《罚款决定与罚款收缴分离实施办法》的规定，你单位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353282AE">
      <w:pPr>
        <w:keepNext w:val="0"/>
        <w:keepLines w:val="0"/>
        <w:pageBreakBefore w:val="0"/>
        <w:widowControl/>
        <w:wordWrap/>
        <w:overflowPunct/>
        <w:topLinePunct w:val="0"/>
        <w:bidi w:val="0"/>
        <w:spacing w:line="580" w:lineRule="exact"/>
        <w:ind w:left="0" w:leftChars="0" w:firstLine="640" w:firstLineChars="200"/>
        <w:jc w:val="left"/>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四、申请行政复议或提起行政诉讼的途径和期限</w:t>
      </w:r>
    </w:p>
    <w:p w14:paraId="72AB0794">
      <w:pPr>
        <w:keepNext w:val="0"/>
        <w:keepLines w:val="0"/>
        <w:pageBreakBefore w:val="0"/>
        <w:widowControl/>
        <w:suppressLineNumbers w:val="0"/>
        <w:overflowPunct/>
        <w:topLinePunct w:val="0"/>
        <w:bidi w:val="0"/>
        <w:spacing w:line="580" w:lineRule="exact"/>
        <w:ind w:left="0" w:leftChars="0" w:firstLine="640" w:firstLineChars="200"/>
        <w:jc w:val="both"/>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你单位如不服本处罚决定，可以在收到本处罚决定书之日起六十日内向焦作市人民政府申请行政复议，也可以在收到本处罚决定书之日起六个月内向郑州铁路运输法院提行政诉讼。申请行政复议或者提起行政诉讼，不停止行政处罚决定的执行。逾期不申请行政复议，不提起行政诉讼，又不履行本处罚决定的，我局将依法申请人民法院强制执行。</w:t>
      </w:r>
    </w:p>
    <w:p w14:paraId="71F4C6F3">
      <w:pPr>
        <w:keepNext w:val="0"/>
        <w:keepLines w:val="0"/>
        <w:pageBreakBefore w:val="0"/>
        <w:widowControl/>
        <w:suppressLineNumbers w:val="0"/>
        <w:overflowPunct/>
        <w:topLinePunct w:val="0"/>
        <w:bidi w:val="0"/>
        <w:spacing w:line="580" w:lineRule="exact"/>
        <w:ind w:left="0" w:leftChars="0"/>
        <w:jc w:val="left"/>
        <w:rPr>
          <w:rFonts w:hint="eastAsia" w:ascii="CESI仿宋-GB2312" w:hAnsi="CESI仿宋-GB2312" w:eastAsia="CESI仿宋-GB2312" w:cs="CESI仿宋-GB2312"/>
          <w:color w:val="auto"/>
          <w:sz w:val="32"/>
          <w:szCs w:val="32"/>
          <w:lang w:val="en-US" w:eastAsia="zh-CN"/>
        </w:rPr>
      </w:pPr>
    </w:p>
    <w:p w14:paraId="10E4AB06">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zh-CN"/>
        </w:rPr>
      </w:pPr>
    </w:p>
    <w:p w14:paraId="7CA57422">
      <w:pPr>
        <w:keepNext w:val="0"/>
        <w:keepLines w:val="0"/>
        <w:pageBreakBefore w:val="0"/>
        <w:widowControl w:val="0"/>
        <w:kinsoku/>
        <w:wordWrap/>
        <w:overflowPunct/>
        <w:topLinePunct w:val="0"/>
        <w:autoSpaceDE/>
        <w:autoSpaceDN/>
        <w:bidi w:val="0"/>
        <w:adjustRightInd/>
        <w:snapToGrid/>
        <w:spacing w:line="580" w:lineRule="exact"/>
        <w:ind w:left="4480" w:leftChars="0" w:hanging="4480" w:hangingChars="1400"/>
        <w:textAlignment w:val="auto"/>
        <w:rPr>
          <w:rFonts w:hint="eastAsia" w:ascii="CESI仿宋-GB2312" w:hAnsi="CESI仿宋-GB2312" w:eastAsia="CESI仿宋-GB2312" w:cs="CESI仿宋-GB2312"/>
          <w:color w:val="auto"/>
          <w:sz w:val="32"/>
          <w:szCs w:val="32"/>
          <w:lang w:val="en-US" w:eastAsia="zh-CN"/>
        </w:rPr>
      </w:pPr>
      <w:bookmarkStart w:id="3" w:name="_GoBack"/>
      <w:bookmarkEnd w:id="3"/>
    </w:p>
    <w:p w14:paraId="27D9C82C">
      <w:pPr>
        <w:keepNext w:val="0"/>
        <w:keepLines w:val="0"/>
        <w:pageBreakBefore w:val="0"/>
        <w:widowControl w:val="0"/>
        <w:kinsoku/>
        <w:wordWrap/>
        <w:overflowPunct/>
        <w:topLinePunct w:val="0"/>
        <w:autoSpaceDE/>
        <w:autoSpaceDN/>
        <w:bidi w:val="0"/>
        <w:adjustRightInd/>
        <w:snapToGrid/>
        <w:spacing w:line="580" w:lineRule="exact"/>
        <w:ind w:firstLine="5120" w:firstLineChars="16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2025年12月1日</w:t>
      </w:r>
    </w:p>
    <w:sectPr>
      <w:pgSz w:w="11906" w:h="16838"/>
      <w:pgMar w:top="1814"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汉仪中宋简">
    <w:altName w:val="宋体"/>
    <w:panose1 w:val="02010600000101010101"/>
    <w:charset w:val="86"/>
    <w:family w:val="auto"/>
    <w:pitch w:val="default"/>
    <w:sig w:usb0="00000000" w:usb1="00000000" w:usb2="00000002"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F721E4"/>
    <w:multiLevelType w:val="singleLevel"/>
    <w:tmpl w:val="1CF721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MjYzYjY0NDc3YWQ3MmM5M2UxZWVhYzAzYmFjZDQifQ=="/>
  </w:docVars>
  <w:rsids>
    <w:rsidRoot w:val="00000000"/>
    <w:rsid w:val="00750DF1"/>
    <w:rsid w:val="02AF37D1"/>
    <w:rsid w:val="03CE521F"/>
    <w:rsid w:val="04E64BE5"/>
    <w:rsid w:val="0B642AB9"/>
    <w:rsid w:val="0CEA6888"/>
    <w:rsid w:val="0FBD7408"/>
    <w:rsid w:val="1CCA6AFD"/>
    <w:rsid w:val="266F0A68"/>
    <w:rsid w:val="27660B1C"/>
    <w:rsid w:val="29AA0009"/>
    <w:rsid w:val="2CB74F17"/>
    <w:rsid w:val="2D1F7265"/>
    <w:rsid w:val="2D9340EB"/>
    <w:rsid w:val="32B904BF"/>
    <w:rsid w:val="3419666E"/>
    <w:rsid w:val="3C9D42A1"/>
    <w:rsid w:val="3DFB191C"/>
    <w:rsid w:val="40EC44BB"/>
    <w:rsid w:val="40FF333D"/>
    <w:rsid w:val="45FA48A6"/>
    <w:rsid w:val="47044AB7"/>
    <w:rsid w:val="53116184"/>
    <w:rsid w:val="55F45FE4"/>
    <w:rsid w:val="581D5B1D"/>
    <w:rsid w:val="5DA34444"/>
    <w:rsid w:val="60DF31A5"/>
    <w:rsid w:val="61F25ACE"/>
    <w:rsid w:val="627D7A8D"/>
    <w:rsid w:val="65CF4A80"/>
    <w:rsid w:val="725E5096"/>
    <w:rsid w:val="72717675"/>
    <w:rsid w:val="7D5D6252"/>
    <w:rsid w:val="7DFB9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autoRedefine/>
    <w:qFormat/>
    <w:uiPriority w:val="0"/>
  </w:style>
  <w:style w:type="table" w:default="1" w:styleId="4">
    <w:name w:val="Normal Table"/>
    <w:autoRedefine/>
    <w:qFormat/>
    <w:uiPriority w:val="0"/>
    <w:tblPr>
      <w:tblCellMar>
        <w:top w:w="0" w:type="dxa"/>
        <w:left w:w="108" w:type="dxa"/>
        <w:bottom w:w="0" w:type="dxa"/>
        <w:right w:w="108" w:type="dxa"/>
      </w:tblCellMar>
    </w:tblPr>
  </w:style>
  <w:style w:type="paragraph" w:styleId="2">
    <w:name w:val="Body Text"/>
    <w:basedOn w:val="1"/>
    <w:autoRedefine/>
    <w:qFormat/>
    <w:uiPriority w:val="0"/>
    <w:pPr>
      <w:jc w:val="center"/>
    </w:pPr>
    <w:rPr>
      <w:rFonts w:ascii="华文中宋" w:eastAsia="华文中宋"/>
      <w:b/>
      <w:bCs/>
      <w:sz w:val="44"/>
      <w:szCs w:val="36"/>
    </w:rPr>
  </w:style>
  <w:style w:type="paragraph" w:styleId="3">
    <w:name w:val="Normal (Web)"/>
    <w:basedOn w:val="1"/>
    <w:autoRedefine/>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1713</Words>
  <Characters>1908</Characters>
  <Paragraphs>25</Paragraphs>
  <TotalTime>13</TotalTime>
  <ScaleCrop>false</ScaleCrop>
  <LinksUpToDate>false</LinksUpToDate>
  <CharactersWithSpaces>1908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2022-02-22T01:06:00Z</dcterms:created>
  <dc:creator>Administrator</dc:creator>
  <cp:lastModifiedBy>WPS_1602085709</cp:lastModifiedBy>
  <cp:lastPrinted>2025-12-01T01:51:40Z</cp:lastPrinted>
  <dcterms:modified xsi:type="dcterms:W3CDTF">2025-12-01T01:52:11Z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A3F14A1D19914A03886C5E5F4DCB0C91_13</vt:lpwstr>
  </property>
  <property fmtid="{D5CDD505-2E9C-101B-9397-08002B2CF9AE}" pid="4" name="KSOTemplateDocerSaveRecord">
    <vt:lpwstr>eyJoZGlkIjoiMTBmNzZkZDU1NTlhNTE1YWU4NTQ0MjMzOTBjMzA0YmQiLCJ1c2VySWQiOiIxMTI4MzI1NTg2In0=</vt:lpwstr>
  </property>
</Properties>
</file>