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BFCC">
      <w:pPr>
        <w:keepNext w:val="0"/>
        <w:keepLines w:val="0"/>
        <w:pageBreakBefore w:val="0"/>
        <w:widowControl w:val="0"/>
        <w:kinsoku/>
        <w:wordWrap/>
        <w:overflowPunct/>
        <w:topLinePunct w:val="0"/>
        <w:autoSpaceDE/>
        <w:autoSpaceDN/>
        <w:bidi w:val="0"/>
        <w:spacing w:after="0" w:line="560" w:lineRule="exact"/>
        <w:ind w:left="0" w:leftChars="0" w:firstLine="0" w:firstLineChars="0"/>
        <w:jc w:val="both"/>
        <w:rPr>
          <w:rFonts w:hint="eastAsia" w:ascii="方正小标宋简体" w:hAnsi="方正小标宋简体" w:eastAsia="方正小标宋简体" w:cs="方正小标宋简体"/>
          <w:kern w:val="0"/>
          <w:sz w:val="44"/>
          <w:szCs w:val="44"/>
        </w:rPr>
      </w:pPr>
      <w:bookmarkStart w:id="0" w:name="_GoBack"/>
      <w:bookmarkEnd w:id="0"/>
    </w:p>
    <w:p w14:paraId="01285062">
      <w:pPr>
        <w:bidi w:val="0"/>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158B92C8">
      <w:pPr>
        <w:pStyle w:val="2"/>
        <w:keepNext w:val="0"/>
        <w:keepLines w:val="0"/>
        <w:pageBreakBefore w:val="0"/>
        <w:widowControl w:val="0"/>
        <w:kinsoku/>
        <w:wordWrap/>
        <w:overflowPunct/>
        <w:topLinePunct w:val="0"/>
        <w:autoSpaceDE/>
        <w:autoSpaceDN/>
        <w:bidi w:val="0"/>
        <w:adjustRightInd/>
        <w:snapToGrid/>
        <w:spacing w:after="20" w:line="560" w:lineRule="exact"/>
        <w:ind w:left="0" w:leftChars="0" w:firstLine="0" w:firstLineChars="0"/>
        <w:jc w:val="center"/>
        <w:textAlignment w:val="bottom"/>
        <w:rPr>
          <w:rFonts w:hint="eastAsia"/>
          <w:lang w:val="en-US" w:eastAsia="zh-CN"/>
        </w:rPr>
      </w:pP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〔2025〕3</w:t>
      </w:r>
      <w:r>
        <w:rPr>
          <w:rFonts w:hint="eastAsia" w:cs="仿宋"/>
          <w:sz w:val="32"/>
          <w:szCs w:val="20"/>
          <w:lang w:val="en-US" w:eastAsia="zh-CN"/>
        </w:rPr>
        <w:t>66</w:t>
      </w:r>
      <w:r>
        <w:rPr>
          <w:rFonts w:hint="eastAsia" w:ascii="仿宋_GB2312" w:hAnsi="仿宋_GB2312" w:eastAsia="仿宋_GB2312" w:cs="仿宋_GB2312"/>
          <w:color w:val="auto"/>
          <w:sz w:val="32"/>
          <w:szCs w:val="32"/>
          <w:lang w:val="en-US" w:eastAsia="zh-CN"/>
        </w:rPr>
        <w:t>号</w:t>
      </w:r>
    </w:p>
    <w:p w14:paraId="237AF79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焦作市鑫璐鞋业有限公司</w:t>
      </w:r>
    </w:p>
    <w:p w14:paraId="6AC6600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统一社会信用代码：</w:t>
      </w:r>
      <w:r>
        <w:rPr>
          <w:rFonts w:hint="eastAsia" w:ascii="Times New Roman" w:hAnsi="Times New Roman" w:eastAsia="仿宋_GB2312" w:cs="仿宋"/>
          <w:sz w:val="32"/>
          <w:szCs w:val="20"/>
          <w:lang w:val="en-US" w:eastAsia="zh-CN"/>
        </w:rPr>
        <w:t>91410825MA3XFPXJ8X</w:t>
      </w:r>
    </w:p>
    <w:p w14:paraId="520AEAC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地址：温县祥云镇大玉兰村工业区（</w:t>
      </w:r>
      <w:r>
        <w:rPr>
          <w:rFonts w:hint="eastAsia" w:ascii="Times New Roman" w:hAnsi="Times New Roman" w:eastAsia="仿宋_GB2312" w:cs="仿宋"/>
          <w:sz w:val="32"/>
          <w:szCs w:val="20"/>
          <w:lang w:val="en-US" w:eastAsia="zh-CN"/>
        </w:rPr>
        <w:t>村南500米）</w:t>
      </w:r>
    </w:p>
    <w:p w14:paraId="63C14EC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法定代表人（负责人）：朱鹏龙</w:t>
      </w:r>
    </w:p>
    <w:p w14:paraId="39799CF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一、违法事实和证据</w:t>
      </w:r>
    </w:p>
    <w:p w14:paraId="2CD3178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10月8日，我局执法人员对你单位进行了现场检查，你单位项目名称为年产50万双布胶（棉）鞋及20万双布鞋项目，你项目于2021年12月16日经焦作市生态环境局温县分局审批，文号为焦环审温〔2021〕44号，2022年10月完成项目自主竣工环保验收。主要产污环节有打磨工序产生的颗粒物，密炼、开炼、压胶、硫化和烘房及涂胶、粘合、烘干工序产生的非甲烷总烃、硫化氢和臭气，配套的污染防治设施有两套污染防治设施：一套为袋式除尘器和碱液喷淋+气液分离器+RCO催化燃烧装置（干式过滤器+活性炭浓缩吸附+催化燃烧）；另一套为袋式除尘器、旋流塔、除湿器、干式过滤器、活性炭吸附装置。现场检查时你单位一台2蒸吨的锅炉正在运行，两台硫化罐正在生产、涂胶、粘合、烘干工序正在生产，但是配套的RCO催化</w:t>
      </w:r>
      <w:r>
        <w:rPr>
          <w:rFonts w:hint="eastAsia" w:ascii="仿宋_GB2312" w:hAnsi="仿宋_GB2312" w:cs="仿宋_GB2312"/>
          <w:sz w:val="32"/>
          <w:szCs w:val="32"/>
          <w:lang w:val="en-US" w:eastAsia="zh-CN"/>
        </w:rPr>
        <w:t>燃烧装置风机未开启，</w:t>
      </w:r>
      <w:r>
        <w:rPr>
          <w:rFonts w:hint="eastAsia" w:ascii="Times New Roman" w:hAnsi="Times New Roman" w:eastAsia="仿宋_GB2312" w:cs="仿宋"/>
          <w:sz w:val="32"/>
          <w:szCs w:val="20"/>
          <w:lang w:val="en-US" w:eastAsia="zh-CN"/>
        </w:rPr>
        <w:t>RCO催化燃烧装置未运行；另一套废气处理设施同样未开启。存在未按要求运行有机废气污染防治设施的行为。</w:t>
      </w:r>
    </w:p>
    <w:p w14:paraId="1FA576C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Times New Roman" w:hAnsi="Times New Roman" w:eastAsia="仿宋_GB2312" w:cs="仿宋"/>
          <w:sz w:val="32"/>
          <w:szCs w:val="20"/>
          <w:lang w:val="en-US" w:eastAsia="zh-CN"/>
        </w:rPr>
        <w:t>你单位上述行为违反了《中华人民共和国大气污染防治法》第四十五条“产生含挥发</w:t>
      </w:r>
      <w:r>
        <w:rPr>
          <w:rFonts w:hint="eastAsia" w:ascii="仿宋_GB2312" w:hAnsi="仿宋_GB2312" w:cs="仿宋_GB2312"/>
          <w:sz w:val="32"/>
          <w:szCs w:val="32"/>
          <w:lang w:val="en-US" w:eastAsia="zh-CN"/>
        </w:rPr>
        <w:t>性有机物废气的生产和服务活动，应当在密闭空间或设备中进行，并按照规定安装、使用污染防治设施；无法密闭的，应当采取措施减少废气排放”的规定。</w:t>
      </w:r>
    </w:p>
    <w:p w14:paraId="111D6F2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以上事实有以下证据：</w:t>
      </w:r>
    </w:p>
    <w:p w14:paraId="4E393A6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1.现场检查(勘察)</w:t>
      </w:r>
      <w:r>
        <w:rPr>
          <w:rFonts w:hint="eastAsia" w:ascii="Times New Roman" w:hAnsi="Times New Roman" w:eastAsia="仿宋_GB2312" w:cs="仿宋"/>
          <w:sz w:val="32"/>
          <w:szCs w:val="20"/>
          <w:lang w:val="en-US" w:eastAsia="zh-CN"/>
        </w:rPr>
        <w:t>笔录(2025年10月8日</w:t>
      </w:r>
      <w:r>
        <w:rPr>
          <w:rFonts w:hint="eastAsia" w:ascii="仿宋_GB2312" w:hAnsi="仿宋_GB2312" w:cs="仿宋_GB2312"/>
          <w:sz w:val="32"/>
          <w:szCs w:val="32"/>
          <w:lang w:val="en-US" w:eastAsia="zh-CN"/>
        </w:rPr>
        <w:t>)，证明你单位存在未按要求运行有机废气污染防治设施的行为;</w:t>
      </w:r>
    </w:p>
    <w:p w14:paraId="0CF332E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2.调查询问</w:t>
      </w:r>
      <w:r>
        <w:rPr>
          <w:rFonts w:hint="eastAsia" w:ascii="Times New Roman" w:hAnsi="Times New Roman" w:eastAsia="仿宋_GB2312" w:cs="仿宋"/>
          <w:sz w:val="32"/>
          <w:szCs w:val="20"/>
          <w:lang w:val="en-US" w:eastAsia="zh-CN"/>
        </w:rPr>
        <w:t>笔录(2025年10月15日对</w:t>
      </w:r>
      <w:r>
        <w:rPr>
          <w:rFonts w:hint="eastAsia" w:ascii="仿宋_GB2312" w:hAnsi="仿宋_GB2312" w:cs="仿宋_GB2312"/>
          <w:sz w:val="32"/>
          <w:szCs w:val="32"/>
          <w:lang w:val="en-US" w:eastAsia="zh-CN"/>
        </w:rPr>
        <w:t>你单位生产副总杨进才的调查询问笔</w:t>
      </w:r>
      <w:r>
        <w:rPr>
          <w:rFonts w:hint="eastAsia" w:ascii="Times New Roman" w:hAnsi="Times New Roman" w:eastAsia="仿宋_GB2312" w:cs="仿宋"/>
          <w:sz w:val="32"/>
          <w:szCs w:val="20"/>
          <w:lang w:val="en-US" w:eastAsia="zh-CN"/>
        </w:rPr>
        <w:t>录)，证</w:t>
      </w:r>
      <w:r>
        <w:rPr>
          <w:rFonts w:hint="eastAsia" w:ascii="仿宋_GB2312" w:hAnsi="仿宋_GB2312" w:cs="仿宋_GB2312"/>
          <w:sz w:val="32"/>
          <w:szCs w:val="32"/>
          <w:lang w:val="en-US" w:eastAsia="zh-CN"/>
        </w:rPr>
        <w:t>明你单位未按要求运行有机废气污染防治设施的事实;</w:t>
      </w:r>
    </w:p>
    <w:p w14:paraId="430DDC7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3.现场勘查示意图</w:t>
      </w:r>
      <w:r>
        <w:rPr>
          <w:rFonts w:hint="eastAsia" w:ascii="Times New Roman" w:hAnsi="Times New Roman" w:eastAsia="仿宋_GB2312" w:cs="仿宋"/>
          <w:sz w:val="32"/>
          <w:szCs w:val="20"/>
          <w:lang w:val="en-US" w:eastAsia="zh-CN"/>
        </w:rPr>
        <w:t>(2025年10月8日)；</w:t>
      </w:r>
    </w:p>
    <w:p w14:paraId="67B98D7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4.营业执照复印件。证明你单位主体资格;</w:t>
      </w:r>
    </w:p>
    <w:p w14:paraId="15470F4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5.现场照片、视频，证明执法过程现场情况；</w:t>
      </w:r>
    </w:p>
    <w:p w14:paraId="36F91C9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6.年产</w:t>
      </w:r>
      <w:r>
        <w:rPr>
          <w:rFonts w:hint="eastAsia" w:ascii="Times New Roman" w:hAnsi="Times New Roman" w:eastAsia="仿宋_GB2312" w:cs="仿宋"/>
          <w:sz w:val="32"/>
          <w:szCs w:val="20"/>
          <w:lang w:val="en-US" w:eastAsia="zh-CN"/>
        </w:rPr>
        <w:t>50万双布胶（棉）鞋及20</w:t>
      </w:r>
      <w:r>
        <w:rPr>
          <w:rFonts w:hint="eastAsia" w:ascii="仿宋_GB2312" w:hAnsi="仿宋_GB2312" w:cs="仿宋_GB2312"/>
          <w:sz w:val="32"/>
          <w:szCs w:val="32"/>
          <w:lang w:val="en-US" w:eastAsia="zh-CN"/>
        </w:rPr>
        <w:t>万双布鞋项目环境影响报告表(摘录)及批复文件证明你单位工艺及配套的污染防治设施;</w:t>
      </w:r>
    </w:p>
    <w:p w14:paraId="223182B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7.固定污染源排污许可登记回执证明你单位的管理类别；</w:t>
      </w:r>
    </w:p>
    <w:p w14:paraId="26B7062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8.其他证据材料。  </w:t>
      </w:r>
    </w:p>
    <w:p w14:paraId="0FFF97C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10月26日我局向你单位送达了《行政处罚事先（听证）告知书》（焦温环先告〔2025〕27号)，告知你公司对我局拟作出的行政处罚有权进行陈述申辩。以上事实有《行政处罚事先（听证）告知书》（焦温环先告〔2025〕2</w:t>
      </w:r>
      <w:r>
        <w:rPr>
          <w:rFonts w:hint="eastAsia" w:cs="仿宋"/>
          <w:sz w:val="32"/>
          <w:szCs w:val="20"/>
          <w:lang w:val="en-US" w:eastAsia="zh-CN"/>
        </w:rPr>
        <w:t>7</w:t>
      </w:r>
      <w:r>
        <w:rPr>
          <w:rFonts w:hint="eastAsia" w:ascii="Times New Roman" w:hAnsi="Times New Roman" w:eastAsia="仿宋_GB2312" w:cs="仿宋"/>
          <w:sz w:val="32"/>
          <w:szCs w:val="20"/>
          <w:lang w:val="en-US" w:eastAsia="zh-CN"/>
        </w:rPr>
        <w:t>号)和《送达回执》等为证，你</w:t>
      </w:r>
      <w:r>
        <w:rPr>
          <w:rFonts w:hint="eastAsia" w:cs="仿宋"/>
          <w:sz w:val="32"/>
          <w:szCs w:val="20"/>
          <w:lang w:val="en-US" w:eastAsia="zh-CN"/>
        </w:rPr>
        <w:t>单位</w:t>
      </w:r>
      <w:r>
        <w:rPr>
          <w:rFonts w:hint="eastAsia" w:ascii="Times New Roman" w:hAnsi="Times New Roman" w:eastAsia="仿宋_GB2312" w:cs="仿宋"/>
          <w:sz w:val="32"/>
          <w:szCs w:val="20"/>
          <w:lang w:val="en-US" w:eastAsia="zh-CN"/>
        </w:rPr>
        <w:t>在规定的时间内未提出申诉、申辩。我局认为你</w:t>
      </w:r>
      <w:r>
        <w:rPr>
          <w:rFonts w:hint="eastAsia" w:cs="仿宋"/>
          <w:sz w:val="32"/>
          <w:szCs w:val="20"/>
          <w:lang w:val="en-US" w:eastAsia="zh-CN"/>
        </w:rPr>
        <w:t>单位</w:t>
      </w:r>
      <w:r>
        <w:rPr>
          <w:rFonts w:hint="eastAsia" w:ascii="Times New Roman" w:hAnsi="Times New Roman" w:eastAsia="仿宋_GB2312" w:cs="仿宋"/>
          <w:sz w:val="32"/>
          <w:szCs w:val="20"/>
          <w:lang w:val="en-US" w:eastAsia="zh-CN"/>
        </w:rPr>
        <w:t>放弃了这些权利。</w:t>
      </w:r>
    </w:p>
    <w:p w14:paraId="243909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二、行政处罚的依据、种类 </w:t>
      </w:r>
    </w:p>
    <w:p w14:paraId="423F110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依据《中华人民共和国行政处罚法》第二十八条第一款和《中</w:t>
      </w:r>
    </w:p>
    <w:p w14:paraId="57A0969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华人民共和国大气污染防治法》第一百零八条第一项“违反本法</w:t>
      </w:r>
    </w:p>
    <w:p w14:paraId="6A2529B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规定，有下列行为之一的，由县级以上人民政府生态环境主管部</w:t>
      </w:r>
    </w:p>
    <w:p w14:paraId="05B00C0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门责令改正，处二万元以上二十万元以下的罚款；拒不改正的，</w:t>
      </w:r>
    </w:p>
    <w:p w14:paraId="0FE07D5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责令停产整治：（一）产生含挥发性有机物废气的生产和服务活动，未在密闭空间或者设备中进行，未按照规定安装、使用污染防治设施，或者未采取减少废气排放措施的；”的规定， 根据该单位违法行为的事实、性质、情节、社会危害程度和相关证据，参照《河南省生态环境行政处罚裁量基准》</w:t>
      </w:r>
      <w:r>
        <w:rPr>
          <w:rFonts w:hint="eastAsia" w:ascii="Times New Roman" w:hAnsi="Times New Roman" w:eastAsia="仿宋_GB2312" w:cs="仿宋"/>
          <w:sz w:val="32"/>
          <w:szCs w:val="20"/>
          <w:lang w:val="en-US" w:eastAsia="zh-CN"/>
        </w:rPr>
        <w:t xml:space="preserve">（豫环办〔2022〕72 </w:t>
      </w:r>
      <w:r>
        <w:rPr>
          <w:rFonts w:hint="eastAsia" w:ascii="仿宋_GB2312" w:hAnsi="仿宋_GB2312" w:cs="仿宋_GB2312"/>
          <w:sz w:val="32"/>
          <w:szCs w:val="32"/>
          <w:lang w:val="en-US" w:eastAsia="zh-CN"/>
        </w:rPr>
        <w:t>号），结合当事人该违法行为事实，裁量内容如下：</w:t>
      </w:r>
    </w:p>
    <w:p w14:paraId="135A8C4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A.★违法事实判定标准：未按要求密闭/未规范使用污染防治设施，裁量等级为 1； </w:t>
      </w:r>
    </w:p>
    <w:p w14:paraId="736F716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B1.涉及行业：涂装、印刷、包装、粘合等含挥发性有机物的产品使用，基础化学原料制造、化学药品原料药制造等含挥发性有机物的产品生产，裁量等级为2；</w:t>
      </w:r>
    </w:p>
    <w:p w14:paraId="4F51C1D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B2.生产和服务活动地点：符合环境功能区划，裁量等级为 1； </w:t>
      </w:r>
    </w:p>
    <w:p w14:paraId="41B20A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B3.企业规模判定标准：小型企业，裁量等级为2； </w:t>
      </w:r>
    </w:p>
    <w:p w14:paraId="284AA1C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B4.管理类别：登记管理，裁量等级为1； </w:t>
      </w:r>
    </w:p>
    <w:p w14:paraId="14C9107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B5.违法行为持续时间：1个月以下，裁量等级为1； </w:t>
      </w:r>
    </w:p>
    <w:p w14:paraId="73FD1D8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B6.超过限期改正时间：限期改正，裁量等级为1； </w:t>
      </w:r>
    </w:p>
    <w:p w14:paraId="1732A03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B7.受处罚次数：两年内未受到同类处罚，裁量等级为1； </w:t>
      </w:r>
    </w:p>
    <w:p w14:paraId="065D0C1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B8.是否配合执法检查：配合调查，裁量等级为1。 </w:t>
      </w:r>
    </w:p>
    <w:p w14:paraId="20EC338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10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处罚金额计算 结合本案案情，将各项裁量因素等级套入公式中进行计算得出：</w:t>
      </w:r>
    </w:p>
    <w:tbl>
      <w:tblPr>
        <w:tblStyle w:val="5"/>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gridCol w:w="687"/>
      </w:tblGrid>
      <w:tr w14:paraId="2B05A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noWrap w:val="0"/>
            <w:vAlign w:val="top"/>
          </w:tcPr>
          <w:p w14:paraId="70D0D475">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参数</w:t>
            </w:r>
          </w:p>
        </w:tc>
        <w:tc>
          <w:tcPr>
            <w:tcW w:w="600" w:type="dxa"/>
            <w:noWrap w:val="0"/>
            <w:vAlign w:val="top"/>
          </w:tcPr>
          <w:p w14:paraId="7D5712A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615" w:type="dxa"/>
            <w:noWrap w:val="0"/>
            <w:vAlign w:val="top"/>
          </w:tcPr>
          <w:p w14:paraId="2F5A6485">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M</w:t>
            </w:r>
          </w:p>
        </w:tc>
        <w:tc>
          <w:tcPr>
            <w:tcW w:w="480" w:type="dxa"/>
            <w:noWrap w:val="0"/>
            <w:vAlign w:val="top"/>
          </w:tcPr>
          <w:p w14:paraId="6FC5824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A</w:t>
            </w:r>
          </w:p>
        </w:tc>
        <w:tc>
          <w:tcPr>
            <w:tcW w:w="561" w:type="dxa"/>
            <w:noWrap w:val="0"/>
            <w:vAlign w:val="top"/>
          </w:tcPr>
          <w:p w14:paraId="344D2883">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573" w:type="dxa"/>
            <w:noWrap w:val="0"/>
            <w:vAlign w:val="top"/>
          </w:tcPr>
          <w:p w14:paraId="2DCCE90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4FF0440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2</w:t>
            </w:r>
          </w:p>
        </w:tc>
        <w:tc>
          <w:tcPr>
            <w:tcW w:w="690" w:type="dxa"/>
            <w:noWrap w:val="0"/>
            <w:vAlign w:val="top"/>
          </w:tcPr>
          <w:p w14:paraId="064B40F6">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3</w:t>
            </w:r>
          </w:p>
        </w:tc>
        <w:tc>
          <w:tcPr>
            <w:tcW w:w="675" w:type="dxa"/>
            <w:noWrap w:val="0"/>
            <w:vAlign w:val="top"/>
          </w:tcPr>
          <w:p w14:paraId="27EC16E3">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B4</w:t>
            </w:r>
          </w:p>
        </w:tc>
        <w:tc>
          <w:tcPr>
            <w:tcW w:w="645" w:type="dxa"/>
            <w:noWrap w:val="0"/>
            <w:vAlign w:val="top"/>
          </w:tcPr>
          <w:p w14:paraId="02C8286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B5</w:t>
            </w:r>
          </w:p>
        </w:tc>
        <w:tc>
          <w:tcPr>
            <w:tcW w:w="609" w:type="dxa"/>
            <w:noWrap w:val="0"/>
            <w:vAlign w:val="top"/>
          </w:tcPr>
          <w:p w14:paraId="1BAEB97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B6</w:t>
            </w:r>
          </w:p>
        </w:tc>
        <w:tc>
          <w:tcPr>
            <w:tcW w:w="672" w:type="dxa"/>
            <w:noWrap w:val="0"/>
            <w:vAlign w:val="top"/>
          </w:tcPr>
          <w:p w14:paraId="78B0417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B7</w:t>
            </w:r>
          </w:p>
        </w:tc>
        <w:tc>
          <w:tcPr>
            <w:tcW w:w="687" w:type="dxa"/>
            <w:noWrap w:val="0"/>
            <w:vAlign w:val="top"/>
          </w:tcPr>
          <w:p w14:paraId="4877136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B8</w:t>
            </w:r>
          </w:p>
        </w:tc>
      </w:tr>
      <w:tr w14:paraId="744C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noWrap w:val="0"/>
            <w:vAlign w:val="top"/>
          </w:tcPr>
          <w:p w14:paraId="47F1840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取值</w:t>
            </w:r>
          </w:p>
        </w:tc>
        <w:tc>
          <w:tcPr>
            <w:tcW w:w="600" w:type="dxa"/>
            <w:noWrap w:val="0"/>
            <w:vAlign w:val="top"/>
          </w:tcPr>
          <w:p w14:paraId="7114E36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5F2BCBBC">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20</w:t>
            </w:r>
          </w:p>
        </w:tc>
        <w:tc>
          <w:tcPr>
            <w:tcW w:w="480" w:type="dxa"/>
            <w:noWrap w:val="0"/>
            <w:vAlign w:val="top"/>
          </w:tcPr>
          <w:p w14:paraId="2D71977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561" w:type="dxa"/>
            <w:noWrap w:val="0"/>
            <w:vAlign w:val="top"/>
          </w:tcPr>
          <w:p w14:paraId="40A436D5">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8</w:t>
            </w:r>
          </w:p>
        </w:tc>
        <w:tc>
          <w:tcPr>
            <w:tcW w:w="573" w:type="dxa"/>
            <w:noWrap w:val="0"/>
            <w:vAlign w:val="top"/>
          </w:tcPr>
          <w:p w14:paraId="10FC3A76">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466FBC30">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1</w:t>
            </w:r>
          </w:p>
        </w:tc>
        <w:tc>
          <w:tcPr>
            <w:tcW w:w="690" w:type="dxa"/>
            <w:noWrap w:val="0"/>
            <w:vAlign w:val="top"/>
          </w:tcPr>
          <w:p w14:paraId="3AA9987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cs="仿宋_GB2312"/>
                <w:color w:val="3E3E3E"/>
                <w:kern w:val="0"/>
                <w:sz w:val="32"/>
                <w:szCs w:val="32"/>
                <w:shd w:val="clear" w:color="auto" w:fill="FFFFFF"/>
                <w:lang w:val="en-US" w:eastAsia="zh-CN"/>
              </w:rPr>
              <w:t>2</w:t>
            </w:r>
          </w:p>
        </w:tc>
        <w:tc>
          <w:tcPr>
            <w:tcW w:w="675" w:type="dxa"/>
            <w:noWrap w:val="0"/>
            <w:vAlign w:val="top"/>
          </w:tcPr>
          <w:p w14:paraId="2C609F40">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cs="仿宋_GB2312"/>
                <w:color w:val="3E3E3E"/>
                <w:kern w:val="0"/>
                <w:sz w:val="32"/>
                <w:szCs w:val="32"/>
                <w:shd w:val="clear" w:color="auto" w:fill="FFFFFF"/>
                <w:lang w:val="en-US" w:eastAsia="zh-CN"/>
              </w:rPr>
              <w:t>1</w:t>
            </w:r>
          </w:p>
        </w:tc>
        <w:tc>
          <w:tcPr>
            <w:tcW w:w="645" w:type="dxa"/>
            <w:noWrap w:val="0"/>
            <w:vAlign w:val="top"/>
          </w:tcPr>
          <w:p w14:paraId="0428430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09" w:type="dxa"/>
            <w:noWrap w:val="0"/>
            <w:vAlign w:val="top"/>
          </w:tcPr>
          <w:p w14:paraId="460B3363">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2" w:type="dxa"/>
            <w:noWrap w:val="0"/>
            <w:vAlign w:val="top"/>
          </w:tcPr>
          <w:p w14:paraId="2B7BF5B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87" w:type="dxa"/>
            <w:noWrap w:val="0"/>
            <w:vAlign w:val="top"/>
          </w:tcPr>
          <w:p w14:paraId="2A83A6A3">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r>
    </w:tbl>
    <w:p w14:paraId="76B2AEC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X=2+（20-2）×[(1/5</w:t>
      </w:r>
      <w:r>
        <w:rPr>
          <w:rFonts w:hint="eastAsia" w:ascii="仿宋_GB2312" w:hAnsi="仿宋_GB2312" w:cs="仿宋_GB2312"/>
          <w:sz w:val="32"/>
          <w:szCs w:val="32"/>
          <w:vertAlign w:val="superscript"/>
          <w:lang w:val="en-US" w:eastAsia="zh-CN"/>
        </w:rPr>
        <w:t>2</w:t>
      </w:r>
      <w:r>
        <w:rPr>
          <w:rFonts w:hint="eastAsia" w:ascii="仿宋_GB2312" w:hAnsi="仿宋_GB2312" w:cs="仿宋_GB2312"/>
          <w:sz w:val="32"/>
          <w:szCs w:val="32"/>
          <w:lang w:val="en-US" w:eastAsia="zh-CN"/>
        </w:rPr>
        <w:t>+（2</w:t>
      </w:r>
      <w:r>
        <w:rPr>
          <w:rFonts w:hint="eastAsia" w:ascii="仿宋_GB2312" w:hAnsi="仿宋_GB2312" w:cs="仿宋_GB2312"/>
          <w:sz w:val="32"/>
          <w:szCs w:val="32"/>
          <w:vertAlign w:val="superscript"/>
          <w:lang w:val="en-US" w:eastAsia="zh-CN"/>
        </w:rPr>
        <w:t>2</w:t>
      </w:r>
      <w:r>
        <w:rPr>
          <w:rFonts w:hint="eastAsia" w:ascii="仿宋_GB2312" w:hAnsi="仿宋_GB2312" w:cs="仿宋_GB2312"/>
          <w:sz w:val="32"/>
          <w:szCs w:val="32"/>
          <w:lang w:val="en-US" w:eastAsia="zh-CN"/>
        </w:rPr>
        <w:t>+1+2</w:t>
      </w:r>
      <w:r>
        <w:rPr>
          <w:rFonts w:hint="eastAsia" w:ascii="仿宋_GB2312" w:hAnsi="仿宋_GB2312" w:cs="仿宋_GB2312"/>
          <w:sz w:val="32"/>
          <w:szCs w:val="32"/>
          <w:vertAlign w:val="superscript"/>
          <w:lang w:val="en-US" w:eastAsia="zh-CN"/>
        </w:rPr>
        <w:t>2</w:t>
      </w:r>
      <w:r>
        <w:rPr>
          <w:rFonts w:hint="eastAsia" w:ascii="仿宋_GB2312" w:hAnsi="仿宋_GB2312" w:cs="仿宋_GB2312"/>
          <w:sz w:val="32"/>
          <w:szCs w:val="32"/>
          <w:lang w:val="en-US" w:eastAsia="zh-CN"/>
        </w:rPr>
        <w:t>+1+1+1+1+1）/（5</w:t>
      </w:r>
      <w:r>
        <w:rPr>
          <w:rFonts w:hint="eastAsia" w:ascii="仿宋_GB2312" w:hAnsi="仿宋_GB2312" w:cs="仿宋_GB2312"/>
          <w:sz w:val="32"/>
          <w:szCs w:val="32"/>
          <w:vertAlign w:val="superscript"/>
          <w:lang w:val="en-US" w:eastAsia="zh-CN"/>
        </w:rPr>
        <w:t>2</w:t>
      </w:r>
      <w:r>
        <w:rPr>
          <w:rFonts w:hint="eastAsia" w:ascii="仿宋_GB2312" w:hAnsi="仿宋_GB2312" w:cs="仿宋_GB2312"/>
          <w:sz w:val="32"/>
          <w:szCs w:val="32"/>
          <w:lang w:val="en-US" w:eastAsia="zh-CN"/>
        </w:rPr>
        <w:t>×8）]×50% =2.99万元</w:t>
      </w:r>
    </w:p>
    <w:p w14:paraId="7CE21B2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经裁量计算及讨论研究，我局决定对你单位未按要求使用有机废气处理设施的违法行为作出以下处理决定：</w:t>
      </w:r>
    </w:p>
    <w:p w14:paraId="698680E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处贰万玖仟玖佰元</w:t>
      </w:r>
      <w:r>
        <w:rPr>
          <w:rFonts w:hint="eastAsia" w:ascii="Times New Roman" w:hAnsi="Times New Roman" w:eastAsia="仿宋_GB2312" w:cs="仿宋"/>
          <w:sz w:val="32"/>
          <w:szCs w:val="20"/>
          <w:lang w:val="en-US" w:eastAsia="zh-CN"/>
        </w:rPr>
        <w:t>罚款（2.</w:t>
      </w:r>
      <w:r>
        <w:rPr>
          <w:rFonts w:hint="eastAsia" w:cs="仿宋"/>
          <w:sz w:val="32"/>
          <w:szCs w:val="20"/>
          <w:lang w:val="en-US" w:eastAsia="zh-CN"/>
        </w:rPr>
        <w:t>99</w:t>
      </w:r>
      <w:r>
        <w:rPr>
          <w:rFonts w:hint="eastAsia" w:ascii="Times New Roman" w:hAnsi="Times New Roman" w:eastAsia="仿宋_GB2312" w:cs="仿宋"/>
          <w:sz w:val="32"/>
          <w:szCs w:val="20"/>
          <w:lang w:val="en-US" w:eastAsia="zh-CN"/>
        </w:rPr>
        <w:t>万元）。</w:t>
      </w:r>
    </w:p>
    <w:p w14:paraId="6CDB08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黑体" w:hAnsi="黑体" w:eastAsia="黑体" w:cs="黑体"/>
          <w:sz w:val="32"/>
          <w:szCs w:val="32"/>
          <w:lang w:val="en-US" w:eastAsia="zh-CN"/>
        </w:rPr>
        <w:t>三、行政处罚决定的履行方式和期限</w:t>
      </w:r>
      <w:r>
        <w:rPr>
          <w:rFonts w:hint="eastAsia" w:ascii="仿宋_GB2312" w:hAnsi="仿宋_GB2312" w:cs="仿宋_GB2312"/>
          <w:sz w:val="32"/>
          <w:szCs w:val="32"/>
          <w:lang w:val="en-US" w:eastAsia="zh-CN"/>
        </w:rPr>
        <w:t xml:space="preserve"> </w:t>
      </w:r>
    </w:p>
    <w:p w14:paraId="2A48FCB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根据《中华人民共和国行政处罚法》和《罚款决定与罚款收缴分离实施办法》的规定，你单位应当自收到本决定书之日起</w:t>
      </w:r>
      <w:r>
        <w:rPr>
          <w:rFonts w:hint="eastAsia" w:ascii="Times New Roman" w:hAnsi="Times New Roman" w:eastAsia="仿宋_GB2312" w:cs="仿宋"/>
          <w:sz w:val="32"/>
          <w:szCs w:val="20"/>
          <w:lang w:val="en-US" w:eastAsia="zh-CN"/>
        </w:rPr>
        <w:t>15日内将罚款缴至指定银行和账号： </w:t>
      </w:r>
    </w:p>
    <w:p w14:paraId="2429B4E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户  名：焦作市财政局非税收入财政专户；</w:t>
      </w:r>
    </w:p>
    <w:p w14:paraId="65BB391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开户行：邮政储蓄银行民主南路支行；</w:t>
      </w:r>
    </w:p>
    <w:p w14:paraId="0D1D32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银行账号：</w:t>
      </w:r>
      <w:r>
        <w:rPr>
          <w:rFonts w:hint="eastAsia" w:ascii="Times New Roman" w:hAnsi="Times New Roman" w:eastAsia="仿宋_GB2312" w:cs="仿宋"/>
          <w:sz w:val="32"/>
          <w:szCs w:val="20"/>
          <w:lang w:val="en-US" w:eastAsia="zh-CN"/>
        </w:rPr>
        <w:t>100195545980010001</w:t>
      </w:r>
    </w:p>
    <w:p w14:paraId="0AAA4A3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缴纳罚款后，应将缴款凭据报送我局备案。逾期不缴纳罚款的，我局将依法采取行政强制措施。 </w:t>
      </w:r>
    </w:p>
    <w:p w14:paraId="00C35C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四、申请行政复议或提起行政诉讼的途径和期限</w:t>
      </w:r>
    </w:p>
    <w:p w14:paraId="69FC94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单位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DE13A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到期不缴纳罚款的，我局可以根据《中华人民共和国行政处罚法》第七十二条第一款第一项规定，每日按罚款数额的3%加处罚款。逾期不申请行政复议，不提起行政诉讼，又不履行本处罚决定的，我局将依法申请人民法院强制执行。 </w:t>
      </w:r>
    </w:p>
    <w:p w14:paraId="12C6ED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D53DE1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52E01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A6ADC3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4800" w:firstLineChars="15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2025年11月2</w:t>
      </w:r>
      <w:r>
        <w:rPr>
          <w:rFonts w:hint="eastAsia" w:cs="仿宋"/>
          <w:sz w:val="32"/>
          <w:szCs w:val="20"/>
          <w:lang w:val="en-US" w:eastAsia="zh-CN"/>
        </w:rPr>
        <w:t>8</w:t>
      </w:r>
      <w:r>
        <w:rPr>
          <w:rFonts w:hint="eastAsia" w:ascii="Times New Roman" w:hAnsi="Times New Roman" w:eastAsia="仿宋_GB2312" w:cs="仿宋"/>
          <w:sz w:val="32"/>
          <w:szCs w:val="20"/>
          <w:lang w:val="en-US" w:eastAsia="zh-CN"/>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514AB6"/>
    <w:rsid w:val="05077C19"/>
    <w:rsid w:val="05CA048C"/>
    <w:rsid w:val="06DF5ACD"/>
    <w:rsid w:val="07013F3A"/>
    <w:rsid w:val="07A95C52"/>
    <w:rsid w:val="08BD07F2"/>
    <w:rsid w:val="09176D56"/>
    <w:rsid w:val="0A6E634A"/>
    <w:rsid w:val="0B696D19"/>
    <w:rsid w:val="0CBB2DDD"/>
    <w:rsid w:val="0CDC3D79"/>
    <w:rsid w:val="0D186481"/>
    <w:rsid w:val="10125409"/>
    <w:rsid w:val="10C02BFC"/>
    <w:rsid w:val="121249FE"/>
    <w:rsid w:val="12A35A32"/>
    <w:rsid w:val="15771AFC"/>
    <w:rsid w:val="1600775C"/>
    <w:rsid w:val="19CD0264"/>
    <w:rsid w:val="1C1943F5"/>
    <w:rsid w:val="1E82375A"/>
    <w:rsid w:val="20F3684E"/>
    <w:rsid w:val="256127FD"/>
    <w:rsid w:val="26F543A3"/>
    <w:rsid w:val="29242DC7"/>
    <w:rsid w:val="2980344D"/>
    <w:rsid w:val="29AE7AF9"/>
    <w:rsid w:val="2B162E29"/>
    <w:rsid w:val="2BF8505C"/>
    <w:rsid w:val="2C1A3224"/>
    <w:rsid w:val="2FF918ED"/>
    <w:rsid w:val="31205564"/>
    <w:rsid w:val="31F97D80"/>
    <w:rsid w:val="32D968D7"/>
    <w:rsid w:val="332E1CAB"/>
    <w:rsid w:val="33726108"/>
    <w:rsid w:val="34E02B31"/>
    <w:rsid w:val="37F169BE"/>
    <w:rsid w:val="38A76271"/>
    <w:rsid w:val="3BE07D4F"/>
    <w:rsid w:val="3C8D0788"/>
    <w:rsid w:val="3F762A0F"/>
    <w:rsid w:val="3FE16C80"/>
    <w:rsid w:val="430F11B1"/>
    <w:rsid w:val="4424559D"/>
    <w:rsid w:val="44DD3767"/>
    <w:rsid w:val="458F0387"/>
    <w:rsid w:val="479C20ED"/>
    <w:rsid w:val="48BB3824"/>
    <w:rsid w:val="4B93737C"/>
    <w:rsid w:val="4BC24D76"/>
    <w:rsid w:val="4EEF5D9A"/>
    <w:rsid w:val="4FA820B3"/>
    <w:rsid w:val="504C0E58"/>
    <w:rsid w:val="51286052"/>
    <w:rsid w:val="52344790"/>
    <w:rsid w:val="52E361B6"/>
    <w:rsid w:val="52E71DA7"/>
    <w:rsid w:val="532C785A"/>
    <w:rsid w:val="54496D13"/>
    <w:rsid w:val="54B24092"/>
    <w:rsid w:val="567F1D52"/>
    <w:rsid w:val="572E3365"/>
    <w:rsid w:val="59865899"/>
    <w:rsid w:val="5B527D19"/>
    <w:rsid w:val="5B6A28A5"/>
    <w:rsid w:val="5C6043D4"/>
    <w:rsid w:val="5D647EF4"/>
    <w:rsid w:val="5DE552CA"/>
    <w:rsid w:val="5E8C325E"/>
    <w:rsid w:val="60236652"/>
    <w:rsid w:val="604907EE"/>
    <w:rsid w:val="64116420"/>
    <w:rsid w:val="68064081"/>
    <w:rsid w:val="696F345C"/>
    <w:rsid w:val="6AE82164"/>
    <w:rsid w:val="6B1A78B7"/>
    <w:rsid w:val="6B1C5D44"/>
    <w:rsid w:val="6E0077C5"/>
    <w:rsid w:val="70B76860"/>
    <w:rsid w:val="75875664"/>
    <w:rsid w:val="75AA4E2B"/>
    <w:rsid w:val="7DC5315A"/>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2069</Words>
  <Characters>2250</Characters>
  <Lines>0</Lines>
  <Paragraphs>0</Paragraphs>
  <TotalTime>59</TotalTime>
  <ScaleCrop>false</ScaleCrop>
  <LinksUpToDate>false</LinksUpToDate>
  <CharactersWithSpaces>2273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2025-11-16T02:09:00Z</cp:lastPrinted>
  <dcterms:modified xsi:type="dcterms:W3CDTF">2025-12-01T09:12:33Z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407519EBBB214FE8B6D9A29EC4D03CA5_13</vt:lpwstr>
  </property>
  <property fmtid="{D5CDD505-2E9C-101B-9397-08002B2CF9AE}" pid="4" name="KSOTemplateDocerSaveRecord">
    <vt:lpwstr>eyJoZGlkIjoiYzA3MjA4NTZkN2VmYTMyNDY0NGZkZTg2M2ZiZDRlZTEiLCJ1c2VySWQiOiIyNjQzODUwNDQifQ==</vt:lpwstr>
  </property>
</Properties>
</file>