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val="0"/>
        <w:spacing w:line="560" w:lineRule="exact"/>
        <w:jc w:val="center"/>
        <w:textAlignment w:val="auto"/>
        <w:rPr>
          <w:rFonts w:hint="eastAsia" w:ascii="Times New Roman" w:hAnsi="Times New Roman" w:eastAsia="方正小标宋_GBK" w:cs="Times New Roman"/>
          <w:b w:val="0"/>
          <w:bCs/>
          <w:color w:val="auto"/>
          <w:sz w:val="44"/>
          <w:szCs w:val="44"/>
          <w:lang w:eastAsia="zh-CN"/>
        </w:rPr>
      </w:pPr>
    </w:p>
    <w:p>
      <w:pPr>
        <w:widowControl w:val="0"/>
        <w:wordWrap/>
        <w:adjustRightInd/>
        <w:snapToGrid w:val="0"/>
        <w:spacing w:line="560" w:lineRule="exact"/>
        <w:jc w:val="center"/>
        <w:textAlignment w:val="auto"/>
        <w:rPr>
          <w:rFonts w:hint="eastAsia" w:ascii="Times New Roman" w:hAnsi="Times New Roman" w:eastAsia="方正小标宋_GBK" w:cs="Times New Roman"/>
          <w:b w:val="0"/>
          <w:bCs/>
          <w:color w:val="auto"/>
          <w:sz w:val="44"/>
          <w:szCs w:val="44"/>
          <w:lang w:eastAsia="zh-CN"/>
        </w:rPr>
      </w:pPr>
    </w:p>
    <w:p>
      <w:pPr>
        <w:widowControl w:val="0"/>
        <w:wordWrap/>
        <w:adjustRightInd/>
        <w:snapToGrid w:val="0"/>
        <w:spacing w:line="560" w:lineRule="exact"/>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pPr>
        <w:widowControl w:val="0"/>
        <w:wordWrap/>
        <w:adjustRightInd/>
        <w:snapToGrid w:val="0"/>
        <w:spacing w:line="560" w:lineRule="exact"/>
        <w:jc w:val="center"/>
        <w:textAlignment w:val="auto"/>
        <w:outlineLvl w:val="0"/>
        <w:rPr>
          <w:rFonts w:hint="eastAsia" w:ascii="仿宋" w:hAnsi="仿宋" w:eastAsia="仿宋" w:cs="仿宋"/>
          <w:sz w:val="32"/>
          <w:szCs w:val="32"/>
        </w:rPr>
      </w:pPr>
      <w:bookmarkStart w:id="0" w:name="_Toc24038"/>
      <w:bookmarkStart w:id="1" w:name="_Toc5085"/>
      <w:bookmarkStart w:id="2" w:name="_Toc21336"/>
      <w:r>
        <w:rPr>
          <w:rFonts w:hint="default" w:ascii="Times New Roman" w:hAnsi="Times New Roman" w:eastAsia="方正小标宋_GBK" w:cs="Times New Roman"/>
          <w:b w:val="0"/>
          <w:bCs/>
          <w:color w:val="auto"/>
          <w:sz w:val="44"/>
          <w:szCs w:val="44"/>
        </w:rPr>
        <w:t>行政处罚决定书</w:t>
      </w:r>
      <w:bookmarkEnd w:id="0"/>
      <w:bookmarkEnd w:id="1"/>
      <w:bookmarkEnd w:id="2"/>
    </w:p>
    <w:p>
      <w:pPr>
        <w:widowControl w:val="0"/>
        <w:wordWrap/>
        <w:adjustRightInd/>
        <w:snapToGrid/>
        <w:spacing w:line="560" w:lineRule="exact"/>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焦环罚〔2025〕3</w:t>
      </w:r>
      <w:r>
        <w:rPr>
          <w:rFonts w:hint="eastAsia" w:ascii="CESI仿宋-GB2312" w:hAnsi="CESI仿宋-GB2312" w:eastAsia="CESI仿宋-GB2312" w:cs="CESI仿宋-GB2312"/>
          <w:color w:val="auto"/>
          <w:sz w:val="32"/>
          <w:szCs w:val="32"/>
          <w:lang w:val="en-US" w:eastAsia="zh"/>
        </w:rPr>
        <w:t>72</w:t>
      </w:r>
      <w:bookmarkStart w:id="3" w:name="_GoBack"/>
      <w:bookmarkEnd w:id="3"/>
      <w:r>
        <w:rPr>
          <w:rFonts w:hint="eastAsia" w:ascii="CESI仿宋-GB2312" w:hAnsi="CESI仿宋-GB2312" w:eastAsia="CESI仿宋-GB2312" w:cs="CESI仿宋-GB2312"/>
          <w:color w:val="auto"/>
          <w:sz w:val="32"/>
          <w:szCs w:val="32"/>
          <w:lang w:val="en-US" w:eastAsia="zh-CN"/>
        </w:rPr>
        <w:t>号</w:t>
      </w:r>
    </w:p>
    <w:p>
      <w:pPr>
        <w:widowControl w:val="0"/>
        <w:wordWrap/>
        <w:adjustRightInd/>
        <w:snapToGrid/>
        <w:spacing w:line="560" w:lineRule="exact"/>
        <w:jc w:val="center"/>
        <w:textAlignment w:val="auto"/>
        <w:rPr>
          <w:rFonts w:hint="eastAsia" w:ascii="CESI仿宋-GB2312" w:hAnsi="CESI仿宋-GB2312" w:eastAsia="CESI仿宋-GB2312" w:cs="CESI仿宋-GB2312"/>
          <w:color w:val="auto"/>
          <w:sz w:val="32"/>
          <w:szCs w:val="32"/>
          <w:lang w:val="en-US" w:eastAsia="zh-CN"/>
        </w:rPr>
      </w:pP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沁阳市黄炉榨辊有限公司：</w:t>
      </w: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统一社会信用代码：91410882MA403QWD1L</w:t>
      </w: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地址：</w:t>
      </w:r>
      <w:r>
        <w:rPr>
          <w:rFonts w:hint="eastAsia" w:ascii="CESI仿宋-GB2312" w:hAnsi="CESI仿宋-GB2312" w:eastAsia="CESI仿宋-GB2312" w:cs="CESI仿宋-GB2312"/>
          <w:color w:val="000000"/>
          <w:sz w:val="32"/>
          <w:szCs w:val="32"/>
          <w:u w:val="none"/>
          <w:lang w:val="en-US" w:eastAsia="zh-CN"/>
        </w:rPr>
        <w:t>焦作市沁阳市王召乡工业区</w:t>
      </w: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法定代表人（负责人）：黄炉</w:t>
      </w:r>
    </w:p>
    <w:p>
      <w:pPr>
        <w:widowControl w:val="0"/>
        <w:wordWrap/>
        <w:snapToGrid w:val="0"/>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pPr>
        <w:wordWrap/>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我局执法人员于</w:t>
      </w:r>
      <w:r>
        <w:rPr>
          <w:rFonts w:hint="eastAsia" w:ascii="CESI仿宋-GB2312" w:hAnsi="CESI仿宋-GB2312" w:eastAsia="CESI仿宋-GB2312" w:cs="CESI仿宋-GB2312"/>
          <w:color w:val="000000"/>
          <w:sz w:val="32"/>
          <w:szCs w:val="32"/>
          <w:u w:val="none"/>
          <w:lang w:val="en-US" w:eastAsia="zh-CN"/>
        </w:rPr>
        <w:t>2025年10月23日，对你单位现场检查时，你单位两台中频电炉收集熔炼废气设施为熔炼口侧吸罩，其中一台3t中频电炉熔炼口侧吸罩进气口堵死，丧失收集熔炼废气功能，查阅该车间监控视频显示2025年10月18日6时26分，该丧失收集熔炼废气功能的中频电炉正常生产，并且生产车间大门未关闭，造成烟气无组织排放。</w:t>
      </w:r>
    </w:p>
    <w:p>
      <w:pPr>
        <w:wordWrap/>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你单位的上述行为违反了《河南省大气污染防治条例》第三十六条：“排污单位应当加强大气污染物排放精细化管理，对不经过大气污染物排放口集中排放的大气污染物，应当采取密闭、封闭、集中收集、覆盖、吸附、分解等处理措施，严格控制生产过程以及内部物料堆存、传输、装卸等环节产生的粉尘和气态污染物的排放”的规定。</w:t>
      </w:r>
    </w:p>
    <w:p>
      <w:pPr>
        <w:pStyle w:val="3"/>
        <w:widowControl/>
        <w:wordWrap/>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kern w:val="2"/>
          <w:sz w:val="32"/>
          <w:szCs w:val="32"/>
          <w:lang w:val="en-US" w:eastAsia="zh-CN" w:bidi="ar-SA"/>
        </w:rPr>
      </w:pPr>
      <w:r>
        <w:rPr>
          <w:rFonts w:hint="eastAsia" w:ascii="CESI仿宋-GB2312" w:hAnsi="CESI仿宋-GB2312" w:eastAsia="CESI仿宋-GB2312" w:cs="CESI仿宋-GB2312"/>
          <w:color w:val="000000"/>
          <w:kern w:val="2"/>
          <w:sz w:val="32"/>
          <w:szCs w:val="32"/>
          <w:lang w:val="en-US" w:eastAsia="zh-CN" w:bidi="ar-SA"/>
        </w:rPr>
        <w:t>以上事实，主要有以下证据证明：</w:t>
      </w:r>
    </w:p>
    <w:p>
      <w:pPr>
        <w:pStyle w:val="3"/>
        <w:widowControl/>
        <w:numPr>
          <w:ilvl w:val="0"/>
          <w:numId w:val="0"/>
        </w:numPr>
        <w:wordWrap/>
        <w:adjustRightInd/>
        <w:snapToGrid/>
        <w:spacing w:before="0" w:beforeAutospacing="0" w:after="0" w:afterAutospacing="0" w:line="54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1.现场检查(勘察)笔录及现场照片/视频(2025年10月27日),证明</w:t>
      </w:r>
      <w:r>
        <w:rPr>
          <w:rFonts w:hint="eastAsia" w:ascii="CESI仿宋-GB2312" w:hAnsi="CESI仿宋-GB2312" w:eastAsia="CESI仿宋-GB2312" w:cs="CESI仿宋-GB2312"/>
          <w:color w:val="000000"/>
          <w:sz w:val="32"/>
          <w:szCs w:val="32"/>
          <w:u w:val="none"/>
          <w:lang w:val="en-US" w:eastAsia="zh-CN"/>
        </w:rPr>
        <w:t>你单位一台3t中频电炉熔炼口侧吸罩进气口堵死，丧失收集熔炼废气功能，查阅该车间监控视频显示2025年10月18日6时26分，该丧失收集熔炼废气功能的中频电炉正常生产，并且生产车间大门未关闭，造成烟气无组织排放</w:t>
      </w:r>
      <w:r>
        <w:rPr>
          <w:rFonts w:hint="eastAsia" w:ascii="CESI仿宋-GB2312" w:hAnsi="CESI仿宋-GB2312" w:eastAsia="CESI仿宋-GB2312" w:cs="CESI仿宋-GB2312"/>
          <w:color w:val="auto"/>
          <w:kern w:val="0"/>
          <w:sz w:val="32"/>
          <w:szCs w:val="32"/>
          <w:lang w:val="en-US" w:eastAsia="zh-CN"/>
        </w:rPr>
        <w:t>的事实；</w:t>
      </w:r>
    </w:p>
    <w:p>
      <w:pPr>
        <w:pStyle w:val="3"/>
        <w:widowControl/>
        <w:numPr>
          <w:ilvl w:val="0"/>
          <w:numId w:val="0"/>
        </w:numPr>
        <w:wordWrap/>
        <w:adjustRightInd/>
        <w:snapToGrid/>
        <w:spacing w:before="0" w:beforeAutospacing="0" w:after="0" w:afterAutospacing="0" w:line="54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2.调查询问笔录(2025年10月29日对</w:t>
      </w:r>
      <w:r>
        <w:rPr>
          <w:rFonts w:hint="eastAsia" w:ascii="CESI仿宋-GB2312" w:hAnsi="CESI仿宋-GB2312" w:eastAsia="CESI仿宋-GB2312" w:cs="CESI仿宋-GB2312"/>
          <w:color w:val="000000"/>
          <w:sz w:val="32"/>
          <w:szCs w:val="32"/>
          <w:lang w:val="en-US" w:eastAsia="zh-CN"/>
        </w:rPr>
        <w:t>沁阳市黄炉榨辊有限公司委托授权人杨庆华</w:t>
      </w:r>
      <w:r>
        <w:rPr>
          <w:rFonts w:hint="eastAsia" w:ascii="CESI仿宋-GB2312" w:hAnsi="CESI仿宋-GB2312" w:eastAsia="CESI仿宋-GB2312" w:cs="CESI仿宋-GB2312"/>
          <w:color w:val="auto"/>
          <w:kern w:val="0"/>
          <w:sz w:val="32"/>
          <w:szCs w:val="32"/>
          <w:lang w:val="en-US" w:eastAsia="zh-CN"/>
        </w:rPr>
        <w:t>的调查询问)，证明杨庆华认可铸造车间</w:t>
      </w:r>
      <w:r>
        <w:rPr>
          <w:rFonts w:hint="eastAsia" w:ascii="CESI仿宋-GB2312" w:hAnsi="CESI仿宋-GB2312" w:eastAsia="CESI仿宋-GB2312" w:cs="CESI仿宋-GB2312"/>
          <w:color w:val="000000"/>
          <w:sz w:val="32"/>
          <w:szCs w:val="32"/>
          <w:u w:val="none"/>
          <w:lang w:val="en-US" w:eastAsia="zh-CN"/>
        </w:rPr>
        <w:t>一台3t中频电炉熔炼口侧吸罩进气口堵死，丧失收集熔炼废气功能，查阅该车间监控视频显示2025年10月18日6时26分，该丧失收集熔炼废气功能的中频电炉正常生产，并且生产车间大门未关闭，造成烟气无组织排放</w:t>
      </w:r>
      <w:r>
        <w:rPr>
          <w:rFonts w:hint="eastAsia" w:ascii="CESI仿宋-GB2312" w:hAnsi="CESI仿宋-GB2312" w:eastAsia="CESI仿宋-GB2312" w:cs="CESI仿宋-GB2312"/>
          <w:color w:val="auto"/>
          <w:kern w:val="0"/>
          <w:sz w:val="32"/>
          <w:szCs w:val="32"/>
          <w:lang w:val="en-US" w:eastAsia="zh-CN"/>
        </w:rPr>
        <w:t>的事实；</w:t>
      </w:r>
    </w:p>
    <w:p>
      <w:pPr>
        <w:pStyle w:val="3"/>
        <w:widowControl/>
        <w:numPr>
          <w:ilvl w:val="0"/>
          <w:numId w:val="0"/>
        </w:numPr>
        <w:wordWrap/>
        <w:adjustRightInd/>
        <w:snapToGrid/>
        <w:spacing w:before="0" w:beforeAutospacing="0" w:after="0" w:afterAutospacing="0" w:line="540" w:lineRule="exact"/>
        <w:ind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3.营业执照复印件、法定代表人身份证明书、法定代表人身份证复印件、授权委托书;被授权人身份证复印件，证明你单位的基本情况及被询问人的身份信息；</w:t>
      </w:r>
    </w:p>
    <w:p>
      <w:pPr>
        <w:pStyle w:val="3"/>
        <w:widowControl/>
        <w:numPr>
          <w:ilvl w:val="0"/>
          <w:numId w:val="0"/>
        </w:numPr>
        <w:wordWrap/>
        <w:adjustRightInd/>
        <w:snapToGrid/>
        <w:spacing w:before="0" w:beforeAutospacing="0" w:after="0" w:afterAutospacing="0" w:line="54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000000"/>
          <w:sz w:val="32"/>
          <w:szCs w:val="32"/>
          <w:u w:val="none"/>
          <w:lang w:val="en-US" w:eastAsia="zh-CN"/>
        </w:rPr>
        <w:t>4.《环境影响评价报告表》（节选）、验收报告（节选）、排污许可证登记表，证明你单位</w:t>
      </w:r>
      <w:r>
        <w:rPr>
          <w:rFonts w:hint="eastAsia" w:ascii="CESI仿宋-GB2312" w:hAnsi="CESI仿宋-GB2312" w:eastAsia="CESI仿宋-GB2312" w:cs="CESI仿宋-GB2312"/>
          <w:color w:val="auto"/>
          <w:kern w:val="0"/>
          <w:sz w:val="32"/>
          <w:szCs w:val="32"/>
          <w:lang w:val="en-US" w:eastAsia="zh-CN"/>
        </w:rPr>
        <w:t>办理的相关环保材料；</w:t>
      </w:r>
    </w:p>
    <w:p>
      <w:pPr>
        <w:pStyle w:val="3"/>
        <w:widowControl/>
        <w:numPr>
          <w:ilvl w:val="0"/>
          <w:numId w:val="0"/>
        </w:numPr>
        <w:wordWrap/>
        <w:adjustRightInd/>
        <w:snapToGrid/>
        <w:spacing w:before="0" w:beforeAutospacing="0" w:after="0" w:afterAutospacing="0" w:line="54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5.执法人员的执法证复印件，证明执法人员的身份和资格；</w:t>
      </w:r>
    </w:p>
    <w:p>
      <w:pPr>
        <w:pStyle w:val="3"/>
        <w:widowControl/>
        <w:numPr>
          <w:ilvl w:val="0"/>
          <w:numId w:val="0"/>
        </w:numPr>
        <w:wordWrap/>
        <w:adjustRightInd/>
        <w:snapToGrid/>
        <w:spacing w:before="0" w:beforeAutospacing="0" w:after="0" w:afterAutospacing="0" w:line="540" w:lineRule="exact"/>
        <w:ind w:right="0"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auto"/>
          <w:kern w:val="0"/>
          <w:sz w:val="32"/>
          <w:szCs w:val="32"/>
          <w:lang w:val="en-US" w:eastAsia="zh-CN"/>
        </w:rPr>
        <w:t>6.其他证据</w:t>
      </w:r>
    </w:p>
    <w:p>
      <w:pPr>
        <w:widowControl/>
        <w:wordWrap/>
        <w:adjustRightInd/>
        <w:spacing w:line="540" w:lineRule="exact"/>
        <w:ind w:firstLine="640" w:firstLineChars="200"/>
        <w:jc w:val="left"/>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我局于2025年11月17日直接送达《行政处罚事先（听证）告知书》（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告字〔2025〕50号</w:t>
      </w:r>
      <w:r>
        <w:rPr>
          <w:rFonts w:hint="eastAsia" w:ascii="CESI仿宋-GB2312" w:hAnsi="CESI仿宋-GB2312" w:eastAsia="CESI仿宋-GB2312" w:cs="CESI仿宋-GB2312"/>
          <w:color w:val="auto"/>
          <w:sz w:val="32"/>
          <w:szCs w:val="32"/>
          <w:lang w:val="en-US" w:eastAsia="zh-CN"/>
        </w:rPr>
        <w:t>），告知书告知你单位陈述申辩权，你单位于法定期限内未提出陈述申辩意见，视为放弃陈述申辩权利。</w:t>
      </w:r>
    </w:p>
    <w:p>
      <w:pPr>
        <w:widowControl w:val="0"/>
        <w:numPr>
          <w:ilvl w:val="0"/>
          <w:numId w:val="1"/>
        </w:numPr>
        <w:wordWrap/>
        <w:adjustRightInd/>
        <w:snapToGrid w:val="0"/>
        <w:spacing w:line="54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pPr>
        <w:pStyle w:val="3"/>
        <w:widowControl/>
        <w:wordWrap w:val="0"/>
        <w:adjustRightInd/>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pacing w:val="-6"/>
          <w:w w:val="95"/>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根据你单位违法行为的事实、性质、情节、社会危害程度和相关证据，参照《河南省生态环境行政处罚裁量基准》中的裁量基准为：裁量因素：违法事实，内容：已落实污染防治措施，但未按规定使用或管理，造成少量大气污染物排放，裁量等级：1，裁量因素：废气类别，内容：一般工业废气/含恶臭污染物的废气/医疗废气/实验室废气，裁量等级：3，裁量因素：企业规模，内容：小型企业，裁量等级：2，裁量因素：管理类别，内容：简化管理，裁量等级：2，裁量因素：违法行为发生时期环境敏感度，内容：一般期间，裁量等级：1，裁量因素：超过限期改正时间，内容：限期改正，裁量等级：1，裁量因素：违法行为持续时间，内容：1个月以下，裁量等级：1，裁量因素：受处罚次数，内容：两年内未受到过同类处罚，裁量等级：1，裁量因素：是否配合执法检查，内容：配合检查，裁量等级：1，法定处罚金额上限(M)：200000，法定处罚金额下限(N)：20000，首要裁量因素裁量等级(A)：1，其余裁量因素个数(n)：8，其余裁量因素裁量等级(Bi)：[3,2,2,1,1,1,1,1],处罚金额(X)：33500,代入公式：33500=20000+(200000-20000)×[（1/5）</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+(3</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+2</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+2</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+1</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+1</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+1</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+1</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+1</w:t>
      </w:r>
      <w:r>
        <w:rPr>
          <w:rFonts w:hint="eastAsia" w:ascii="CESI仿宋-GB2312" w:hAnsi="CESI仿宋-GB2312" w:eastAsia="CESI仿宋-GB2312" w:cs="CESI仿宋-GB2312"/>
          <w:color w:val="000000"/>
          <w:kern w:val="0"/>
          <w:sz w:val="32"/>
          <w:szCs w:val="32"/>
          <w:vertAlign w:val="superscript"/>
          <w:lang w:val="en-US" w:eastAsia="zh-CN"/>
        </w:rPr>
        <w:t>2</w:t>
      </w:r>
      <w:r>
        <w:rPr>
          <w:rFonts w:hint="eastAsia" w:ascii="CESI仿宋-GB2312" w:hAnsi="CESI仿宋-GB2312" w:eastAsia="CESI仿宋-GB2312" w:cs="CESI仿宋-GB2312"/>
          <w:color w:val="000000"/>
          <w:kern w:val="0"/>
          <w:sz w:val="32"/>
          <w:szCs w:val="32"/>
          <w:lang w:val="en-US" w:eastAsia="zh-CN"/>
        </w:rPr>
        <w:t>)</w:t>
      </w:r>
      <w:r>
        <w:rPr>
          <w:rFonts w:hint="eastAsia" w:ascii="CESI仿宋-GB2312" w:hAnsi="CESI仿宋-GB2312" w:eastAsia="CESI仿宋-GB2312" w:cs="CESI仿宋-GB2312"/>
          <w:color w:val="000000"/>
          <w:spacing w:val="-6"/>
          <w:kern w:val="0"/>
          <w:sz w:val="32"/>
          <w:szCs w:val="32"/>
          <w:lang w:val="en-US" w:eastAsia="zh-CN"/>
        </w:rPr>
        <w:t>/(5</w:t>
      </w:r>
      <w:r>
        <w:rPr>
          <w:rFonts w:hint="eastAsia" w:ascii="CESI仿宋-GB2312" w:hAnsi="CESI仿宋-GB2312" w:eastAsia="CESI仿宋-GB2312" w:cs="CESI仿宋-GB2312"/>
          <w:color w:val="000000"/>
          <w:spacing w:val="-6"/>
          <w:kern w:val="0"/>
          <w:sz w:val="32"/>
          <w:szCs w:val="32"/>
          <w:vertAlign w:val="superscript"/>
          <w:lang w:val="en-US" w:eastAsia="zh-CN"/>
        </w:rPr>
        <w:t>2</w:t>
      </w:r>
      <w:r>
        <w:rPr>
          <w:rFonts w:hint="eastAsia" w:ascii="CESI仿宋-GB2312" w:hAnsi="CESI仿宋-GB2312" w:eastAsia="CESI仿宋-GB2312" w:cs="CESI仿宋-GB2312"/>
          <w:color w:val="000000"/>
          <w:spacing w:val="-6"/>
          <w:kern w:val="0"/>
          <w:sz w:val="32"/>
          <w:szCs w:val="32"/>
          <w:lang w:val="en-US" w:eastAsia="zh-CN"/>
        </w:rPr>
        <w:t>×8)]×50%，自定义裁量计算值：0，最终裁量金额：33500元</w:t>
      </w:r>
      <w:r>
        <w:rPr>
          <w:rFonts w:hint="eastAsia" w:ascii="CESI仿宋-GB2312" w:hAnsi="CESI仿宋-GB2312" w:eastAsia="CESI仿宋-GB2312" w:cs="CESI仿宋-GB2312"/>
          <w:color w:val="000000"/>
          <w:spacing w:val="-6"/>
          <w:w w:val="95"/>
          <w:kern w:val="0"/>
          <w:sz w:val="32"/>
          <w:szCs w:val="32"/>
          <w:lang w:val="en-US" w:eastAsia="zh-CN"/>
        </w:rPr>
        <w:t>。</w:t>
      </w:r>
    </w:p>
    <w:p>
      <w:pPr>
        <w:widowControl w:val="0"/>
        <w:wordWrap w:val="0"/>
        <w:adjustRightInd w:val="0"/>
        <w:snapToGrid w:val="0"/>
        <w:spacing w:line="54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根据《河南省大气污染防治条例》第七十二条第一项：“有下列行为之一的，由县级以上人民政府环境保护主管部门责令改正，处二万元以上二十万元以下的罚款；拒不改正的，责令停产整治：（一）违法本条例第三十六条规定，排污单位未按照规定对不经过大气污染物排放口集中排放的大气污染物采取必要的污染防治措施的”规定</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kern w:val="0"/>
          <w:sz w:val="32"/>
          <w:szCs w:val="32"/>
          <w:lang w:val="en-US" w:eastAsia="zh-CN"/>
        </w:rPr>
        <w:t>我局决定对你单位未按照规定对不经过大气污染物排放口集中排放大气污染物的违法行为作出以下处理决定：</w:t>
      </w:r>
    </w:p>
    <w:p>
      <w:pPr>
        <w:pStyle w:val="3"/>
        <w:widowControl/>
        <w:wordWrap/>
        <w:adjustRightInd/>
        <w:snapToGrid/>
        <w:spacing w:before="0" w:beforeAutospacing="0" w:after="0" w:afterAutospacing="0" w:line="560" w:lineRule="exact"/>
        <w:ind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给予罚款叁万叁仟伍佰元（33500元）的行政处罚。</w:t>
      </w:r>
    </w:p>
    <w:p>
      <w:pPr>
        <w:widowControl/>
        <w:kinsoku w:val="0"/>
        <w:wordWrap/>
        <w:autoSpaceDE w:val="0"/>
        <w:autoSpaceDN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pPr>
        <w:wordWrap/>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widowControl/>
        <w:wordWrap/>
        <w:spacing w:line="560" w:lineRule="exact"/>
        <w:ind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pPr>
        <w:widowControl/>
        <w:spacing w:line="560" w:lineRule="exact"/>
        <w:ind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行政诉讼。申请行政复议或者提起行政诉讼，不停止行政处罚决定的执行。逾期不申请行政复议，不提起行政诉讼，又不履行本处罚决定的，我局将依法申请人民法院强制执行。</w:t>
      </w:r>
    </w:p>
    <w:p>
      <w:pPr>
        <w:widowControl/>
        <w:spacing w:line="560" w:lineRule="exact"/>
        <w:jc w:val="left"/>
        <w:rPr>
          <w:rFonts w:hint="eastAsia" w:ascii="CESI仿宋-GB2312" w:hAnsi="CESI仿宋-GB2312" w:eastAsia="CESI仿宋-GB2312" w:cs="CESI仿宋-GB2312"/>
          <w:color w:val="auto"/>
          <w:sz w:val="32"/>
          <w:szCs w:val="32"/>
          <w:lang w:val="en-US" w:eastAsia="zh-CN"/>
        </w:rPr>
      </w:pPr>
    </w:p>
    <w:p>
      <w:pPr>
        <w:widowControl/>
        <w:tabs>
          <w:tab w:val="left" w:pos="1460"/>
        </w:tabs>
        <w:spacing w:line="560" w:lineRule="exact"/>
        <w:jc w:val="left"/>
        <w:rPr>
          <w:rFonts w:hint="eastAsia" w:ascii="CESI仿宋-GB2312" w:hAnsi="CESI仿宋-GB2312" w:eastAsia="CESI仿宋-GB2312" w:cs="CESI仿宋-GB2312"/>
          <w:color w:val="auto"/>
          <w:sz w:val="32"/>
          <w:szCs w:val="32"/>
          <w:lang w:val="en-US" w:eastAsia="zh-CN"/>
        </w:rPr>
      </w:pPr>
    </w:p>
    <w:p>
      <w:pPr>
        <w:widowControl/>
        <w:spacing w:line="560" w:lineRule="exact"/>
        <w:jc w:val="left"/>
        <w:rPr>
          <w:rFonts w:hint="eastAsia" w:ascii="CESI仿宋-GB2312" w:hAnsi="CESI仿宋-GB2312" w:eastAsia="CESI仿宋-GB2312" w:cs="CESI仿宋-GB2312"/>
          <w:color w:val="auto"/>
          <w:sz w:val="32"/>
          <w:szCs w:val="32"/>
          <w:lang w:val="en-US" w:eastAsia="zh-CN"/>
        </w:rPr>
      </w:pPr>
    </w:p>
    <w:p>
      <w:pPr>
        <w:widowControl w:val="0"/>
        <w:wordWrap/>
        <w:adjustRightInd/>
        <w:snapToGrid/>
        <w:spacing w:line="560" w:lineRule="exact"/>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2025年12月8日</w:t>
      </w:r>
    </w:p>
    <w:sectPr>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00007A87" w:usb1="80000000" w:usb2="00000008" w:usb3="00000000" w:csb0="400001FF" w:csb1="FFFF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方正小标宋_GBK">
    <w:altName w:val="Noto Serif CJK JP"/>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文泉驿微米黑">
    <w:panose1 w:val="020B0606030804020204"/>
    <w:charset w:val="86"/>
    <w:family w:val="auto"/>
    <w:pitch w:val="default"/>
    <w:sig w:usb0="E10002EF" w:usb1="6BDFFCFB" w:usb2="00800036" w:usb3="00000000" w:csb0="603E019F" w:csb1="DFD70000"/>
  </w:font>
  <w:font w:name="Noto Serif CJK JP">
    <w:panose1 w:val="02020400000000000000"/>
    <w:charset w:val="86"/>
    <w:family w:val="auto"/>
    <w:pitch w:val="default"/>
    <w:sig w:usb0="3000008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2AF37D1"/>
    <w:rsid w:val="03CE521F"/>
    <w:rsid w:val="04E64BE5"/>
    <w:rsid w:val="0CEA6888"/>
    <w:rsid w:val="0FBD7408"/>
    <w:rsid w:val="1CCA6AFD"/>
    <w:rsid w:val="1D9535F5"/>
    <w:rsid w:val="266F0A68"/>
    <w:rsid w:val="27660B1C"/>
    <w:rsid w:val="288D78CB"/>
    <w:rsid w:val="29AA0009"/>
    <w:rsid w:val="2D1F7265"/>
    <w:rsid w:val="2D9340EB"/>
    <w:rsid w:val="32434198"/>
    <w:rsid w:val="32B904BF"/>
    <w:rsid w:val="3419666E"/>
    <w:rsid w:val="39146826"/>
    <w:rsid w:val="3C9D42A1"/>
    <w:rsid w:val="40EC44BB"/>
    <w:rsid w:val="40FF333D"/>
    <w:rsid w:val="47044AB7"/>
    <w:rsid w:val="53116184"/>
    <w:rsid w:val="55F45FE4"/>
    <w:rsid w:val="581D5B1D"/>
    <w:rsid w:val="5A58103D"/>
    <w:rsid w:val="5DA34444"/>
    <w:rsid w:val="60921EC7"/>
    <w:rsid w:val="60DF31A5"/>
    <w:rsid w:val="61F25ACE"/>
    <w:rsid w:val="65CF4A80"/>
    <w:rsid w:val="725E5096"/>
    <w:rsid w:val="72717675"/>
    <w:rsid w:val="77BEBC28"/>
    <w:rsid w:val="78D41F79"/>
    <w:rsid w:val="7BCF67AC"/>
    <w:rsid w:val="7D5D6252"/>
    <w:rsid w:val="7EBE1A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1954</Words>
  <Characters>2165</Characters>
  <Lines>0</Lines>
  <Paragraphs>25</Paragraphs>
  <TotalTime>0</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2022-02-22T01:06:00Z</dcterms:created>
  <dc:creator>Administrator</dc:creator>
  <cp:lastModifiedBy>未来</cp:lastModifiedBy>
  <cp:lastPrinted>2025-12-08T11:13:00Z</cp:lastPrinted>
  <dcterms:modified xsi:type="dcterms:W3CDTF">2025-12-08T15:13:06Z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