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spacing w:line="560" w:lineRule="exact"/>
        <w:jc w:val="both"/>
        <w:textAlignment w:val="auto"/>
        <w:rPr>
          <w:rStyle w:val="12"/>
          <w:rFonts w:hint="eastAsia" w:ascii="方正小标宋简体" w:hAnsi="宋体" w:eastAsia="方正小标宋简体" w:cs="宋体"/>
          <w:b w:val="0"/>
          <w:bCs w:val="0"/>
          <w:sz w:val="44"/>
        </w:rPr>
      </w:pPr>
    </w:p>
    <w:p>
      <w:pPr>
        <w:widowControl w:val="0"/>
        <w:wordWrap/>
        <w:spacing w:line="560" w:lineRule="exact"/>
        <w:jc w:val="both"/>
        <w:textAlignment w:val="auto"/>
        <w:rPr>
          <w:rStyle w:val="12"/>
          <w:rFonts w:hint="eastAsia" w:ascii="方正小标宋简体" w:hAnsi="宋体" w:eastAsia="方正小标宋简体" w:cs="宋体"/>
          <w:b w:val="0"/>
          <w:bCs w:val="0"/>
          <w:sz w:val="44"/>
        </w:rPr>
      </w:pPr>
    </w:p>
    <w:p>
      <w:pPr>
        <w:widowControl w:val="0"/>
        <w:wordWrap/>
        <w:spacing w:line="560" w:lineRule="exact"/>
        <w:jc w:val="center"/>
        <w:textAlignment w:val="auto"/>
        <w:rPr>
          <w:rStyle w:val="12"/>
          <w:rFonts w:ascii="方正小标宋简体" w:hAnsi="宋体" w:eastAsia="方正小标宋简体" w:cs="宋体"/>
          <w:b w:val="0"/>
          <w:bCs w:val="0"/>
          <w:sz w:val="44"/>
        </w:rPr>
      </w:pPr>
      <w:r>
        <w:rPr>
          <w:rStyle w:val="12"/>
          <w:rFonts w:hint="eastAsia" w:ascii="方正小标宋简体" w:hAnsi="宋体" w:eastAsia="方正小标宋简体" w:cs="宋体"/>
          <w:b w:val="0"/>
          <w:bCs w:val="0"/>
          <w:sz w:val="44"/>
        </w:rPr>
        <w:t>焦作市生态环境局</w:t>
      </w:r>
    </w:p>
    <w:p>
      <w:pPr>
        <w:widowControl w:val="0"/>
        <w:wordWrap/>
        <w:spacing w:line="560" w:lineRule="exact"/>
        <w:jc w:val="center"/>
        <w:textAlignment w:val="auto"/>
        <w:rPr>
          <w:rStyle w:val="12"/>
          <w:rFonts w:hint="eastAsia" w:ascii="方正小标宋简体" w:hAnsi="宋体" w:eastAsia="方正小标宋简体" w:cs="宋体"/>
          <w:b w:val="0"/>
          <w:bCs w:val="0"/>
          <w:sz w:val="44"/>
        </w:rPr>
      </w:pPr>
      <w:r>
        <w:rPr>
          <w:rStyle w:val="12"/>
          <w:rFonts w:hint="eastAsia" w:ascii="方正小标宋简体" w:hAnsi="宋体" w:eastAsia="方正小标宋简体" w:cs="宋体"/>
          <w:b w:val="0"/>
          <w:bCs w:val="0"/>
          <w:sz w:val="44"/>
        </w:rPr>
        <w:t>行政处罚</w:t>
      </w:r>
      <w:r>
        <w:rPr>
          <w:rStyle w:val="12"/>
          <w:rFonts w:hint="eastAsia" w:ascii="方正小标宋简体" w:hAnsi="宋体" w:eastAsia="方正小标宋简体" w:cs="宋体"/>
          <w:b w:val="0"/>
          <w:bCs w:val="0"/>
          <w:sz w:val="44"/>
          <w:lang w:eastAsia="zh-CN"/>
        </w:rPr>
        <w:t>决定</w:t>
      </w:r>
      <w:r>
        <w:rPr>
          <w:rStyle w:val="12"/>
          <w:rFonts w:hint="eastAsia" w:ascii="方正小标宋简体" w:hAnsi="宋体" w:eastAsia="方正小标宋简体" w:cs="宋体"/>
          <w:b w:val="0"/>
          <w:bCs w:val="0"/>
          <w:sz w:val="44"/>
        </w:rPr>
        <w:t>书</w:t>
      </w:r>
    </w:p>
    <w:p>
      <w:pPr>
        <w:widowControl w:val="0"/>
        <w:wordWrap/>
        <w:spacing w:line="560" w:lineRule="exact"/>
        <w:jc w:val="center"/>
        <w:textAlignment w:val="auto"/>
        <w:rPr>
          <w:rFonts w:hint="eastAsia" w:ascii="CESI仿宋-GB2312" w:hAnsi="CESI仿宋-GB2312" w:eastAsia="CESI仿宋-GB2312" w:cs="CESI仿宋-GB2312"/>
          <w:b w:val="0"/>
          <w:bCs w:val="0"/>
          <w:color w:val="auto"/>
          <w:sz w:val="32"/>
          <w:szCs w:val="32"/>
          <w:lang w:val="en-US"/>
        </w:rPr>
      </w:pPr>
      <w:r>
        <w:rPr>
          <w:rFonts w:hint="eastAsia" w:ascii="CESI仿宋-GB2312" w:hAnsi="CESI仿宋-GB2312" w:eastAsia="CESI仿宋-GB2312" w:cs="CESI仿宋-GB2312"/>
          <w:b w:val="0"/>
          <w:bCs w:val="0"/>
          <w:color w:val="auto"/>
          <w:sz w:val="32"/>
          <w:szCs w:val="32"/>
          <w:lang w:eastAsia="zh-CN"/>
        </w:rPr>
        <w:t>焦</w:t>
      </w:r>
      <w:r>
        <w:rPr>
          <w:rFonts w:hint="eastAsia" w:ascii="CESI仿宋-GB2312" w:hAnsi="CESI仿宋-GB2312" w:eastAsia="CESI仿宋-GB2312" w:cs="CESI仿宋-GB2312"/>
          <w:b w:val="0"/>
          <w:bCs w:val="0"/>
          <w:color w:val="auto"/>
          <w:sz w:val="32"/>
          <w:szCs w:val="32"/>
        </w:rPr>
        <w:t>环</w:t>
      </w:r>
      <w:r>
        <w:rPr>
          <w:rFonts w:hint="eastAsia" w:ascii="CESI仿宋-GB2312" w:hAnsi="CESI仿宋-GB2312" w:eastAsia="CESI仿宋-GB2312" w:cs="CESI仿宋-GB2312"/>
          <w:b w:val="0"/>
          <w:bCs w:val="0"/>
          <w:color w:val="auto"/>
          <w:sz w:val="32"/>
          <w:szCs w:val="32"/>
          <w:lang w:eastAsia="zh-CN"/>
        </w:rPr>
        <w:t>罚</w:t>
      </w:r>
      <w:r>
        <w:rPr>
          <w:rFonts w:hint="eastAsia" w:ascii="CESI仿宋-GB2312" w:hAnsi="CESI仿宋-GB2312" w:eastAsia="CESI仿宋-GB2312" w:cs="CESI仿宋-GB2312"/>
          <w:b w:val="0"/>
          <w:bCs w:val="0"/>
          <w:color w:val="auto"/>
          <w:sz w:val="32"/>
          <w:szCs w:val="32"/>
        </w:rPr>
        <w:t>〔202</w:t>
      </w:r>
      <w:r>
        <w:rPr>
          <w:rFonts w:hint="eastAsia" w:ascii="CESI仿宋-GB2312" w:hAnsi="CESI仿宋-GB2312" w:eastAsia="CESI仿宋-GB2312" w:cs="CESI仿宋-GB2312"/>
          <w:b w:val="0"/>
          <w:bCs w:val="0"/>
          <w:color w:val="auto"/>
          <w:sz w:val="32"/>
          <w:szCs w:val="32"/>
          <w:lang w:val="en-US" w:eastAsia="zh-CN"/>
        </w:rPr>
        <w:t>5</w:t>
      </w:r>
      <w:r>
        <w:rPr>
          <w:rFonts w:hint="eastAsia" w:ascii="CESI仿宋-GB2312" w:hAnsi="CESI仿宋-GB2312" w:eastAsia="CESI仿宋-GB2312" w:cs="CESI仿宋-GB2312"/>
          <w:b w:val="0"/>
          <w:bCs w:val="0"/>
          <w:color w:val="auto"/>
          <w:sz w:val="32"/>
          <w:szCs w:val="32"/>
        </w:rPr>
        <w:t>〕</w:t>
      </w:r>
      <w:r>
        <w:rPr>
          <w:rFonts w:hint="eastAsia" w:ascii="CESI仿宋-GB2312" w:hAnsi="CESI仿宋-GB2312" w:eastAsia="CESI仿宋-GB2312" w:cs="CESI仿宋-GB2312"/>
          <w:b w:val="0"/>
          <w:bCs w:val="0"/>
          <w:color w:val="auto"/>
          <w:sz w:val="32"/>
          <w:szCs w:val="32"/>
          <w:lang w:val="en-US" w:eastAsia="zh-CN"/>
        </w:rPr>
        <w:t>381号</w:t>
      </w:r>
    </w:p>
    <w:p>
      <w:pPr>
        <w:widowControl w:val="0"/>
        <w:tabs>
          <w:tab w:val="left" w:pos="300"/>
          <w:tab w:val="center" w:pos="4365"/>
          <w:tab w:val="left" w:pos="6345"/>
        </w:tabs>
        <w:wordWrap/>
        <w:adjustRightInd/>
        <w:snapToGrid/>
        <w:spacing w:line="560" w:lineRule="exact"/>
        <w:ind w:right="0"/>
        <w:jc w:val="both"/>
        <w:textAlignment w:val="auto"/>
        <w:rPr>
          <w:rFonts w:hint="eastAsia" w:ascii="CESI仿宋-GB2312" w:hAnsi="CESI仿宋-GB2312" w:eastAsia="CESI仿宋-GB2312" w:cs="CESI仿宋-GB2312"/>
          <w:b w:val="0"/>
          <w:bCs w:val="0"/>
          <w:color w:val="auto"/>
          <w:sz w:val="32"/>
          <w:szCs w:val="32"/>
          <w:lang w:val="en-US" w:eastAsia="zh-CN"/>
        </w:rPr>
      </w:pPr>
    </w:p>
    <w:p>
      <w:pPr>
        <w:pStyle w:val="6"/>
        <w:widowControl/>
        <w:wordWrap/>
        <w:adjustRightInd/>
        <w:snapToGrid/>
        <w:spacing w:before="0" w:beforeAutospacing="0" w:after="0" w:afterAutospacing="0" w:line="560" w:lineRule="exact"/>
        <w:ind w:left="0" w:leftChars="0" w:right="0"/>
        <w:jc w:val="both"/>
        <w:textAlignment w:val="auto"/>
        <w:outlineLvl w:val="9"/>
        <w:rPr>
          <w:rFonts w:hint="eastAsia" w:ascii="CESI仿宋-GB2312" w:hAnsi="CESI仿宋-GB2312" w:eastAsia="CESI仿宋-GB2312" w:cs="CESI仿宋-GB2312"/>
          <w:color w:val="auto"/>
          <w:kern w:val="2"/>
          <w:sz w:val="32"/>
          <w:szCs w:val="32"/>
          <w:u w:val="none"/>
          <w:lang w:val="en-US" w:eastAsia="zh-CN" w:bidi="ar-SA"/>
        </w:rPr>
      </w:pPr>
      <w:bookmarkStart w:id="0" w:name="_Toc29232"/>
      <w:r>
        <w:rPr>
          <w:rFonts w:hint="eastAsia" w:ascii="CESI仿宋-GB2312" w:hAnsi="CESI仿宋-GB2312" w:eastAsia="CESI仿宋-GB2312" w:cs="CESI仿宋-GB2312"/>
          <w:color w:val="auto"/>
          <w:kern w:val="2"/>
          <w:sz w:val="32"/>
          <w:szCs w:val="32"/>
          <w:u w:val="none"/>
          <w:lang w:val="en-US" w:eastAsia="zh-CN" w:bidi="ar-SA"/>
        </w:rPr>
        <w:t>李旭：</w:t>
      </w:r>
    </w:p>
    <w:p>
      <w:pPr>
        <w:widowControl w:val="0"/>
        <w:numPr>
          <w:ilvl w:val="0"/>
          <w:numId w:val="0"/>
        </w:numPr>
        <w:wordWrap/>
        <w:adjustRightInd w:val="0"/>
        <w:snapToGrid w:val="0"/>
        <w:spacing w:line="560" w:lineRule="exact"/>
        <w:ind w:left="0" w:leftChars="0" w:right="0"/>
        <w:jc w:val="both"/>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auto"/>
          <w:kern w:val="2"/>
          <w:sz w:val="32"/>
          <w:szCs w:val="32"/>
          <w:u w:val="none"/>
          <w:lang w:val="en-US" w:eastAsia="zh-CN" w:bidi="ar-SA"/>
        </w:rPr>
        <w:t>身份证号码：41088</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color w:val="auto"/>
          <w:kern w:val="2"/>
          <w:sz w:val="32"/>
          <w:szCs w:val="32"/>
          <w:u w:val="none"/>
          <w:lang w:val="en-US" w:eastAsia="zh-CN" w:bidi="ar-SA"/>
        </w:rPr>
        <w:t>10312</w:t>
      </w:r>
      <w:r>
        <w:rPr>
          <w:rFonts w:hint="eastAsia" w:ascii="CESI仿宋-GB2312" w:hAnsi="CESI仿宋-GB2312" w:eastAsia="CESI仿宋-GB2312" w:cs="CESI仿宋-GB2312"/>
          <w:color w:val="000000"/>
          <w:sz w:val="32"/>
          <w:szCs w:val="32"/>
          <w:lang w:val="en-US" w:eastAsia="zh-CN"/>
        </w:rPr>
        <w:t>****</w:t>
      </w:r>
    </w:p>
    <w:p>
      <w:pPr>
        <w:widowControl w:val="0"/>
        <w:numPr>
          <w:ilvl w:val="0"/>
          <w:numId w:val="0"/>
        </w:numPr>
        <w:wordWrap/>
        <w:adjustRightInd w:val="0"/>
        <w:snapToGrid w:val="0"/>
        <w:spacing w:line="560" w:lineRule="exact"/>
        <w:ind w:left="0" w:leftChars="0" w:right="0"/>
        <w:jc w:val="both"/>
        <w:textAlignment w:val="auto"/>
        <w:outlineLvl w:val="9"/>
        <w:rPr>
          <w:rFonts w:hint="eastAsia" w:ascii="CESI仿宋-GB2312" w:hAnsi="CESI仿宋-GB2312" w:eastAsia="CESI仿宋-GB2312" w:cs="CESI仿宋-GB2312"/>
          <w:color w:val="auto"/>
          <w:kern w:val="2"/>
          <w:sz w:val="32"/>
          <w:szCs w:val="32"/>
          <w:u w:val="none"/>
          <w:lang w:val="en-US" w:eastAsia="zh-CN" w:bidi="ar-SA"/>
        </w:rPr>
      </w:pPr>
      <w:r>
        <w:rPr>
          <w:rFonts w:hint="eastAsia" w:ascii="CESI仿宋-GB2312" w:hAnsi="CESI仿宋-GB2312" w:eastAsia="CESI仿宋-GB2312" w:cs="CESI仿宋-GB2312"/>
          <w:color w:val="auto"/>
          <w:kern w:val="2"/>
          <w:sz w:val="32"/>
          <w:szCs w:val="32"/>
          <w:u w:val="none"/>
          <w:lang w:val="en-US" w:eastAsia="zh-CN" w:bidi="ar-SA"/>
        </w:rPr>
        <w:t>地      址：</w:t>
      </w:r>
      <w:r>
        <w:rPr>
          <w:rFonts w:hint="default" w:ascii="CESI仿宋-GB2312" w:hAnsi="CESI仿宋-GB2312" w:eastAsia="CESI仿宋-GB2312" w:cs="CESI仿宋-GB2312"/>
          <w:color w:val="auto"/>
          <w:kern w:val="2"/>
          <w:sz w:val="32"/>
          <w:szCs w:val="32"/>
          <w:u w:val="none"/>
          <w:lang w:val="en-US" w:eastAsia="zh-CN" w:bidi="ar-SA"/>
        </w:rPr>
        <w:t>河南省沁阳市</w:t>
      </w:r>
      <w:r>
        <w:rPr>
          <w:rFonts w:hint="eastAsia" w:ascii="CESI仿宋-GB2312" w:hAnsi="CESI仿宋-GB2312" w:eastAsia="CESI仿宋-GB2312" w:cs="CESI仿宋-GB2312"/>
          <w:color w:val="000000"/>
          <w:sz w:val="32"/>
          <w:szCs w:val="32"/>
          <w:lang w:val="en-US" w:eastAsia="zh-CN"/>
        </w:rPr>
        <w:t>********</w:t>
      </w:r>
      <w:bookmarkStart w:id="1" w:name="_GoBack"/>
      <w:bookmarkEnd w:id="1"/>
    </w:p>
    <w:p>
      <w:pPr>
        <w:widowControl w:val="0"/>
        <w:wordWrap/>
        <w:adjustRightInd/>
        <w:snapToGrid w:val="0"/>
        <w:spacing w:line="560" w:lineRule="exact"/>
        <w:ind w:left="0" w:leftChars="0" w:right="0" w:firstLine="640" w:firstLineChars="200"/>
        <w:jc w:val="both"/>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黑体-GB2312" w:hAnsi="CESI黑体-GB2312" w:eastAsia="CESI黑体-GB2312" w:cs="CESI黑体-GB2312"/>
          <w:color w:val="auto"/>
          <w:sz w:val="32"/>
          <w:szCs w:val="32"/>
        </w:rPr>
        <w:t>一、环境违法事实和证据</w:t>
      </w:r>
      <w:bookmarkEnd w:id="0"/>
    </w:p>
    <w:p>
      <w:pPr>
        <w:wordWrap/>
        <w:spacing w:line="56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lang w:val="en-US" w:eastAsia="zh-CN"/>
        </w:rPr>
      </w:pPr>
      <w:r>
        <w:rPr>
          <w:rFonts w:hint="eastAsia" w:ascii="CESI仿宋-GB2312" w:hAnsi="CESI仿宋-GB2312" w:eastAsia="CESI仿宋-GB2312" w:cs="CESI仿宋-GB2312"/>
          <w:color w:val="auto"/>
          <w:sz w:val="32"/>
          <w:szCs w:val="32"/>
          <w:u w:val="none"/>
          <w:lang w:val="en-US" w:eastAsia="zh-CN"/>
        </w:rPr>
        <w:t>2025年10月16日，焦作市生态环境局执法人员在312省道沁阳市王召乡工业园区</w:t>
      </w:r>
      <w:r>
        <w:rPr>
          <w:rFonts w:hint="default" w:ascii="CESI仿宋-GB2312" w:hAnsi="CESI仿宋-GB2312" w:eastAsia="CESI仿宋-GB2312" w:cs="CESI仿宋-GB2312"/>
          <w:color w:val="auto"/>
          <w:sz w:val="32"/>
          <w:szCs w:val="32"/>
          <w:u w:val="none"/>
          <w:lang w:val="en-US" w:eastAsia="zh-CN"/>
        </w:rPr>
        <w:t>现场检查时</w:t>
      </w:r>
      <w:r>
        <w:rPr>
          <w:rFonts w:hint="eastAsia" w:ascii="CESI仿宋-GB2312" w:hAnsi="CESI仿宋-GB2312" w:eastAsia="CESI仿宋-GB2312" w:cs="CESI仿宋-GB2312"/>
          <w:color w:val="auto"/>
          <w:sz w:val="32"/>
          <w:szCs w:val="32"/>
          <w:u w:val="none"/>
          <w:lang w:val="en-US" w:eastAsia="zh-CN"/>
        </w:rPr>
        <w:t>，发现一辆装载机正在进行装卸作业，现场查看铭牌，该装载机为轮式装载机，</w:t>
      </w:r>
      <w:r>
        <w:rPr>
          <w:rFonts w:hint="default" w:ascii="CESI仿宋-GB2312" w:hAnsi="CESI仿宋-GB2312" w:eastAsia="CESI仿宋-GB2312" w:cs="CESI仿宋-GB2312"/>
          <w:color w:val="auto"/>
          <w:sz w:val="32"/>
          <w:szCs w:val="32"/>
          <w:u w:val="none"/>
          <w:lang w:val="en-US" w:eastAsia="zh-CN"/>
        </w:rPr>
        <w:t>机械型号：</w:t>
      </w:r>
      <w:r>
        <w:rPr>
          <w:rFonts w:hint="eastAsia" w:ascii="CESI仿宋-GB2312" w:hAnsi="CESI仿宋-GB2312" w:eastAsia="CESI仿宋-GB2312" w:cs="CESI仿宋-GB2312"/>
          <w:color w:val="auto"/>
          <w:sz w:val="32"/>
          <w:szCs w:val="32"/>
          <w:u w:val="none"/>
          <w:lang w:val="en-US" w:eastAsia="zh-CN"/>
        </w:rPr>
        <w:t>LG833</w:t>
      </w:r>
      <w:r>
        <w:rPr>
          <w:rFonts w:hint="default" w:ascii="CESI仿宋-GB2312" w:hAnsi="CESI仿宋-GB2312" w:eastAsia="CESI仿宋-GB2312" w:cs="CESI仿宋-GB2312"/>
          <w:color w:val="auto"/>
          <w:sz w:val="32"/>
          <w:szCs w:val="32"/>
          <w:u w:val="none"/>
          <w:lang w:val="en-US" w:eastAsia="zh-CN"/>
        </w:rPr>
        <w:t>，机械环保代码：</w:t>
      </w:r>
      <w:r>
        <w:rPr>
          <w:rFonts w:hint="eastAsia" w:ascii="CESI仿宋-GB2312" w:hAnsi="CESI仿宋-GB2312" w:eastAsia="CESI仿宋-GB2312" w:cs="CESI仿宋-GB2312"/>
          <w:color w:val="auto"/>
          <w:sz w:val="32"/>
          <w:szCs w:val="32"/>
          <w:u w:val="none"/>
          <w:lang w:val="en-US" w:eastAsia="zh-CN"/>
        </w:rPr>
        <w:t>S09050644</w:t>
      </w:r>
      <w:r>
        <w:rPr>
          <w:rFonts w:hint="default" w:ascii="CESI仿宋-GB2312" w:hAnsi="CESI仿宋-GB2312" w:eastAsia="CESI仿宋-GB2312" w:cs="CESI仿宋-GB2312"/>
          <w:color w:val="auto"/>
          <w:sz w:val="32"/>
          <w:szCs w:val="32"/>
          <w:u w:val="none"/>
          <w:lang w:val="en-US" w:eastAsia="zh-CN"/>
        </w:rPr>
        <w:t>，</w:t>
      </w:r>
      <w:r>
        <w:rPr>
          <w:rFonts w:hint="eastAsia" w:ascii="CESI仿宋-GB2312" w:hAnsi="CESI仿宋-GB2312" w:eastAsia="CESI仿宋-GB2312" w:cs="CESI仿宋-GB2312"/>
          <w:color w:val="auto"/>
          <w:sz w:val="32"/>
          <w:szCs w:val="32"/>
          <w:u w:val="none"/>
          <w:lang w:val="en-US" w:eastAsia="zh-CN"/>
        </w:rPr>
        <w:t>发动机型号：D2268-61G15，</w:t>
      </w:r>
      <w:r>
        <w:rPr>
          <w:rFonts w:hint="default" w:ascii="CESI仿宋-GB2312" w:hAnsi="CESI仿宋-GB2312" w:eastAsia="CESI仿宋-GB2312" w:cs="CESI仿宋-GB2312"/>
          <w:color w:val="auto"/>
          <w:sz w:val="32"/>
          <w:szCs w:val="32"/>
          <w:u w:val="none"/>
          <w:lang w:val="en-US" w:eastAsia="zh-CN"/>
        </w:rPr>
        <w:t>生产商：</w:t>
      </w:r>
      <w:r>
        <w:rPr>
          <w:rFonts w:hint="eastAsia" w:ascii="CESI仿宋-GB2312" w:hAnsi="CESI仿宋-GB2312" w:eastAsia="CESI仿宋-GB2312" w:cs="CESI仿宋-GB2312"/>
          <w:color w:val="auto"/>
          <w:sz w:val="32"/>
          <w:szCs w:val="32"/>
          <w:u w:val="none"/>
          <w:lang w:val="en-US" w:eastAsia="zh-CN"/>
        </w:rPr>
        <w:t>龙工（上海）机械</w:t>
      </w:r>
      <w:r>
        <w:rPr>
          <w:rFonts w:hint="default" w:ascii="CESI仿宋-GB2312" w:hAnsi="CESI仿宋-GB2312" w:eastAsia="CESI仿宋-GB2312" w:cs="CESI仿宋-GB2312"/>
          <w:color w:val="auto"/>
          <w:sz w:val="32"/>
          <w:szCs w:val="32"/>
          <w:u w:val="none"/>
          <w:lang w:val="en-US" w:eastAsia="zh-CN"/>
        </w:rPr>
        <w:t>有限公司，排放阶段</w:t>
      </w:r>
      <w:r>
        <w:rPr>
          <w:rFonts w:hint="eastAsia" w:ascii="CESI仿宋-GB2312" w:hAnsi="CESI仿宋-GB2312" w:eastAsia="CESI仿宋-GB2312" w:cs="CESI仿宋-GB2312"/>
          <w:color w:val="auto"/>
          <w:sz w:val="32"/>
          <w:szCs w:val="32"/>
          <w:u w:val="none"/>
          <w:lang w:val="en-US" w:eastAsia="zh-CN"/>
        </w:rPr>
        <w:t>Ⅱ，经现场询问该轮式装载机的所有人是李旭。</w:t>
      </w:r>
    </w:p>
    <w:p>
      <w:pPr>
        <w:wordWrap/>
        <w:spacing w:line="56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lang w:val="en-US" w:eastAsia="zh-CN"/>
        </w:rPr>
      </w:pPr>
      <w:r>
        <w:rPr>
          <w:rFonts w:hint="eastAsia" w:ascii="CESI仿宋-GB2312" w:hAnsi="CESI仿宋-GB2312" w:eastAsia="CESI仿宋-GB2312" w:cs="CESI仿宋-GB2312"/>
          <w:color w:val="auto"/>
          <w:sz w:val="32"/>
          <w:szCs w:val="32"/>
          <w:u w:val="none"/>
          <w:lang w:val="en-US" w:eastAsia="zh-CN"/>
        </w:rPr>
        <w:t>焦作市生态环境局沁阳分局现场委托沁阳市成功机动车检测有限公司对正在使用的装载机</w:t>
      </w:r>
      <w:r>
        <w:rPr>
          <w:rFonts w:hint="default" w:ascii="CESI仿宋-GB2312" w:hAnsi="CESI仿宋-GB2312" w:eastAsia="CESI仿宋-GB2312" w:cs="CESI仿宋-GB2312"/>
          <w:color w:val="auto"/>
          <w:sz w:val="32"/>
          <w:szCs w:val="32"/>
          <w:u w:val="none"/>
          <w:lang w:val="en-US" w:eastAsia="zh-CN"/>
        </w:rPr>
        <w:t>机械型号</w:t>
      </w:r>
      <w:r>
        <w:rPr>
          <w:rFonts w:hint="eastAsia" w:ascii="CESI仿宋-GB2312" w:hAnsi="CESI仿宋-GB2312" w:eastAsia="CESI仿宋-GB2312" w:cs="CESI仿宋-GB2312"/>
          <w:color w:val="auto"/>
          <w:sz w:val="32"/>
          <w:szCs w:val="32"/>
          <w:u w:val="none"/>
          <w:lang w:val="en-US" w:eastAsia="zh-CN"/>
        </w:rPr>
        <w:t>为LG833、</w:t>
      </w:r>
      <w:r>
        <w:rPr>
          <w:rFonts w:hint="default" w:ascii="CESI仿宋-GB2312" w:hAnsi="CESI仿宋-GB2312" w:eastAsia="CESI仿宋-GB2312" w:cs="CESI仿宋-GB2312"/>
          <w:color w:val="auto"/>
          <w:sz w:val="32"/>
          <w:szCs w:val="32"/>
          <w:u w:val="none"/>
          <w:lang w:val="en-US" w:eastAsia="zh-CN"/>
        </w:rPr>
        <w:t>机械环保代码</w:t>
      </w:r>
      <w:r>
        <w:rPr>
          <w:rFonts w:hint="eastAsia" w:ascii="CESI仿宋-GB2312" w:hAnsi="CESI仿宋-GB2312" w:eastAsia="CESI仿宋-GB2312" w:cs="CESI仿宋-GB2312"/>
          <w:color w:val="auto"/>
          <w:sz w:val="32"/>
          <w:szCs w:val="32"/>
          <w:u w:val="none"/>
          <w:lang w:val="en-US" w:eastAsia="zh-CN"/>
        </w:rPr>
        <w:t>为S09050644、发动机型号为D2268-61G15，</w:t>
      </w:r>
      <w:r>
        <w:rPr>
          <w:rFonts w:hint="default" w:ascii="CESI仿宋-GB2312" w:hAnsi="CESI仿宋-GB2312" w:eastAsia="CESI仿宋-GB2312" w:cs="CESI仿宋-GB2312"/>
          <w:color w:val="auto"/>
          <w:sz w:val="32"/>
          <w:szCs w:val="32"/>
          <w:u w:val="none"/>
          <w:lang w:val="en-US" w:eastAsia="zh-CN"/>
        </w:rPr>
        <w:t>排放阶段</w:t>
      </w:r>
      <w:r>
        <w:rPr>
          <w:rFonts w:hint="eastAsia" w:ascii="CESI仿宋-GB2312" w:hAnsi="CESI仿宋-GB2312" w:eastAsia="CESI仿宋-GB2312" w:cs="CESI仿宋-GB2312"/>
          <w:color w:val="auto"/>
          <w:sz w:val="32"/>
          <w:szCs w:val="32"/>
          <w:u w:val="none"/>
          <w:lang w:val="en-US" w:eastAsia="zh-CN"/>
        </w:rPr>
        <w:t>Ⅱ的非道路移动机械进进行检测。检测完成后，结果显示该装载机在自由加载情况下，三次检验该装载机排放的尾气排放值分别为：第一次2.3m</w:t>
      </w:r>
      <w:r>
        <w:rPr>
          <w:rFonts w:hint="eastAsia" w:ascii="CESI仿宋-GB2312" w:hAnsi="CESI仿宋-GB2312" w:eastAsia="CESI仿宋-GB2312" w:cs="CESI仿宋-GB2312"/>
          <w:color w:val="auto"/>
          <w:sz w:val="32"/>
          <w:szCs w:val="32"/>
          <w:u w:val="none"/>
          <w:vertAlign w:val="superscript"/>
          <w:lang w:val="en-US" w:eastAsia="zh-CN"/>
        </w:rPr>
        <w:t>-1</w:t>
      </w:r>
      <w:r>
        <w:rPr>
          <w:rFonts w:hint="eastAsia" w:ascii="CESI仿宋-GB2312" w:hAnsi="CESI仿宋-GB2312" w:eastAsia="CESI仿宋-GB2312" w:cs="CESI仿宋-GB2312"/>
          <w:color w:val="auto"/>
          <w:sz w:val="32"/>
          <w:szCs w:val="32"/>
          <w:u w:val="none"/>
          <w:lang w:val="en-US" w:eastAsia="zh-CN"/>
        </w:rPr>
        <w:t>，第二次0.61m</w:t>
      </w:r>
      <w:r>
        <w:rPr>
          <w:rFonts w:hint="eastAsia" w:ascii="CESI仿宋-GB2312" w:hAnsi="CESI仿宋-GB2312" w:eastAsia="CESI仿宋-GB2312" w:cs="CESI仿宋-GB2312"/>
          <w:color w:val="auto"/>
          <w:sz w:val="32"/>
          <w:szCs w:val="32"/>
          <w:u w:val="none"/>
          <w:vertAlign w:val="superscript"/>
          <w:lang w:val="en-US" w:eastAsia="zh-CN"/>
        </w:rPr>
        <w:t>-1</w:t>
      </w:r>
      <w:r>
        <w:rPr>
          <w:rFonts w:hint="eastAsia" w:ascii="CESI仿宋-GB2312" w:hAnsi="CESI仿宋-GB2312" w:eastAsia="CESI仿宋-GB2312" w:cs="CESI仿宋-GB2312"/>
          <w:color w:val="auto"/>
          <w:sz w:val="32"/>
          <w:szCs w:val="32"/>
          <w:u w:val="none"/>
          <w:lang w:val="en-US" w:eastAsia="zh-CN"/>
        </w:rPr>
        <w:t>，第三次0.6m</w:t>
      </w:r>
      <w:r>
        <w:rPr>
          <w:rFonts w:hint="eastAsia" w:ascii="CESI仿宋-GB2312" w:hAnsi="CESI仿宋-GB2312" w:eastAsia="CESI仿宋-GB2312" w:cs="CESI仿宋-GB2312"/>
          <w:color w:val="auto"/>
          <w:sz w:val="32"/>
          <w:szCs w:val="32"/>
          <w:u w:val="none"/>
          <w:vertAlign w:val="superscript"/>
          <w:lang w:val="en-US" w:eastAsia="zh-CN"/>
        </w:rPr>
        <w:t>-1</w:t>
      </w:r>
      <w:r>
        <w:rPr>
          <w:rFonts w:hint="eastAsia" w:ascii="CESI仿宋-GB2312" w:hAnsi="CESI仿宋-GB2312" w:eastAsia="CESI仿宋-GB2312" w:cs="CESI仿宋-GB2312"/>
          <w:color w:val="auto"/>
          <w:sz w:val="32"/>
          <w:szCs w:val="32"/>
          <w:u w:val="none"/>
          <w:lang w:val="en-US" w:eastAsia="zh-CN"/>
        </w:rPr>
        <w:t>，自由加载三次检验结果最大值为2.3m</w:t>
      </w:r>
      <w:r>
        <w:rPr>
          <w:rFonts w:hint="eastAsia" w:ascii="CESI仿宋-GB2312" w:hAnsi="CESI仿宋-GB2312" w:eastAsia="CESI仿宋-GB2312" w:cs="CESI仿宋-GB2312"/>
          <w:color w:val="auto"/>
          <w:sz w:val="32"/>
          <w:szCs w:val="32"/>
          <w:u w:val="none"/>
          <w:vertAlign w:val="superscript"/>
          <w:lang w:val="en-US" w:eastAsia="zh-CN"/>
        </w:rPr>
        <w:t>-1</w:t>
      </w:r>
      <w:r>
        <w:rPr>
          <w:rFonts w:hint="eastAsia" w:ascii="CESI仿宋-GB2312" w:hAnsi="CESI仿宋-GB2312" w:eastAsia="CESI仿宋-GB2312" w:cs="CESI仿宋-GB2312"/>
          <w:color w:val="auto"/>
          <w:sz w:val="32"/>
          <w:szCs w:val="32"/>
          <w:u w:val="none"/>
          <w:lang w:val="en-US" w:eastAsia="zh-CN"/>
        </w:rPr>
        <w:t>，排放限值是：0.5m</w:t>
      </w:r>
      <w:r>
        <w:rPr>
          <w:rFonts w:hint="eastAsia" w:ascii="CESI仿宋-GB2312" w:hAnsi="CESI仿宋-GB2312" w:eastAsia="CESI仿宋-GB2312" w:cs="CESI仿宋-GB2312"/>
          <w:color w:val="auto"/>
          <w:sz w:val="32"/>
          <w:szCs w:val="32"/>
          <w:u w:val="none"/>
          <w:vertAlign w:val="superscript"/>
          <w:lang w:val="en-US" w:eastAsia="zh-CN"/>
        </w:rPr>
        <w:t>-1</w:t>
      </w:r>
      <w:r>
        <w:rPr>
          <w:rFonts w:hint="eastAsia" w:ascii="CESI仿宋-GB2312" w:hAnsi="CESI仿宋-GB2312" w:eastAsia="CESI仿宋-GB2312" w:cs="CESI仿宋-GB2312"/>
          <w:color w:val="auto"/>
          <w:sz w:val="32"/>
          <w:szCs w:val="32"/>
          <w:u w:val="none"/>
          <w:lang w:val="en-US" w:eastAsia="zh-CN"/>
        </w:rPr>
        <w:t>，结果判定为：不合格。</w:t>
      </w:r>
    </w:p>
    <w:p>
      <w:pPr>
        <w:wordWrap/>
        <w:spacing w:line="54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lang w:val="en-US" w:eastAsia="zh-CN"/>
        </w:rPr>
      </w:pPr>
      <w:r>
        <w:rPr>
          <w:rFonts w:hint="eastAsia" w:ascii="CESI仿宋-GB2312" w:hAnsi="CESI仿宋-GB2312" w:eastAsia="CESI仿宋-GB2312" w:cs="CESI仿宋-GB2312"/>
          <w:color w:val="auto"/>
          <w:sz w:val="32"/>
          <w:szCs w:val="32"/>
          <w:u w:val="none"/>
          <w:lang w:val="en-US" w:eastAsia="zh-CN"/>
        </w:rPr>
        <w:t>你的上述行为违反了《中华人民共和国大气污染防治法》第五十九条：“在用重型柴油车、非道路移动机械未安装污染控制装置或者污染控制装置不符合要求，不能达标排放的，应当加装或者更换符合要求的污染控制装置。”的规定。</w:t>
      </w:r>
    </w:p>
    <w:p>
      <w:pPr>
        <w:wordWrap/>
        <w:spacing w:line="54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lang w:val="en-US" w:eastAsia="zh-CN"/>
        </w:rPr>
      </w:pPr>
      <w:r>
        <w:rPr>
          <w:rFonts w:hint="eastAsia" w:ascii="CESI仿宋-GB2312" w:hAnsi="CESI仿宋-GB2312" w:eastAsia="CESI仿宋-GB2312" w:cs="CESI仿宋-GB2312"/>
          <w:color w:val="auto"/>
          <w:sz w:val="32"/>
          <w:szCs w:val="32"/>
          <w:u w:val="none"/>
          <w:lang w:val="en-US" w:eastAsia="zh-CN"/>
        </w:rPr>
        <w:t>以上事实，主要有以下证据证明：</w:t>
      </w:r>
    </w:p>
    <w:p>
      <w:pPr>
        <w:wordWrap/>
        <w:spacing w:line="54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lang w:val="en-US" w:eastAsia="zh-CN"/>
        </w:rPr>
      </w:pPr>
      <w:r>
        <w:rPr>
          <w:rFonts w:hint="eastAsia" w:ascii="CESI仿宋-GB2312" w:hAnsi="CESI仿宋-GB2312" w:eastAsia="CESI仿宋-GB2312" w:cs="CESI仿宋-GB2312"/>
          <w:color w:val="auto"/>
          <w:sz w:val="32"/>
          <w:szCs w:val="32"/>
          <w:u w:val="none"/>
          <w:lang w:val="en-US" w:eastAsia="zh-CN"/>
        </w:rPr>
        <w:t>现场检查（勘察）笔录及现场照片/视频（2025年10月16日），证明你(李旭)使用轮式装载机正在沁阳市王召乡工业园区进行装卸作业；</w:t>
      </w:r>
    </w:p>
    <w:p>
      <w:pPr>
        <w:wordWrap/>
        <w:spacing w:line="54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lang w:val="en-US" w:eastAsia="zh-CN"/>
        </w:rPr>
      </w:pPr>
      <w:r>
        <w:rPr>
          <w:rFonts w:hint="eastAsia" w:ascii="CESI仿宋-GB2312" w:hAnsi="CESI仿宋-GB2312" w:eastAsia="CESI仿宋-GB2312" w:cs="CESI仿宋-GB2312"/>
          <w:color w:val="auto"/>
          <w:sz w:val="32"/>
          <w:szCs w:val="32"/>
          <w:u w:val="none"/>
          <w:lang w:val="en-US" w:eastAsia="zh-CN"/>
        </w:rPr>
        <w:t>2、调查询问笔录（2025年10月16日），证明你（李旭）使用轮式装载机正在沁阳市王召乡工业园区进行装卸作业，沁阳市成功机动车检测有限公司现场对轮式装载机尾气排放进行检测的事实；</w:t>
      </w:r>
    </w:p>
    <w:p>
      <w:pPr>
        <w:wordWrap/>
        <w:spacing w:line="54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lang w:val="en-US" w:eastAsia="zh-CN"/>
        </w:rPr>
      </w:pPr>
      <w:r>
        <w:rPr>
          <w:rFonts w:hint="eastAsia" w:ascii="CESI仿宋-GB2312" w:hAnsi="CESI仿宋-GB2312" w:eastAsia="CESI仿宋-GB2312" w:cs="CESI仿宋-GB2312"/>
          <w:color w:val="auto"/>
          <w:sz w:val="32"/>
          <w:szCs w:val="32"/>
          <w:u w:val="none"/>
          <w:lang w:val="en-US" w:eastAsia="zh-CN"/>
        </w:rPr>
        <w:t>3、沁阳市成功机动车检测有限公司检测报告1张，证明你（李旭）使用的尾气排放不合格的轮式装载机进行装卸作业;</w:t>
      </w:r>
    </w:p>
    <w:p>
      <w:pPr>
        <w:wordWrap/>
        <w:spacing w:line="54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lang w:val="en-US" w:eastAsia="zh-CN"/>
        </w:rPr>
      </w:pPr>
      <w:r>
        <w:rPr>
          <w:rFonts w:hint="eastAsia" w:ascii="CESI仿宋-GB2312" w:hAnsi="CESI仿宋-GB2312" w:eastAsia="CESI仿宋-GB2312" w:cs="CESI仿宋-GB2312"/>
          <w:color w:val="auto"/>
          <w:sz w:val="32"/>
          <w:szCs w:val="32"/>
          <w:u w:val="none"/>
          <w:lang w:val="en-US" w:eastAsia="zh-CN"/>
        </w:rPr>
        <w:t>4、个人身份证复印件，证明你（李旭）的身份信息；</w:t>
      </w:r>
    </w:p>
    <w:p>
      <w:pPr>
        <w:wordWrap/>
        <w:spacing w:line="54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lang w:val="en-US" w:eastAsia="zh-CN"/>
        </w:rPr>
      </w:pPr>
      <w:r>
        <w:rPr>
          <w:rFonts w:hint="eastAsia" w:ascii="CESI仿宋-GB2312" w:hAnsi="CESI仿宋-GB2312" w:eastAsia="CESI仿宋-GB2312" w:cs="CESI仿宋-GB2312"/>
          <w:color w:val="auto"/>
          <w:sz w:val="32"/>
          <w:szCs w:val="32"/>
          <w:u w:val="none"/>
          <w:lang w:val="en-US" w:eastAsia="zh-CN"/>
        </w:rPr>
        <w:t>5、其他证据等证据为凭。</w:t>
      </w:r>
    </w:p>
    <w:p>
      <w:pPr>
        <w:wordWrap/>
        <w:spacing w:line="54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lang w:eastAsia="zh-CN"/>
        </w:rPr>
      </w:pPr>
      <w:r>
        <w:rPr>
          <w:rFonts w:hint="eastAsia" w:ascii="CESI仿宋-GB2312" w:hAnsi="CESI仿宋-GB2312" w:eastAsia="CESI仿宋-GB2312" w:cs="CESI仿宋-GB2312"/>
          <w:color w:val="auto"/>
          <w:sz w:val="32"/>
          <w:szCs w:val="32"/>
          <w:u w:val="none"/>
          <w:lang w:val="en-US" w:eastAsia="zh-CN"/>
        </w:rPr>
        <w:t>我局于2025年11月17日向你送达了《</w:t>
      </w:r>
      <w:r>
        <w:rPr>
          <w:rFonts w:hint="eastAsia" w:ascii="CESI仿宋-GB2312" w:hAnsi="CESI仿宋-GB2312" w:eastAsia="CESI仿宋-GB2312" w:cs="CESI仿宋-GB2312"/>
          <w:color w:val="auto"/>
          <w:sz w:val="32"/>
          <w:szCs w:val="32"/>
          <w:u w:val="none"/>
        </w:rPr>
        <w:t>行政处罚事先（听证）告知书</w:t>
      </w:r>
      <w:r>
        <w:rPr>
          <w:rFonts w:hint="eastAsia" w:ascii="CESI仿宋-GB2312" w:hAnsi="CESI仿宋-GB2312" w:eastAsia="CESI仿宋-GB2312" w:cs="CESI仿宋-GB2312"/>
          <w:color w:val="auto"/>
          <w:sz w:val="32"/>
          <w:szCs w:val="32"/>
          <w:u w:val="none"/>
          <w:lang w:val="en-US" w:eastAsia="zh-CN"/>
        </w:rPr>
        <w:t>》</w:t>
      </w:r>
      <w:r>
        <w:rPr>
          <w:rFonts w:hint="eastAsia" w:ascii="CESI仿宋-GB2312" w:hAnsi="CESI仿宋-GB2312" w:eastAsia="CESI仿宋-GB2312" w:cs="CESI仿宋-GB2312"/>
          <w:color w:val="auto"/>
          <w:sz w:val="32"/>
          <w:szCs w:val="32"/>
          <w:u w:val="none"/>
          <w:lang w:eastAsia="zh-CN"/>
        </w:rPr>
        <w:t>（</w:t>
      </w:r>
      <w:r>
        <w:rPr>
          <w:rFonts w:hint="eastAsia" w:ascii="CESI仿宋-GB2312" w:hAnsi="CESI仿宋-GB2312" w:eastAsia="CESI仿宋-GB2312" w:cs="CESI仿宋-GB2312"/>
          <w:color w:val="auto"/>
          <w:sz w:val="32"/>
          <w:szCs w:val="32"/>
          <w:u w:val="none"/>
        </w:rPr>
        <w:t>焦</w:t>
      </w:r>
      <w:r>
        <w:rPr>
          <w:rFonts w:hint="eastAsia" w:ascii="CESI仿宋-GB2312" w:hAnsi="CESI仿宋-GB2312" w:eastAsia="CESI仿宋-GB2312" w:cs="CESI仿宋-GB2312"/>
          <w:color w:val="auto"/>
          <w:sz w:val="32"/>
          <w:szCs w:val="32"/>
          <w:u w:val="none"/>
          <w:lang w:eastAsia="zh-CN"/>
        </w:rPr>
        <w:t>沁</w:t>
      </w:r>
      <w:r>
        <w:rPr>
          <w:rFonts w:hint="eastAsia" w:ascii="CESI仿宋-GB2312" w:hAnsi="CESI仿宋-GB2312" w:eastAsia="CESI仿宋-GB2312" w:cs="CESI仿宋-GB2312"/>
          <w:color w:val="auto"/>
          <w:sz w:val="32"/>
          <w:szCs w:val="32"/>
          <w:u w:val="none"/>
        </w:rPr>
        <w:t>环先告</w:t>
      </w:r>
      <w:r>
        <w:rPr>
          <w:rFonts w:hint="eastAsia" w:ascii="CESI仿宋-GB2312" w:hAnsi="CESI仿宋-GB2312" w:eastAsia="CESI仿宋-GB2312" w:cs="CESI仿宋-GB2312"/>
          <w:color w:val="auto"/>
          <w:sz w:val="32"/>
          <w:szCs w:val="32"/>
          <w:u w:val="none"/>
          <w:lang w:eastAsia="zh-CN"/>
        </w:rPr>
        <w:t>字〔</w:t>
      </w:r>
      <w:r>
        <w:rPr>
          <w:rFonts w:hint="eastAsia" w:ascii="CESI仿宋-GB2312" w:hAnsi="CESI仿宋-GB2312" w:eastAsia="CESI仿宋-GB2312" w:cs="CESI仿宋-GB2312"/>
          <w:color w:val="auto"/>
          <w:sz w:val="32"/>
          <w:szCs w:val="32"/>
          <w:u w:val="none"/>
          <w:lang w:val="en-US" w:eastAsia="zh-CN"/>
        </w:rPr>
        <w:t>2025</w:t>
      </w:r>
      <w:r>
        <w:rPr>
          <w:rFonts w:hint="eastAsia" w:ascii="CESI仿宋-GB2312" w:hAnsi="CESI仿宋-GB2312" w:eastAsia="CESI仿宋-GB2312" w:cs="CESI仿宋-GB2312"/>
          <w:color w:val="auto"/>
          <w:sz w:val="32"/>
          <w:szCs w:val="32"/>
          <w:u w:val="none"/>
          <w:lang w:eastAsia="zh-CN"/>
        </w:rPr>
        <w:t>〕</w:t>
      </w:r>
      <w:r>
        <w:rPr>
          <w:rFonts w:hint="eastAsia" w:ascii="CESI仿宋-GB2312" w:hAnsi="CESI仿宋-GB2312" w:eastAsia="CESI仿宋-GB2312" w:cs="CESI仿宋-GB2312"/>
          <w:color w:val="auto"/>
          <w:sz w:val="32"/>
          <w:szCs w:val="32"/>
          <w:u w:val="none"/>
          <w:lang w:val="en-US" w:eastAsia="zh-CN"/>
        </w:rPr>
        <w:t>45</w:t>
      </w:r>
      <w:r>
        <w:rPr>
          <w:rFonts w:hint="eastAsia" w:ascii="CESI仿宋-GB2312" w:hAnsi="CESI仿宋-GB2312" w:eastAsia="CESI仿宋-GB2312" w:cs="CESI仿宋-GB2312"/>
          <w:color w:val="auto"/>
          <w:sz w:val="32"/>
          <w:szCs w:val="32"/>
          <w:u w:val="none"/>
        </w:rPr>
        <w:t>号</w:t>
      </w:r>
      <w:r>
        <w:rPr>
          <w:rFonts w:hint="eastAsia" w:ascii="CESI仿宋-GB2312" w:hAnsi="CESI仿宋-GB2312" w:eastAsia="CESI仿宋-GB2312" w:cs="CESI仿宋-GB2312"/>
          <w:color w:val="auto"/>
          <w:sz w:val="32"/>
          <w:szCs w:val="32"/>
          <w:u w:val="none"/>
          <w:lang w:eastAsia="zh-CN"/>
        </w:rPr>
        <w:t>），</w:t>
      </w:r>
      <w:r>
        <w:rPr>
          <w:rFonts w:hint="eastAsia" w:ascii="CESI仿宋-GB2312" w:hAnsi="CESI仿宋-GB2312" w:eastAsia="CESI仿宋-GB2312" w:cs="CESI仿宋-GB2312"/>
          <w:color w:val="auto"/>
          <w:sz w:val="32"/>
          <w:szCs w:val="32"/>
          <w:u w:val="none"/>
        </w:rPr>
        <w:t>告知书</w:t>
      </w:r>
      <w:r>
        <w:rPr>
          <w:rFonts w:hint="eastAsia" w:ascii="CESI仿宋-GB2312" w:hAnsi="CESI仿宋-GB2312" w:eastAsia="CESI仿宋-GB2312" w:cs="CESI仿宋-GB2312"/>
          <w:color w:val="auto"/>
          <w:sz w:val="32"/>
          <w:szCs w:val="32"/>
        </w:rPr>
        <w:t>告知你陈述申辩权（听证申请权）。</w:t>
      </w:r>
      <w:r>
        <w:rPr>
          <w:rFonts w:hint="eastAsia" w:ascii="CESI仿宋-GB2312" w:hAnsi="CESI仿宋-GB2312" w:eastAsia="CESI仿宋-GB2312" w:cs="CESI仿宋-GB2312"/>
          <w:color w:val="auto"/>
          <w:sz w:val="32"/>
          <w:szCs w:val="32"/>
          <w:lang w:eastAsia="zh-CN"/>
        </w:rPr>
        <w:t>你在法定期限内未提出陈述、申辩，也未要求听证，视为你放弃陈述、申辩和听证权利。</w:t>
      </w:r>
    </w:p>
    <w:p>
      <w:pPr>
        <w:widowControl w:val="0"/>
        <w:numPr>
          <w:ilvl w:val="0"/>
          <w:numId w:val="0"/>
        </w:numPr>
        <w:wordWrap/>
        <w:adjustRightInd w:val="0"/>
        <w:snapToGrid w:val="0"/>
        <w:spacing w:line="540" w:lineRule="exact"/>
        <w:ind w:left="0" w:leftChars="0" w:right="0" w:firstLine="640" w:firstLineChars="200"/>
        <w:jc w:val="both"/>
        <w:textAlignment w:val="auto"/>
        <w:outlineLvl w:val="9"/>
        <w:rPr>
          <w:rFonts w:hint="eastAsia" w:ascii="CESI黑体-GB2312" w:hAnsi="CESI黑体-GB2312" w:eastAsia="CESI黑体-GB2312" w:cs="CESI黑体-GB2312"/>
          <w:color w:val="auto"/>
          <w:sz w:val="32"/>
          <w:szCs w:val="32"/>
        </w:rPr>
      </w:pPr>
      <w:r>
        <w:rPr>
          <w:rFonts w:hint="eastAsia" w:ascii="CESI黑体-GB2312" w:hAnsi="CESI黑体-GB2312" w:eastAsia="CESI黑体-GB2312" w:cs="CESI黑体-GB2312"/>
          <w:color w:val="auto"/>
          <w:sz w:val="32"/>
          <w:szCs w:val="32"/>
          <w:u w:val="none"/>
        </w:rPr>
        <w:t>二、行政处罚的依据、种类</w:t>
      </w:r>
    </w:p>
    <w:p>
      <w:pPr>
        <w:widowControl w:val="0"/>
        <w:numPr>
          <w:ilvl w:val="0"/>
          <w:numId w:val="0"/>
        </w:numPr>
        <w:wordWrap/>
        <w:adjustRightInd w:val="0"/>
        <w:snapToGrid w:val="0"/>
        <w:spacing w:line="540" w:lineRule="exact"/>
        <w:ind w:left="0" w:leftChars="0" w:right="0" w:firstLine="640" w:firstLineChars="200"/>
        <w:jc w:val="both"/>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依据《中华人民共和国大气污染防治法》第一百一十四条第一款：“违反本法规定，使用排放不合格的非道路移动机械，或者在用重型柴油车、非道路移动机械未按照规定加装、更换污染控制装置的，由县级以上人民政府环境保护等主管部门按照职责责令改正，处五千元的罚款。”的规定，经集体研究，我局对你的违法行为作出如下处理决定：</w:t>
      </w:r>
    </w:p>
    <w:p>
      <w:pPr>
        <w:widowControl w:val="0"/>
        <w:numPr>
          <w:ilvl w:val="0"/>
          <w:numId w:val="0"/>
        </w:numPr>
        <w:wordWrap/>
        <w:adjustRightInd w:val="0"/>
        <w:snapToGrid w:val="0"/>
        <w:spacing w:line="560" w:lineRule="exact"/>
        <w:ind w:firstLine="640" w:firstLineChars="20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给予罚款伍仟元整（5000元）。</w:t>
      </w:r>
    </w:p>
    <w:p>
      <w:pPr>
        <w:wordWrap/>
        <w:adjustRightInd w:val="0"/>
        <w:snapToGrid w:val="0"/>
        <w:spacing w:line="560" w:lineRule="exact"/>
        <w:ind w:firstLine="640" w:firstLineChars="200"/>
        <w:textAlignment w:val="auto"/>
        <w:rPr>
          <w:rFonts w:hint="eastAsia" w:ascii="CESI黑体-GB2312" w:hAnsi="CESI黑体-GB2312" w:eastAsia="CESI黑体-GB2312" w:cs="CESI黑体-GB2312"/>
          <w:b w:val="0"/>
          <w:color w:val="auto"/>
          <w:sz w:val="32"/>
          <w:szCs w:val="32"/>
          <w:lang w:val="en-US" w:eastAsia="zh-CN"/>
        </w:rPr>
      </w:pPr>
      <w:r>
        <w:rPr>
          <w:rFonts w:hint="eastAsia" w:ascii="CESI黑体-GB2312" w:hAnsi="CESI黑体-GB2312" w:eastAsia="CESI黑体-GB2312" w:cs="CESI黑体-GB2312"/>
          <w:b w:val="0"/>
          <w:color w:val="auto"/>
          <w:sz w:val="32"/>
          <w:szCs w:val="32"/>
          <w:lang w:val="en-US" w:eastAsia="zh-CN"/>
        </w:rPr>
        <w:t>三、行政处罚决定的履行方式和期限</w:t>
      </w:r>
    </w:p>
    <w:p>
      <w:pPr>
        <w:wordWrap/>
        <w:adjustRightInd w:val="0"/>
        <w:snapToGrid w:val="0"/>
        <w:spacing w:line="560" w:lineRule="exact"/>
        <w:ind w:firstLine="640" w:firstLineChars="200"/>
        <w:jc w:val="both"/>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根据《中华人民共和国行政处罚法》和《罚款决定与罚款收缴分离实施办法》的规定，你应当自收到本处罚决定书之日起15日内将罚款缴至焦作市财政局非税收入财政专户，开户行:邮政储蓄银行民主南路支行，银行账号:100195545980010001。缴款时，需在缴款备注栏注明“生态环境行政处罚款”及具体的处罚决定书编号等信息，以便准确核对缴款记录。</w:t>
      </w:r>
    </w:p>
    <w:p>
      <w:pPr>
        <w:wordWrap/>
        <w:adjustRightInd w:val="0"/>
        <w:snapToGrid w:val="0"/>
        <w:spacing w:line="560" w:lineRule="exact"/>
        <w:ind w:firstLine="640" w:firstLineChars="200"/>
        <w:textAlignment w:val="auto"/>
        <w:rPr>
          <w:rFonts w:hint="eastAsia" w:ascii="CESI黑体-GB2312" w:hAnsi="CESI黑体-GB2312" w:eastAsia="CESI黑体-GB2312" w:cs="CESI黑体-GB2312"/>
          <w:b w:val="0"/>
          <w:color w:val="auto"/>
          <w:sz w:val="32"/>
          <w:szCs w:val="32"/>
          <w:lang w:val="en-US" w:eastAsia="zh-CN"/>
        </w:rPr>
      </w:pPr>
      <w:r>
        <w:rPr>
          <w:rFonts w:hint="eastAsia" w:ascii="CESI黑体-GB2312" w:hAnsi="CESI黑体-GB2312" w:eastAsia="CESI黑体-GB2312" w:cs="CESI黑体-GB2312"/>
          <w:b w:val="0"/>
          <w:color w:val="auto"/>
          <w:sz w:val="32"/>
          <w:szCs w:val="32"/>
          <w:lang w:val="en-US" w:eastAsia="zh-CN"/>
        </w:rPr>
        <w:t>四、申请行政复议或提起行政诉讼的途径和期限</w:t>
      </w:r>
    </w:p>
    <w:p>
      <w:pPr>
        <w:wordWrap/>
        <w:adjustRightInd w:val="0"/>
        <w:snapToGrid w:val="0"/>
        <w:spacing w:line="560" w:lineRule="exact"/>
        <w:ind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pPr>
        <w:widowControl w:val="0"/>
        <w:wordWrap/>
        <w:adjustRightInd/>
        <w:snapToGrid w:val="0"/>
        <w:spacing w:line="560" w:lineRule="exact"/>
        <w:ind w:right="0"/>
        <w:jc w:val="right"/>
        <w:textAlignment w:val="auto"/>
        <w:rPr>
          <w:rFonts w:hint="eastAsia" w:ascii="CESI仿宋-GB2312" w:hAnsi="CESI仿宋-GB2312" w:eastAsia="CESI仿宋-GB2312" w:cs="CESI仿宋-GB2312"/>
          <w:color w:val="auto"/>
          <w:sz w:val="32"/>
          <w:szCs w:val="32"/>
        </w:rPr>
      </w:pPr>
    </w:p>
    <w:p>
      <w:pPr>
        <w:widowControl w:val="0"/>
        <w:wordWrap/>
        <w:adjustRightInd/>
        <w:snapToGrid w:val="0"/>
        <w:spacing w:line="560" w:lineRule="exact"/>
        <w:ind w:right="0" w:firstLine="5440" w:firstLineChars="1700"/>
        <w:jc w:val="both"/>
        <w:textAlignment w:val="auto"/>
        <w:rPr>
          <w:rFonts w:hint="eastAsia" w:ascii="CESI仿宋-GB2312" w:hAnsi="CESI仿宋-GB2312" w:eastAsia="CESI仿宋-GB2312" w:cs="CESI仿宋-GB2312"/>
          <w:color w:val="auto"/>
          <w:sz w:val="32"/>
          <w:szCs w:val="32"/>
          <w:lang w:val="en-US" w:eastAsia="zh-CN"/>
        </w:rPr>
      </w:pPr>
    </w:p>
    <w:p>
      <w:pPr>
        <w:pStyle w:val="2"/>
        <w:rPr>
          <w:rFonts w:hint="eastAsia"/>
          <w:lang w:val="en-US" w:eastAsia="zh-CN"/>
        </w:rPr>
      </w:pPr>
    </w:p>
    <w:p>
      <w:pPr>
        <w:widowControl w:val="0"/>
        <w:wordWrap/>
        <w:adjustRightInd/>
        <w:snapToGrid w:val="0"/>
        <w:spacing w:line="560" w:lineRule="exact"/>
        <w:ind w:right="0" w:firstLine="4800" w:firstLineChars="1500"/>
        <w:jc w:val="both"/>
        <w:textAlignment w:val="auto"/>
        <w:rPr>
          <w:rFonts w:hint="eastAsia"/>
        </w:rPr>
      </w:pPr>
      <w:r>
        <w:rPr>
          <w:rFonts w:hint="eastAsia" w:ascii="CESI仿宋-GB2312" w:hAnsi="CESI仿宋-GB2312" w:eastAsia="CESI仿宋-GB2312" w:cs="CESI仿宋-GB2312"/>
          <w:color w:val="auto"/>
          <w:sz w:val="32"/>
          <w:szCs w:val="32"/>
          <w:lang w:val="en-US" w:eastAsia="zh-CN"/>
        </w:rPr>
        <w:t>2025</w:t>
      </w:r>
      <w:r>
        <w:rPr>
          <w:rFonts w:hint="eastAsia" w:ascii="CESI仿宋-GB2312" w:hAnsi="CESI仿宋-GB2312" w:eastAsia="CESI仿宋-GB2312" w:cs="CESI仿宋-GB2312"/>
          <w:color w:val="auto"/>
          <w:sz w:val="32"/>
          <w:szCs w:val="32"/>
        </w:rPr>
        <w:t>年</w:t>
      </w:r>
      <w:r>
        <w:rPr>
          <w:rFonts w:hint="eastAsia" w:ascii="CESI仿宋-GB2312" w:hAnsi="CESI仿宋-GB2312" w:eastAsia="CESI仿宋-GB2312" w:cs="CESI仿宋-GB2312"/>
          <w:color w:val="auto"/>
          <w:sz w:val="32"/>
          <w:szCs w:val="32"/>
          <w:lang w:val="en-US" w:eastAsia="zh-CN"/>
        </w:rPr>
        <w:t>12</w:t>
      </w:r>
      <w:r>
        <w:rPr>
          <w:rFonts w:hint="eastAsia" w:ascii="CESI仿宋-GB2312" w:hAnsi="CESI仿宋-GB2312" w:eastAsia="CESI仿宋-GB2312" w:cs="CESI仿宋-GB2312"/>
          <w:color w:val="auto"/>
          <w:sz w:val="32"/>
          <w:szCs w:val="32"/>
        </w:rPr>
        <w:t>月</w:t>
      </w:r>
      <w:r>
        <w:rPr>
          <w:rFonts w:hint="eastAsia" w:ascii="CESI仿宋-GB2312" w:hAnsi="CESI仿宋-GB2312" w:eastAsia="CESI仿宋-GB2312" w:cs="CESI仿宋-GB2312"/>
          <w:color w:val="auto"/>
          <w:sz w:val="32"/>
          <w:szCs w:val="32"/>
          <w:lang w:val="en-US" w:eastAsia="zh-CN"/>
        </w:rPr>
        <w:t>8</w:t>
      </w:r>
      <w:r>
        <w:rPr>
          <w:rFonts w:hint="eastAsia" w:ascii="CESI仿宋-GB2312" w:hAnsi="CESI仿宋-GB2312" w:eastAsia="CESI仿宋-GB2312" w:cs="CESI仿宋-GB2312"/>
          <w:color w:val="auto"/>
          <w:sz w:val="32"/>
          <w:szCs w:val="32"/>
        </w:rPr>
        <w:t>日</w:t>
      </w:r>
    </w:p>
    <w:sectPr>
      <w:footerReference r:id="rId3" w:type="default"/>
      <w:pgSz w:w="11906" w:h="16838"/>
      <w:pgMar w:top="1814" w:right="1474" w:bottom="1474" w:left="1587"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00007A87" w:usb1="80000000" w:usb2="00000008" w:usb3="00000000" w:csb0="400001FF" w:csb1="FFFF0000"/>
  </w:font>
  <w:font w:name="宋体">
    <w:altName w:val="文泉驿微米黑"/>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文泉驿微米黑"/>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auto"/>
    <w:pitch w:val="default"/>
    <w:sig w:usb0="00000001" w:usb1="080E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CESI黑体-GB2312">
    <w:panose1 w:val="02000500000000000000"/>
    <w:charset w:val="86"/>
    <w:family w:val="auto"/>
    <w:pitch w:val="default"/>
    <w:sig w:usb0="800002BF" w:usb1="184F6CF8" w:usb2="00000012" w:usb3="00000000" w:csb0="0004000F"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ascii="Times New Roman" w:hAnsi="Times New Roman" w:eastAsia="宋体" w:cs="Times New Roman"/>
        <w:kern w:val="2"/>
        <w:sz w:val="18"/>
        <w:szCs w:val="24"/>
        <w:lang w:val="en-US" w:eastAsia="zh-CN" w:bidi="ar-SA"/>
      </w:rPr>
      <w:pict>
        <v:rect id="文本框 5" o:spid="_x0000_s2049" o:spt="1" style="position:absolute;left:0pt;margin-top:0pt;height:144pt;width:144pt;mso-position-horizontal:outside;mso-position-horizontal-relative:margin;mso-wrap-style:none;z-index:251658240;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4"/>
                </w:pPr>
                <w:r>
                  <w:rPr>
                    <w:sz w:val="24"/>
                    <w:szCs w:val="24"/>
                  </w:rPr>
                  <w:fldChar w:fldCharType="begin"/>
                </w:r>
                <w:r>
                  <w:rPr>
                    <w:sz w:val="24"/>
                    <w:szCs w:val="24"/>
                  </w:rPr>
                  <w:instrText xml:space="preserve"> PAGE  \* MERGEFORMAT </w:instrText>
                </w:r>
                <w:r>
                  <w:rPr>
                    <w:sz w:val="24"/>
                    <w:szCs w:val="24"/>
                  </w:rPr>
                  <w:fldChar w:fldCharType="separate"/>
                </w:r>
                <w:r>
                  <w:t>- 1 -</w:t>
                </w:r>
                <w:r>
                  <w:rPr>
                    <w:sz w:val="24"/>
                    <w:szCs w:val="24"/>
                  </w:rP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jRlMjYzYjY0NDc3YWQ3MmM5M2UxZWVhYzAzYmFjZDQifQ=="/>
  </w:docVars>
  <w:rsids>
    <w:rsidRoot w:val="4A1947CF"/>
    <w:rsid w:val="008E279E"/>
    <w:rsid w:val="030376E3"/>
    <w:rsid w:val="038C592B"/>
    <w:rsid w:val="085D1690"/>
    <w:rsid w:val="0AAF0A0D"/>
    <w:rsid w:val="0AD054CA"/>
    <w:rsid w:val="0D215336"/>
    <w:rsid w:val="0D9CAF10"/>
    <w:rsid w:val="0DC26E50"/>
    <w:rsid w:val="11C97D4A"/>
    <w:rsid w:val="11EE5A02"/>
    <w:rsid w:val="12B66520"/>
    <w:rsid w:val="152C6D63"/>
    <w:rsid w:val="15655DA1"/>
    <w:rsid w:val="16F7220D"/>
    <w:rsid w:val="1A610914"/>
    <w:rsid w:val="1B3E5305"/>
    <w:rsid w:val="1B6D5BEA"/>
    <w:rsid w:val="1B6D730E"/>
    <w:rsid w:val="1B971382"/>
    <w:rsid w:val="1BFAD971"/>
    <w:rsid w:val="1CFB0107"/>
    <w:rsid w:val="1E2F149E"/>
    <w:rsid w:val="1F0B8FAB"/>
    <w:rsid w:val="1FAC0B58"/>
    <w:rsid w:val="1FDDEC1A"/>
    <w:rsid w:val="2039253E"/>
    <w:rsid w:val="21B75E11"/>
    <w:rsid w:val="22572DEA"/>
    <w:rsid w:val="228A7081"/>
    <w:rsid w:val="22E50641"/>
    <w:rsid w:val="23C95683"/>
    <w:rsid w:val="264D28A0"/>
    <w:rsid w:val="27D843EB"/>
    <w:rsid w:val="27EC3633"/>
    <w:rsid w:val="28337849"/>
    <w:rsid w:val="284944D5"/>
    <w:rsid w:val="29CF7236"/>
    <w:rsid w:val="29F23E8A"/>
    <w:rsid w:val="2B0C4A0B"/>
    <w:rsid w:val="2C0010B8"/>
    <w:rsid w:val="2C3D33B6"/>
    <w:rsid w:val="2C8F7E64"/>
    <w:rsid w:val="2CDD4E49"/>
    <w:rsid w:val="2DF16206"/>
    <w:rsid w:val="2DF38D52"/>
    <w:rsid w:val="2DFB41D6"/>
    <w:rsid w:val="2F3F7141"/>
    <w:rsid w:val="2F7FA552"/>
    <w:rsid w:val="2F8E89E2"/>
    <w:rsid w:val="2FAFE4F1"/>
    <w:rsid w:val="2FF367FE"/>
    <w:rsid w:val="2FFEB932"/>
    <w:rsid w:val="3733509B"/>
    <w:rsid w:val="37B3277F"/>
    <w:rsid w:val="37BFD2FE"/>
    <w:rsid w:val="37FBF4EE"/>
    <w:rsid w:val="3802174C"/>
    <w:rsid w:val="388D4D7E"/>
    <w:rsid w:val="3A7206CF"/>
    <w:rsid w:val="3AC54CA3"/>
    <w:rsid w:val="3B472CF1"/>
    <w:rsid w:val="3B8C57C0"/>
    <w:rsid w:val="3B9D352A"/>
    <w:rsid w:val="3BDDD8AE"/>
    <w:rsid w:val="3BF515B8"/>
    <w:rsid w:val="3C9F32D2"/>
    <w:rsid w:val="3CBB2319"/>
    <w:rsid w:val="3CE24C6F"/>
    <w:rsid w:val="3D2A703F"/>
    <w:rsid w:val="3D9B59FA"/>
    <w:rsid w:val="3DD75419"/>
    <w:rsid w:val="3DE578DE"/>
    <w:rsid w:val="3EDF024B"/>
    <w:rsid w:val="3EEFEBE7"/>
    <w:rsid w:val="3EF21339"/>
    <w:rsid w:val="3F5D59B1"/>
    <w:rsid w:val="3FDD53B6"/>
    <w:rsid w:val="3FFF2D2D"/>
    <w:rsid w:val="3FFF94DB"/>
    <w:rsid w:val="40385F17"/>
    <w:rsid w:val="42DE0E3E"/>
    <w:rsid w:val="4429503A"/>
    <w:rsid w:val="47A85730"/>
    <w:rsid w:val="47D84760"/>
    <w:rsid w:val="4A1947CF"/>
    <w:rsid w:val="4AC62A9D"/>
    <w:rsid w:val="4BC52D55"/>
    <w:rsid w:val="4BFD1759"/>
    <w:rsid w:val="4DDA688A"/>
    <w:rsid w:val="4FEC63D6"/>
    <w:rsid w:val="4FFB7951"/>
    <w:rsid w:val="513B5867"/>
    <w:rsid w:val="52214363"/>
    <w:rsid w:val="535BAA34"/>
    <w:rsid w:val="537F0558"/>
    <w:rsid w:val="53AD4F6C"/>
    <w:rsid w:val="54176117"/>
    <w:rsid w:val="54DE2A5F"/>
    <w:rsid w:val="567F68C4"/>
    <w:rsid w:val="56F6D4A4"/>
    <w:rsid w:val="571E6C67"/>
    <w:rsid w:val="57FA2011"/>
    <w:rsid w:val="57FDD883"/>
    <w:rsid w:val="582C415B"/>
    <w:rsid w:val="58896EB8"/>
    <w:rsid w:val="59BD9A63"/>
    <w:rsid w:val="5C92BF0D"/>
    <w:rsid w:val="5C9D73D6"/>
    <w:rsid w:val="5CFB269B"/>
    <w:rsid w:val="5D330E4D"/>
    <w:rsid w:val="5D9C7924"/>
    <w:rsid w:val="5EBF3A2E"/>
    <w:rsid w:val="5EBFA052"/>
    <w:rsid w:val="5FDF3BA0"/>
    <w:rsid w:val="5FE7C898"/>
    <w:rsid w:val="5FED35FF"/>
    <w:rsid w:val="5FF33E2E"/>
    <w:rsid w:val="5FFE2BF3"/>
    <w:rsid w:val="615A5895"/>
    <w:rsid w:val="61A11716"/>
    <w:rsid w:val="633B270D"/>
    <w:rsid w:val="64371CD5"/>
    <w:rsid w:val="66E7CA01"/>
    <w:rsid w:val="67E3DCF7"/>
    <w:rsid w:val="6BA17942"/>
    <w:rsid w:val="6BF6EBB9"/>
    <w:rsid w:val="6D033285"/>
    <w:rsid w:val="6DC7C19D"/>
    <w:rsid w:val="6E5C32D1"/>
    <w:rsid w:val="6E775CD9"/>
    <w:rsid w:val="6EFF3538"/>
    <w:rsid w:val="6F166E80"/>
    <w:rsid w:val="6F263764"/>
    <w:rsid w:val="6F6EC599"/>
    <w:rsid w:val="6F773DCC"/>
    <w:rsid w:val="6FCF5B68"/>
    <w:rsid w:val="6FDE843B"/>
    <w:rsid w:val="6FF9A6E8"/>
    <w:rsid w:val="6FFF362C"/>
    <w:rsid w:val="7003534A"/>
    <w:rsid w:val="703DDB83"/>
    <w:rsid w:val="71092E34"/>
    <w:rsid w:val="71BBDA36"/>
    <w:rsid w:val="773E3677"/>
    <w:rsid w:val="777111AD"/>
    <w:rsid w:val="777D9A7C"/>
    <w:rsid w:val="777F932D"/>
    <w:rsid w:val="77EFC39D"/>
    <w:rsid w:val="78841DF1"/>
    <w:rsid w:val="79AF5B97"/>
    <w:rsid w:val="79BFFFF6"/>
    <w:rsid w:val="79EA85E1"/>
    <w:rsid w:val="79EEA008"/>
    <w:rsid w:val="7AF0AD35"/>
    <w:rsid w:val="7B3D694F"/>
    <w:rsid w:val="7BFA3AA5"/>
    <w:rsid w:val="7C5A2796"/>
    <w:rsid w:val="7CEE654D"/>
    <w:rsid w:val="7CFB5124"/>
    <w:rsid w:val="7D6EA697"/>
    <w:rsid w:val="7E2F4EE1"/>
    <w:rsid w:val="7EA67F14"/>
    <w:rsid w:val="7EB90E88"/>
    <w:rsid w:val="7EE22802"/>
    <w:rsid w:val="7EF28102"/>
    <w:rsid w:val="7EFF1BBB"/>
    <w:rsid w:val="7EFF3157"/>
    <w:rsid w:val="7EFFE31A"/>
    <w:rsid w:val="7F147714"/>
    <w:rsid w:val="7F267F79"/>
    <w:rsid w:val="7F57F914"/>
    <w:rsid w:val="7F6335C7"/>
    <w:rsid w:val="7F663D79"/>
    <w:rsid w:val="7F7EF11F"/>
    <w:rsid w:val="7F7F3EE5"/>
    <w:rsid w:val="7FAF90FE"/>
    <w:rsid w:val="7FBF41DD"/>
    <w:rsid w:val="7FBF4D2F"/>
    <w:rsid w:val="7FBF8B01"/>
    <w:rsid w:val="7FED9AAF"/>
    <w:rsid w:val="7FEF99C1"/>
    <w:rsid w:val="7FFB1858"/>
    <w:rsid w:val="7FFD1AEC"/>
    <w:rsid w:val="7FFDAFEA"/>
    <w:rsid w:val="7FFDC0D5"/>
    <w:rsid w:val="7FFF11CE"/>
    <w:rsid w:val="7FFF5F71"/>
    <w:rsid w:val="7FFF67C2"/>
    <w:rsid w:val="8D7F3544"/>
    <w:rsid w:val="9F1F3243"/>
    <w:rsid w:val="9F7FC53C"/>
    <w:rsid w:val="9FED466F"/>
    <w:rsid w:val="9FF75CBC"/>
    <w:rsid w:val="9FFD7CF7"/>
    <w:rsid w:val="A173217E"/>
    <w:rsid w:val="A7FB19C5"/>
    <w:rsid w:val="ABC70D6E"/>
    <w:rsid w:val="AE5FCF5E"/>
    <w:rsid w:val="AF5F6614"/>
    <w:rsid w:val="AF977C8C"/>
    <w:rsid w:val="AFBD991B"/>
    <w:rsid w:val="B57E69ED"/>
    <w:rsid w:val="B5BFDA25"/>
    <w:rsid w:val="B5F31835"/>
    <w:rsid w:val="B5FFA7BB"/>
    <w:rsid w:val="B7F71640"/>
    <w:rsid w:val="B7F77740"/>
    <w:rsid w:val="B7FFA5F2"/>
    <w:rsid w:val="B9BBEB43"/>
    <w:rsid w:val="BB1D88D2"/>
    <w:rsid w:val="BCDF1818"/>
    <w:rsid w:val="BEFFED15"/>
    <w:rsid w:val="BF6C6EF0"/>
    <w:rsid w:val="BFEE8FFB"/>
    <w:rsid w:val="CB77C615"/>
    <w:rsid w:val="CCFA9CD4"/>
    <w:rsid w:val="CDF74B07"/>
    <w:rsid w:val="CFDC7118"/>
    <w:rsid w:val="D197C752"/>
    <w:rsid w:val="D7F4FE84"/>
    <w:rsid w:val="DBE8DA2B"/>
    <w:rsid w:val="DBFE147E"/>
    <w:rsid w:val="DDDFC332"/>
    <w:rsid w:val="DE3725C2"/>
    <w:rsid w:val="DE9AFF7F"/>
    <w:rsid w:val="DF738411"/>
    <w:rsid w:val="DF748928"/>
    <w:rsid w:val="DFBF9975"/>
    <w:rsid w:val="DFF7373F"/>
    <w:rsid w:val="E30D343F"/>
    <w:rsid w:val="E87EAB5D"/>
    <w:rsid w:val="EB7C60A0"/>
    <w:rsid w:val="EBD70B65"/>
    <w:rsid w:val="EECFCA70"/>
    <w:rsid w:val="EFBEA96F"/>
    <w:rsid w:val="EFE771B3"/>
    <w:rsid w:val="EFF6572C"/>
    <w:rsid w:val="F2EFB204"/>
    <w:rsid w:val="F3AF17BF"/>
    <w:rsid w:val="F3FFD4BC"/>
    <w:rsid w:val="F55F3074"/>
    <w:rsid w:val="F5EAFCE0"/>
    <w:rsid w:val="F5F79E32"/>
    <w:rsid w:val="F795FCBF"/>
    <w:rsid w:val="F7FA56D8"/>
    <w:rsid w:val="F7FEFE8D"/>
    <w:rsid w:val="F9DFFD5C"/>
    <w:rsid w:val="FA8FFA2E"/>
    <w:rsid w:val="FADBB3BE"/>
    <w:rsid w:val="FAFCF549"/>
    <w:rsid w:val="FB9FC313"/>
    <w:rsid w:val="FB9FCB18"/>
    <w:rsid w:val="FD6313E4"/>
    <w:rsid w:val="FD7E75FB"/>
    <w:rsid w:val="FD9B6387"/>
    <w:rsid w:val="FDDA8F60"/>
    <w:rsid w:val="FDDEB12A"/>
    <w:rsid w:val="FDF7810F"/>
    <w:rsid w:val="FDFF2875"/>
    <w:rsid w:val="FECBA655"/>
    <w:rsid w:val="FEF9954B"/>
    <w:rsid w:val="FF1FB70B"/>
    <w:rsid w:val="FF3E6EAC"/>
    <w:rsid w:val="FFAF2063"/>
    <w:rsid w:val="FFAFECD0"/>
    <w:rsid w:val="FFBB1621"/>
    <w:rsid w:val="FFBF69D9"/>
    <w:rsid w:val="FFEF2BF8"/>
    <w:rsid w:val="FFEF7667"/>
    <w:rsid w:val="FFF332BF"/>
    <w:rsid w:val="FFF751D9"/>
    <w:rsid w:val="FFFF454F"/>
    <w:rsid w:val="FFFF5B7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华文中宋" w:eastAsia="华文中宋"/>
      <w:b/>
      <w:bCs/>
      <w:sz w:val="44"/>
      <w:szCs w:val="36"/>
    </w:rPr>
  </w:style>
  <w:style w:type="paragraph" w:styleId="3">
    <w:name w:val="Body Text Indent"/>
    <w:basedOn w:val="1"/>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7">
    <w:name w:val="Body Text First Indent 2"/>
    <w:basedOn w:val="3"/>
    <w:qFormat/>
    <w:uiPriority w:val="99"/>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2">
    <w:name w:val="页眉 Char"/>
    <w:basedOn w:val="10"/>
    <w:qFormat/>
    <w:uiPriority w:val="99"/>
    <w:rPr>
      <w:rFonts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1344</Words>
  <Characters>1487</Characters>
  <Lines>0</Lines>
  <Paragraphs>0</Paragraphs>
  <TotalTime>0</TotalTime>
  <ScaleCrop>false</ScaleCrop>
  <LinksUpToDate>false</LinksUpToDate>
  <CharactersWithSpaces>0</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2018-07-23T07:11:00Z</dcterms:created>
  <dc:creator>d</dc:creator>
  <cp:lastModifiedBy>未来</cp:lastModifiedBy>
  <cp:lastPrinted>2025-12-08T11:06:00Z</cp:lastPrinted>
  <dcterms:modified xsi:type="dcterms:W3CDTF">2025-12-08T14:54:27Z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D0B29A49827C4FDA936E27DCDC77CF32_13</vt:lpwstr>
  </property>
  <property fmtid="{D5CDD505-2E9C-101B-9397-08002B2CF9AE}" pid="4" name="KSOTemplateDocerSaveRecord">
    <vt:lpwstr>eyJoZGlkIjoiYmViMDNiNDM1M2UzNTJmYjI0MDE2NWRjMWI5MTc1YmMiLCJ1c2VySWQiOiI0MjYwNTU1MDYifQ==</vt:lpwstr>
  </property>
</Properties>
</file>