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149D52">
      <w:pPr>
        <w:keepNext w:val="0"/>
        <w:keepLines w:val="0"/>
        <w:pageBreakBefore w:val="0"/>
        <w:kinsoku/>
        <w:wordWrap/>
        <w:overflowPunct/>
        <w:topLinePunct w:val="0"/>
        <w:autoSpaceDE/>
        <w:autoSpaceDN/>
        <w:bidi w:val="0"/>
        <w:spacing w:line="520" w:lineRule="exact"/>
        <w:jc w:val="both"/>
        <w:rPr>
          <w:rFonts w:hint="eastAsia"/>
          <w:sz w:val="32"/>
        </w:rPr>
      </w:pPr>
    </w:p>
    <w:p w14:paraId="5E8FDFCC">
      <w:pPr>
        <w:keepNext w:val="0"/>
        <w:keepLines w:val="0"/>
        <w:pageBreakBefore w:val="0"/>
        <w:kinsoku/>
        <w:wordWrap/>
        <w:overflowPunct/>
        <w:topLinePunct w:val="0"/>
        <w:autoSpaceDE/>
        <w:autoSpaceDN/>
        <w:bidi w:val="0"/>
        <w:spacing w:line="520" w:lineRule="exact"/>
        <w:jc w:val="both"/>
        <w:rPr>
          <w:sz w:val="32"/>
        </w:rPr>
      </w:pPr>
    </w:p>
    <w:p w14:paraId="150A059F">
      <w:pPr>
        <w:keepNext w:val="0"/>
        <w:keepLines w:val="0"/>
        <w:pageBreakBefore w:val="0"/>
        <w:kinsoku/>
        <w:wordWrap/>
        <w:overflowPunct/>
        <w:topLinePunct w:val="0"/>
        <w:autoSpaceDE/>
        <w:autoSpaceDN/>
        <w:bidi w:val="0"/>
        <w:spacing w:line="520" w:lineRule="exact"/>
        <w:jc w:val="both"/>
        <w:rPr>
          <w:sz w:val="32"/>
        </w:rPr>
      </w:pPr>
    </w:p>
    <w:p w14:paraId="0893C7FD">
      <w:pPr>
        <w:keepNext w:val="0"/>
        <w:keepLines w:val="0"/>
        <w:pageBreakBefore w:val="0"/>
        <w:kinsoku/>
        <w:wordWrap/>
        <w:overflowPunct/>
        <w:topLinePunct w:val="0"/>
        <w:autoSpaceDE/>
        <w:autoSpaceDN/>
        <w:bidi w:val="0"/>
        <w:spacing w:line="520" w:lineRule="exact"/>
        <w:jc w:val="both"/>
        <w:rPr>
          <w:sz w:val="32"/>
        </w:rPr>
      </w:pPr>
    </w:p>
    <w:p w14:paraId="64BCDF42">
      <w:pPr>
        <w:keepNext w:val="0"/>
        <w:keepLines w:val="0"/>
        <w:pageBreakBefore w:val="0"/>
        <w:kinsoku/>
        <w:wordWrap/>
        <w:overflowPunct/>
        <w:topLinePunct w:val="0"/>
        <w:autoSpaceDE/>
        <w:autoSpaceDN/>
        <w:bidi w:val="0"/>
        <w:spacing w:line="520" w:lineRule="exact"/>
        <w:jc w:val="both"/>
        <w:rPr>
          <w:sz w:val="32"/>
        </w:rPr>
      </w:pPr>
    </w:p>
    <w:p w14:paraId="685F4EF6">
      <w:pPr>
        <w:keepNext w:val="0"/>
        <w:keepLines w:val="0"/>
        <w:pageBreakBefore w:val="0"/>
        <w:kinsoku/>
        <w:wordWrap/>
        <w:overflowPunct/>
        <w:topLinePunct w:val="0"/>
        <w:autoSpaceDE/>
        <w:autoSpaceDN/>
        <w:bidi w:val="0"/>
        <w:spacing w:line="520" w:lineRule="exact"/>
        <w:jc w:val="both"/>
        <w:rPr>
          <w:rFonts w:hint="eastAsia" w:ascii="仿宋_GB2312" w:hAnsi="仿宋_GB2312" w:eastAsia="仿宋_GB2312"/>
          <w:sz w:val="32"/>
          <w:szCs w:val="32"/>
        </w:rPr>
      </w:pPr>
    </w:p>
    <w:p w14:paraId="5F52FD79">
      <w:pPr>
        <w:pStyle w:val="12"/>
        <w:keepNext w:val="0"/>
        <w:keepLines w:val="0"/>
        <w:pageBreakBefore w:val="0"/>
        <w:kinsoku/>
        <w:wordWrap/>
        <w:overflowPunct/>
        <w:topLinePunct w:val="0"/>
        <w:autoSpaceDE/>
        <w:autoSpaceDN/>
        <w:bidi w:val="0"/>
        <w:spacing w:line="520" w:lineRule="exact"/>
        <w:jc w:val="both"/>
        <w:rPr>
          <w:rFonts w:hint="eastAsia"/>
          <w:kern w:val="0"/>
          <w:sz w:val="20"/>
        </w:rPr>
      </w:pPr>
    </w:p>
    <w:p w14:paraId="6F27B350">
      <w:pPr>
        <w:pStyle w:val="12"/>
        <w:keepNext w:val="0"/>
        <w:keepLines w:val="0"/>
        <w:pageBreakBefore w:val="0"/>
        <w:kinsoku/>
        <w:wordWrap/>
        <w:overflowPunct/>
        <w:topLinePunct w:val="0"/>
        <w:autoSpaceDE/>
        <w:autoSpaceDN/>
        <w:bidi w:val="0"/>
        <w:spacing w:line="520" w:lineRule="exact"/>
        <w:jc w:val="both"/>
        <w:rPr>
          <w:rFonts w:hint="eastAsia"/>
          <w:kern w:val="0"/>
          <w:sz w:val="20"/>
        </w:rPr>
      </w:pPr>
    </w:p>
    <w:p w14:paraId="5DFCFA26">
      <w:pPr>
        <w:keepNext w:val="0"/>
        <w:keepLines w:val="0"/>
        <w:pageBreakBefore w:val="0"/>
        <w:kinsoku/>
        <w:wordWrap/>
        <w:overflowPunct/>
        <w:topLinePunct w:val="0"/>
        <w:autoSpaceDE/>
        <w:autoSpaceDN/>
        <w:bidi w:val="0"/>
        <w:spacing w:line="520" w:lineRule="exact"/>
        <w:jc w:val="center"/>
        <w:rPr>
          <w:rFonts w:hint="eastAsia" w:ascii="仿宋_GB2312" w:hAnsi="宋体" w:eastAsia="仿宋_GB2312"/>
          <w:kern w:val="0"/>
          <w:sz w:val="32"/>
          <w:szCs w:val="32"/>
        </w:rPr>
      </w:pPr>
      <w:r>
        <w:rPr>
          <w:rFonts w:hint="eastAsia" w:ascii="仿宋_GB2312" w:hAnsi="宋体" w:eastAsia="仿宋_GB2312"/>
          <w:color w:val="000000"/>
          <w:kern w:val="0"/>
          <w:sz w:val="32"/>
          <w:szCs w:val="32"/>
          <w:lang w:val="en-US" w:eastAsia="zh-CN"/>
        </w:rPr>
        <w:t xml:space="preserve"> </w:t>
      </w:r>
      <w:r>
        <w:rPr>
          <w:rFonts w:hint="eastAsia" w:ascii="仿宋_GB2312" w:hAnsi="宋体" w:eastAsia="仿宋_GB2312"/>
          <w:color w:val="000000"/>
          <w:kern w:val="0"/>
          <w:sz w:val="32"/>
          <w:szCs w:val="32"/>
        </w:rPr>
        <w:t>焦环审马〔202</w:t>
      </w:r>
      <w:r>
        <w:rPr>
          <w:rFonts w:hint="eastAsia" w:ascii="仿宋_GB2312" w:hAnsi="宋体" w:eastAsia="仿宋_GB2312"/>
          <w:color w:val="000000"/>
          <w:kern w:val="0"/>
          <w:sz w:val="32"/>
          <w:szCs w:val="32"/>
          <w:lang w:val="en-US" w:eastAsia="zh-CN"/>
        </w:rPr>
        <w:t>5</w:t>
      </w:r>
      <w:r>
        <w:rPr>
          <w:rFonts w:hint="eastAsia" w:ascii="仿宋_GB2312" w:hAnsi="宋体" w:eastAsia="仿宋_GB2312"/>
          <w:color w:val="000000"/>
          <w:kern w:val="0"/>
          <w:sz w:val="32"/>
          <w:szCs w:val="32"/>
        </w:rPr>
        <w:t>〕</w:t>
      </w:r>
      <w:r>
        <w:rPr>
          <w:rFonts w:hint="eastAsia" w:ascii="仿宋_GB2312" w:hAnsi="宋体" w:eastAsia="仿宋_GB2312"/>
          <w:color w:val="000000"/>
          <w:kern w:val="0"/>
          <w:sz w:val="32"/>
          <w:szCs w:val="32"/>
          <w:lang w:val="en-US" w:eastAsia="zh-CN"/>
        </w:rPr>
        <w:t>13</w:t>
      </w:r>
      <w:r>
        <w:rPr>
          <w:rFonts w:hint="eastAsia" w:ascii="仿宋_GB2312" w:hAnsi="宋体" w:eastAsia="仿宋_GB2312"/>
          <w:color w:val="000000"/>
          <w:kern w:val="0"/>
          <w:sz w:val="32"/>
          <w:szCs w:val="32"/>
        </w:rPr>
        <w:t>号</w:t>
      </w:r>
    </w:p>
    <w:p w14:paraId="3CEB4E0D">
      <w:pPr>
        <w:keepNext w:val="0"/>
        <w:keepLines w:val="0"/>
        <w:pageBreakBefore w:val="0"/>
        <w:kinsoku/>
        <w:wordWrap/>
        <w:overflowPunct/>
        <w:topLinePunct w:val="0"/>
        <w:autoSpaceDE/>
        <w:autoSpaceDN/>
        <w:bidi w:val="0"/>
        <w:spacing w:line="520" w:lineRule="exact"/>
        <w:jc w:val="center"/>
        <w:rPr>
          <w:rFonts w:hint="eastAsia" w:ascii="宋体" w:hAnsi="宋体"/>
          <w:color w:val="000000"/>
          <w:sz w:val="13"/>
          <w:szCs w:val="13"/>
        </w:rPr>
      </w:pPr>
    </w:p>
    <w:p w14:paraId="4AE4FCB8">
      <w:pPr>
        <w:keepNext w:val="0"/>
        <w:keepLines w:val="0"/>
        <w:pageBreakBefore w:val="0"/>
        <w:widowControl/>
        <w:kinsoku/>
        <w:wordWrap/>
        <w:overflowPunct/>
        <w:topLinePunct w:val="0"/>
        <w:autoSpaceDE/>
        <w:autoSpaceDN/>
        <w:bidi w:val="0"/>
        <w:spacing w:line="520" w:lineRule="exact"/>
        <w:ind w:firstLine="440" w:firstLineChars="100"/>
        <w:jc w:val="center"/>
        <w:rPr>
          <w:rFonts w:hint="eastAsia" w:ascii="方正小标宋简体" w:hAnsi="方正小标宋简体" w:eastAsia="方正小标宋简体"/>
          <w:color w:val="000000"/>
          <w:sz w:val="44"/>
          <w:szCs w:val="44"/>
        </w:rPr>
      </w:pPr>
      <w:r>
        <w:rPr>
          <w:rFonts w:hint="eastAsia" w:ascii="方正小标宋简体" w:hAnsi="方正小标宋简体" w:eastAsia="方正小标宋简体"/>
          <w:color w:val="000000"/>
          <w:sz w:val="44"/>
          <w:szCs w:val="44"/>
        </w:rPr>
        <w:t>焦作市生态环境局</w:t>
      </w:r>
    </w:p>
    <w:p w14:paraId="55CF2A98">
      <w:pPr>
        <w:keepNext w:val="0"/>
        <w:keepLines w:val="0"/>
        <w:pageBreakBefore w:val="0"/>
        <w:widowControl/>
        <w:kinsoku/>
        <w:wordWrap/>
        <w:overflowPunct/>
        <w:topLinePunct w:val="0"/>
        <w:autoSpaceDE/>
        <w:autoSpaceDN/>
        <w:bidi w:val="0"/>
        <w:spacing w:line="520" w:lineRule="exact"/>
        <w:ind w:firstLine="440" w:firstLineChars="100"/>
        <w:jc w:val="center"/>
        <w:rPr>
          <w:rFonts w:hint="eastAsia" w:ascii="方正小标宋简体" w:hAnsi="方正小标宋简体" w:eastAsia="方正小标宋简体"/>
          <w:color w:val="000000"/>
          <w:sz w:val="44"/>
          <w:szCs w:val="44"/>
          <w:lang w:val="en-US" w:eastAsia="zh-CN"/>
        </w:rPr>
      </w:pPr>
      <w:r>
        <w:rPr>
          <w:rFonts w:hint="eastAsia" w:ascii="方正小标宋简体" w:hAnsi="方正小标宋简体" w:eastAsia="方正小标宋简体"/>
          <w:color w:val="000000"/>
          <w:sz w:val="44"/>
          <w:szCs w:val="44"/>
        </w:rPr>
        <w:t>关于</w:t>
      </w:r>
      <w:r>
        <w:rPr>
          <w:rFonts w:hint="eastAsia" w:ascii="方正小标宋简体" w:hAnsi="方正小标宋简体" w:eastAsia="方正小标宋简体"/>
          <w:color w:val="000000"/>
          <w:sz w:val="44"/>
          <w:szCs w:val="44"/>
          <w:lang w:val="en-US" w:eastAsia="zh-CN"/>
        </w:rPr>
        <w:t>攸米蜂(河南)营养科技有限公司蜂蜜</w:t>
      </w:r>
    </w:p>
    <w:p w14:paraId="221C3DFA">
      <w:pPr>
        <w:keepNext w:val="0"/>
        <w:keepLines w:val="0"/>
        <w:pageBreakBefore w:val="0"/>
        <w:widowControl/>
        <w:kinsoku/>
        <w:wordWrap/>
        <w:overflowPunct/>
        <w:topLinePunct w:val="0"/>
        <w:autoSpaceDE/>
        <w:autoSpaceDN/>
        <w:bidi w:val="0"/>
        <w:spacing w:line="520" w:lineRule="exact"/>
        <w:ind w:firstLine="440" w:firstLineChars="100"/>
        <w:jc w:val="center"/>
        <w:rPr>
          <w:rFonts w:hint="eastAsia" w:ascii="方正小标宋简体" w:hAnsi="方正小标宋简体" w:eastAsia="方正小标宋简体"/>
          <w:color w:val="000000"/>
          <w:sz w:val="44"/>
          <w:szCs w:val="44"/>
        </w:rPr>
      </w:pPr>
      <w:r>
        <w:rPr>
          <w:rFonts w:hint="eastAsia" w:ascii="方正小标宋简体" w:hAnsi="方正小标宋简体" w:eastAsia="方正小标宋简体"/>
          <w:color w:val="000000"/>
          <w:sz w:val="44"/>
          <w:szCs w:val="44"/>
          <w:lang w:val="en-US" w:eastAsia="zh-CN"/>
        </w:rPr>
        <w:t>深加工产业园项目</w:t>
      </w:r>
      <w:r>
        <w:rPr>
          <w:rFonts w:hint="eastAsia" w:ascii="方正小标宋简体" w:hAnsi="方正小标宋简体" w:eastAsia="方正小标宋简体"/>
          <w:color w:val="000000"/>
          <w:sz w:val="44"/>
          <w:szCs w:val="44"/>
        </w:rPr>
        <w:t>环境影响</w:t>
      </w:r>
    </w:p>
    <w:p w14:paraId="2877B906">
      <w:pPr>
        <w:keepNext w:val="0"/>
        <w:keepLines w:val="0"/>
        <w:pageBreakBefore w:val="0"/>
        <w:widowControl/>
        <w:kinsoku/>
        <w:wordWrap/>
        <w:overflowPunct/>
        <w:topLinePunct w:val="0"/>
        <w:autoSpaceDE/>
        <w:autoSpaceDN/>
        <w:bidi w:val="0"/>
        <w:spacing w:line="520" w:lineRule="exact"/>
        <w:ind w:firstLine="440" w:firstLineChars="100"/>
        <w:jc w:val="center"/>
        <w:rPr>
          <w:rFonts w:hint="eastAsia" w:ascii="方正小标宋简体" w:hAnsi="方正小标宋简体" w:eastAsia="方正小标宋简体"/>
          <w:color w:val="000000"/>
          <w:sz w:val="44"/>
          <w:szCs w:val="44"/>
          <w:lang w:eastAsia="zh-CN"/>
        </w:rPr>
      </w:pPr>
      <w:r>
        <w:rPr>
          <w:rFonts w:hint="eastAsia" w:ascii="方正小标宋简体" w:hAnsi="方正小标宋简体" w:eastAsia="方正小标宋简体"/>
          <w:color w:val="000000"/>
          <w:sz w:val="44"/>
          <w:szCs w:val="44"/>
        </w:rPr>
        <w:t>报告表批复</w:t>
      </w:r>
    </w:p>
    <w:p w14:paraId="2396C666">
      <w:pPr>
        <w:keepNext w:val="0"/>
        <w:keepLines w:val="0"/>
        <w:pageBreakBefore w:val="0"/>
        <w:kinsoku/>
        <w:wordWrap/>
        <w:overflowPunct/>
        <w:topLinePunct w:val="0"/>
        <w:autoSpaceDE/>
        <w:autoSpaceDN/>
        <w:bidi w:val="0"/>
        <w:spacing w:line="520" w:lineRule="exact"/>
        <w:jc w:val="both"/>
        <w:rPr>
          <w:rFonts w:hint="eastAsia" w:ascii="仿宋_GB2312" w:hAnsi="仿宋_GB2312" w:eastAsia="仿宋_GB2312"/>
          <w:color w:val="000000"/>
          <w:sz w:val="32"/>
          <w:szCs w:val="32"/>
          <w:u w:val="none"/>
        </w:rPr>
      </w:pPr>
    </w:p>
    <w:p w14:paraId="4DF27D58">
      <w:pPr>
        <w:keepNext w:val="0"/>
        <w:keepLines w:val="0"/>
        <w:pageBreakBefore w:val="0"/>
        <w:widowControl/>
        <w:kinsoku/>
        <w:wordWrap/>
        <w:overflowPunct/>
        <w:topLinePunct w:val="0"/>
        <w:autoSpaceDE/>
        <w:autoSpaceDN/>
        <w:bidi w:val="0"/>
        <w:spacing w:line="240" w:lineRule="auto"/>
        <w:jc w:val="both"/>
        <w:rPr>
          <w:rFonts w:hint="eastAsia" w:ascii="仿宋_GB2312" w:hAnsi="仿宋_GB2312" w:eastAsia="仿宋_GB2312"/>
          <w:color w:val="000000"/>
          <w:sz w:val="32"/>
          <w:szCs w:val="32"/>
        </w:rPr>
      </w:pPr>
      <w:r>
        <w:rPr>
          <w:rFonts w:hint="eastAsia" w:ascii="仿宋_GB2312" w:hAnsi="Times New Roman" w:eastAsia="仿宋_GB2312" w:cs="Times New Roman"/>
          <w:color w:val="auto"/>
          <w:sz w:val="32"/>
          <w:szCs w:val="32"/>
          <w:lang w:val="en-US" w:eastAsia="zh-CN"/>
        </w:rPr>
        <w:t>攸米蜂(河南)营养科技有限公司</w:t>
      </w:r>
      <w:r>
        <w:rPr>
          <w:rFonts w:hint="eastAsia" w:ascii="仿宋_GB2312" w:hAnsi="仿宋_GB2312" w:eastAsia="仿宋_GB2312"/>
          <w:color w:val="000000"/>
          <w:sz w:val="32"/>
          <w:szCs w:val="32"/>
        </w:rPr>
        <w:t>：</w:t>
      </w:r>
    </w:p>
    <w:p w14:paraId="342DE840">
      <w:pPr>
        <w:keepNext w:val="0"/>
        <w:keepLines w:val="0"/>
        <w:pageBreakBefore w:val="0"/>
        <w:widowControl/>
        <w:kinsoku/>
        <w:wordWrap/>
        <w:overflowPunct/>
        <w:topLinePunct w:val="0"/>
        <w:autoSpaceDE/>
        <w:autoSpaceDN/>
        <w:bidi w:val="0"/>
        <w:spacing w:line="240" w:lineRule="auto"/>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你公司（统一社会信用代码</w:t>
      </w:r>
      <w:r>
        <w:rPr>
          <w:rFonts w:hint="eastAsia" w:ascii="仿宋_GB2312" w:hAnsi="仿宋_GB2312" w:eastAsia="仿宋_GB2312"/>
          <w:color w:val="auto"/>
          <w:sz w:val="32"/>
          <w:szCs w:val="32"/>
        </w:rPr>
        <w:t>91410804MAEW32UF7U</w:t>
      </w:r>
      <w:r>
        <w:rPr>
          <w:rFonts w:hint="eastAsia" w:ascii="仿宋_GB2312" w:hAnsi="仿宋_GB2312" w:eastAsia="仿宋_GB2312"/>
          <w:color w:val="000000"/>
          <w:sz w:val="32"/>
          <w:szCs w:val="32"/>
        </w:rPr>
        <w:t>）报送的由</w:t>
      </w:r>
      <w:r>
        <w:rPr>
          <w:rFonts w:hint="eastAsia" w:ascii="仿宋_GB2312" w:hAnsi="仿宋_GB2312" w:eastAsia="仿宋_GB2312"/>
          <w:color w:val="000000"/>
          <w:sz w:val="32"/>
          <w:szCs w:val="32"/>
          <w:lang w:val="en-US" w:eastAsia="zh-CN"/>
        </w:rPr>
        <w:t>河南博祥环保科技有限公司</w:t>
      </w:r>
      <w:r>
        <w:rPr>
          <w:rFonts w:hint="eastAsia" w:ascii="仿宋_GB2312" w:hAnsi="仿宋_GB2312" w:eastAsia="仿宋_GB2312"/>
          <w:color w:val="000000"/>
          <w:sz w:val="32"/>
          <w:szCs w:val="32"/>
        </w:rPr>
        <w:t>编制的《</w:t>
      </w:r>
      <w:r>
        <w:rPr>
          <w:rFonts w:hint="eastAsia" w:ascii="仿宋_GB2312" w:hAnsi="Times New Roman" w:eastAsia="仿宋_GB2312" w:cs="Times New Roman"/>
          <w:color w:val="auto"/>
          <w:sz w:val="32"/>
          <w:szCs w:val="32"/>
          <w:lang w:val="en-US" w:eastAsia="zh-CN"/>
        </w:rPr>
        <w:t>攸米蜂(河南)营养科技有限公司蜂蜜深加工产业园项目</w:t>
      </w:r>
      <w:r>
        <w:rPr>
          <w:rFonts w:hint="eastAsia" w:ascii="仿宋_GB2312" w:hAnsi="仿宋_GB2312" w:eastAsia="仿宋_GB2312"/>
          <w:color w:val="000000"/>
          <w:sz w:val="32"/>
          <w:szCs w:val="32"/>
        </w:rPr>
        <w:t>环境影响报告表（报批</w:t>
      </w:r>
      <w:r>
        <w:rPr>
          <w:rFonts w:hint="eastAsia" w:ascii="仿宋_GB2312" w:hAnsi="仿宋_GB2312" w:eastAsia="仿宋_GB2312"/>
          <w:color w:val="000000"/>
          <w:sz w:val="32"/>
          <w:szCs w:val="32"/>
          <w:lang w:eastAsia="zh-CN"/>
        </w:rPr>
        <w:t>版</w:t>
      </w:r>
      <w:r>
        <w:rPr>
          <w:rFonts w:hint="eastAsia" w:ascii="仿宋_GB2312" w:hAnsi="仿宋_GB2312" w:eastAsia="仿宋_GB2312"/>
          <w:color w:val="000000"/>
          <w:sz w:val="32"/>
          <w:szCs w:val="32"/>
        </w:rPr>
        <w:t>）》（以下简称《报告表》）等材料收悉。该项目审批事项在焦作市生态环境局网站公示期满,根据《中华人民共和国环境保护法》《中华人民共和国行政许可法》《中华人民共和国环境影响评价</w:t>
      </w:r>
      <w:r>
        <w:rPr>
          <w:rFonts w:hint="eastAsia" w:ascii="仿宋_GB2312" w:hAnsi="仿宋_GB2312" w:eastAsia="仿宋_GB2312"/>
          <w:color w:val="000000"/>
          <w:sz w:val="32"/>
          <w:szCs w:val="32"/>
          <w:lang w:eastAsia="zh-CN"/>
        </w:rPr>
        <w:t>法</w:t>
      </w:r>
      <w:r>
        <w:rPr>
          <w:rFonts w:hint="eastAsia" w:ascii="仿宋_GB2312" w:hAnsi="仿宋_GB2312" w:eastAsia="仿宋_GB2312"/>
          <w:color w:val="000000"/>
          <w:sz w:val="32"/>
          <w:szCs w:val="32"/>
        </w:rPr>
        <w:t>》《建设项目环境保护管理条例》等法律法规规定，经研究，批复如下：</w:t>
      </w:r>
    </w:p>
    <w:p w14:paraId="42A3FC11">
      <w:pPr>
        <w:keepNext w:val="0"/>
        <w:keepLines w:val="0"/>
        <w:pageBreakBefore w:val="0"/>
        <w:numPr>
          <w:ilvl w:val="0"/>
          <w:numId w:val="2"/>
        </w:numPr>
        <w:kinsoku/>
        <w:wordWrap/>
        <w:overflowPunct/>
        <w:topLinePunct w:val="0"/>
        <w:autoSpaceDE/>
        <w:autoSpaceDN/>
        <w:bidi w:val="0"/>
        <w:snapToGrid w:val="0"/>
        <w:spacing w:line="500" w:lineRule="exact"/>
        <w:ind w:left="-10" w:leftChars="0" w:firstLine="640" w:firstLineChars="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该项目</w:t>
      </w:r>
      <w:r>
        <w:rPr>
          <w:rFonts w:hint="eastAsia" w:ascii="仿宋_GB2312" w:hAnsi="仿宋_GB2312" w:eastAsia="仿宋_GB2312"/>
          <w:color w:val="000000"/>
          <w:sz w:val="32"/>
          <w:szCs w:val="32"/>
          <w:lang w:eastAsia="zh-CN"/>
        </w:rPr>
        <w:t>位于</w:t>
      </w:r>
      <w:r>
        <w:rPr>
          <w:rFonts w:hint="eastAsia" w:ascii="仿宋_GB2312" w:hAnsi="仿宋_GB2312" w:eastAsia="仿宋_GB2312"/>
          <w:color w:val="000000"/>
          <w:kern w:val="21"/>
          <w:sz w:val="32"/>
          <w:szCs w:val="32"/>
          <w:lang w:val="en-US" w:eastAsia="zh-CN"/>
        </w:rPr>
        <w:t>焦作市马村区演马街道官庄新村云台大道与鸿福路交叉口东</w:t>
      </w:r>
      <w:r>
        <w:rPr>
          <w:rFonts w:hint="eastAsia" w:ascii="仿宋_GB2312" w:hAnsi="仿宋_GB2312" w:eastAsia="仿宋_GB2312"/>
          <w:color w:val="000000"/>
          <w:kern w:val="21"/>
          <w:sz w:val="32"/>
          <w:szCs w:val="32"/>
          <w:lang w:eastAsia="zh-CN"/>
        </w:rPr>
        <w:t>，项目</w:t>
      </w:r>
      <w:r>
        <w:rPr>
          <w:rFonts w:hint="eastAsia" w:ascii="仿宋_GB2312" w:hAnsi="仿宋_GB2312" w:eastAsia="仿宋_GB2312"/>
          <w:color w:val="000000"/>
          <w:sz w:val="32"/>
          <w:szCs w:val="32"/>
        </w:rPr>
        <w:t>生产设备及建设内容详细见《报告表》。</w:t>
      </w:r>
    </w:p>
    <w:p w14:paraId="5E017369">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二、《报告表》内容符合建设项目环境管理规定，评价结论可信。我局批准该《报告表》，原则同意你公司按照《报告表》中所列项目的性质、规模、地点、采用的工艺和环境保护对策措施进行建设。</w:t>
      </w:r>
    </w:p>
    <w:p w14:paraId="3688EA8F">
      <w:pPr>
        <w:keepNext w:val="0"/>
        <w:keepLines w:val="0"/>
        <w:pageBreakBefore w:val="0"/>
        <w:kinsoku/>
        <w:wordWrap/>
        <w:overflowPunct/>
        <w:topLinePunct w:val="0"/>
        <w:autoSpaceDE/>
        <w:autoSpaceDN/>
        <w:bidi w:val="0"/>
        <w:spacing w:line="500" w:lineRule="exact"/>
        <w:ind w:firstLine="627" w:firstLineChars="196"/>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三、你公司应全面落实《报告表》提出的各项环保对策措施，确保各项环境保护设施与主体工程同时设计、同时施工、同时投产使用，确保各项污染物达标排放。</w:t>
      </w:r>
    </w:p>
    <w:p w14:paraId="55475DA0">
      <w:pPr>
        <w:keepNext w:val="0"/>
        <w:keepLines w:val="0"/>
        <w:pageBreakBefore w:val="0"/>
        <w:kinsoku/>
        <w:wordWrap/>
        <w:overflowPunct/>
        <w:topLinePunct w:val="0"/>
        <w:autoSpaceDE/>
        <w:autoSpaceDN/>
        <w:bidi w:val="0"/>
        <w:spacing w:line="500" w:lineRule="exact"/>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（一）向设计单位提供《报告表》和本批复文件，确保项目设计按照环境保护设计规范要求，落实防治环境污染和生态破坏的措施以及环保设施投资概算。</w:t>
      </w:r>
    </w:p>
    <w:p w14:paraId="3D8D7642">
      <w:pPr>
        <w:keepNext w:val="0"/>
        <w:keepLines w:val="0"/>
        <w:pageBreakBefore w:val="0"/>
        <w:kinsoku/>
        <w:wordWrap/>
        <w:overflowPunct/>
        <w:topLinePunct w:val="0"/>
        <w:autoSpaceDE/>
        <w:autoSpaceDN/>
        <w:bidi w:val="0"/>
        <w:spacing w:line="500" w:lineRule="exact"/>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（二）依据《报告表》和本批复文件，对项目建设过程中产生的废水、废气、固体废物、噪声等污染，采取相应的防治措施。</w:t>
      </w:r>
    </w:p>
    <w:p w14:paraId="1879F48A">
      <w:pPr>
        <w:keepNext w:val="0"/>
        <w:keepLines w:val="0"/>
        <w:pageBreakBefore w:val="0"/>
        <w:widowControl/>
        <w:kinsoku/>
        <w:wordWrap/>
        <w:overflowPunct/>
        <w:topLinePunct w:val="0"/>
        <w:autoSpaceDE/>
        <w:autoSpaceDN/>
        <w:bidi w:val="0"/>
        <w:spacing w:line="500" w:lineRule="exact"/>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（三）项目运行时，污染物排放应满足以下要求：</w:t>
      </w:r>
    </w:p>
    <w:p w14:paraId="67FD819E">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640" w:firstLineChars="200"/>
        <w:jc w:val="both"/>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1.</w:t>
      </w:r>
      <w:r>
        <w:rPr>
          <w:rFonts w:hint="eastAsia" w:ascii="仿宋_GB2312" w:hAnsi="仿宋_GB2312" w:eastAsia="仿宋_GB2312"/>
          <w:color w:val="auto"/>
          <w:sz w:val="32"/>
          <w:szCs w:val="32"/>
        </w:rPr>
        <w:t>废气。落实《报告表》提出的各项废气污染治理措施。废气经相应污染治理措施处理后排放，应</w:t>
      </w:r>
      <w:r>
        <w:rPr>
          <w:rFonts w:hint="eastAsia" w:ascii="仿宋_GB2312" w:hAnsi="仿宋_GB2312" w:eastAsia="仿宋_GB2312"/>
          <w:color w:val="auto"/>
          <w:sz w:val="32"/>
          <w:szCs w:val="32"/>
          <w:lang w:val="en-US" w:eastAsia="zh-CN"/>
        </w:rPr>
        <w:t>满足《大气污染物综合排放标准》（GB16297-1996）、《河南省重污染天气通用行业应急减排措施制定技术指南》（2024年修订稿）、《焦作市2025年蓝天保卫战实施方案》、《关于全省开展工业企业挥发性有机物专项治理工作中排放建议值的通知》（豫环攻坚办[2017]162号）及《关于加强工业企业无组织排放治理的通知》（焦环保[2019]3号）的标准要求。</w:t>
      </w:r>
    </w:p>
    <w:p w14:paraId="46EE4128">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640" w:firstLineChars="200"/>
        <w:jc w:val="both"/>
        <w:rPr>
          <w:rFonts w:hint="eastAsia" w:ascii="仿宋_GB2312" w:hAnsi="仿宋_GB2312" w:eastAsia="仿宋_GB2312"/>
          <w:color w:val="auto"/>
          <w:kern w:val="2"/>
          <w:sz w:val="32"/>
          <w:szCs w:val="32"/>
          <w:lang w:val="en-US" w:eastAsia="zh-CN"/>
        </w:rPr>
      </w:pPr>
      <w:r>
        <w:rPr>
          <w:rFonts w:hint="eastAsia" w:ascii="仿宋_GB2312" w:hAnsi="仿宋_GB2312" w:eastAsia="仿宋_GB2312"/>
          <w:color w:val="auto"/>
          <w:kern w:val="2"/>
          <w:sz w:val="32"/>
          <w:szCs w:val="32"/>
          <w:lang w:val="en-US" w:eastAsia="zh-CN"/>
        </w:rPr>
        <w:t>2.</w:t>
      </w:r>
      <w:r>
        <w:rPr>
          <w:rFonts w:hint="eastAsia" w:ascii="仿宋_GB2312" w:hAnsi="仿宋_GB2312" w:eastAsia="仿宋_GB2312"/>
          <w:color w:val="auto"/>
          <w:kern w:val="2"/>
          <w:sz w:val="32"/>
          <w:szCs w:val="32"/>
          <w:lang w:eastAsia="zh-CN"/>
        </w:rPr>
        <w:t>固体废物：固体废物全部妥善和安全处置，一般固废贮存、处置满足</w:t>
      </w:r>
      <w:r>
        <w:rPr>
          <w:rFonts w:hint="eastAsia" w:ascii="仿宋_GB2312" w:hAnsi="仿宋_GB2312" w:eastAsia="仿宋_GB2312"/>
          <w:color w:val="auto"/>
          <w:kern w:val="2"/>
          <w:sz w:val="32"/>
          <w:szCs w:val="32"/>
          <w:lang w:val="en-US" w:eastAsia="zh-CN"/>
        </w:rPr>
        <w:t>《一般工业固体废物贮存和填埋污染控制标准》（GB18599-2020）的相关要求</w:t>
      </w:r>
      <w:r>
        <w:rPr>
          <w:rFonts w:hint="eastAsia" w:ascii="仿宋_GB2312" w:hAnsi="仿宋_GB2312" w:eastAsia="仿宋_GB2312"/>
          <w:color w:val="auto"/>
          <w:kern w:val="2"/>
          <w:sz w:val="32"/>
          <w:szCs w:val="32"/>
          <w:lang w:eastAsia="zh-CN"/>
        </w:rPr>
        <w:t>。</w:t>
      </w:r>
      <w:r>
        <w:rPr>
          <w:rFonts w:hint="eastAsia" w:ascii="仿宋_GB2312" w:hAnsi="仿宋_GB2312" w:eastAsia="仿宋_GB2312"/>
          <w:color w:val="auto"/>
          <w:kern w:val="2"/>
          <w:sz w:val="32"/>
          <w:szCs w:val="32"/>
          <w:lang w:val="en-US" w:eastAsia="zh-CN"/>
        </w:rPr>
        <w:t>项目产生的危险固废，要求工程设置危废暂存库进行暂存，各类危险废物经收集后暂存于危废暂存库内，定期委托有资质单位进行处置。项目危险废物收集、临时储存措施均按照《危险废物贮存污染控制标准》（GB18597-2023）规定进行，危废分类分区贮存。并按《危险废物识别标志设置技术规范》（HJ1276-2022）规定设置识别、警示标志。危险废物的收集、储存和运输等管理措施根据《危险废物转移管理办法》（生态环境部、公安部、交通运输部令第23号）、《危险废物收集贮存运输技术规范》（HJ2025-2012）、《河南省环境保护厅关于印发河南省危险废物规范化管理工作指南（试行）的通知》（豫环文[2012]18号）及《危险废物管理计划和管理台账制定技术导则》（HJ1259-2022）等的有关规定执行。企业须按照《危险废物管理计划和管理台账制定技术导则》（HJ1259-2022）等规定制定危险废物管理计划。危险废物应由具有《危险废物经营许可证》并可以处置该类废物的单位进行处置，并严格执行危险废物转移管理制度。</w:t>
      </w:r>
    </w:p>
    <w:p w14:paraId="5C4A57DC">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640" w:firstLineChars="200"/>
        <w:jc w:val="both"/>
        <w:rPr>
          <w:rFonts w:hint="eastAsia" w:ascii="仿宋_GB2312" w:hAnsi="仿宋_GB2312" w:eastAsia="仿宋_GB2312"/>
          <w:color w:val="FF0000"/>
          <w:kern w:val="2"/>
          <w:sz w:val="32"/>
          <w:szCs w:val="32"/>
          <w:lang w:val="en-US" w:eastAsia="zh-CN"/>
        </w:rPr>
      </w:pPr>
      <w:r>
        <w:rPr>
          <w:rFonts w:hint="eastAsia" w:ascii="仿宋_GB2312" w:hAnsi="仿宋_GB2312" w:eastAsia="仿宋_GB2312"/>
          <w:color w:val="auto"/>
          <w:kern w:val="2"/>
          <w:sz w:val="32"/>
          <w:szCs w:val="32"/>
          <w:lang w:val="en-US" w:eastAsia="zh-CN"/>
        </w:rPr>
        <w:t>3.</w:t>
      </w:r>
      <w:r>
        <w:rPr>
          <w:rFonts w:hint="eastAsia" w:ascii="仿宋_GB2312" w:hAnsi="仿宋_GB2312" w:eastAsia="仿宋_GB2312"/>
          <w:color w:val="auto"/>
          <w:kern w:val="2"/>
          <w:sz w:val="32"/>
          <w:szCs w:val="32"/>
        </w:rPr>
        <w:t>噪声：</w:t>
      </w:r>
      <w:r>
        <w:rPr>
          <w:rFonts w:hint="eastAsia" w:ascii="仿宋_GB2312" w:hAnsi="仿宋_GB2312" w:eastAsia="仿宋_GB2312"/>
          <w:color w:val="auto"/>
          <w:kern w:val="2"/>
          <w:sz w:val="32"/>
          <w:szCs w:val="32"/>
          <w:lang w:val="en-US" w:eastAsia="zh-CN"/>
        </w:rPr>
        <w:t>项目采用低噪声设备，采取室内布置、减振基础、加装隔声罩、消声器等综合防治措施。工程噪声满足《工业企业厂界环境噪声排放标准》（GB12348-2008）2类标准要求。敏感点处声环境质量满足《声环境质量标准》（GB3096-2008）2类标准（昼间60 dB（A））要求。</w:t>
      </w:r>
    </w:p>
    <w:p w14:paraId="7AED4D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auto"/>
        <w:outlineLvl w:val="1"/>
        <w:rPr>
          <w:rFonts w:hint="eastAsia" w:ascii="仿宋_GB2312" w:hAnsi="仿宋_GB2312" w:eastAsia="仿宋_GB2312" w:cs="仿宋_GB2312"/>
          <w:b/>
          <w:bCs/>
          <w:kern w:val="0"/>
          <w:sz w:val="32"/>
          <w:szCs w:val="32"/>
          <w:u w:val="none"/>
          <w:lang w:val="en-US" w:eastAsia="zh-CN" w:bidi="ar"/>
        </w:rPr>
      </w:pPr>
      <w:r>
        <w:rPr>
          <w:rFonts w:hint="eastAsia" w:ascii="仿宋_GB2312" w:hAnsi="仿宋_GB2312" w:eastAsia="仿宋_GB2312"/>
          <w:color w:val="000000"/>
          <w:kern w:val="2"/>
          <w:sz w:val="32"/>
          <w:szCs w:val="32"/>
          <w:lang w:val="en-US" w:eastAsia="zh-CN"/>
        </w:rPr>
        <w:t>4</w:t>
      </w:r>
      <w:r>
        <w:rPr>
          <w:rFonts w:hint="eastAsia" w:ascii="仿宋_GB2312" w:hAnsi="仿宋_GB2312" w:eastAsia="仿宋_GB2312"/>
          <w:color w:val="000000"/>
          <w:kern w:val="2"/>
          <w:sz w:val="32"/>
          <w:szCs w:val="32"/>
        </w:rPr>
        <w:t>.</w:t>
      </w:r>
      <w:r>
        <w:rPr>
          <w:rFonts w:hint="eastAsia" w:ascii="仿宋_GB2312" w:hAnsi="仿宋_GB2312" w:eastAsia="仿宋_GB2312"/>
          <w:color w:val="auto"/>
          <w:kern w:val="2"/>
          <w:sz w:val="32"/>
          <w:szCs w:val="32"/>
          <w:lang w:eastAsia="zh-CN"/>
        </w:rPr>
        <w:t>废水：</w:t>
      </w:r>
      <w:r>
        <w:rPr>
          <w:rFonts w:hint="eastAsia" w:ascii="仿宋_GB2312" w:hAnsi="仿宋_GB2312" w:eastAsia="仿宋_GB2312" w:cs="仿宋_GB2312"/>
          <w:b w:val="0"/>
          <w:bCs w:val="0"/>
          <w:color w:val="auto"/>
          <w:sz w:val="32"/>
          <w:szCs w:val="32"/>
          <w:u w:val="none"/>
        </w:rPr>
        <w:t>项目</w:t>
      </w:r>
      <w:r>
        <w:rPr>
          <w:rFonts w:hint="eastAsia" w:ascii="仿宋_GB2312" w:hAnsi="仿宋_GB2312" w:eastAsia="仿宋_GB2312" w:cs="仿宋_GB2312"/>
          <w:b w:val="0"/>
          <w:bCs w:val="0"/>
          <w:color w:val="auto"/>
          <w:sz w:val="32"/>
          <w:szCs w:val="32"/>
          <w:u w:val="none"/>
          <w:lang w:eastAsia="zh-CN"/>
        </w:rPr>
        <w:t>废水</w:t>
      </w:r>
      <w:bookmarkStart w:id="0" w:name="_GoBack"/>
      <w:bookmarkEnd w:id="0"/>
      <w:r>
        <w:rPr>
          <w:rFonts w:hint="eastAsia" w:ascii="仿宋_GB2312" w:hAnsi="仿宋_GB2312" w:eastAsia="仿宋_GB2312" w:cs="仿宋_GB2312"/>
          <w:b w:val="0"/>
          <w:bCs w:val="0"/>
          <w:color w:val="auto"/>
          <w:sz w:val="32"/>
          <w:szCs w:val="32"/>
          <w:u w:val="none"/>
        </w:rPr>
        <w:t>处理后经</w:t>
      </w:r>
      <w:r>
        <w:rPr>
          <w:rFonts w:hint="eastAsia" w:ascii="仿宋_GB2312" w:hAnsi="仿宋_GB2312" w:eastAsia="仿宋_GB2312" w:cs="仿宋_GB2312"/>
          <w:b w:val="0"/>
          <w:bCs w:val="0"/>
          <w:color w:val="auto"/>
          <w:sz w:val="32"/>
          <w:szCs w:val="32"/>
          <w:u w:val="none"/>
          <w:lang w:val="en-US" w:eastAsia="zh-CN"/>
        </w:rPr>
        <w:t>架空</w:t>
      </w:r>
      <w:r>
        <w:rPr>
          <w:rFonts w:hint="eastAsia" w:ascii="仿宋_GB2312" w:hAnsi="仿宋_GB2312" w:eastAsia="仿宋_GB2312" w:cs="仿宋_GB2312"/>
          <w:b w:val="0"/>
          <w:bCs w:val="0"/>
          <w:color w:val="auto"/>
          <w:sz w:val="32"/>
          <w:szCs w:val="32"/>
          <w:u w:val="none"/>
        </w:rPr>
        <w:t>管道输送至焦作晶隆新型建材有限公司，用于其厂区的洒水抑尘及清洗补充用水。</w:t>
      </w:r>
      <w:r>
        <w:rPr>
          <w:rFonts w:hint="eastAsia" w:ascii="仿宋_GB2312" w:hAnsi="仿宋_GB2312" w:eastAsia="仿宋_GB2312" w:cs="仿宋_GB2312"/>
          <w:b/>
          <w:bCs/>
          <w:color w:val="auto"/>
          <w:sz w:val="32"/>
          <w:szCs w:val="32"/>
          <w:u w:val="none"/>
          <w:lang w:val="en-US" w:eastAsia="zh-CN"/>
        </w:rPr>
        <w:t xml:space="preserve"> </w:t>
      </w:r>
    </w:p>
    <w:p w14:paraId="6762A4EF">
      <w:pPr>
        <w:pStyle w:val="24"/>
        <w:keepNext w:val="0"/>
        <w:keepLines w:val="0"/>
        <w:pageBreakBefore w:val="0"/>
        <w:numPr>
          <w:ilvl w:val="0"/>
          <w:numId w:val="0"/>
        </w:numPr>
        <w:kinsoku/>
        <w:wordWrap/>
        <w:overflowPunct/>
        <w:topLinePunct w:val="0"/>
        <w:autoSpaceDE/>
        <w:autoSpaceDN/>
        <w:bidi w:val="0"/>
        <w:spacing w:line="500" w:lineRule="exact"/>
        <w:ind w:firstLine="640" w:firstLineChars="200"/>
        <w:jc w:val="both"/>
        <w:rPr>
          <w:rFonts w:hint="eastAsia" w:ascii="仿宋_GB2312" w:hAnsi="仿宋_GB2312" w:eastAsia="仿宋_GB2312"/>
          <w:color w:val="000000"/>
          <w:kern w:val="2"/>
          <w:sz w:val="32"/>
          <w:szCs w:val="32"/>
        </w:rPr>
      </w:pPr>
      <w:r>
        <w:rPr>
          <w:rFonts w:hint="eastAsia" w:ascii="仿宋_GB2312" w:hAnsi="仿宋_GB2312" w:eastAsia="仿宋_GB2312"/>
          <w:color w:val="000000"/>
          <w:kern w:val="2"/>
          <w:sz w:val="32"/>
          <w:szCs w:val="32"/>
        </w:rPr>
        <w:t>（四）认真落实《报告</w:t>
      </w:r>
      <w:r>
        <w:rPr>
          <w:rFonts w:hint="eastAsia" w:ascii="仿宋_GB2312" w:hAnsi="仿宋_GB2312" w:eastAsia="仿宋_GB2312"/>
          <w:color w:val="000000"/>
          <w:sz w:val="32"/>
          <w:szCs w:val="32"/>
        </w:rPr>
        <w:t>表</w:t>
      </w:r>
      <w:r>
        <w:rPr>
          <w:rFonts w:hint="eastAsia" w:ascii="仿宋_GB2312" w:hAnsi="仿宋_GB2312" w:eastAsia="仿宋_GB2312"/>
          <w:color w:val="000000"/>
          <w:kern w:val="2"/>
          <w:sz w:val="32"/>
          <w:szCs w:val="32"/>
        </w:rPr>
        <w:t>》提出的环境风险防范措施和要求，制定污染事故应急防范预案，加强日常管理，防止发生污染事故。</w:t>
      </w:r>
    </w:p>
    <w:p w14:paraId="104A1B5D">
      <w:pPr>
        <w:pStyle w:val="24"/>
        <w:keepNext w:val="0"/>
        <w:keepLines w:val="0"/>
        <w:pageBreakBefore w:val="0"/>
        <w:kinsoku/>
        <w:wordWrap/>
        <w:overflowPunct/>
        <w:topLinePunct w:val="0"/>
        <w:autoSpaceDE/>
        <w:autoSpaceDN/>
        <w:bidi w:val="0"/>
        <w:spacing w:line="500" w:lineRule="exact"/>
        <w:ind w:firstLine="640"/>
        <w:jc w:val="both"/>
        <w:rPr>
          <w:rFonts w:hint="default" w:ascii="仿宋_GB2312" w:hAnsi="仿宋_GB2312" w:eastAsia="仿宋_GB2312"/>
          <w:color w:val="000000"/>
          <w:kern w:val="2"/>
          <w:sz w:val="32"/>
          <w:szCs w:val="32"/>
          <w:lang w:val="en-US" w:eastAsia="zh-CN"/>
        </w:rPr>
      </w:pPr>
      <w:r>
        <w:rPr>
          <w:rFonts w:hint="eastAsia" w:ascii="仿宋_GB2312" w:hAnsi="仿宋_GB2312" w:eastAsia="仿宋_GB2312"/>
          <w:color w:val="000000"/>
          <w:kern w:val="2"/>
          <w:sz w:val="32"/>
          <w:szCs w:val="32"/>
        </w:rPr>
        <w:t>（五）</w:t>
      </w:r>
      <w:r>
        <w:rPr>
          <w:rFonts w:hint="eastAsia" w:ascii="仿宋_GB2312" w:hAnsi="仿宋_GB2312" w:eastAsia="仿宋_GB2312"/>
          <w:color w:val="000000"/>
          <w:sz w:val="32"/>
          <w:szCs w:val="32"/>
        </w:rPr>
        <w:t>该项目总量控制指标</w:t>
      </w:r>
      <w:r>
        <w:rPr>
          <w:rFonts w:hint="eastAsia" w:ascii="仿宋_GB2312" w:hAnsi="仿宋_GB2312" w:eastAsia="仿宋_GB2312"/>
          <w:color w:val="000000"/>
          <w:sz w:val="32"/>
          <w:szCs w:val="32"/>
          <w:lang w:eastAsia="zh-CN"/>
        </w:rPr>
        <w:t>：</w:t>
      </w:r>
      <w:r>
        <w:rPr>
          <w:rFonts w:hint="eastAsia" w:ascii="仿宋_GB2312" w:hAnsi="仿宋_GB2312" w:eastAsia="仿宋_GB2312"/>
          <w:color w:val="000000"/>
          <w:sz w:val="32"/>
          <w:szCs w:val="32"/>
          <w:lang w:val="en-US" w:eastAsia="zh-CN"/>
        </w:rPr>
        <w:t>颗粒物0.005吨/年、挥发性有机物0.014吨/年。</w:t>
      </w:r>
    </w:p>
    <w:p w14:paraId="1639D610">
      <w:pPr>
        <w:pStyle w:val="24"/>
        <w:keepNext w:val="0"/>
        <w:keepLines w:val="0"/>
        <w:pageBreakBefore w:val="0"/>
        <w:kinsoku/>
        <w:wordWrap/>
        <w:overflowPunct/>
        <w:topLinePunct w:val="0"/>
        <w:autoSpaceDE/>
        <w:autoSpaceDN/>
        <w:bidi w:val="0"/>
        <w:spacing w:line="500" w:lineRule="exact"/>
        <w:ind w:firstLine="640"/>
        <w:jc w:val="both"/>
        <w:rPr>
          <w:rFonts w:hint="eastAsia" w:ascii="仿宋_GB2312" w:hAnsi="仿宋_GB2312" w:eastAsia="仿宋_GB2312"/>
          <w:color w:val="000000"/>
          <w:kern w:val="2"/>
          <w:sz w:val="32"/>
          <w:szCs w:val="32"/>
        </w:rPr>
      </w:pPr>
      <w:r>
        <w:rPr>
          <w:rFonts w:hint="eastAsia" w:ascii="仿宋_GB2312" w:hAnsi="仿宋_GB2312" w:eastAsia="仿宋_GB2312"/>
          <w:color w:val="000000"/>
          <w:kern w:val="2"/>
          <w:sz w:val="32"/>
          <w:szCs w:val="32"/>
        </w:rPr>
        <w:t>（六）如果今后国家、省、市颁布新的污染物排放限值标准和要求，届时你公司应按新的排放标准和要求执行。</w:t>
      </w:r>
    </w:p>
    <w:p w14:paraId="46F1A1F1">
      <w:pPr>
        <w:keepNext w:val="0"/>
        <w:keepLines w:val="0"/>
        <w:pageBreakBefore w:val="0"/>
        <w:kinsoku/>
        <w:wordWrap/>
        <w:overflowPunct/>
        <w:topLinePunct w:val="0"/>
        <w:autoSpaceDE/>
        <w:autoSpaceDN/>
        <w:bidi w:val="0"/>
        <w:spacing w:line="500" w:lineRule="exact"/>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四、工程竣工后，你公司要按照《建设项目竣工环境保护验收暂行办法》规定进行自主验收，验收合格后方可投产；还应当在启动生产设施或者实际排污之前</w:t>
      </w:r>
      <w:r>
        <w:rPr>
          <w:rFonts w:hint="eastAsia" w:ascii="仿宋_GB2312" w:hAnsi="仿宋_GB2312" w:eastAsia="仿宋_GB2312"/>
          <w:color w:val="000000"/>
          <w:sz w:val="32"/>
          <w:szCs w:val="32"/>
          <w:lang w:eastAsia="zh-CN"/>
        </w:rPr>
        <w:t>申请排污许可证。</w:t>
      </w:r>
    </w:p>
    <w:p w14:paraId="6691D1B3">
      <w:pPr>
        <w:keepNext w:val="0"/>
        <w:keepLines w:val="0"/>
        <w:pageBreakBefore w:val="0"/>
        <w:kinsoku/>
        <w:wordWrap/>
        <w:overflowPunct/>
        <w:topLinePunct w:val="0"/>
        <w:autoSpaceDE/>
        <w:autoSpaceDN/>
        <w:bidi w:val="0"/>
        <w:spacing w:line="500" w:lineRule="exact"/>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五、该项目自批复之日起五年后开工建设的，应重新报我局审核。本批复生效后，建设项目的性质、规模、地点、工艺和污染防治措施等发生重大变化时，应重新报批。</w:t>
      </w:r>
    </w:p>
    <w:p w14:paraId="5BF02B8E">
      <w:pPr>
        <w:keepNext w:val="0"/>
        <w:keepLines w:val="0"/>
        <w:pageBreakBefore w:val="0"/>
        <w:kinsoku/>
        <w:wordWrap/>
        <w:overflowPunct/>
        <w:topLinePunct w:val="0"/>
        <w:autoSpaceDE/>
        <w:autoSpaceDN/>
        <w:bidi w:val="0"/>
        <w:spacing w:line="500" w:lineRule="exact"/>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 xml:space="preserve">六、土地、规划等要求以有关部门意见为准。 </w:t>
      </w:r>
    </w:p>
    <w:p w14:paraId="63F094F8">
      <w:pPr>
        <w:pStyle w:val="2"/>
        <w:rPr>
          <w:rFonts w:hint="eastAsia" w:ascii="仿宋_GB2312" w:hAnsi="仿宋_GB2312" w:eastAsia="仿宋_GB2312"/>
          <w:color w:val="000000"/>
          <w:sz w:val="32"/>
          <w:szCs w:val="32"/>
        </w:rPr>
      </w:pPr>
    </w:p>
    <w:p w14:paraId="10A78F0E">
      <w:pPr>
        <w:pStyle w:val="2"/>
        <w:rPr>
          <w:rFonts w:hint="eastAsia" w:ascii="仿宋_GB2312" w:hAnsi="仿宋_GB2312" w:eastAsia="仿宋_GB2312"/>
          <w:color w:val="000000"/>
          <w:sz w:val="32"/>
          <w:szCs w:val="32"/>
          <w:lang w:eastAsia="zh-CN"/>
        </w:rPr>
      </w:pPr>
    </w:p>
    <w:p w14:paraId="02D636AB">
      <w:pPr>
        <w:pStyle w:val="23"/>
        <w:keepNext w:val="0"/>
        <w:keepLines w:val="0"/>
        <w:pageBreakBefore w:val="0"/>
        <w:kinsoku/>
        <w:wordWrap/>
        <w:overflowPunct/>
        <w:topLinePunct w:val="0"/>
        <w:autoSpaceDE/>
        <w:autoSpaceDN/>
        <w:bidi w:val="0"/>
        <w:spacing w:line="500" w:lineRule="exact"/>
        <w:ind w:firstLine="5440" w:firstLineChars="1700"/>
        <w:jc w:val="both"/>
        <w:rPr>
          <w:rFonts w:hint="eastAsia" w:ascii="仿宋_GB2312" w:hAnsi="仿宋_GB2312" w:eastAsia="仿宋_GB2312"/>
          <w:color w:val="000000"/>
          <w:sz w:val="32"/>
          <w:szCs w:val="32"/>
        </w:rPr>
      </w:pPr>
    </w:p>
    <w:p w14:paraId="4146EFBB">
      <w:pPr>
        <w:pStyle w:val="23"/>
        <w:keepNext w:val="0"/>
        <w:keepLines w:val="0"/>
        <w:pageBreakBefore w:val="0"/>
        <w:kinsoku/>
        <w:wordWrap/>
        <w:overflowPunct/>
        <w:topLinePunct w:val="0"/>
        <w:autoSpaceDE/>
        <w:autoSpaceDN/>
        <w:bidi w:val="0"/>
        <w:spacing w:line="500" w:lineRule="exact"/>
        <w:ind w:firstLine="5120" w:firstLineChars="1600"/>
        <w:jc w:val="both"/>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202</w:t>
      </w:r>
      <w:r>
        <w:rPr>
          <w:rFonts w:hint="eastAsia" w:hAnsi="仿宋_GB2312"/>
          <w:color w:val="auto"/>
          <w:sz w:val="32"/>
          <w:szCs w:val="32"/>
          <w:lang w:val="en-US" w:eastAsia="zh-CN"/>
        </w:rPr>
        <w:t>5</w:t>
      </w:r>
      <w:r>
        <w:rPr>
          <w:rFonts w:hint="eastAsia" w:ascii="仿宋_GB2312" w:hAnsi="仿宋_GB2312" w:eastAsia="仿宋_GB2312"/>
          <w:color w:val="auto"/>
          <w:sz w:val="32"/>
          <w:szCs w:val="32"/>
        </w:rPr>
        <w:t>年</w:t>
      </w:r>
      <w:r>
        <w:rPr>
          <w:rFonts w:hint="eastAsia" w:hAnsi="仿宋_GB2312"/>
          <w:color w:val="auto"/>
          <w:sz w:val="32"/>
          <w:szCs w:val="32"/>
          <w:lang w:val="en-US" w:eastAsia="zh-CN"/>
        </w:rPr>
        <w:t>12</w:t>
      </w:r>
      <w:r>
        <w:rPr>
          <w:rFonts w:hint="eastAsia" w:ascii="仿宋_GB2312" w:hAnsi="仿宋_GB2312" w:eastAsia="仿宋_GB2312"/>
          <w:color w:val="auto"/>
          <w:sz w:val="32"/>
          <w:szCs w:val="32"/>
        </w:rPr>
        <w:t>月</w:t>
      </w:r>
      <w:r>
        <w:rPr>
          <w:rFonts w:hint="eastAsia" w:hAnsi="仿宋_GB2312"/>
          <w:color w:val="auto"/>
          <w:sz w:val="32"/>
          <w:szCs w:val="32"/>
          <w:lang w:val="en-US" w:eastAsia="zh-CN"/>
        </w:rPr>
        <w:t>24</w:t>
      </w:r>
      <w:r>
        <w:rPr>
          <w:rFonts w:hint="eastAsia" w:ascii="仿宋_GB2312" w:hAnsi="仿宋_GB2312" w:eastAsia="仿宋_GB2312"/>
          <w:color w:val="auto"/>
          <w:sz w:val="32"/>
          <w:szCs w:val="32"/>
        </w:rPr>
        <w:t>日</w:t>
      </w:r>
    </w:p>
    <w:p w14:paraId="2C89C5CA">
      <w:pPr>
        <w:ind w:firstLine="640" w:firstLineChars="200"/>
        <w:jc w:val="both"/>
        <w:rPr>
          <w:rFonts w:hint="eastAsia" w:ascii="仿宋_GB2312" w:hAnsi="仿宋_GB2312" w:eastAsia="仿宋_GB2312"/>
          <w:sz w:val="32"/>
          <w:szCs w:val="32"/>
        </w:rPr>
      </w:pPr>
    </w:p>
    <w:p w14:paraId="67F5C79D">
      <w:pPr>
        <w:ind w:firstLine="640" w:firstLineChars="200"/>
        <w:jc w:val="both"/>
        <w:rPr>
          <w:rFonts w:hint="eastAsia" w:ascii="仿宋_GB2312" w:hAnsi="仿宋_GB2312" w:eastAsia="仿宋_GB2312"/>
          <w:sz w:val="32"/>
          <w:szCs w:val="32"/>
        </w:rPr>
      </w:pPr>
    </w:p>
    <w:p w14:paraId="4C1D4C55">
      <w:pPr>
        <w:ind w:firstLine="640" w:firstLineChars="200"/>
        <w:jc w:val="both"/>
        <w:rPr>
          <w:rFonts w:hint="eastAsia" w:ascii="仿宋_GB2312" w:hAnsi="仿宋_GB2312" w:eastAsia="仿宋_GB2312"/>
          <w:sz w:val="32"/>
          <w:szCs w:val="32"/>
        </w:rPr>
      </w:pPr>
    </w:p>
    <w:p w14:paraId="638643B1">
      <w:pPr>
        <w:ind w:firstLine="640" w:firstLineChars="200"/>
        <w:jc w:val="both"/>
        <w:rPr>
          <w:rFonts w:hint="eastAsia" w:ascii="仿宋_GB2312" w:hAnsi="仿宋_GB2312" w:eastAsia="仿宋_GB2312"/>
          <w:sz w:val="32"/>
          <w:szCs w:val="32"/>
        </w:rPr>
      </w:pPr>
    </w:p>
    <w:p w14:paraId="49594CE1">
      <w:pPr>
        <w:ind w:firstLine="640" w:firstLineChars="200"/>
        <w:jc w:val="both"/>
        <w:rPr>
          <w:rFonts w:hint="eastAsia" w:ascii="仿宋_GB2312" w:hAnsi="仿宋_GB2312" w:eastAsia="仿宋_GB2312"/>
          <w:sz w:val="32"/>
          <w:szCs w:val="32"/>
        </w:rPr>
      </w:pPr>
    </w:p>
    <w:p w14:paraId="6A395CE6">
      <w:pPr>
        <w:ind w:firstLine="640" w:firstLineChars="200"/>
        <w:jc w:val="both"/>
        <w:rPr>
          <w:rFonts w:hint="eastAsia" w:ascii="仿宋_GB2312" w:hAnsi="仿宋_GB2312" w:eastAsia="仿宋_GB2312"/>
          <w:sz w:val="32"/>
          <w:szCs w:val="32"/>
        </w:rPr>
      </w:pPr>
    </w:p>
    <w:p w14:paraId="32E97304">
      <w:pPr>
        <w:ind w:firstLine="640" w:firstLineChars="200"/>
        <w:jc w:val="both"/>
        <w:rPr>
          <w:rFonts w:hint="eastAsia" w:ascii="仿宋_GB2312" w:hAnsi="仿宋_GB2312" w:eastAsia="仿宋_GB2312"/>
          <w:sz w:val="32"/>
          <w:szCs w:val="32"/>
        </w:rPr>
      </w:pPr>
    </w:p>
    <w:p w14:paraId="2DB5D4EC">
      <w:pPr>
        <w:ind w:firstLine="640" w:firstLineChars="200"/>
        <w:jc w:val="both"/>
        <w:rPr>
          <w:rFonts w:hint="eastAsia" w:ascii="仿宋_GB2312" w:hAnsi="仿宋_GB2312" w:eastAsia="仿宋_GB2312"/>
          <w:sz w:val="32"/>
          <w:szCs w:val="32"/>
        </w:rPr>
      </w:pPr>
    </w:p>
    <w:p w14:paraId="5CAED296">
      <w:pPr>
        <w:ind w:firstLine="640" w:firstLineChars="200"/>
        <w:jc w:val="both"/>
        <w:rPr>
          <w:rFonts w:hint="eastAsia" w:ascii="仿宋_GB2312" w:hAnsi="仿宋_GB2312" w:eastAsia="仿宋_GB2312"/>
          <w:color w:val="000000"/>
          <w:sz w:val="32"/>
          <w:szCs w:val="32"/>
        </w:rPr>
      </w:pPr>
      <w:r>
        <w:rPr>
          <w:rFonts w:hint="eastAsia" w:ascii="仿宋_GB2312" w:hAnsi="仿宋_GB2312" w:eastAsia="仿宋_GB2312"/>
          <w:sz w:val="32"/>
          <w:szCs w:val="32"/>
        </w:rPr>
        <w:t>抄送：马村区环境监察大队、焦作市生态环境局马村分局</w:t>
      </w:r>
      <w:r>
        <w:rPr>
          <w:rFonts w:hint="eastAsia" w:ascii="仿宋_GB2312" w:hAnsi="仿宋_GB2312" w:eastAsia="仿宋_GB2312"/>
          <w:sz w:val="32"/>
          <w:szCs w:val="32"/>
          <w:lang w:eastAsia="zh-CN"/>
        </w:rPr>
        <w:t>综合</w:t>
      </w:r>
      <w:r>
        <w:rPr>
          <w:rFonts w:hint="eastAsia" w:ascii="仿宋_GB2312" w:hAnsi="仿宋_GB2312" w:eastAsia="仿宋_GB2312"/>
          <w:sz w:val="32"/>
          <w:szCs w:val="32"/>
        </w:rPr>
        <w:t>股、</w:t>
      </w:r>
      <w:r>
        <w:rPr>
          <w:rFonts w:hint="eastAsia" w:ascii="仿宋_GB2312" w:hAnsi="仿宋_GB2312" w:eastAsia="仿宋_GB2312"/>
          <w:color w:val="000000"/>
          <w:sz w:val="32"/>
          <w:szCs w:val="32"/>
          <w:lang w:val="en-US" w:eastAsia="zh-CN"/>
        </w:rPr>
        <w:t>河南博祥环保科技有限公司</w:t>
      </w:r>
    </w:p>
    <w:sectPr>
      <w:footerReference r:id="rId3" w:type="default"/>
      <w:pgSz w:w="11906" w:h="16838"/>
      <w:pgMar w:top="2098" w:right="1474" w:bottom="1134" w:left="158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BA12A">
    <w:pPr>
      <w:pStyle w:val="17"/>
      <w:tabs>
        <w:tab w:val="clear" w:pos="4153"/>
        <w:tab w:val="clear" w:pos="8306"/>
      </w:tabs>
      <w:rPr>
        <w:rFonts w:hint="default"/>
        <w:lang w:val="en-US"/>
      </w:rP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0"/>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6902790F">
                          <w:pPr>
                            <w:jc w:val="center"/>
                          </w:pPr>
                          <w:r>
                            <w:fldChar w:fldCharType="begin"/>
                          </w:r>
                          <w:r>
                            <w:instrText xml:space="preserve"> PAGE  \* MERGEFORMAT </w:instrText>
                          </w:r>
                          <w:r>
                            <w:fldChar w:fldCharType="separate"/>
                          </w:r>
                          <w:r>
                            <w:t>1</w:t>
                          </w:r>
                          <w:r>
                            <w:fldChar w:fldCharType="end"/>
                          </w:r>
                        </w:p>
                      </w:txbxContent>
                    </wps:txbx>
                    <wps:bodyPr rot="0" vert="horz" wrap="square" lIns="0" tIns="0" rIns="0" bIns="0" anchor="t" anchorCtr="0"/>
                  </wps:wsp>
                </a:graphicData>
              </a:graphic>
            </wp:anchor>
          </w:drawing>
        </mc:Choice>
        <mc:Fallback>
          <w:pict>
            <v:rect id="_x0000_s2050"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Wa2Y8tMAAAAF&#10;AQAADwAAAAAAAAABACAAAAAiAAAAZHJzL2Rvd25yZXYueG1sUEsBAhQAFAAAAAgAh07iQD/15xOv&#10;AQAAdgMAAA4AAAAAAAAAAQAgAAAAIgEAAGRycy9lMm9Eb2MueG1sUEsFBgAAAAAGAAYAWQEAAEMF&#10;AAAAAA==&#10;">
              <v:fill on="f" focussize="0,0"/>
              <v:stroke on="f"/>
              <v:imagedata o:title=""/>
              <o:lock v:ext="edit" aspectratio="f"/>
              <v:textbox inset="0mm,0mm,0mm,0mm">
                <w:txbxContent>
                  <w:p w14:paraId="6902790F">
                    <w:pPr>
                      <w:jc w:val="center"/>
                    </w:pPr>
                    <w:r>
                      <w:fldChar w:fldCharType="begin"/>
                    </w:r>
                    <w:r>
                      <w:instrText xml:space="preserve"> PAGE  \* MERGEFORMAT </w:instrText>
                    </w:r>
                    <w:r>
                      <w:fldChar w:fldCharType="separate"/>
                    </w:r>
                    <w:r>
                      <w:t>1</w:t>
                    </w:r>
                    <w:r>
                      <w:fldChar w:fldCharType="end"/>
                    </w:r>
                  </w:p>
                </w:txbxContent>
              </v:textbox>
            </v:rect>
          </w:pict>
        </mc:Fallback>
      </mc:AlternateContent>
    </w:r>
    <w:r>
      <w:rPr>
        <w:rFonts w:hint="eastAsia"/>
        <w:lang w:val="en-US" w:eastAsia="zh-CN"/>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81126F"/>
    <w:multiLevelType w:val="singleLevel"/>
    <w:tmpl w:val="E681126F"/>
    <w:lvl w:ilvl="0" w:tentative="0">
      <w:start w:val="1"/>
      <w:numFmt w:val="chineseCounting"/>
      <w:suff w:val="nothing"/>
      <w:lvlText w:val="%1、"/>
      <w:lvlJc w:val="left"/>
      <w:pPr>
        <w:ind w:left="-10"/>
      </w:pPr>
      <w:rPr>
        <w:rFonts w:hint="eastAsia"/>
      </w:rPr>
    </w:lvl>
  </w:abstractNum>
  <w:abstractNum w:abstractNumId="1">
    <w:nsid w:val="205A4F56"/>
    <w:multiLevelType w:val="multilevel"/>
    <w:tmpl w:val="205A4F56"/>
    <w:lvl w:ilvl="0" w:tentative="0">
      <w:start w:val="1"/>
      <w:numFmt w:val="decimal"/>
      <w:suff w:val="space"/>
      <w:lvlText w:val="%1"/>
      <w:lvlJc w:val="left"/>
      <w:pPr>
        <w:ind w:left="34" w:firstLine="0"/>
      </w:pPr>
      <w:rPr>
        <w:rFonts w:ascii="Times New Roman" w:hAnsi="Times New Roman"/>
        <w:b/>
        <w:i w:val="0"/>
        <w:sz w:val="24"/>
        <w:szCs w:val="24"/>
      </w:rPr>
    </w:lvl>
    <w:lvl w:ilvl="1" w:tentative="0">
      <w:start w:val="1"/>
      <w:numFmt w:val="decimal"/>
      <w:suff w:val="space"/>
      <w:lvlText w:val="%1.%2"/>
      <w:lvlJc w:val="left"/>
      <w:pPr>
        <w:ind w:left="34" w:firstLine="0"/>
      </w:pPr>
      <w:rPr>
        <w:rFonts w:ascii="Times New Roman" w:hAnsi="Times New Roman"/>
        <w:b/>
        <w:i w:val="0"/>
        <w:sz w:val="24"/>
        <w:szCs w:val="24"/>
      </w:rPr>
    </w:lvl>
    <w:lvl w:ilvl="2" w:tentative="0">
      <w:start w:val="1"/>
      <w:numFmt w:val="decimal"/>
      <w:suff w:val="space"/>
      <w:lvlText w:val="%1.%2.%3"/>
      <w:lvlJc w:val="left"/>
      <w:pPr>
        <w:ind w:left="34" w:firstLine="0"/>
      </w:pPr>
      <w:rPr>
        <w:rFonts w:ascii="Times New Roman" w:hAnsi="Times New Roman" w:eastAsia="宋体"/>
        <w:b w:val="0"/>
        <w:i w:val="0"/>
        <w:shadow w:val="0"/>
        <w:vanish/>
        <w:color w:val="000000"/>
        <w:kern w:val="0"/>
        <w:sz w:val="24"/>
        <w:szCs w:val="24"/>
        <w:u w:val="none"/>
        <w:vertAlign w:val="baseline"/>
      </w:rPr>
    </w:lvl>
    <w:lvl w:ilvl="3" w:tentative="0">
      <w:start w:val="1"/>
      <w:numFmt w:val="decimal"/>
      <w:pStyle w:val="9"/>
      <w:lvlText w:val="%1.%2.%3.%4"/>
      <w:lvlJc w:val="left"/>
      <w:pPr>
        <w:tabs>
          <w:tab w:val="left" w:pos="2836"/>
        </w:tabs>
        <w:ind w:left="2836" w:hanging="851"/>
      </w:pPr>
      <w:rPr>
        <w:rFonts w:ascii="Times New Roman" w:hAnsi="Times New Roman"/>
        <w:b w:val="0"/>
        <w:i w:val="0"/>
        <w:sz w:val="24"/>
        <w:szCs w:val="24"/>
      </w:rPr>
    </w:lvl>
    <w:lvl w:ilvl="4" w:tentative="0">
      <w:start w:val="1"/>
      <w:numFmt w:val="decimal"/>
      <w:lvlText w:val="%1.%2.%3.%4.%5."/>
      <w:lvlJc w:val="left"/>
      <w:pPr>
        <w:tabs>
          <w:tab w:val="left" w:pos="1026"/>
        </w:tabs>
        <w:ind w:left="1026" w:hanging="992"/>
      </w:pPr>
      <w:rPr>
        <w:rFonts w:hint="eastAsia"/>
      </w:rPr>
    </w:lvl>
    <w:lvl w:ilvl="5" w:tentative="0">
      <w:start w:val="1"/>
      <w:numFmt w:val="decimal"/>
      <w:lvlText w:val="%1.%2.%3.%4.%5.%6."/>
      <w:lvlJc w:val="left"/>
      <w:pPr>
        <w:tabs>
          <w:tab w:val="left" w:pos="1168"/>
        </w:tabs>
        <w:ind w:left="1168" w:hanging="1134"/>
      </w:pPr>
      <w:rPr>
        <w:rFonts w:hint="eastAsia"/>
      </w:rPr>
    </w:lvl>
    <w:lvl w:ilvl="6" w:tentative="0">
      <w:start w:val="1"/>
      <w:numFmt w:val="decimal"/>
      <w:lvlText w:val="%1.%2.%3.%4.%5.%6.%7."/>
      <w:lvlJc w:val="left"/>
      <w:pPr>
        <w:tabs>
          <w:tab w:val="left" w:pos="1310"/>
        </w:tabs>
        <w:ind w:left="1310" w:hanging="1276"/>
      </w:pPr>
      <w:rPr>
        <w:rFonts w:hint="eastAsia"/>
      </w:rPr>
    </w:lvl>
    <w:lvl w:ilvl="7" w:tentative="0">
      <w:start w:val="1"/>
      <w:numFmt w:val="decimal"/>
      <w:lvlText w:val="%1.%2.%3.%4.%5.%6.%7.%8."/>
      <w:lvlJc w:val="left"/>
      <w:pPr>
        <w:tabs>
          <w:tab w:val="left" w:pos="1452"/>
        </w:tabs>
        <w:ind w:left="1452" w:hanging="1418"/>
      </w:pPr>
      <w:rPr>
        <w:rFonts w:hint="eastAsia"/>
      </w:rPr>
    </w:lvl>
    <w:lvl w:ilvl="8" w:tentative="0">
      <w:start w:val="1"/>
      <w:numFmt w:val="decimal"/>
      <w:lvlText w:val="%1.%2.%3.%4.%5.%6.%7.%8.%9."/>
      <w:lvlJc w:val="left"/>
      <w:pPr>
        <w:tabs>
          <w:tab w:val="left" w:pos="1593"/>
        </w:tabs>
        <w:ind w:left="1593"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1"/>
  </w:compat>
  <w:docVars>
    <w:docVar w:name="commondata" w:val="eyJoZGlkIjoiMTg2NDJkNmZiNGJmM2Y0YTYxNDY3MjhhNDZmMmQ5MTQifQ=="/>
  </w:docVars>
  <w:rsids>
    <w:rsidRoot w:val="00000000"/>
    <w:rsid w:val="018C51C8"/>
    <w:rsid w:val="01CF4DDF"/>
    <w:rsid w:val="02380707"/>
    <w:rsid w:val="02493090"/>
    <w:rsid w:val="02AA43CB"/>
    <w:rsid w:val="02B7130B"/>
    <w:rsid w:val="02C44E0D"/>
    <w:rsid w:val="04BE5865"/>
    <w:rsid w:val="0512765A"/>
    <w:rsid w:val="054924A6"/>
    <w:rsid w:val="06645ECF"/>
    <w:rsid w:val="06CE0E4D"/>
    <w:rsid w:val="07561F84"/>
    <w:rsid w:val="07B91880"/>
    <w:rsid w:val="07DD105A"/>
    <w:rsid w:val="08D8516E"/>
    <w:rsid w:val="09BD3D92"/>
    <w:rsid w:val="09D771D4"/>
    <w:rsid w:val="0B957346"/>
    <w:rsid w:val="0BF342AC"/>
    <w:rsid w:val="0CFF07E8"/>
    <w:rsid w:val="0D076022"/>
    <w:rsid w:val="0D3D691E"/>
    <w:rsid w:val="0D4136FC"/>
    <w:rsid w:val="0D5144DE"/>
    <w:rsid w:val="0E421439"/>
    <w:rsid w:val="0EDC4568"/>
    <w:rsid w:val="0EE61B84"/>
    <w:rsid w:val="0FB104C7"/>
    <w:rsid w:val="0FD23F80"/>
    <w:rsid w:val="0FD30C75"/>
    <w:rsid w:val="0FF80505"/>
    <w:rsid w:val="102E6D8D"/>
    <w:rsid w:val="106715F3"/>
    <w:rsid w:val="108A3B8C"/>
    <w:rsid w:val="1265534E"/>
    <w:rsid w:val="12770A1A"/>
    <w:rsid w:val="127A1656"/>
    <w:rsid w:val="12D46B2C"/>
    <w:rsid w:val="131522C8"/>
    <w:rsid w:val="1408616F"/>
    <w:rsid w:val="142F60B6"/>
    <w:rsid w:val="14662104"/>
    <w:rsid w:val="16B711D5"/>
    <w:rsid w:val="17EB4FBC"/>
    <w:rsid w:val="17F00848"/>
    <w:rsid w:val="18645220"/>
    <w:rsid w:val="187B102A"/>
    <w:rsid w:val="18FA629E"/>
    <w:rsid w:val="1A7431C4"/>
    <w:rsid w:val="1AED56D7"/>
    <w:rsid w:val="1D7E5E8C"/>
    <w:rsid w:val="1DCF6435"/>
    <w:rsid w:val="1DE50D58"/>
    <w:rsid w:val="1E01086B"/>
    <w:rsid w:val="1EF04110"/>
    <w:rsid w:val="1F32168E"/>
    <w:rsid w:val="1F897C90"/>
    <w:rsid w:val="20385D86"/>
    <w:rsid w:val="204F58BE"/>
    <w:rsid w:val="20655E46"/>
    <w:rsid w:val="20886183"/>
    <w:rsid w:val="21224918"/>
    <w:rsid w:val="21BD4795"/>
    <w:rsid w:val="22010BA6"/>
    <w:rsid w:val="228F1762"/>
    <w:rsid w:val="22901A6A"/>
    <w:rsid w:val="23623B5A"/>
    <w:rsid w:val="23841A04"/>
    <w:rsid w:val="240D04BE"/>
    <w:rsid w:val="242502D3"/>
    <w:rsid w:val="242512A7"/>
    <w:rsid w:val="24EC4023"/>
    <w:rsid w:val="24F75603"/>
    <w:rsid w:val="253B6D59"/>
    <w:rsid w:val="262275D1"/>
    <w:rsid w:val="26F73B05"/>
    <w:rsid w:val="27360F77"/>
    <w:rsid w:val="27435AE6"/>
    <w:rsid w:val="290876C3"/>
    <w:rsid w:val="292E3E59"/>
    <w:rsid w:val="29600D5C"/>
    <w:rsid w:val="2A292A1D"/>
    <w:rsid w:val="2A6D3510"/>
    <w:rsid w:val="2AB10417"/>
    <w:rsid w:val="2B0721D6"/>
    <w:rsid w:val="2B4E634E"/>
    <w:rsid w:val="2B5E54DD"/>
    <w:rsid w:val="2BF37A45"/>
    <w:rsid w:val="2C5030EA"/>
    <w:rsid w:val="2CB31A62"/>
    <w:rsid w:val="2D081307"/>
    <w:rsid w:val="2D9A13A9"/>
    <w:rsid w:val="2DB840EA"/>
    <w:rsid w:val="2DB93391"/>
    <w:rsid w:val="2DBF02D4"/>
    <w:rsid w:val="2DCE24AE"/>
    <w:rsid w:val="2DF22F02"/>
    <w:rsid w:val="2E091D2F"/>
    <w:rsid w:val="2FCD6647"/>
    <w:rsid w:val="2FE5534D"/>
    <w:rsid w:val="304C1E1A"/>
    <w:rsid w:val="305C3980"/>
    <w:rsid w:val="307F48C8"/>
    <w:rsid w:val="30DC2719"/>
    <w:rsid w:val="314A6E14"/>
    <w:rsid w:val="3170130B"/>
    <w:rsid w:val="31E55B07"/>
    <w:rsid w:val="32FF4F22"/>
    <w:rsid w:val="339B26A4"/>
    <w:rsid w:val="33C96EAF"/>
    <w:rsid w:val="33F95AF6"/>
    <w:rsid w:val="342A2A87"/>
    <w:rsid w:val="34441786"/>
    <w:rsid w:val="34F20A6C"/>
    <w:rsid w:val="35D5388B"/>
    <w:rsid w:val="35FB12F8"/>
    <w:rsid w:val="36BF60D1"/>
    <w:rsid w:val="37086ED1"/>
    <w:rsid w:val="373B1E1B"/>
    <w:rsid w:val="381E145A"/>
    <w:rsid w:val="38F92413"/>
    <w:rsid w:val="392C147D"/>
    <w:rsid w:val="3A015A23"/>
    <w:rsid w:val="3A3951BD"/>
    <w:rsid w:val="3A3A2CE6"/>
    <w:rsid w:val="3AA615F1"/>
    <w:rsid w:val="3B7876E7"/>
    <w:rsid w:val="3C7C409E"/>
    <w:rsid w:val="3C806586"/>
    <w:rsid w:val="3D287423"/>
    <w:rsid w:val="3E0660FD"/>
    <w:rsid w:val="3E077380"/>
    <w:rsid w:val="3E2E3713"/>
    <w:rsid w:val="3E50520F"/>
    <w:rsid w:val="3E774506"/>
    <w:rsid w:val="3EAF7EB5"/>
    <w:rsid w:val="3F00000E"/>
    <w:rsid w:val="3F48250D"/>
    <w:rsid w:val="3F5D36FC"/>
    <w:rsid w:val="401C1E85"/>
    <w:rsid w:val="40510EE6"/>
    <w:rsid w:val="41345EC2"/>
    <w:rsid w:val="4186175A"/>
    <w:rsid w:val="418E0B2C"/>
    <w:rsid w:val="423F4DE4"/>
    <w:rsid w:val="42554B5E"/>
    <w:rsid w:val="4326474D"/>
    <w:rsid w:val="43DC782B"/>
    <w:rsid w:val="444E3E15"/>
    <w:rsid w:val="444F3F1C"/>
    <w:rsid w:val="44EE2D42"/>
    <w:rsid w:val="45225FA0"/>
    <w:rsid w:val="457E3A30"/>
    <w:rsid w:val="45E862DB"/>
    <w:rsid w:val="46021BD4"/>
    <w:rsid w:val="463A59B6"/>
    <w:rsid w:val="46FC7C9E"/>
    <w:rsid w:val="485D651B"/>
    <w:rsid w:val="49365043"/>
    <w:rsid w:val="49F326D4"/>
    <w:rsid w:val="49F8312B"/>
    <w:rsid w:val="4ADA02F6"/>
    <w:rsid w:val="4AF553E1"/>
    <w:rsid w:val="4B076C12"/>
    <w:rsid w:val="4B997D76"/>
    <w:rsid w:val="4C9A504D"/>
    <w:rsid w:val="4D9F10F7"/>
    <w:rsid w:val="4E092CA1"/>
    <w:rsid w:val="4E316B16"/>
    <w:rsid w:val="4E3D0008"/>
    <w:rsid w:val="4EA57CFD"/>
    <w:rsid w:val="4EDC0A8F"/>
    <w:rsid w:val="4EF74818"/>
    <w:rsid w:val="50C1195B"/>
    <w:rsid w:val="51EC63CB"/>
    <w:rsid w:val="51ED59C8"/>
    <w:rsid w:val="52186AA9"/>
    <w:rsid w:val="52BA0BD3"/>
    <w:rsid w:val="5314499E"/>
    <w:rsid w:val="53636EFF"/>
    <w:rsid w:val="53670B95"/>
    <w:rsid w:val="53926528"/>
    <w:rsid w:val="53B4705A"/>
    <w:rsid w:val="544F6E75"/>
    <w:rsid w:val="56004669"/>
    <w:rsid w:val="56372AA1"/>
    <w:rsid w:val="56867584"/>
    <w:rsid w:val="56F31501"/>
    <w:rsid w:val="56FA3805"/>
    <w:rsid w:val="57B54C66"/>
    <w:rsid w:val="58F47B8B"/>
    <w:rsid w:val="591250FF"/>
    <w:rsid w:val="59E56DE9"/>
    <w:rsid w:val="5AC57C3B"/>
    <w:rsid w:val="5AEB0450"/>
    <w:rsid w:val="5B1433B1"/>
    <w:rsid w:val="5B554E80"/>
    <w:rsid w:val="5C645C72"/>
    <w:rsid w:val="5CDF4498"/>
    <w:rsid w:val="5D4B0673"/>
    <w:rsid w:val="5DE86914"/>
    <w:rsid w:val="5DF72548"/>
    <w:rsid w:val="5F75178D"/>
    <w:rsid w:val="5F9C368D"/>
    <w:rsid w:val="5FF670CD"/>
    <w:rsid w:val="60390E87"/>
    <w:rsid w:val="60A30654"/>
    <w:rsid w:val="610D0AEB"/>
    <w:rsid w:val="6168767B"/>
    <w:rsid w:val="61F757A3"/>
    <w:rsid w:val="62752D3F"/>
    <w:rsid w:val="62E567C3"/>
    <w:rsid w:val="62FD472A"/>
    <w:rsid w:val="63464323"/>
    <w:rsid w:val="65A84FA8"/>
    <w:rsid w:val="662B08ED"/>
    <w:rsid w:val="663B4A5C"/>
    <w:rsid w:val="66A15D14"/>
    <w:rsid w:val="67D95AFD"/>
    <w:rsid w:val="67E67104"/>
    <w:rsid w:val="68427ADF"/>
    <w:rsid w:val="68815074"/>
    <w:rsid w:val="68DB5189"/>
    <w:rsid w:val="68E76155"/>
    <w:rsid w:val="6AD006E7"/>
    <w:rsid w:val="6B932B59"/>
    <w:rsid w:val="6BCF5B05"/>
    <w:rsid w:val="6BFA6D45"/>
    <w:rsid w:val="6DD06DD9"/>
    <w:rsid w:val="6DE00765"/>
    <w:rsid w:val="6E1D29A1"/>
    <w:rsid w:val="6EDC1687"/>
    <w:rsid w:val="6F2B66B4"/>
    <w:rsid w:val="700509BF"/>
    <w:rsid w:val="70466848"/>
    <w:rsid w:val="70B92A47"/>
    <w:rsid w:val="71A05546"/>
    <w:rsid w:val="734440DC"/>
    <w:rsid w:val="74815CC4"/>
    <w:rsid w:val="75652815"/>
    <w:rsid w:val="75A72C10"/>
    <w:rsid w:val="75ED062E"/>
    <w:rsid w:val="76237C50"/>
    <w:rsid w:val="763304C1"/>
    <w:rsid w:val="76CC0B8C"/>
    <w:rsid w:val="77045144"/>
    <w:rsid w:val="77063AD6"/>
    <w:rsid w:val="77A62B58"/>
    <w:rsid w:val="77AC443F"/>
    <w:rsid w:val="77CE5715"/>
    <w:rsid w:val="78121262"/>
    <w:rsid w:val="78451F9E"/>
    <w:rsid w:val="7923097C"/>
    <w:rsid w:val="79297A7E"/>
    <w:rsid w:val="7989747E"/>
    <w:rsid w:val="798E0EB2"/>
    <w:rsid w:val="79FF2AEC"/>
    <w:rsid w:val="7A357AE8"/>
    <w:rsid w:val="7BC46C9D"/>
    <w:rsid w:val="7C1F52BA"/>
    <w:rsid w:val="7C32207F"/>
    <w:rsid w:val="7D3C798A"/>
    <w:rsid w:val="7DD470F5"/>
    <w:rsid w:val="7DD6409E"/>
    <w:rsid w:val="7E035EC0"/>
    <w:rsid w:val="7E68119A"/>
    <w:rsid w:val="7EAE7081"/>
    <w:rsid w:val="7F224935"/>
    <w:rsid w:val="7F4E0D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1"/>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lock Text"/>
    <w:basedOn w:val="1"/>
    <w:qFormat/>
    <w:uiPriority w:val="0"/>
    <w:pPr>
      <w:snapToGrid w:val="0"/>
      <w:spacing w:line="420" w:lineRule="exact"/>
      <w:ind w:left="101" w:leftChars="48" w:right="149" w:rightChars="71" w:firstLine="426" w:firstLineChars="203"/>
    </w:pPr>
    <w:rPr>
      <w:szCs w:val="24"/>
    </w:rPr>
  </w:style>
  <w:style w:type="paragraph" w:styleId="3">
    <w:name w:val="Body Text"/>
    <w:basedOn w:val="1"/>
    <w:next w:val="4"/>
    <w:qFormat/>
    <w:uiPriority w:val="0"/>
    <w:pPr>
      <w:widowControl/>
      <w:snapToGrid w:val="0"/>
      <w:spacing w:before="60" w:after="160" w:line="259" w:lineRule="auto"/>
      <w:ind w:right="113"/>
    </w:pPr>
    <w:rPr>
      <w:kern w:val="0"/>
      <w:sz w:val="18"/>
      <w:szCs w:val="20"/>
    </w:rPr>
  </w:style>
  <w:style w:type="paragraph" w:styleId="4">
    <w:name w:val="Body Text 2"/>
    <w:basedOn w:val="1"/>
    <w:qFormat/>
    <w:uiPriority w:val="0"/>
    <w:pPr>
      <w:spacing w:after="120" w:line="480" w:lineRule="auto"/>
    </w:pPr>
  </w:style>
  <w:style w:type="paragraph" w:styleId="5">
    <w:name w:val="Body Text Indent"/>
    <w:basedOn w:val="1"/>
    <w:next w:val="3"/>
    <w:qFormat/>
    <w:uiPriority w:val="0"/>
    <w:rPr>
      <w:kern w:val="0"/>
      <w:szCs w:val="20"/>
    </w:rPr>
  </w:style>
  <w:style w:type="paragraph" w:customStyle="1" w:styleId="8">
    <w:name w:val="标题 11"/>
    <w:basedOn w:val="1"/>
    <w:autoRedefine/>
    <w:qFormat/>
    <w:uiPriority w:val="0"/>
    <w:pPr>
      <w:keepNext/>
      <w:keepLines/>
      <w:spacing w:before="340" w:after="330" w:line="578" w:lineRule="auto"/>
      <w:outlineLvl w:val="0"/>
    </w:pPr>
    <w:rPr>
      <w:b/>
      <w:bCs/>
      <w:kern w:val="44"/>
      <w:sz w:val="44"/>
      <w:szCs w:val="44"/>
    </w:rPr>
  </w:style>
  <w:style w:type="paragraph" w:customStyle="1" w:styleId="9">
    <w:name w:val="标题 41"/>
    <w:basedOn w:val="1"/>
    <w:autoRedefine/>
    <w:qFormat/>
    <w:uiPriority w:val="0"/>
    <w:pPr>
      <w:numPr>
        <w:ilvl w:val="3"/>
        <w:numId w:val="1"/>
      </w:numPr>
      <w:tabs>
        <w:tab w:val="clear" w:pos="2836"/>
      </w:tabs>
      <w:spacing w:line="460" w:lineRule="exact"/>
      <w:ind w:left="2587"/>
      <w:jc w:val="left"/>
      <w:outlineLvl w:val="3"/>
    </w:pPr>
    <w:rPr>
      <w:bCs/>
      <w:szCs w:val="26"/>
    </w:rPr>
  </w:style>
  <w:style w:type="character" w:customStyle="1" w:styleId="10">
    <w:name w:val="默认段落字体1"/>
    <w:link w:val="1"/>
    <w:autoRedefine/>
    <w:semiHidden/>
    <w:qFormat/>
    <w:uiPriority w:val="0"/>
    <w:rPr>
      <w:kern w:val="0"/>
      <w:sz w:val="20"/>
      <w:szCs w:val="20"/>
    </w:rPr>
  </w:style>
  <w:style w:type="table" w:customStyle="1" w:styleId="11">
    <w:name w:val="普通表格1"/>
    <w:autoRedefine/>
    <w:qFormat/>
    <w:uiPriority w:val="0"/>
  </w:style>
  <w:style w:type="paragraph" w:customStyle="1" w:styleId="12">
    <w:name w:val="正文文本1"/>
    <w:basedOn w:val="1"/>
    <w:autoRedefine/>
    <w:qFormat/>
    <w:uiPriority w:val="0"/>
    <w:rPr>
      <w:sz w:val="30"/>
    </w:rPr>
  </w:style>
  <w:style w:type="paragraph" w:customStyle="1" w:styleId="13">
    <w:name w:val="正文文本缩进1"/>
    <w:basedOn w:val="1"/>
    <w:autoRedefine/>
    <w:qFormat/>
    <w:uiPriority w:val="0"/>
    <w:pPr>
      <w:spacing w:line="600" w:lineRule="exact"/>
      <w:ind w:firstLine="560" w:firstLineChars="200"/>
    </w:pPr>
    <w:rPr>
      <w:sz w:val="28"/>
    </w:rPr>
  </w:style>
  <w:style w:type="paragraph" w:customStyle="1" w:styleId="14">
    <w:name w:val="文本块1"/>
    <w:basedOn w:val="1"/>
    <w:autoRedefine/>
    <w:qFormat/>
    <w:uiPriority w:val="0"/>
    <w:pPr>
      <w:widowControl w:val="0"/>
      <w:autoSpaceDE w:val="0"/>
      <w:autoSpaceDN w:val="0"/>
      <w:spacing w:before="1" w:line="537" w:lineRule="exact"/>
      <w:ind w:left="88" w:right="6"/>
      <w:jc w:val="both"/>
    </w:pPr>
    <w:rPr>
      <w:rFonts w:ascii="Times New Roman" w:hAnsi="Times New Roman" w:eastAsia="宋体"/>
      <w:kern w:val="0"/>
      <w:sz w:val="21"/>
      <w:szCs w:val="24"/>
      <w:lang w:val="en-US" w:eastAsia="zh-CN" w:bidi="ar-SA"/>
    </w:rPr>
  </w:style>
  <w:style w:type="paragraph" w:customStyle="1" w:styleId="15">
    <w:name w:val="批注框文本1"/>
    <w:basedOn w:val="1"/>
    <w:link w:val="16"/>
    <w:autoRedefine/>
    <w:qFormat/>
    <w:uiPriority w:val="0"/>
    <w:rPr>
      <w:sz w:val="18"/>
      <w:szCs w:val="18"/>
    </w:rPr>
  </w:style>
  <w:style w:type="character" w:customStyle="1" w:styleId="16">
    <w:name w:val="批注框文本 Char"/>
    <w:link w:val="15"/>
    <w:autoRedefine/>
    <w:qFormat/>
    <w:uiPriority w:val="0"/>
    <w:rPr>
      <w:kern w:val="2"/>
      <w:sz w:val="18"/>
      <w:szCs w:val="18"/>
    </w:rPr>
  </w:style>
  <w:style w:type="paragraph" w:customStyle="1" w:styleId="17">
    <w:name w:val="页脚1"/>
    <w:basedOn w:val="1"/>
    <w:autoRedefine/>
    <w:qFormat/>
    <w:uiPriority w:val="0"/>
    <w:pPr>
      <w:tabs>
        <w:tab w:val="center" w:pos="4153"/>
        <w:tab w:val="right" w:pos="8306"/>
      </w:tabs>
      <w:snapToGrid w:val="0"/>
      <w:jc w:val="left"/>
    </w:pPr>
    <w:rPr>
      <w:sz w:val="18"/>
      <w:szCs w:val="18"/>
    </w:rPr>
  </w:style>
  <w:style w:type="paragraph" w:customStyle="1" w:styleId="18">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9">
    <w:name w:val="正文首行缩进 21"/>
    <w:basedOn w:val="13"/>
    <w:autoRedefine/>
    <w:qFormat/>
    <w:uiPriority w:val="0"/>
    <w:pPr>
      <w:ind w:firstLine="420" w:firstLineChars="200"/>
    </w:pPr>
    <w:rPr>
      <w:rFonts w:ascii="宋体"/>
      <w:sz w:val="21"/>
      <w:szCs w:val="24"/>
    </w:rPr>
  </w:style>
  <w:style w:type="table" w:customStyle="1" w:styleId="20">
    <w:name w:val="网格型1"/>
    <w:basedOn w:val="11"/>
    <w:autoRedefine/>
    <w:qFormat/>
    <w:uiPriority w:val="0"/>
    <w:pPr>
      <w:widowControl w:val="0"/>
      <w:jc w:val="both"/>
    </w:pPr>
  </w:style>
  <w:style w:type="character" w:customStyle="1" w:styleId="21">
    <w:name w:val="页码1"/>
    <w:link w:val="1"/>
    <w:autoRedefine/>
    <w:qFormat/>
    <w:uiPriority w:val="0"/>
  </w:style>
  <w:style w:type="paragraph" w:customStyle="1" w:styleId="22">
    <w:name w:val=" Char Char Char Char"/>
    <w:basedOn w:val="1"/>
    <w:autoRedefine/>
    <w:qFormat/>
    <w:uiPriority w:val="0"/>
    <w:pPr>
      <w:spacing w:line="365" w:lineRule="atLeast"/>
      <w:ind w:left="1"/>
    </w:pPr>
    <w:rPr>
      <w:kern w:val="0"/>
      <w:sz w:val="20"/>
      <w:szCs w:val="20"/>
    </w:rPr>
  </w:style>
  <w:style w:type="paragraph" w:customStyle="1" w:styleId="23">
    <w:name w:val="p0"/>
    <w:basedOn w:val="1"/>
    <w:autoRedefine/>
    <w:qFormat/>
    <w:uiPriority w:val="0"/>
    <w:pPr>
      <w:widowControl/>
    </w:pPr>
    <w:rPr>
      <w:rFonts w:ascii="仿宋_GB2312" w:hAnsi="宋体" w:eastAsia="仿宋_GB2312"/>
      <w:kern w:val="0"/>
      <w:sz w:val="32"/>
      <w:szCs w:val="32"/>
    </w:rPr>
  </w:style>
  <w:style w:type="paragraph" w:customStyle="1" w:styleId="24">
    <w:name w:val="正文(首行缩进)"/>
    <w:basedOn w:val="1"/>
    <w:autoRedefine/>
    <w:qFormat/>
    <w:uiPriority w:val="0"/>
    <w:pPr>
      <w:snapToGrid w:val="0"/>
      <w:spacing w:line="360" w:lineRule="auto"/>
      <w:ind w:firstLine="200" w:firstLineChars="200"/>
    </w:pPr>
    <w:rPr>
      <w:rFonts w:eastAsia="宋体"/>
      <w:kern w:val="0"/>
      <w:sz w:val="24"/>
    </w:rPr>
  </w:style>
  <w:style w:type="paragraph" w:customStyle="1" w:styleId="25">
    <w:name w:val="表格内容"/>
    <w:basedOn w:val="1"/>
    <w:autoRedefine/>
    <w:qFormat/>
    <w:uiPriority w:val="0"/>
    <w:pPr>
      <w:spacing w:line="240" w:lineRule="auto"/>
      <w:jc w:val="center"/>
    </w:pPr>
    <w:rPr>
      <w:rFonts w:ascii="Times New Roman" w:hAnsi="Times New Roman" w:eastAsia="宋体"/>
      <w:kern w:val="0"/>
      <w:szCs w:val="20"/>
    </w:rPr>
  </w:style>
  <w:style w:type="paragraph" w:customStyle="1" w:styleId="26">
    <w:name w:val="环评正文"/>
    <w:basedOn w:val="1"/>
    <w:autoRedefine/>
    <w:qFormat/>
    <w:uiPriority w:val="0"/>
    <w:pPr>
      <w:tabs>
        <w:tab w:val="left" w:pos="4540"/>
      </w:tabs>
      <w:snapToGrid w:val="0"/>
      <w:spacing w:line="360" w:lineRule="auto"/>
      <w:ind w:firstLine="200" w:firstLineChars="200"/>
    </w:pPr>
    <w:rPr>
      <w:rFonts w:ascii="Times New Roman" w:hAnsi="Times New Roman" w:eastAsia="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1733</Words>
  <Characters>1894</Characters>
  <Lines>0</Lines>
  <Paragraphs>0</Paragraphs>
  <TotalTime>80</TotalTime>
  <ScaleCrop>false</ScaleCrop>
  <LinksUpToDate>false</LinksUpToDate>
  <CharactersWithSpaces>1897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2024-01-08T00:17:00Z</dcterms:created>
  <dc:creator>Administrator</dc:creator>
  <cp:lastModifiedBy>Administrator</cp:lastModifiedBy>
  <cp:lastPrinted>2025-12-24T01:11:56Z</cp:lastPrinted>
  <dcterms:modified xsi:type="dcterms:W3CDTF">2025-12-24T02:28:53Z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6DC99BCA576F4F41829CCC3CD0061F16_12</vt:lpwstr>
  </property>
  <property fmtid="{D5CDD505-2E9C-101B-9397-08002B2CF9AE}" pid="4" name="KSOTemplateDocerSaveRecord">
    <vt:lpwstr>eyJoZGlkIjoiNGMzMDk0OTg4ZmMzMmNmMzQ5Zjk0ZWQ3NGM4ZTkyNjAifQ==</vt:lpwstr>
  </property>
</Properties>
</file>