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bookmarkStart w:id="0" w:name="_bookmark0"/>
      <w:bookmarkEnd w:id="0"/>
      <w:r>
        <w:rPr>
          <w:rFonts w:hint="default" w:ascii="Times New Roman" w:hAnsi="Times New Roman" w:eastAsia="黑体" w:cs="Times New Roman"/>
          <w:color w:val="000000"/>
          <w:szCs w:val="32"/>
        </w:rPr>
        <w:t>附件1</w:t>
      </w: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left="0" w:leftChars="0" w:firstLine="0" w:firstLineChars="0"/>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焦作市生态环境行政处罚裁量基准</w:t>
      </w:r>
    </w:p>
    <w:p>
      <w:pPr>
        <w:widowControl w:val="0"/>
        <w:wordWrap/>
        <w:overflowPunct w:val="0"/>
        <w:adjustRightInd w:val="0"/>
        <w:snapToGrid w:val="0"/>
        <w:spacing w:line="574" w:lineRule="exact"/>
        <w:ind w:left="0" w:leftChars="0" w:firstLine="0" w:firstLineChars="0"/>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color w:val="000000"/>
          <w:sz w:val="44"/>
          <w:szCs w:val="44"/>
        </w:rPr>
        <w:t>适用规则（修订）</w:t>
      </w:r>
    </w:p>
    <w:p>
      <w:pPr>
        <w:widowControl w:val="0"/>
        <w:wordWrap/>
        <w:overflowPunct w:val="0"/>
        <w:adjustRightInd w:val="0"/>
        <w:snapToGrid w:val="0"/>
        <w:spacing w:line="540" w:lineRule="exact"/>
        <w:ind w:left="0" w:leftChars="0" w:right="0" w:firstLine="640"/>
        <w:jc w:val="left"/>
        <w:textAlignment w:val="auto"/>
        <w:outlineLvl w:val="9"/>
        <w:rPr>
          <w:rFonts w:hint="default" w:ascii="Times New Roman" w:hAnsi="Times New Roman" w:eastAsia="黑体" w:cs="Times New Roman"/>
          <w:b w:val="0"/>
          <w:bCs/>
          <w:i w:val="0"/>
          <w:szCs w:val="32"/>
        </w:rPr>
      </w:pPr>
    </w:p>
    <w:p>
      <w:pPr>
        <w:widowControl w:val="0"/>
        <w:wordWrap/>
        <w:overflowPunct w:val="0"/>
        <w:adjustRightInd w:val="0"/>
        <w:snapToGrid w:val="0"/>
        <w:spacing w:line="540" w:lineRule="exact"/>
        <w:ind w:left="0" w:leftChars="0" w:right="0" w:firstLine="640"/>
        <w:jc w:val="left"/>
        <w:textAlignment w:val="auto"/>
        <w:outlineLvl w:val="9"/>
        <w:rPr>
          <w:rFonts w:hint="default" w:ascii="Times New Roman" w:hAnsi="Times New Roman" w:eastAsia="方正仿宋_GBK" w:cs="Times New Roman"/>
          <w:szCs w:val="32"/>
        </w:rPr>
      </w:pPr>
      <w:r>
        <w:rPr>
          <w:rFonts w:hint="eastAsia" w:ascii="黑体" w:hAnsi="黑体" w:eastAsia="黑体" w:cs="黑体"/>
          <w:b w:val="0"/>
          <w:bCs w:val="0"/>
          <w:color w:val="auto"/>
          <w:sz w:val="32"/>
          <w:szCs w:val="32"/>
          <w:highlight w:val="none"/>
          <w:shd w:val="clear" w:color="auto" w:fill="auto"/>
        </w:rPr>
        <w:t>第一条</w:t>
      </w:r>
      <w:r>
        <w:rPr>
          <w:rFonts w:hint="default" w:ascii="Times New Roman" w:hAnsi="Times New Roman" w:eastAsia="华文仿宋" w:cs="Times New Roman"/>
          <w:b/>
          <w:bCs/>
          <w:color w:val="auto"/>
          <w:sz w:val="32"/>
          <w:szCs w:val="32"/>
          <w:highlight w:val="none"/>
          <w:shd w:val="clear" w:color="auto" w:fill="auto"/>
        </w:rPr>
        <w:t xml:space="preserve"> </w:t>
      </w:r>
      <w:r>
        <w:rPr>
          <w:rFonts w:hint="default" w:ascii="Times New Roman" w:hAnsi="Times New Roman" w:eastAsia="方正仿宋_GBK" w:cs="Times New Roman"/>
          <w:szCs w:val="32"/>
        </w:rPr>
        <w:t xml:space="preserve"> </w:t>
      </w:r>
      <w:r>
        <w:rPr>
          <w:rFonts w:hint="eastAsia" w:ascii="仿宋_GB2312" w:hAnsi="仿宋_GB2312" w:eastAsia="仿宋_GB2312" w:cs="仿宋_GB2312"/>
          <w:szCs w:val="32"/>
        </w:rPr>
        <w:t>为了规范全市生态环境部门关于《焦作市大气污染防治条例》《焦作市北山生态环境保护条例》《焦作市大沙河保护条例》行政处罚，公平、公正、合理行使裁量基准，保护公民、法人或者其他组织的合法权益，根据《中华人民共和国环境保护法》《中华人民共和国行政处罚法》《河南省人民政府关于规范行政处罚裁量权的若干意见》（豫政〔2008〕57号）、生态环境部《关于进一步规范适用环境行政处罚自由裁量权的指导意见》（环执法〔2019〕42号）《河南省生态环境行政处罚裁量基准适用规则（修订）》《河南省生态环境行政处罚裁量基准》（豫环办〔2022〕72号）的有关规定，制定本规则。</w:t>
      </w:r>
    </w:p>
    <w:p>
      <w:pPr>
        <w:widowControl w:val="0"/>
        <w:wordWrap/>
        <w:overflowPunct w:val="0"/>
        <w:adjustRightInd w:val="0"/>
        <w:snapToGrid w:val="0"/>
        <w:spacing w:line="574" w:lineRule="exact"/>
        <w:ind w:left="0" w:leftChars="0" w:firstLine="0" w:firstLineChars="0"/>
        <w:jc w:val="both"/>
        <w:textAlignment w:val="auto"/>
        <w:rPr>
          <w:rFonts w:hint="eastAsia" w:ascii="仿宋_GB2312" w:hAnsi="仿宋_GB2312" w:eastAsia="仿宋_GB2312" w:cs="仿宋_GB2312"/>
          <w:color w:val="auto"/>
          <w:sz w:val="32"/>
          <w:szCs w:val="32"/>
          <w:highlight w:val="none"/>
          <w:shd w:val="clear" w:color="auto" w:fill="auto"/>
          <w:lang w:eastAsia="zh-CN"/>
        </w:rPr>
      </w:pPr>
      <w:r>
        <w:rPr>
          <w:rFonts w:hint="default" w:ascii="Times New Roman" w:hAnsi="Times New Roman" w:eastAsia="华文仿宋" w:cs="Times New Roman"/>
          <w:b/>
          <w:bCs/>
          <w:color w:val="auto"/>
          <w:sz w:val="32"/>
          <w:szCs w:val="32"/>
          <w:highlight w:val="none"/>
          <w:shd w:val="clear" w:color="auto" w:fill="auto"/>
          <w:lang w:val="en-US" w:eastAsia="zh-CN"/>
        </w:rPr>
        <w:t xml:space="preserve">   </w:t>
      </w:r>
      <w:r>
        <w:rPr>
          <w:rFonts w:hint="eastAsia" w:ascii="黑体" w:hAnsi="黑体" w:eastAsia="黑体" w:cs="黑体"/>
          <w:b/>
          <w:bCs/>
          <w:color w:val="auto"/>
          <w:sz w:val="32"/>
          <w:szCs w:val="32"/>
          <w:highlight w:val="none"/>
          <w:shd w:val="clear" w:color="auto" w:fill="auto"/>
          <w:lang w:val="en-US" w:eastAsia="zh-CN"/>
        </w:rPr>
        <w:t xml:space="preserve"> </w:t>
      </w:r>
      <w:r>
        <w:rPr>
          <w:rFonts w:hint="eastAsia" w:ascii="黑体" w:hAnsi="黑体" w:eastAsia="黑体" w:cs="黑体"/>
          <w:b/>
          <w:bCs/>
          <w:color w:val="auto"/>
          <w:sz w:val="32"/>
          <w:szCs w:val="32"/>
          <w:highlight w:val="none"/>
          <w:shd w:val="clear" w:color="auto" w:fill="auto"/>
        </w:rPr>
        <w:t>第二条</w:t>
      </w:r>
      <w:r>
        <w:rPr>
          <w:rFonts w:hint="default" w:ascii="Times New Roman" w:hAnsi="Times New Roman" w:eastAsia="华文仿宋" w:cs="Times New Roman"/>
          <w:color w:val="auto"/>
          <w:sz w:val="32"/>
          <w:szCs w:val="32"/>
          <w:highlight w:val="none"/>
          <w:shd w:val="clear" w:color="auto" w:fill="auto"/>
        </w:rPr>
        <w:t xml:space="preserve">  </w:t>
      </w:r>
      <w:r>
        <w:rPr>
          <w:rFonts w:hint="eastAsia" w:ascii="仿宋_GB2312" w:hAnsi="仿宋_GB2312" w:eastAsia="仿宋_GB2312" w:cs="仿宋_GB2312"/>
          <w:color w:val="auto"/>
          <w:sz w:val="32"/>
          <w:szCs w:val="32"/>
          <w:highlight w:val="none"/>
          <w:shd w:val="clear" w:color="auto" w:fill="auto"/>
          <w:lang w:eastAsia="zh-CN"/>
        </w:rPr>
        <w:t>市生态环境部门实施行政处罚使用《焦作市生态环境行政处罚裁量基准》（以下简称“裁量基准”）时，应当参照本规则，合法、合理作出具体的行政处罚决定。</w:t>
      </w:r>
    </w:p>
    <w:p>
      <w:pPr>
        <w:shd w:val="clear" w:color="auto" w:fill="auto"/>
        <w:spacing w:line="590" w:lineRule="exact"/>
        <w:ind w:firstLine="642" w:firstLineChars="200"/>
        <w:rPr>
          <w:rFonts w:hint="default" w:ascii="Times New Roman" w:hAnsi="Times New Roman" w:eastAsia="华文仿宋" w:cs="Times New Roman"/>
          <w:color w:val="auto"/>
          <w:sz w:val="32"/>
          <w:szCs w:val="32"/>
          <w:highlight w:val="none"/>
          <w:shd w:val="clear" w:color="auto" w:fill="auto"/>
        </w:rPr>
      </w:pPr>
      <w:r>
        <w:rPr>
          <w:rFonts w:hint="default" w:ascii="黑体" w:hAnsi="黑体" w:eastAsia="黑体" w:cs="黑体"/>
          <w:b/>
          <w:bCs/>
          <w:color w:val="auto"/>
          <w:sz w:val="32"/>
          <w:szCs w:val="32"/>
          <w:highlight w:val="none"/>
          <w:shd w:val="clear" w:color="auto" w:fill="auto"/>
          <w:lang w:val="en-US" w:eastAsia="zh-CN"/>
        </w:rPr>
        <w:t>第三条</w:t>
      </w:r>
      <w:r>
        <w:rPr>
          <w:rFonts w:hint="default" w:ascii="Times New Roman" w:hAnsi="Times New Roman" w:eastAsia="华文仿宋" w:cs="Times New Roman"/>
          <w:b/>
          <w:bCs/>
          <w:color w:val="auto"/>
          <w:sz w:val="32"/>
          <w:szCs w:val="32"/>
          <w:highlight w:val="none"/>
          <w:shd w:val="clear" w:color="auto" w:fill="auto"/>
        </w:rPr>
        <w:t xml:space="preserve"> </w:t>
      </w:r>
      <w:r>
        <w:rPr>
          <w:rFonts w:hint="default" w:ascii="Times New Roman" w:hAnsi="Times New Roman" w:eastAsia="华文仿宋" w:cs="Times New Roman"/>
          <w:color w:val="auto"/>
          <w:sz w:val="32"/>
          <w:szCs w:val="32"/>
          <w:highlight w:val="none"/>
          <w:shd w:val="clear" w:color="auto" w:fill="auto"/>
        </w:rPr>
        <w:t xml:space="preserve"> </w:t>
      </w:r>
      <w:r>
        <w:rPr>
          <w:rFonts w:hint="default" w:ascii="仿宋_GB2312" w:hAnsi="仿宋_GB2312" w:eastAsia="仿宋_GB2312" w:cs="仿宋_GB2312"/>
          <w:color w:val="auto"/>
          <w:sz w:val="32"/>
          <w:szCs w:val="32"/>
          <w:highlight w:val="none"/>
          <w:shd w:val="clear" w:color="auto" w:fill="auto"/>
          <w:lang w:eastAsia="zh-CN"/>
        </w:rPr>
        <w:t xml:space="preserve">本规则中环境行政处罚裁量权，是指生态环境部门在查处环境违法行为时，依据法律、法规和规章的规定，酌情决定对违法行为人是否处罚、处罚种类和处罚幅度的权限。 </w:t>
      </w:r>
    </w:p>
    <w:p>
      <w:pPr>
        <w:shd w:val="clear" w:color="auto" w:fill="auto"/>
        <w:spacing w:line="590" w:lineRule="exact"/>
        <w:ind w:firstLine="642" w:firstLineChars="200"/>
        <w:rPr>
          <w:rFonts w:hint="default" w:ascii="Times New Roman" w:hAnsi="Times New Roman" w:eastAsia="华文仿宋" w:cs="Times New Roman"/>
          <w:color w:val="auto"/>
          <w:sz w:val="32"/>
          <w:szCs w:val="32"/>
          <w:highlight w:val="none"/>
          <w:shd w:val="clear" w:color="auto" w:fill="auto"/>
        </w:rPr>
      </w:pPr>
      <w:r>
        <w:rPr>
          <w:rFonts w:hint="default" w:ascii="黑体" w:hAnsi="黑体" w:eastAsia="黑体" w:cs="黑体"/>
          <w:b/>
          <w:bCs/>
          <w:color w:val="auto"/>
          <w:sz w:val="32"/>
          <w:szCs w:val="32"/>
          <w:highlight w:val="none"/>
          <w:shd w:val="clear" w:color="auto" w:fill="auto"/>
          <w:lang w:val="en-US" w:eastAsia="zh-CN"/>
        </w:rPr>
        <w:t>第四条</w:t>
      </w:r>
      <w:r>
        <w:rPr>
          <w:rFonts w:hint="default" w:ascii="Times New Roman" w:hAnsi="Times New Roman" w:eastAsia="华文仿宋" w:cs="Times New Roman"/>
          <w:color w:val="auto"/>
          <w:sz w:val="32"/>
          <w:szCs w:val="32"/>
          <w:highlight w:val="none"/>
          <w:shd w:val="clear" w:color="auto" w:fill="auto"/>
        </w:rPr>
        <w:t xml:space="preserve"> </w:t>
      </w:r>
      <w:r>
        <w:rPr>
          <w:rFonts w:hint="default" w:ascii="Times New Roman" w:hAnsi="Times New Roman" w:eastAsia="华文仿宋" w:cs="Times New Roman"/>
          <w:color w:val="auto"/>
          <w:sz w:val="32"/>
          <w:szCs w:val="32"/>
          <w:highlight w:val="none"/>
          <w:shd w:val="clear" w:color="auto" w:fill="auto"/>
          <w:lang w:val="en-US" w:eastAsia="zh-CN"/>
        </w:rPr>
        <w:t xml:space="preserve"> </w:t>
      </w:r>
      <w:r>
        <w:rPr>
          <w:rFonts w:hint="default" w:ascii="仿宋_GB2312" w:hAnsi="仿宋_GB2312" w:eastAsia="仿宋_GB2312" w:cs="仿宋_GB2312"/>
          <w:color w:val="auto"/>
          <w:sz w:val="32"/>
          <w:szCs w:val="32"/>
          <w:highlight w:val="none"/>
          <w:shd w:val="clear" w:color="auto" w:fill="auto"/>
          <w:lang w:eastAsia="zh-CN"/>
        </w:rPr>
        <w:t>市生态环境部门行使环境行政处罚裁量权，应遵循处罚法定、公平公正公开、处罚与教育、服务与管理相结合等原则，处罚决定给予的处罚种类、幅度应与当事人违法过错、违法行为的性质、情节以及社会危害后果相适应。</w:t>
      </w:r>
    </w:p>
    <w:p>
      <w:pPr>
        <w:shd w:val="clear" w:color="auto" w:fill="auto"/>
        <w:spacing w:line="590" w:lineRule="exact"/>
        <w:ind w:firstLine="642" w:firstLineChars="200"/>
        <w:rPr>
          <w:rFonts w:hint="eastAsia" w:ascii="仿宋_GB2312" w:hAnsi="仿宋_GB2312" w:eastAsia="仿宋_GB2312" w:cs="仿宋_GB2312"/>
          <w:color w:val="auto"/>
          <w:sz w:val="32"/>
          <w:szCs w:val="32"/>
          <w:highlight w:val="none"/>
          <w:shd w:val="clear" w:color="auto" w:fill="auto"/>
        </w:rPr>
      </w:pPr>
      <w:r>
        <w:rPr>
          <w:rFonts w:hint="default" w:ascii="黑体" w:hAnsi="黑体" w:eastAsia="黑体" w:cs="黑体"/>
          <w:b/>
          <w:bCs/>
          <w:color w:val="auto"/>
          <w:sz w:val="32"/>
          <w:szCs w:val="32"/>
          <w:highlight w:val="none"/>
          <w:shd w:val="clear" w:color="auto" w:fill="auto"/>
          <w:lang w:val="en-US" w:eastAsia="zh-CN"/>
        </w:rPr>
        <w:t>第五条</w:t>
      </w:r>
      <w:r>
        <w:rPr>
          <w:rFonts w:hint="default" w:ascii="Times New Roman" w:hAnsi="Times New Roman" w:eastAsia="华文仿宋" w:cs="Times New Roman"/>
          <w:color w:val="auto"/>
          <w:sz w:val="32"/>
          <w:szCs w:val="32"/>
          <w:highlight w:val="non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裁量基准的设定采用违法情节因素法，根据违法的主观方面、违法</w:t>
      </w:r>
      <w:r>
        <w:rPr>
          <w:rFonts w:hint="eastAsia" w:ascii="仿宋_GB2312" w:hAnsi="仿宋_GB2312" w:eastAsia="仿宋_GB2312" w:cs="仿宋_GB2312"/>
          <w:color w:val="auto"/>
          <w:sz w:val="32"/>
          <w:szCs w:val="32"/>
          <w:highlight w:val="none"/>
          <w:shd w:val="clear" w:color="auto" w:fill="auto"/>
          <w:lang w:eastAsia="zh-CN"/>
        </w:rPr>
        <w:t>行为的</w:t>
      </w:r>
      <w:r>
        <w:rPr>
          <w:rFonts w:hint="eastAsia" w:ascii="仿宋_GB2312" w:hAnsi="仿宋_GB2312" w:eastAsia="仿宋_GB2312" w:cs="仿宋_GB2312"/>
          <w:color w:val="auto"/>
          <w:sz w:val="32"/>
          <w:szCs w:val="32"/>
          <w:highlight w:val="none"/>
          <w:shd w:val="clear" w:color="auto" w:fill="auto"/>
        </w:rPr>
        <w:t>事实、</w:t>
      </w:r>
      <w:r>
        <w:rPr>
          <w:rFonts w:hint="eastAsia" w:ascii="仿宋_GB2312" w:hAnsi="仿宋_GB2312" w:eastAsia="仿宋_GB2312" w:cs="仿宋_GB2312"/>
          <w:color w:val="auto"/>
          <w:sz w:val="32"/>
          <w:szCs w:val="32"/>
          <w:highlight w:val="none"/>
          <w:shd w:val="clear" w:color="auto" w:fill="auto"/>
          <w:lang w:eastAsia="zh-CN"/>
        </w:rPr>
        <w:t>性质、情节以及</w:t>
      </w:r>
      <w:r>
        <w:rPr>
          <w:rFonts w:hint="eastAsia" w:ascii="仿宋_GB2312" w:hAnsi="仿宋_GB2312" w:eastAsia="仿宋_GB2312" w:cs="仿宋_GB2312"/>
          <w:color w:val="auto"/>
          <w:sz w:val="32"/>
          <w:szCs w:val="32"/>
          <w:highlight w:val="none"/>
          <w:shd w:val="clear" w:color="auto" w:fill="auto"/>
        </w:rPr>
        <w:t>危害后果等因素在违法行为中所占权重确立裁量基准。</w:t>
      </w:r>
    </w:p>
    <w:p>
      <w:pPr>
        <w:shd w:val="clear" w:color="auto" w:fill="auto"/>
        <w:spacing w:line="590" w:lineRule="exact"/>
        <w:ind w:firstLine="640" w:firstLineChars="200"/>
        <w:rPr>
          <w:rFonts w:hint="default" w:ascii="仿宋_GB2312" w:hAnsi="仿宋_GB2312" w:eastAsia="仿宋_GB2312" w:cs="仿宋_GB2312"/>
          <w:color w:val="auto"/>
          <w:sz w:val="32"/>
          <w:szCs w:val="32"/>
          <w:highlight w:val="none"/>
          <w:shd w:val="clear" w:color="auto" w:fill="auto"/>
          <w:lang w:eastAsia="zh-CN"/>
        </w:rPr>
      </w:pPr>
      <w:r>
        <w:rPr>
          <w:rFonts w:hint="default" w:ascii="仿宋_GB2312" w:hAnsi="仿宋_GB2312" w:eastAsia="仿宋_GB2312" w:cs="仿宋_GB2312"/>
          <w:color w:val="auto"/>
          <w:sz w:val="32"/>
          <w:szCs w:val="32"/>
          <w:highlight w:val="none"/>
          <w:shd w:val="clear" w:color="auto" w:fill="auto"/>
        </w:rPr>
        <w:t>裁量基准设立包含以下因素：违法行为造成的环境污染、生态破坏以及社会影响</w:t>
      </w:r>
      <w:r>
        <w:rPr>
          <w:rFonts w:hint="default" w:ascii="仿宋_GB2312" w:hAnsi="仿宋_GB2312" w:eastAsia="仿宋_GB2312" w:cs="仿宋_GB2312"/>
          <w:color w:val="auto"/>
          <w:sz w:val="32"/>
          <w:szCs w:val="32"/>
          <w:highlight w:val="none"/>
          <w:shd w:val="clear" w:color="auto" w:fill="auto"/>
          <w:lang w:eastAsia="zh-CN"/>
        </w:rPr>
        <w:t>，</w:t>
      </w:r>
      <w:r>
        <w:rPr>
          <w:rFonts w:hint="default" w:ascii="仿宋_GB2312" w:hAnsi="仿宋_GB2312" w:eastAsia="仿宋_GB2312" w:cs="仿宋_GB2312"/>
          <w:color w:val="auto"/>
          <w:sz w:val="32"/>
          <w:szCs w:val="32"/>
          <w:highlight w:val="none"/>
          <w:shd w:val="clear" w:color="auto" w:fill="auto"/>
        </w:rPr>
        <w:t>违法行为当事人的主观过错程度</w:t>
      </w:r>
      <w:r>
        <w:rPr>
          <w:rFonts w:hint="default" w:ascii="仿宋_GB2312" w:hAnsi="仿宋_GB2312" w:eastAsia="仿宋_GB2312" w:cs="仿宋_GB2312"/>
          <w:color w:val="auto"/>
          <w:sz w:val="32"/>
          <w:szCs w:val="32"/>
          <w:highlight w:val="none"/>
          <w:shd w:val="clear" w:color="auto" w:fill="auto"/>
          <w:lang w:eastAsia="zh-CN"/>
        </w:rPr>
        <w:t>，</w:t>
      </w:r>
      <w:r>
        <w:rPr>
          <w:rFonts w:hint="default" w:ascii="仿宋_GB2312" w:hAnsi="仿宋_GB2312" w:eastAsia="仿宋_GB2312" w:cs="仿宋_GB2312"/>
          <w:color w:val="auto"/>
          <w:sz w:val="32"/>
          <w:szCs w:val="32"/>
          <w:highlight w:val="none"/>
          <w:shd w:val="clear" w:color="auto" w:fill="auto"/>
        </w:rPr>
        <w:t>违法行为的具体表现形式</w:t>
      </w:r>
      <w:r>
        <w:rPr>
          <w:rFonts w:hint="default" w:ascii="仿宋_GB2312" w:hAnsi="仿宋_GB2312" w:eastAsia="仿宋_GB2312" w:cs="仿宋_GB2312"/>
          <w:color w:val="auto"/>
          <w:sz w:val="32"/>
          <w:szCs w:val="32"/>
          <w:highlight w:val="none"/>
          <w:shd w:val="clear" w:color="auto" w:fill="auto"/>
          <w:lang w:eastAsia="zh-CN"/>
        </w:rPr>
        <w:t>，</w:t>
      </w:r>
      <w:r>
        <w:rPr>
          <w:rFonts w:hint="default" w:ascii="仿宋_GB2312" w:hAnsi="仿宋_GB2312" w:eastAsia="仿宋_GB2312" w:cs="仿宋_GB2312"/>
          <w:color w:val="auto"/>
          <w:sz w:val="32"/>
          <w:szCs w:val="32"/>
          <w:highlight w:val="none"/>
          <w:shd w:val="clear" w:color="auto" w:fill="auto"/>
        </w:rPr>
        <w:t>违法行为危害的具体对象</w:t>
      </w:r>
      <w:r>
        <w:rPr>
          <w:rFonts w:hint="default" w:ascii="仿宋_GB2312" w:hAnsi="仿宋_GB2312" w:eastAsia="仿宋_GB2312" w:cs="仿宋_GB2312"/>
          <w:color w:val="auto"/>
          <w:sz w:val="32"/>
          <w:szCs w:val="32"/>
          <w:highlight w:val="none"/>
          <w:shd w:val="clear" w:color="auto" w:fill="auto"/>
          <w:lang w:eastAsia="zh-CN"/>
        </w:rPr>
        <w:t>，违法行为是初次违法还是多次违法，纠正违法行为的具体整改措施及实际效果。</w:t>
      </w:r>
    </w:p>
    <w:p>
      <w:pPr>
        <w:shd w:val="clear" w:color="auto" w:fill="auto"/>
        <w:spacing w:line="590" w:lineRule="exact"/>
        <w:ind w:firstLine="640" w:firstLineChars="200"/>
        <w:rPr>
          <w:rFonts w:hint="default" w:ascii="仿宋_GB2312" w:hAnsi="仿宋_GB2312" w:eastAsia="仿宋_GB2312" w:cs="仿宋_GB2312"/>
          <w:color w:val="auto"/>
          <w:sz w:val="32"/>
          <w:szCs w:val="32"/>
          <w:highlight w:val="none"/>
          <w:shd w:val="clear" w:color="auto" w:fill="auto"/>
        </w:rPr>
      </w:pPr>
      <w:r>
        <w:rPr>
          <w:rFonts w:hint="default" w:ascii="仿宋_GB2312" w:hAnsi="仿宋_GB2312" w:eastAsia="仿宋_GB2312" w:cs="仿宋_GB2312"/>
          <w:color w:val="auto"/>
          <w:sz w:val="32"/>
          <w:szCs w:val="32"/>
          <w:highlight w:val="none"/>
          <w:shd w:val="clear" w:color="auto" w:fill="auto"/>
        </w:rPr>
        <w:t>同类违法行为的情节相同或者相似、社会危害</w:t>
      </w:r>
      <w:r>
        <w:rPr>
          <w:rFonts w:hint="default" w:ascii="仿宋_GB2312" w:hAnsi="仿宋_GB2312" w:eastAsia="仿宋_GB2312" w:cs="仿宋_GB2312"/>
          <w:color w:val="auto"/>
          <w:sz w:val="32"/>
          <w:szCs w:val="32"/>
          <w:highlight w:val="none"/>
          <w:shd w:val="clear" w:color="auto" w:fill="auto"/>
          <w:lang w:eastAsia="zh-CN"/>
        </w:rPr>
        <w:t>后果</w:t>
      </w:r>
      <w:r>
        <w:rPr>
          <w:rFonts w:hint="default" w:ascii="仿宋_GB2312" w:hAnsi="仿宋_GB2312" w:eastAsia="仿宋_GB2312" w:cs="仿宋_GB2312"/>
          <w:color w:val="auto"/>
          <w:sz w:val="32"/>
          <w:szCs w:val="32"/>
          <w:highlight w:val="none"/>
          <w:shd w:val="clear" w:color="auto" w:fill="auto"/>
        </w:rPr>
        <w:t>相当的，行政处罚种类和幅度应当相当。</w:t>
      </w:r>
    </w:p>
    <w:p>
      <w:pPr>
        <w:shd w:val="clear" w:color="auto" w:fill="auto"/>
        <w:spacing w:line="590" w:lineRule="exact"/>
        <w:ind w:firstLine="642" w:firstLineChars="200"/>
        <w:rPr>
          <w:rFonts w:hint="eastAsia" w:ascii="仿宋_GB2312" w:hAnsi="仿宋_GB2312" w:eastAsia="仿宋_GB2312" w:cs="仿宋_GB2312"/>
          <w:szCs w:val="32"/>
        </w:rPr>
      </w:pPr>
      <w:r>
        <w:rPr>
          <w:rFonts w:hint="eastAsia" w:ascii="黑体" w:hAnsi="黑体" w:eastAsia="黑体" w:cs="黑体"/>
          <w:b/>
          <w:bCs/>
          <w:color w:val="auto"/>
          <w:sz w:val="32"/>
          <w:szCs w:val="32"/>
          <w:highlight w:val="none"/>
          <w:shd w:val="clear" w:color="auto" w:fill="auto"/>
        </w:rPr>
        <w:t>第六条</w:t>
      </w:r>
      <w:r>
        <w:rPr>
          <w:rFonts w:hint="default" w:ascii="Times New Roman" w:hAnsi="Times New Roman" w:eastAsia="华文仿宋" w:cs="Times New Roman"/>
          <w:color w:val="auto"/>
          <w:sz w:val="32"/>
          <w:szCs w:val="32"/>
          <w:highlight w:val="non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实施生态环境行政处罚时，应当根据具体违法行为</w:t>
      </w:r>
      <w:r>
        <w:rPr>
          <w:rFonts w:hint="eastAsia" w:ascii="仿宋_GB2312" w:hAnsi="仿宋_GB2312" w:eastAsia="仿宋_GB2312" w:cs="仿宋_GB2312"/>
          <w:color w:val="auto"/>
          <w:sz w:val="32"/>
          <w:szCs w:val="32"/>
          <w:shd w:val="clear" w:color="auto" w:fill="auto"/>
        </w:rPr>
        <w:t>确定首要裁量因素。首要裁量因素和其余裁量因素在裁量基准中的权重各按照50%确立。</w:t>
      </w:r>
    </w:p>
    <w:p>
      <w:pPr>
        <w:shd w:val="clear" w:color="auto" w:fill="auto"/>
        <w:spacing w:line="590" w:lineRule="exact"/>
        <w:ind w:firstLine="642" w:firstLineChars="200"/>
        <w:rPr>
          <w:rFonts w:hint="default" w:ascii="Times New Roman" w:hAnsi="Times New Roman" w:eastAsia="华文仿宋" w:cs="Times New Roman"/>
          <w:color w:val="auto"/>
          <w:sz w:val="32"/>
          <w:szCs w:val="32"/>
          <w:shd w:val="clear" w:color="auto" w:fill="auto"/>
        </w:rPr>
      </w:pPr>
      <w:r>
        <w:rPr>
          <w:rFonts w:hint="default" w:ascii="黑体" w:hAnsi="黑体" w:eastAsia="黑体" w:cs="黑体"/>
          <w:b/>
          <w:bCs/>
          <w:color w:val="auto"/>
          <w:sz w:val="32"/>
          <w:szCs w:val="32"/>
          <w:highlight w:val="none"/>
          <w:shd w:val="clear" w:color="auto" w:fill="auto"/>
        </w:rPr>
        <w:t>第七条</w:t>
      </w:r>
      <w:r>
        <w:rPr>
          <w:rFonts w:hint="default" w:ascii="Times New Roman" w:hAnsi="Times New Roman" w:eastAsia="华文仿宋" w:cs="Times New Roman"/>
          <w:color w:val="auto"/>
          <w:sz w:val="32"/>
          <w:szCs w:val="32"/>
          <w:shd w:val="clear" w:color="auto" w:fill="auto"/>
        </w:rPr>
        <w:t xml:space="preserve">  </w:t>
      </w:r>
      <w:r>
        <w:rPr>
          <w:rFonts w:hint="eastAsia" w:ascii="仿宋_GB2312" w:hAnsi="仿宋_GB2312" w:eastAsia="仿宋_GB2312" w:cs="仿宋_GB2312"/>
          <w:color w:val="auto"/>
          <w:sz w:val="32"/>
          <w:szCs w:val="32"/>
          <w:shd w:val="clear" w:color="auto" w:fill="auto"/>
        </w:rPr>
        <w:t>计算公式：</w:t>
      </w:r>
    </w:p>
    <w:p>
      <w:pPr>
        <w:shd w:val="clear" w:color="auto" w:fill="auto"/>
        <w:spacing w:line="590" w:lineRule="exact"/>
        <w:ind w:firstLine="640" w:firstLineChars="200"/>
        <w:rPr>
          <w:rFonts w:hint="default" w:ascii="Times New Roman" w:hAnsi="Times New Roman" w:cs="Times New Roman"/>
        </w:rPr>
      </w:pPr>
    </w:p>
    <w:p>
      <w:pPr>
        <w:shd w:val="clear" w:color="auto" w:fill="auto"/>
        <w:spacing w:line="590" w:lineRule="exact"/>
        <w:ind w:firstLine="640" w:firstLineChars="200"/>
        <w:rPr>
          <w:rFonts w:hint="default" w:ascii="Times New Roman" w:hAnsi="Times New Roman" w:eastAsia="华文仿宋" w:cs="Times New Roman"/>
          <w:color w:val="auto"/>
          <w:sz w:val="32"/>
          <w:szCs w:val="32"/>
          <w:shd w:val="clear" w:color="auto" w:fill="auto"/>
        </w:rPr>
      </w:pPr>
      <w:r>
        <w:rPr>
          <w:rFonts w:hint="default" w:ascii="Times New Roman" w:hAnsi="Times New Roman" w:eastAsia="仿宋_GB2312" w:cs="Times New Roman"/>
          <w:kern w:val="2"/>
          <w:sz w:val="32"/>
          <w:szCs w:val="24"/>
          <w:lang w:val="en-US" w:eastAsia="zh-CN" w:bidi="ar-SA"/>
        </w:rPr>
        <w:drawing>
          <wp:anchor distT="0" distB="0" distL="114300" distR="114300" simplePos="0" relativeHeight="251659264" behindDoc="1" locked="0" layoutInCell="1" allowOverlap="1">
            <wp:simplePos x="0" y="0"/>
            <wp:positionH relativeFrom="column">
              <wp:posOffset>406400</wp:posOffset>
            </wp:positionH>
            <wp:positionV relativeFrom="paragraph">
              <wp:posOffset>-281305</wp:posOffset>
            </wp:positionV>
            <wp:extent cx="4676775" cy="581025"/>
            <wp:effectExtent l="0" t="0" r="9525" b="9525"/>
            <wp:wrapTight wrapText="bothSides">
              <wp:wrapPolygon>
                <wp:start x="21592" y="-2"/>
                <wp:lineTo x="0" y="0"/>
                <wp:lineTo x="0" y="21600"/>
                <wp:lineTo x="21592" y="21602"/>
                <wp:lineTo x="8" y="21602"/>
                <wp:lineTo x="21600" y="21600"/>
                <wp:lineTo x="21600" y="0"/>
                <wp:lineTo x="8" y="-2"/>
                <wp:lineTo x="21592" y="-2"/>
              </wp:wrapPolygon>
            </wp:wrapTight>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pic:cNvPicPr>
                      <a:picLocks noChangeAspect="1"/>
                    </pic:cNvPicPr>
                  </pic:nvPicPr>
                  <pic:blipFill>
                    <a:blip r:embed="rId12">
                      <a:lum/>
                    </a:blip>
                    <a:stretch>
                      <a:fillRect/>
                    </a:stretch>
                  </pic:blipFill>
                  <pic:spPr>
                    <a:xfrm>
                      <a:off x="0" y="0"/>
                      <a:ext cx="4676775" cy="581025"/>
                    </a:xfrm>
                    <a:prstGeom prst="rect">
                      <a:avLst/>
                    </a:prstGeom>
                    <a:noFill/>
                    <a:ln>
                      <a:noFill/>
                    </a:ln>
                  </pic:spPr>
                </pic:pic>
              </a:graphicData>
            </a:graphic>
          </wp:anchor>
        </w:drawing>
      </w:r>
    </w:p>
    <w:p>
      <w:pPr>
        <w:widowControl w:val="0"/>
        <w:wordWrap/>
        <w:overflowPunct w:val="0"/>
        <w:adjustRightInd w:val="0"/>
        <w:snapToGrid w:val="0"/>
        <w:spacing w:line="540" w:lineRule="exact"/>
        <w:ind w:left="0" w:leftChars="0" w:right="0" w:firstLine="640"/>
        <w:textAlignment w:val="auto"/>
        <w:outlineLvl w:val="9"/>
        <w:rPr>
          <w:rFonts w:hint="eastAsia" w:ascii="仿宋_GB2312" w:hAnsi="仿宋_GB2312" w:eastAsia="仿宋_GB2312" w:cs="仿宋_GB2312"/>
          <w:szCs w:val="32"/>
        </w:rPr>
      </w:pPr>
      <w:r>
        <w:rPr>
          <w:rFonts w:hint="eastAsia" w:ascii="仿宋_GB2312" w:hAnsi="仿宋_GB2312" w:eastAsia="仿宋_GB2312" w:cs="仿宋_GB2312"/>
          <w:szCs w:val="32"/>
        </w:rPr>
        <w:t>X：处罚金额；</w:t>
      </w:r>
    </w:p>
    <w:p>
      <w:pPr>
        <w:widowControl w:val="0"/>
        <w:wordWrap/>
        <w:overflowPunct w:val="0"/>
        <w:adjustRightInd w:val="0"/>
        <w:snapToGrid w:val="0"/>
        <w:spacing w:line="540" w:lineRule="exact"/>
        <w:ind w:left="0" w:leftChars="0" w:right="0" w:firstLine="640"/>
        <w:textAlignment w:val="auto"/>
        <w:outlineLvl w:val="9"/>
        <w:rPr>
          <w:rFonts w:hint="eastAsia" w:ascii="仿宋_GB2312" w:hAnsi="仿宋_GB2312" w:eastAsia="仿宋_GB2312" w:cs="仿宋_GB2312"/>
          <w:szCs w:val="32"/>
        </w:rPr>
      </w:pPr>
      <w:r>
        <w:rPr>
          <w:rFonts w:hint="eastAsia" w:ascii="仿宋_GB2312" w:hAnsi="仿宋_GB2312" w:eastAsia="仿宋_GB2312" w:cs="仿宋_GB2312"/>
          <w:szCs w:val="32"/>
        </w:rPr>
        <w:t>M：法定处罚金额上限；</w:t>
      </w:r>
    </w:p>
    <w:p>
      <w:pPr>
        <w:widowControl w:val="0"/>
        <w:wordWrap/>
        <w:overflowPunct w:val="0"/>
        <w:adjustRightInd w:val="0"/>
        <w:snapToGrid w:val="0"/>
        <w:spacing w:line="540" w:lineRule="exact"/>
        <w:ind w:left="0" w:leftChars="0" w:right="0" w:firstLine="640"/>
        <w:textAlignment w:val="auto"/>
        <w:outlineLvl w:val="9"/>
        <w:rPr>
          <w:rFonts w:hint="eastAsia" w:ascii="仿宋_GB2312" w:hAnsi="仿宋_GB2312" w:eastAsia="仿宋_GB2312" w:cs="仿宋_GB2312"/>
          <w:szCs w:val="32"/>
        </w:rPr>
      </w:pPr>
      <w:r>
        <w:rPr>
          <w:rFonts w:hint="eastAsia" w:ascii="仿宋_GB2312" w:hAnsi="仿宋_GB2312" w:eastAsia="仿宋_GB2312" w:cs="仿宋_GB2312"/>
          <w:szCs w:val="32"/>
        </w:rPr>
        <w:t>N：法定处罚金额下限，下限可以为零；</w:t>
      </w:r>
    </w:p>
    <w:p>
      <w:pPr>
        <w:widowControl w:val="0"/>
        <w:wordWrap/>
        <w:overflowPunct w:val="0"/>
        <w:adjustRightInd w:val="0"/>
        <w:snapToGrid w:val="0"/>
        <w:spacing w:line="540" w:lineRule="exact"/>
        <w:ind w:left="0" w:leftChars="0" w:right="0" w:firstLine="640"/>
        <w:textAlignment w:val="auto"/>
        <w:outlineLvl w:val="9"/>
        <w:rPr>
          <w:rFonts w:hint="eastAsia" w:ascii="仿宋_GB2312" w:hAnsi="仿宋_GB2312" w:eastAsia="仿宋_GB2312" w:cs="仿宋_GB2312"/>
          <w:szCs w:val="32"/>
        </w:rPr>
      </w:pPr>
      <w:r>
        <w:rPr>
          <w:rFonts w:hint="eastAsia" w:ascii="仿宋_GB2312" w:hAnsi="仿宋_GB2312" w:eastAsia="仿宋_GB2312" w:cs="仿宋_GB2312"/>
          <w:szCs w:val="32"/>
        </w:rPr>
        <w:t>A：首要裁量因素裁量等级；</w:t>
      </w:r>
    </w:p>
    <w:p>
      <w:pPr>
        <w:widowControl w:val="0"/>
        <w:wordWrap/>
        <w:overflowPunct w:val="0"/>
        <w:adjustRightInd w:val="0"/>
        <w:snapToGrid w:val="0"/>
        <w:spacing w:line="540" w:lineRule="exact"/>
        <w:ind w:left="0" w:leftChars="0" w:right="0" w:firstLine="640"/>
        <w:textAlignment w:val="auto"/>
        <w:outlineLvl w:val="9"/>
        <w:rPr>
          <w:rFonts w:hint="eastAsia" w:ascii="仿宋_GB2312" w:hAnsi="仿宋_GB2312" w:eastAsia="仿宋_GB2312" w:cs="仿宋_GB2312"/>
          <w:szCs w:val="32"/>
        </w:rPr>
      </w:pPr>
      <w:r>
        <w:rPr>
          <w:rFonts w:hint="eastAsia" w:ascii="仿宋_GB2312" w:hAnsi="仿宋_GB2312" w:eastAsia="仿宋_GB2312" w:cs="仿宋_GB2312"/>
          <w:szCs w:val="32"/>
        </w:rPr>
        <w:t>n：其余裁量因素个数；</w:t>
      </w:r>
    </w:p>
    <w:p>
      <w:pPr>
        <w:widowControl w:val="0"/>
        <w:wordWrap/>
        <w:overflowPunct w:val="0"/>
        <w:adjustRightInd w:val="0"/>
        <w:snapToGrid w:val="0"/>
        <w:spacing w:line="540" w:lineRule="exact"/>
        <w:ind w:left="0" w:leftChars="0" w:right="0" w:firstLine="640"/>
        <w:textAlignment w:val="auto"/>
        <w:outlineLvl w:val="9"/>
        <w:rPr>
          <w:rFonts w:hint="eastAsia" w:ascii="仿宋_GB2312" w:hAnsi="仿宋_GB2312" w:eastAsia="仿宋_GB2312" w:cs="仿宋_GB2312"/>
          <w:szCs w:val="32"/>
        </w:rPr>
      </w:pPr>
      <w:r>
        <w:rPr>
          <w:rFonts w:hint="eastAsia" w:ascii="仿宋_GB2312" w:hAnsi="仿宋_GB2312" w:eastAsia="仿宋_GB2312" w:cs="仿宋_GB2312"/>
          <w:szCs w:val="32"/>
        </w:rPr>
        <w:t>Bi：其余裁量因素裁量等级。</w:t>
      </w:r>
    </w:p>
    <w:p>
      <w:pPr>
        <w:widowControl w:val="0"/>
        <w:wordWrap/>
        <w:overflowPunct w:val="0"/>
        <w:adjustRightInd w:val="0"/>
        <w:snapToGrid w:val="0"/>
        <w:spacing w:line="540" w:lineRule="exact"/>
        <w:ind w:left="0" w:leftChars="0" w:right="0" w:firstLine="640"/>
        <w:textAlignment w:val="auto"/>
        <w:outlineLvl w:val="9"/>
        <w:rPr>
          <w:rFonts w:hint="eastAsia" w:ascii="仿宋_GB2312" w:hAnsi="仿宋_GB2312" w:eastAsia="仿宋_GB2312" w:cs="仿宋_GB2312"/>
          <w:szCs w:val="32"/>
        </w:rPr>
      </w:pPr>
      <w:r>
        <w:rPr>
          <w:rFonts w:hint="eastAsia" w:ascii="仿宋_GB2312" w:hAnsi="仿宋_GB2312" w:eastAsia="仿宋_GB2312" w:cs="仿宋_GB2312"/>
          <w:szCs w:val="32"/>
        </w:rPr>
        <w:t>生态环境部门决定处罚金额时，首先确定裁量基准中各项裁量因素的裁量等级，再通过计算公式确定处罚金</w:t>
      </w:r>
      <w:bookmarkStart w:id="1" w:name="OLE_LINK54"/>
      <w:bookmarkStart w:id="2" w:name="OLE_LINK55"/>
      <w:bookmarkStart w:id="3" w:name="OLE_LINK53"/>
      <w:r>
        <w:rPr>
          <w:rFonts w:hint="eastAsia" w:ascii="仿宋_GB2312" w:hAnsi="仿宋_GB2312" w:eastAsia="仿宋_GB2312" w:cs="仿宋_GB2312"/>
          <w:szCs w:val="32"/>
        </w:rPr>
        <w:t>额，然后根据本规则调整决定处罚金额。若首要裁量因素同时有多个时，选择裁量等级高的一个裁量因素作为首要裁量因素，其余的按B进行计算。罚款金额按照四舍五入取整到元。</w:t>
      </w:r>
      <w:bookmarkEnd w:id="1"/>
      <w:bookmarkEnd w:id="2"/>
      <w:bookmarkEnd w:id="3"/>
    </w:p>
    <w:p>
      <w:pPr>
        <w:shd w:val="clear" w:color="auto" w:fill="auto"/>
        <w:spacing w:line="590" w:lineRule="exact"/>
        <w:ind w:firstLine="642" w:firstLineChars="200"/>
        <w:rPr>
          <w:rFonts w:hint="eastAsia" w:ascii="仿宋_GB2312" w:hAnsi="仿宋_GB2312" w:eastAsia="仿宋_GB2312" w:cs="仿宋_GB2312"/>
          <w:color w:val="auto"/>
          <w:sz w:val="32"/>
          <w:szCs w:val="32"/>
          <w:shd w:val="clear" w:color="auto" w:fill="auto"/>
        </w:rPr>
      </w:pPr>
      <w:r>
        <w:rPr>
          <w:rFonts w:hint="eastAsia" w:ascii="黑体" w:hAnsi="黑体" w:eastAsia="黑体" w:cs="黑体"/>
          <w:b/>
          <w:bCs/>
          <w:color w:val="auto"/>
          <w:sz w:val="32"/>
          <w:szCs w:val="32"/>
          <w:shd w:val="clear" w:color="auto" w:fill="auto"/>
        </w:rPr>
        <w:t>第</w:t>
      </w:r>
      <w:r>
        <w:rPr>
          <w:rFonts w:hint="eastAsia" w:ascii="黑体" w:hAnsi="黑体" w:eastAsia="黑体" w:cs="黑体"/>
          <w:b/>
          <w:bCs/>
          <w:color w:val="auto"/>
          <w:sz w:val="32"/>
          <w:szCs w:val="32"/>
          <w:shd w:val="clear" w:color="auto" w:fill="auto"/>
          <w:lang w:eastAsia="zh-CN"/>
        </w:rPr>
        <w:t>八</w:t>
      </w:r>
      <w:r>
        <w:rPr>
          <w:rFonts w:hint="eastAsia" w:ascii="黑体" w:hAnsi="黑体" w:eastAsia="黑体" w:cs="黑体"/>
          <w:b/>
          <w:bCs/>
          <w:color w:val="auto"/>
          <w:sz w:val="32"/>
          <w:szCs w:val="32"/>
          <w:shd w:val="clear" w:color="auto" w:fill="auto"/>
        </w:rPr>
        <w:t xml:space="preserve">条 </w:t>
      </w:r>
      <w:r>
        <w:rPr>
          <w:rFonts w:hint="default" w:ascii="Times New Roman" w:hAnsi="Times New Roman" w:eastAsia="华文仿宋" w:cs="Times New Roman"/>
          <w:color w:val="auto"/>
          <w:sz w:val="32"/>
          <w:szCs w:val="32"/>
          <w:shd w:val="clear" w:color="auto" w:fill="auto"/>
        </w:rPr>
        <w:t xml:space="preserve"> </w:t>
      </w:r>
      <w:r>
        <w:rPr>
          <w:rFonts w:hint="eastAsia" w:ascii="仿宋_GB2312" w:hAnsi="仿宋_GB2312" w:eastAsia="仿宋_GB2312" w:cs="仿宋_GB2312"/>
          <w:color w:val="auto"/>
          <w:sz w:val="32"/>
          <w:szCs w:val="32"/>
          <w:shd w:val="clear" w:color="auto" w:fill="auto"/>
        </w:rPr>
        <w:t>案件调查取证中，执法人员应当以裁量规则和基准为指导，全面调取有关违法行为</w:t>
      </w:r>
      <w:r>
        <w:rPr>
          <w:rFonts w:hint="eastAsia" w:ascii="仿宋_GB2312" w:hAnsi="仿宋_GB2312" w:eastAsia="仿宋_GB2312" w:cs="仿宋_GB2312"/>
          <w:color w:val="auto"/>
          <w:sz w:val="32"/>
          <w:szCs w:val="32"/>
          <w:shd w:val="clear" w:color="auto" w:fill="auto"/>
          <w:lang w:eastAsia="zh-CN"/>
        </w:rPr>
        <w:t>的</w:t>
      </w:r>
      <w:r>
        <w:rPr>
          <w:rFonts w:hint="eastAsia" w:ascii="仿宋_GB2312" w:hAnsi="仿宋_GB2312" w:eastAsia="仿宋_GB2312" w:cs="仿宋_GB2312"/>
          <w:color w:val="auto"/>
          <w:sz w:val="32"/>
          <w:szCs w:val="32"/>
          <w:shd w:val="clear" w:color="auto" w:fill="auto"/>
          <w:lang w:val="en-US" w:eastAsia="zh-CN"/>
        </w:rPr>
        <w:t>性质、情节以及危害后果</w:t>
      </w:r>
      <w:r>
        <w:rPr>
          <w:rFonts w:hint="eastAsia" w:ascii="仿宋_GB2312" w:hAnsi="仿宋_GB2312" w:eastAsia="仿宋_GB2312" w:cs="仿宋_GB2312"/>
          <w:color w:val="auto"/>
          <w:sz w:val="32"/>
          <w:szCs w:val="32"/>
          <w:shd w:val="clear" w:color="auto" w:fill="auto"/>
        </w:rPr>
        <w:t>的证据。提交行政处罚案件调查终结报告时，应当同时提供违法行为的定性证据、裁量因素证据。执法人员在案件调查取证中确因客观因素未能调取到裁量基准中部分裁量因素的情节和证据，案件调查终结报告中应注明，计算处罚金额时不考虑该项裁量因素。</w:t>
      </w:r>
    </w:p>
    <w:p>
      <w:pPr>
        <w:numPr>
          <w:ilvl w:val="0"/>
          <w:numId w:val="0"/>
        </w:numPr>
        <w:shd w:val="clear" w:color="auto" w:fill="auto"/>
        <w:spacing w:line="590" w:lineRule="exact"/>
        <w:rPr>
          <w:rFonts w:hint="eastAsia" w:ascii="仿宋_GB2312" w:hAnsi="仿宋_GB2312" w:eastAsia="仿宋_GB2312" w:cs="仿宋_GB2312"/>
          <w:color w:val="auto"/>
          <w:sz w:val="32"/>
          <w:szCs w:val="32"/>
          <w:shd w:val="clear" w:color="auto" w:fill="auto"/>
        </w:rPr>
      </w:pPr>
      <w:r>
        <w:rPr>
          <w:rFonts w:hint="default" w:ascii="Times New Roman" w:hAnsi="Times New Roman" w:eastAsia="华文仿宋" w:cs="Times New Roman"/>
          <w:color w:val="auto"/>
          <w:sz w:val="32"/>
          <w:szCs w:val="32"/>
          <w:shd w:val="clear" w:color="auto" w:fill="auto"/>
          <w:lang w:val="en-US" w:eastAsia="zh-CN"/>
        </w:rPr>
        <w:t xml:space="preserve">   </w:t>
      </w:r>
      <w:r>
        <w:rPr>
          <w:rFonts w:hint="eastAsia" w:ascii="黑体" w:hAnsi="黑体" w:eastAsia="黑体" w:cs="黑体"/>
          <w:color w:val="auto"/>
          <w:sz w:val="32"/>
          <w:szCs w:val="32"/>
          <w:shd w:val="clear" w:color="auto" w:fill="auto"/>
        </w:rPr>
        <w:t xml:space="preserve"> </w:t>
      </w:r>
      <w:r>
        <w:rPr>
          <w:rFonts w:hint="eastAsia" w:ascii="黑体" w:hAnsi="黑体" w:eastAsia="黑体" w:cs="黑体"/>
          <w:b/>
          <w:bCs/>
          <w:color w:val="auto"/>
          <w:sz w:val="32"/>
          <w:szCs w:val="32"/>
          <w:shd w:val="clear" w:color="auto" w:fill="auto"/>
        </w:rPr>
        <w:t>第</w:t>
      </w:r>
      <w:r>
        <w:rPr>
          <w:rFonts w:hint="eastAsia" w:ascii="黑体" w:hAnsi="黑体" w:eastAsia="黑体" w:cs="黑体"/>
          <w:b/>
          <w:bCs/>
          <w:color w:val="auto"/>
          <w:sz w:val="32"/>
          <w:szCs w:val="32"/>
          <w:shd w:val="clear" w:color="auto" w:fill="auto"/>
          <w:lang w:eastAsia="zh-CN"/>
        </w:rPr>
        <w:t>九</w:t>
      </w:r>
      <w:r>
        <w:rPr>
          <w:rFonts w:hint="eastAsia" w:ascii="黑体" w:hAnsi="黑体" w:eastAsia="黑体" w:cs="黑体"/>
          <w:b/>
          <w:bCs/>
          <w:color w:val="auto"/>
          <w:sz w:val="32"/>
          <w:szCs w:val="32"/>
          <w:shd w:val="clear" w:color="auto" w:fill="auto"/>
        </w:rPr>
        <w:t>条</w:t>
      </w:r>
      <w:r>
        <w:rPr>
          <w:rFonts w:hint="default" w:ascii="Times New Roman" w:hAnsi="Times New Roman" w:eastAsia="华文仿宋" w:cs="Times New Roman"/>
          <w:b/>
          <w:bCs/>
          <w:color w:val="auto"/>
          <w:sz w:val="32"/>
          <w:szCs w:val="32"/>
          <w:shd w:val="clear" w:color="auto" w:fill="auto"/>
        </w:rPr>
        <w:t xml:space="preserve"> </w:t>
      </w:r>
      <w:r>
        <w:rPr>
          <w:rFonts w:hint="default" w:ascii="Times New Roman" w:hAnsi="Times New Roman" w:eastAsia="华文仿宋" w:cs="Times New Roman"/>
          <w:b/>
          <w:bCs/>
          <w:color w:val="auto"/>
          <w:sz w:val="32"/>
          <w:szCs w:val="32"/>
          <w:shd w:val="clear" w:color="auto" w:fill="auto"/>
          <w:lang w:val="en-US" w:eastAsia="zh-CN"/>
        </w:rPr>
        <w:t xml:space="preserve"> </w:t>
      </w:r>
      <w:r>
        <w:rPr>
          <w:rFonts w:hint="eastAsia" w:ascii="仿宋_GB2312" w:hAnsi="仿宋_GB2312" w:eastAsia="仿宋_GB2312" w:cs="仿宋_GB2312"/>
          <w:color w:val="auto"/>
          <w:sz w:val="32"/>
          <w:szCs w:val="32"/>
          <w:shd w:val="clear" w:color="auto" w:fill="auto"/>
        </w:rPr>
        <w:t>对当事人的同一个违法行为，不得给予两次以上罚款的行政处罚。同一个违法行为违反多个法律规</w:t>
      </w:r>
      <w:r>
        <w:rPr>
          <w:rFonts w:hint="eastAsia" w:ascii="仿宋_GB2312" w:hAnsi="仿宋_GB2312" w:eastAsia="仿宋_GB2312" w:cs="仿宋_GB2312"/>
          <w:color w:val="auto"/>
          <w:sz w:val="32"/>
          <w:szCs w:val="32"/>
          <w:shd w:val="clear" w:color="auto" w:fill="auto"/>
          <w:lang w:eastAsia="zh-CN"/>
        </w:rPr>
        <w:t>定</w:t>
      </w:r>
      <w:r>
        <w:rPr>
          <w:rFonts w:hint="eastAsia" w:ascii="仿宋_GB2312" w:hAnsi="仿宋_GB2312" w:eastAsia="仿宋_GB2312" w:cs="仿宋_GB2312"/>
          <w:color w:val="auto"/>
          <w:sz w:val="32"/>
          <w:szCs w:val="32"/>
          <w:shd w:val="clear" w:color="auto" w:fill="auto"/>
        </w:rPr>
        <w:t>应当给予罚款处罚的，按照罚款数额高的规定处罚。</w:t>
      </w:r>
    </w:p>
    <w:p>
      <w:pPr>
        <w:numPr>
          <w:ilvl w:val="0"/>
          <w:numId w:val="0"/>
        </w:numPr>
        <w:shd w:val="clear" w:color="auto" w:fill="auto"/>
        <w:spacing w:line="590" w:lineRule="exact"/>
        <w:ind w:firstLine="640" w:firstLineChars="200"/>
        <w:rPr>
          <w:rFonts w:hint="eastAsia" w:ascii="仿宋_GB2312" w:hAnsi="仿宋_GB2312" w:eastAsia="仿宋_GB2312" w:cs="仿宋_GB2312"/>
          <w:color w:val="auto"/>
          <w:sz w:val="32"/>
          <w:szCs w:val="32"/>
          <w:shd w:val="clear" w:color="auto" w:fill="auto"/>
          <w:lang w:eastAsia="zh-CN"/>
        </w:rPr>
      </w:pPr>
      <w:r>
        <w:rPr>
          <w:rFonts w:hint="eastAsia" w:ascii="仿宋_GB2312" w:hAnsi="仿宋_GB2312" w:eastAsia="仿宋_GB2312" w:cs="仿宋_GB2312"/>
          <w:color w:val="auto"/>
          <w:sz w:val="32"/>
          <w:szCs w:val="32"/>
          <w:shd w:val="clear" w:color="auto" w:fill="auto"/>
        </w:rPr>
        <w:t>实施了两个以上生态环境违法行为，若违法行为之间存在</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必然</w:t>
      </w:r>
      <w:r>
        <w:rPr>
          <w:rFonts w:hint="eastAsia" w:ascii="仿宋_GB2312" w:hAnsi="仿宋_GB2312" w:eastAsia="仿宋_GB2312" w:cs="仿宋_GB2312"/>
          <w:color w:val="auto"/>
          <w:sz w:val="32"/>
          <w:szCs w:val="32"/>
          <w:shd w:val="clear" w:color="auto" w:fill="auto"/>
          <w:lang w:eastAsia="zh-CN"/>
        </w:rPr>
        <w:t>关联</w:t>
      </w:r>
      <w:r>
        <w:rPr>
          <w:rFonts w:hint="eastAsia" w:ascii="仿宋_GB2312" w:hAnsi="仿宋_GB2312" w:eastAsia="仿宋_GB2312" w:cs="仿宋_GB2312"/>
          <w:color w:val="auto"/>
          <w:sz w:val="32"/>
          <w:szCs w:val="32"/>
          <w:shd w:val="clear" w:color="auto" w:fill="auto"/>
        </w:rPr>
        <w:t>关系</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的，应当选择处罚较重的违法行为予以认定，并给予处罚</w:t>
      </w:r>
      <w:r>
        <w:rPr>
          <w:rFonts w:hint="eastAsia" w:ascii="仿宋_GB2312" w:hAnsi="仿宋_GB2312" w:eastAsia="仿宋_GB2312" w:cs="仿宋_GB2312"/>
          <w:color w:val="auto"/>
          <w:sz w:val="32"/>
          <w:szCs w:val="32"/>
          <w:shd w:val="clear" w:color="auto" w:fill="auto"/>
          <w:lang w:eastAsia="zh-CN"/>
        </w:rPr>
        <w:t>。</w:t>
      </w:r>
    </w:p>
    <w:p>
      <w:pPr>
        <w:numPr>
          <w:ilvl w:val="0"/>
          <w:numId w:val="0"/>
        </w:numPr>
        <w:shd w:val="clear" w:color="auto" w:fill="auto"/>
        <w:spacing w:line="590" w:lineRule="exact"/>
        <w:ind w:firstLine="640" w:firstLineChars="200"/>
        <w:rPr>
          <w:rFonts w:hint="eastAsia" w:ascii="仿宋_GB2312" w:hAnsi="仿宋_GB2312" w:eastAsia="仿宋_GB2312" w:cs="仿宋_GB2312"/>
          <w:color w:val="auto"/>
          <w:sz w:val="32"/>
          <w:szCs w:val="32"/>
          <w:shd w:val="clear" w:color="auto" w:fill="auto"/>
        </w:rPr>
      </w:pPr>
      <w:r>
        <w:rPr>
          <w:rFonts w:hint="eastAsia" w:ascii="仿宋_GB2312" w:hAnsi="仿宋_GB2312" w:eastAsia="仿宋_GB2312" w:cs="仿宋_GB2312"/>
          <w:color w:val="auto"/>
          <w:sz w:val="32"/>
          <w:szCs w:val="32"/>
          <w:shd w:val="clear" w:color="auto" w:fill="auto"/>
        </w:rPr>
        <w:t>实施了两个以上生态环境违法行为，若违法行为之间不存在</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必然</w:t>
      </w:r>
      <w:r>
        <w:rPr>
          <w:rFonts w:hint="eastAsia" w:ascii="仿宋_GB2312" w:hAnsi="仿宋_GB2312" w:eastAsia="仿宋_GB2312" w:cs="仿宋_GB2312"/>
          <w:color w:val="auto"/>
          <w:sz w:val="32"/>
          <w:szCs w:val="32"/>
          <w:shd w:val="clear" w:color="auto" w:fill="auto"/>
          <w:lang w:eastAsia="zh-CN"/>
        </w:rPr>
        <w:t>关联</w:t>
      </w:r>
      <w:r>
        <w:rPr>
          <w:rFonts w:hint="eastAsia" w:ascii="仿宋_GB2312" w:hAnsi="仿宋_GB2312" w:eastAsia="仿宋_GB2312" w:cs="仿宋_GB2312"/>
          <w:color w:val="auto"/>
          <w:sz w:val="32"/>
          <w:szCs w:val="32"/>
          <w:shd w:val="clear" w:color="auto" w:fill="auto"/>
        </w:rPr>
        <w:t>关系</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的，应当对每个违法行为分别依法给予处罚。</w:t>
      </w:r>
    </w:p>
    <w:p>
      <w:pPr>
        <w:shd w:val="clear" w:color="auto" w:fill="auto"/>
        <w:spacing w:line="590" w:lineRule="exact"/>
        <w:ind w:firstLine="642" w:firstLineChars="200"/>
        <w:rPr>
          <w:rFonts w:hint="eastAsia" w:ascii="仿宋_GB2312" w:hAnsi="仿宋_GB2312" w:eastAsia="仿宋_GB2312" w:cs="仿宋_GB2312"/>
          <w:color w:val="auto"/>
          <w:sz w:val="32"/>
          <w:szCs w:val="32"/>
          <w:shd w:val="clear" w:color="auto" w:fill="auto"/>
        </w:rPr>
      </w:pPr>
      <w:r>
        <w:rPr>
          <w:rFonts w:hint="eastAsia" w:ascii="黑体" w:hAnsi="黑体" w:eastAsia="黑体" w:cs="黑体"/>
          <w:b/>
          <w:bCs/>
          <w:color w:val="auto"/>
          <w:sz w:val="32"/>
          <w:szCs w:val="32"/>
          <w:shd w:val="clear" w:color="auto" w:fill="auto"/>
        </w:rPr>
        <w:t>第十条</w:t>
      </w:r>
      <w:r>
        <w:rPr>
          <w:rFonts w:hint="default" w:ascii="Times New Roman" w:hAnsi="Times New Roman" w:eastAsia="华文仿宋" w:cs="Times New Roman"/>
          <w:color w:val="auto"/>
          <w:sz w:val="32"/>
          <w:szCs w:val="32"/>
          <w:shd w:val="clear" w:color="auto" w:fill="auto"/>
        </w:rPr>
        <w:t xml:space="preserve">  </w:t>
      </w:r>
      <w:r>
        <w:rPr>
          <w:rFonts w:hint="eastAsia" w:ascii="仿宋_GB2312" w:hAnsi="仿宋_GB2312" w:eastAsia="仿宋_GB2312" w:cs="仿宋_GB2312"/>
          <w:color w:val="auto"/>
          <w:sz w:val="32"/>
          <w:szCs w:val="32"/>
          <w:shd w:val="clear" w:color="auto" w:fill="auto"/>
        </w:rPr>
        <w:t>市生态环境部门应当在裁量规则和基准制发或者变更后15日内报</w:t>
      </w:r>
      <w:r>
        <w:rPr>
          <w:rFonts w:hint="eastAsia" w:ascii="仿宋_GB2312" w:hAnsi="仿宋_GB2312" w:eastAsia="仿宋_GB2312" w:cs="仿宋_GB2312"/>
          <w:color w:val="auto"/>
          <w:sz w:val="32"/>
          <w:szCs w:val="32"/>
          <w:shd w:val="clear" w:color="auto" w:fill="auto"/>
          <w:lang w:eastAsia="zh-CN"/>
        </w:rPr>
        <w:t>省</w:t>
      </w:r>
      <w:r>
        <w:rPr>
          <w:rFonts w:hint="eastAsia" w:ascii="仿宋_GB2312" w:hAnsi="仿宋_GB2312" w:eastAsia="仿宋_GB2312" w:cs="仿宋_GB2312"/>
          <w:color w:val="auto"/>
          <w:sz w:val="32"/>
          <w:szCs w:val="32"/>
          <w:shd w:val="clear" w:color="auto" w:fill="auto"/>
        </w:rPr>
        <w:t>生态环境</w:t>
      </w:r>
      <w:r>
        <w:rPr>
          <w:rFonts w:hint="eastAsia" w:ascii="仿宋_GB2312" w:hAnsi="仿宋_GB2312" w:eastAsia="仿宋_GB2312" w:cs="仿宋_GB2312"/>
          <w:color w:val="auto"/>
          <w:sz w:val="32"/>
          <w:szCs w:val="32"/>
          <w:shd w:val="clear" w:color="auto" w:fill="auto"/>
          <w:lang w:eastAsia="zh-CN"/>
        </w:rPr>
        <w:t>厅</w:t>
      </w:r>
      <w:r>
        <w:rPr>
          <w:rFonts w:hint="eastAsia" w:ascii="仿宋_GB2312" w:hAnsi="仿宋_GB2312" w:eastAsia="仿宋_GB2312" w:cs="仿宋_GB2312"/>
          <w:color w:val="auto"/>
          <w:sz w:val="32"/>
          <w:szCs w:val="32"/>
          <w:shd w:val="clear" w:color="auto" w:fill="auto"/>
        </w:rPr>
        <w:t>备案。对不按裁量规则和基准进行裁量，不规范行使行政处罚裁量权构成违纪违法的，依法依规依纪追究责任。</w:t>
      </w:r>
    </w:p>
    <w:p>
      <w:pPr>
        <w:shd w:val="clear" w:color="auto" w:fill="auto"/>
        <w:spacing w:line="590" w:lineRule="exact"/>
        <w:ind w:firstLine="642" w:firstLineChars="200"/>
        <w:rPr>
          <w:rFonts w:hint="eastAsia" w:ascii="仿宋_GB2312" w:hAnsi="仿宋_GB2312" w:eastAsia="仿宋_GB2312" w:cs="仿宋_GB2312"/>
          <w:color w:val="auto"/>
          <w:sz w:val="32"/>
          <w:szCs w:val="32"/>
          <w:shd w:val="clear" w:color="auto" w:fill="auto"/>
        </w:rPr>
      </w:pPr>
      <w:r>
        <w:rPr>
          <w:rFonts w:hint="eastAsia" w:ascii="黑体" w:hAnsi="黑体" w:eastAsia="黑体" w:cs="黑体"/>
          <w:b/>
          <w:bCs/>
          <w:color w:val="auto"/>
          <w:sz w:val="32"/>
          <w:szCs w:val="32"/>
          <w:shd w:val="clear" w:color="auto" w:fill="auto"/>
        </w:rPr>
        <w:t>第十</w:t>
      </w:r>
      <w:r>
        <w:rPr>
          <w:rFonts w:hint="eastAsia" w:ascii="黑体" w:hAnsi="黑体" w:eastAsia="黑体" w:cs="黑体"/>
          <w:b/>
          <w:bCs/>
          <w:color w:val="auto"/>
          <w:sz w:val="32"/>
          <w:szCs w:val="32"/>
          <w:shd w:val="clear" w:color="auto" w:fill="auto"/>
          <w:lang w:eastAsia="zh-CN"/>
        </w:rPr>
        <w:t>一</w:t>
      </w:r>
      <w:r>
        <w:rPr>
          <w:rFonts w:hint="eastAsia" w:ascii="黑体" w:hAnsi="黑体" w:eastAsia="黑体" w:cs="黑体"/>
          <w:b/>
          <w:bCs/>
          <w:color w:val="auto"/>
          <w:sz w:val="32"/>
          <w:szCs w:val="32"/>
          <w:shd w:val="clear" w:color="auto" w:fill="auto"/>
        </w:rPr>
        <w:t>条</w:t>
      </w:r>
      <w:r>
        <w:rPr>
          <w:rFonts w:hint="default" w:ascii="Times New Roman" w:hAnsi="Times New Roman" w:eastAsia="华文仿宋" w:cs="Times New Roman"/>
          <w:color w:val="auto"/>
          <w:sz w:val="32"/>
          <w:szCs w:val="32"/>
          <w:shd w:val="clear" w:color="auto" w:fill="auto"/>
        </w:rPr>
        <w:t xml:space="preserve">  </w:t>
      </w:r>
      <w:r>
        <w:rPr>
          <w:rFonts w:hint="eastAsia" w:ascii="仿宋_GB2312" w:hAnsi="仿宋_GB2312" w:eastAsia="仿宋_GB2312" w:cs="仿宋_GB2312"/>
          <w:color w:val="auto"/>
          <w:sz w:val="32"/>
          <w:szCs w:val="32"/>
          <w:shd w:val="clear" w:color="auto" w:fill="auto"/>
        </w:rPr>
        <w:t>“首次”起算是从生产经营者注册登记之日起。</w:t>
      </w:r>
    </w:p>
    <w:p>
      <w:pPr>
        <w:shd w:val="clear" w:color="auto" w:fill="auto"/>
        <w:spacing w:line="590" w:lineRule="exact"/>
        <w:ind w:firstLine="640" w:firstLineChars="200"/>
        <w:rPr>
          <w:rFonts w:hint="eastAsia" w:ascii="仿宋_GB2312" w:hAnsi="仿宋_GB2312" w:eastAsia="仿宋_GB2312" w:cs="仿宋_GB2312"/>
          <w:color w:val="auto"/>
          <w:sz w:val="32"/>
          <w:szCs w:val="32"/>
          <w:shd w:val="clear" w:color="auto" w:fill="auto"/>
        </w:rPr>
      </w:pPr>
      <w:r>
        <w:rPr>
          <w:rFonts w:hint="eastAsia" w:ascii="仿宋_GB2312" w:hAnsi="仿宋_GB2312" w:eastAsia="仿宋_GB2312" w:cs="仿宋_GB2312"/>
          <w:color w:val="auto"/>
          <w:sz w:val="32"/>
          <w:szCs w:val="32"/>
          <w:shd w:val="clear" w:color="auto" w:fill="auto"/>
        </w:rPr>
        <w:t>“两年内未受到过同类处罚”中的“两年内”，是指以当次</w:t>
      </w:r>
      <w:r>
        <w:rPr>
          <w:rFonts w:hint="eastAsia" w:ascii="仿宋_GB2312" w:hAnsi="仿宋_GB2312" w:eastAsia="仿宋_GB2312" w:cs="仿宋_GB2312"/>
          <w:color w:val="auto"/>
          <w:sz w:val="32"/>
          <w:szCs w:val="32"/>
          <w:shd w:val="clear" w:color="auto" w:fill="auto"/>
          <w:lang w:val="en-US"/>
        </w:rPr>
        <w:t>违法</w:t>
      </w:r>
      <w:r>
        <w:rPr>
          <w:rFonts w:hint="eastAsia" w:ascii="仿宋_GB2312" w:hAnsi="仿宋_GB2312" w:eastAsia="仿宋_GB2312" w:cs="仿宋_GB2312"/>
          <w:color w:val="auto"/>
          <w:sz w:val="32"/>
          <w:szCs w:val="32"/>
          <w:shd w:val="clear" w:color="auto" w:fill="auto"/>
        </w:rPr>
        <w:t>行为发生之日为起算点往前追溯两年。</w:t>
      </w:r>
    </w:p>
    <w:p>
      <w:pPr>
        <w:shd w:val="clear" w:color="auto" w:fill="auto"/>
        <w:spacing w:line="590" w:lineRule="exact"/>
        <w:ind w:firstLine="640" w:firstLineChars="200"/>
        <w:rPr>
          <w:rFonts w:hint="eastAsia" w:ascii="仿宋_GB2312" w:hAnsi="仿宋_GB2312" w:eastAsia="仿宋_GB2312" w:cs="仿宋_GB2312"/>
          <w:color w:val="auto"/>
          <w:sz w:val="32"/>
          <w:szCs w:val="32"/>
          <w:shd w:val="clear" w:color="auto" w:fill="auto"/>
        </w:rPr>
      </w:pPr>
      <w:r>
        <w:rPr>
          <w:rFonts w:hint="eastAsia" w:ascii="仿宋_GB2312" w:hAnsi="仿宋_GB2312" w:eastAsia="仿宋_GB2312" w:cs="仿宋_GB2312"/>
          <w:color w:val="auto"/>
          <w:sz w:val="32"/>
          <w:szCs w:val="32"/>
          <w:highlight w:val="none"/>
          <w:shd w:val="clear" w:color="auto" w:fill="auto"/>
        </w:rPr>
        <w:t>“2次以下”是指以当次行为发生之日为起算点</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往前追溯2年内此种违法行为的发生次数。</w:t>
      </w:r>
    </w:p>
    <w:p>
      <w:pPr>
        <w:shd w:val="clear" w:color="auto" w:fill="auto"/>
        <w:spacing w:line="590" w:lineRule="exact"/>
        <w:ind w:firstLine="640" w:firstLineChars="200"/>
        <w:rPr>
          <w:rFonts w:hint="eastAsia" w:ascii="仿宋_GB2312" w:hAnsi="仿宋_GB2312" w:eastAsia="仿宋_GB2312" w:cs="仿宋_GB2312"/>
          <w:color w:val="auto"/>
          <w:sz w:val="32"/>
          <w:szCs w:val="32"/>
          <w:shd w:val="clear" w:color="auto" w:fill="auto"/>
        </w:rPr>
      </w:pPr>
      <w:r>
        <w:rPr>
          <w:rFonts w:hint="eastAsia" w:ascii="仿宋_GB2312" w:hAnsi="仿宋_GB2312" w:eastAsia="仿宋_GB2312" w:cs="仿宋_GB2312"/>
          <w:color w:val="auto"/>
          <w:sz w:val="32"/>
          <w:szCs w:val="32"/>
          <w:shd w:val="clear" w:color="auto" w:fill="auto"/>
        </w:rPr>
        <w:t>本基准中“以上”含本数，“以下”</w:t>
      </w:r>
      <w:r>
        <w:rPr>
          <w:rFonts w:hint="eastAsia" w:ascii="仿宋_GB2312" w:hAnsi="仿宋_GB2312" w:eastAsia="仿宋_GB2312" w:cs="仿宋_GB2312"/>
          <w:color w:val="auto"/>
          <w:sz w:val="32"/>
          <w:szCs w:val="32"/>
          <w:shd w:val="clear" w:color="auto" w:fill="auto"/>
          <w:lang w:eastAsia="zh-CN"/>
        </w:rPr>
        <w:t>、“以内”不含本数。</w:t>
      </w:r>
    </w:p>
    <w:p>
      <w:pPr>
        <w:shd w:val="clear" w:color="auto" w:fill="auto"/>
        <w:spacing w:line="590" w:lineRule="exact"/>
        <w:ind w:firstLine="640" w:firstLineChars="200"/>
        <w:outlineLvl w:val="9"/>
        <w:rPr>
          <w:rFonts w:hint="eastAsia" w:ascii="仿宋_GB2312" w:hAnsi="仿宋_GB2312" w:eastAsia="仿宋_GB2312" w:cs="仿宋_GB2312"/>
          <w:color w:val="auto"/>
          <w:sz w:val="32"/>
          <w:szCs w:val="32"/>
          <w:shd w:val="clear" w:color="auto" w:fill="auto"/>
        </w:rPr>
      </w:pPr>
      <w:r>
        <w:rPr>
          <w:rFonts w:hint="eastAsia" w:ascii="仿宋_GB2312" w:hAnsi="仿宋_GB2312" w:eastAsia="仿宋_GB2312" w:cs="仿宋_GB2312"/>
          <w:color w:val="auto"/>
          <w:sz w:val="32"/>
          <w:szCs w:val="32"/>
          <w:shd w:val="clear" w:color="auto" w:fill="auto"/>
        </w:rPr>
        <w:t>裁量因素中标注“</w:t>
      </w:r>
      <w:r>
        <w:rPr>
          <w:rFonts w:hint="eastAsia" w:ascii="仿宋_GB2312" w:hAnsi="仿宋_GB2312" w:eastAsia="仿宋_GB2312" w:cs="仿宋_GB2312"/>
          <w:b/>
          <w:bCs/>
          <w:color w:val="auto"/>
          <w:sz w:val="32"/>
          <w:szCs w:val="32"/>
          <w:shd w:val="clear" w:color="auto" w:fill="auto"/>
        </w:rPr>
        <w:t>★</w:t>
      </w:r>
      <w:r>
        <w:rPr>
          <w:rFonts w:hint="eastAsia" w:ascii="仿宋_GB2312" w:hAnsi="仿宋_GB2312" w:eastAsia="仿宋_GB2312" w:cs="仿宋_GB2312"/>
          <w:color w:val="auto"/>
          <w:sz w:val="32"/>
          <w:szCs w:val="32"/>
          <w:shd w:val="clear" w:color="auto" w:fill="auto"/>
        </w:rPr>
        <w:t>”标识的为首要裁量因素。</w:t>
      </w:r>
    </w:p>
    <w:p>
      <w:pPr>
        <w:widowControl w:val="0"/>
        <w:wordWrap/>
        <w:overflowPunct w:val="0"/>
        <w:adjustRightInd w:val="0"/>
        <w:snapToGrid w:val="0"/>
        <w:spacing w:line="540" w:lineRule="exact"/>
        <w:ind w:left="0" w:leftChars="0" w:right="0" w:firstLine="640"/>
        <w:textAlignment w:val="auto"/>
        <w:outlineLvl w:val="9"/>
        <w:rPr>
          <w:rFonts w:hint="default" w:ascii="Times New Roman" w:hAnsi="Times New Roman" w:eastAsia="方正仿宋_GBK" w:cs="Times New Roman"/>
          <w:color w:val="FF0000"/>
          <w:szCs w:val="32"/>
        </w:rPr>
      </w:pPr>
      <w:r>
        <w:rPr>
          <w:rFonts w:hint="eastAsia" w:ascii="黑体" w:hAnsi="黑体" w:eastAsia="黑体" w:cs="黑体"/>
          <w:b/>
          <w:bCs/>
          <w:color w:val="auto"/>
          <w:sz w:val="32"/>
          <w:szCs w:val="32"/>
          <w:shd w:val="clear" w:color="auto" w:fill="auto"/>
        </w:rPr>
        <w:t>第十</w:t>
      </w:r>
      <w:r>
        <w:rPr>
          <w:rFonts w:hint="eastAsia" w:ascii="黑体" w:hAnsi="黑体" w:eastAsia="黑体" w:cs="黑体"/>
          <w:b/>
          <w:bCs/>
          <w:color w:val="auto"/>
          <w:sz w:val="32"/>
          <w:szCs w:val="32"/>
          <w:shd w:val="clear" w:color="auto" w:fill="auto"/>
          <w:lang w:eastAsia="zh-CN"/>
        </w:rPr>
        <w:t>二</w:t>
      </w:r>
      <w:r>
        <w:rPr>
          <w:rFonts w:hint="eastAsia" w:ascii="黑体" w:hAnsi="黑体" w:eastAsia="黑体" w:cs="黑体"/>
          <w:b/>
          <w:bCs/>
          <w:color w:val="auto"/>
          <w:sz w:val="32"/>
          <w:szCs w:val="32"/>
          <w:shd w:val="clear" w:color="auto" w:fill="auto"/>
        </w:rPr>
        <w:t>条</w:t>
      </w:r>
      <w:r>
        <w:rPr>
          <w:rFonts w:hint="default" w:ascii="Times New Roman" w:hAnsi="Times New Roman" w:eastAsia="华文仿宋" w:cs="Times New Roman"/>
          <w:color w:val="auto"/>
          <w:sz w:val="32"/>
          <w:szCs w:val="32"/>
          <w:shd w:val="clear" w:color="auto" w:fill="auto"/>
        </w:rPr>
        <w:t xml:space="preserve">   </w:t>
      </w:r>
      <w:r>
        <w:rPr>
          <w:rFonts w:hint="eastAsia" w:ascii="仿宋_GB2312" w:hAnsi="仿宋_GB2312" w:eastAsia="仿宋_GB2312" w:cs="仿宋_GB2312"/>
          <w:color w:val="auto"/>
          <w:sz w:val="32"/>
          <w:szCs w:val="32"/>
          <w:shd w:val="clear" w:color="auto" w:fill="auto"/>
        </w:rPr>
        <w:t>本适用规则自</w:t>
      </w:r>
      <w:r>
        <w:rPr>
          <w:rFonts w:hint="eastAsia" w:ascii="仿宋_GB2312" w:hAnsi="仿宋_GB2312" w:eastAsia="仿宋_GB2312" w:cs="仿宋_GB2312"/>
          <w:color w:val="auto"/>
          <w:sz w:val="32"/>
          <w:szCs w:val="32"/>
          <w:shd w:val="clear" w:color="auto" w:fill="auto"/>
          <w:lang w:eastAsia="zh-CN"/>
        </w:rPr>
        <w:t>印发之</w:t>
      </w:r>
      <w:r>
        <w:rPr>
          <w:rFonts w:hint="eastAsia" w:ascii="仿宋_GB2312" w:hAnsi="仿宋_GB2312" w:eastAsia="仿宋_GB2312" w:cs="仿宋_GB2312"/>
          <w:color w:val="auto"/>
          <w:sz w:val="32"/>
          <w:szCs w:val="32"/>
          <w:shd w:val="clear" w:color="auto" w:fill="auto"/>
        </w:rPr>
        <w:t>日起施行。</w:t>
      </w:r>
    </w:p>
    <w:p>
      <w:pPr>
        <w:widowControl w:val="0"/>
        <w:wordWrap/>
        <w:overflowPunct w:val="0"/>
        <w:adjustRightInd w:val="0"/>
        <w:snapToGrid w:val="0"/>
        <w:spacing w:line="574" w:lineRule="exact"/>
        <w:ind w:firstLine="640"/>
        <w:textAlignment w:val="auto"/>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spacing w:line="560" w:lineRule="exact"/>
        <w:ind w:firstLine="640"/>
        <w:rPr>
          <w:rFonts w:hint="default" w:ascii="Times New Roman" w:hAnsi="Times New Roman" w:eastAsia="方正仿宋_GBK" w:cs="Times New Roman"/>
          <w:color w:val="FF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r>
        <w:rPr>
          <w:rFonts w:hint="default" w:ascii="Times New Roman" w:hAnsi="Times New Roman" w:eastAsia="黑体" w:cs="Times New Roman"/>
          <w:color w:val="000000"/>
          <w:szCs w:val="32"/>
        </w:rPr>
        <w:t>附件2</w:t>
      </w: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焦作市生态环境行政处罚裁量基准</w:t>
      </w:r>
    </w:p>
    <w:p>
      <w:pPr>
        <w:widowControl w:val="0"/>
        <w:wordWrap/>
        <w:overflowPunct w:val="0"/>
        <w:adjustRightInd w:val="0"/>
        <w:snapToGrid w:val="0"/>
        <w:spacing w:line="574" w:lineRule="exact"/>
        <w:ind w:firstLine="0" w:firstLineChars="0"/>
        <w:textAlignment w:val="auto"/>
        <w:rPr>
          <w:rFonts w:hint="default" w:ascii="Times New Roman" w:hAnsi="Times New Roman" w:eastAsia="仿宋_GB2312" w:cs="Times New Roman"/>
          <w:color w:val="000000"/>
          <w:szCs w:val="32"/>
        </w:rPr>
      </w:pPr>
    </w:p>
    <w:p>
      <w:pPr>
        <w:widowControl w:val="0"/>
        <w:numPr>
          <w:ilvl w:val="0"/>
          <w:numId w:val="0"/>
        </w:numPr>
        <w:wordWrap/>
        <w:overflowPunct w:val="0"/>
        <w:adjustRightInd w:val="0"/>
        <w:snapToGrid w:val="0"/>
        <w:spacing w:line="574" w:lineRule="exact"/>
        <w:textAlignment w:val="auto"/>
        <w:rPr>
          <w:rFonts w:hint="default" w:ascii="Times New Roman" w:hAnsi="Times New Roman" w:eastAsia="黑体" w:cs="Times New Roman"/>
          <w:color w:val="000000"/>
          <w:szCs w:val="32"/>
          <w:lang w:eastAsia="zh-CN"/>
        </w:rPr>
      </w:pPr>
      <w:r>
        <w:rPr>
          <w:rFonts w:hint="default" w:ascii="Times New Roman" w:hAnsi="Times New Roman" w:eastAsia="黑体" w:cs="Times New Roman"/>
          <w:color w:val="000000"/>
          <w:szCs w:val="32"/>
          <w:lang w:val="en-US" w:eastAsia="zh-CN"/>
        </w:rPr>
        <w:t xml:space="preserve">    </w:t>
      </w:r>
      <w:r>
        <w:rPr>
          <w:rFonts w:hint="default" w:ascii="Times New Roman" w:hAnsi="Times New Roman" w:eastAsia="黑体" w:cs="Times New Roman"/>
          <w:color w:val="000000"/>
          <w:szCs w:val="32"/>
          <w:lang w:eastAsia="zh-CN"/>
        </w:rPr>
        <w:t>一、</w:t>
      </w:r>
      <w:r>
        <w:rPr>
          <w:rFonts w:hint="default" w:ascii="Times New Roman" w:hAnsi="Times New Roman" w:eastAsia="黑体" w:cs="Times New Roman"/>
          <w:color w:val="000000"/>
          <w:szCs w:val="32"/>
        </w:rPr>
        <w:t>焦作市北山生态环境保护</w:t>
      </w:r>
      <w:r>
        <w:rPr>
          <w:rFonts w:hint="default" w:ascii="Times New Roman" w:hAnsi="Times New Roman" w:eastAsia="黑体" w:cs="Times New Roman"/>
          <w:color w:val="000000"/>
          <w:szCs w:val="32"/>
          <w:lang w:eastAsia="zh-CN"/>
        </w:rPr>
        <w:t>类</w:t>
      </w:r>
    </w:p>
    <w:p>
      <w:pPr>
        <w:widowControl w:val="0"/>
        <w:numPr>
          <w:ilvl w:val="0"/>
          <w:numId w:val="0"/>
        </w:numPr>
        <w:wordWrap/>
        <w:overflowPunct w:val="0"/>
        <w:adjustRightInd w:val="0"/>
        <w:snapToGrid w:val="0"/>
        <w:spacing w:line="574" w:lineRule="exact"/>
        <w:textAlignment w:val="auto"/>
        <w:rPr>
          <w:rFonts w:hint="default" w:ascii="Times New Roman" w:hAnsi="Times New Roman" w:eastAsia="黑体" w:cs="Times New Roman"/>
          <w:color w:val="000000"/>
          <w:szCs w:val="32"/>
          <w:lang w:val="en-US" w:eastAsia="zh-CN"/>
        </w:rPr>
      </w:pPr>
      <w:r>
        <w:rPr>
          <w:rFonts w:hint="default" w:ascii="Times New Roman" w:hAnsi="Times New Roman" w:eastAsia="黑体" w:cs="Times New Roman"/>
          <w:color w:val="000000"/>
          <w:szCs w:val="32"/>
          <w:lang w:val="en-US" w:eastAsia="zh-CN"/>
        </w:rPr>
        <w:t xml:space="preserve">    二、</w:t>
      </w:r>
      <w:r>
        <w:rPr>
          <w:rFonts w:hint="default" w:ascii="Times New Roman" w:hAnsi="Times New Roman" w:eastAsia="黑体" w:cs="Times New Roman"/>
          <w:color w:val="000000"/>
          <w:szCs w:val="32"/>
        </w:rPr>
        <w:t>焦作市大气污染防治类</w:t>
      </w:r>
    </w:p>
    <w:p>
      <w:pPr>
        <w:widowControl w:val="0"/>
        <w:numPr>
          <w:ilvl w:val="0"/>
          <w:numId w:val="0"/>
        </w:numPr>
        <w:wordWrap/>
        <w:overflowPunct w:val="0"/>
        <w:adjustRightInd w:val="0"/>
        <w:snapToGrid w:val="0"/>
        <w:spacing w:line="574" w:lineRule="exact"/>
        <w:textAlignment w:val="auto"/>
        <w:rPr>
          <w:rFonts w:hint="default" w:ascii="Times New Roman" w:hAnsi="Times New Roman" w:eastAsia="黑体" w:cs="Times New Roman"/>
          <w:color w:val="000000"/>
          <w:szCs w:val="32"/>
          <w:lang w:val="en-US" w:eastAsia="zh-CN"/>
        </w:rPr>
      </w:pPr>
      <w:r>
        <w:rPr>
          <w:rFonts w:hint="default" w:ascii="Times New Roman" w:hAnsi="Times New Roman" w:eastAsia="黑体" w:cs="Times New Roman"/>
          <w:color w:val="000000"/>
          <w:szCs w:val="32"/>
          <w:lang w:val="en-US" w:eastAsia="zh-CN"/>
        </w:rPr>
        <w:t xml:space="preserve">    三、</w:t>
      </w:r>
      <w:r>
        <w:rPr>
          <w:rFonts w:hint="default" w:ascii="Times New Roman" w:hAnsi="Times New Roman" w:eastAsia="黑体" w:cs="Times New Roman"/>
          <w:color w:val="000000"/>
          <w:szCs w:val="32"/>
        </w:rPr>
        <w:t>焦作市</w:t>
      </w:r>
      <w:r>
        <w:rPr>
          <w:rFonts w:hint="default" w:ascii="Times New Roman" w:hAnsi="Times New Roman" w:eastAsia="黑体" w:cs="Times New Roman"/>
          <w:color w:val="000000"/>
          <w:szCs w:val="32"/>
          <w:lang w:eastAsia="zh-CN"/>
        </w:rPr>
        <w:t>水</w:t>
      </w:r>
      <w:r>
        <w:rPr>
          <w:rFonts w:hint="default" w:ascii="Times New Roman" w:hAnsi="Times New Roman" w:eastAsia="黑体" w:cs="Times New Roman"/>
          <w:color w:val="000000"/>
          <w:szCs w:val="32"/>
        </w:rPr>
        <w:t>污染防治类</w:t>
      </w:r>
    </w:p>
    <w:p>
      <w:pPr>
        <w:widowControl w:val="0"/>
        <w:numPr>
          <w:ilvl w:val="0"/>
          <w:numId w:val="0"/>
        </w:numPr>
        <w:wordWrap/>
        <w:overflowPunct w:val="0"/>
        <w:adjustRightInd w:val="0"/>
        <w:snapToGrid w:val="0"/>
        <w:spacing w:line="574" w:lineRule="exact"/>
        <w:jc w:val="both"/>
        <w:textAlignment w:val="auto"/>
        <w:rPr>
          <w:rFonts w:hint="default" w:ascii="Times New Roman" w:hAnsi="Times New Roman" w:eastAsia="黑体" w:cs="Times New Roman"/>
          <w:color w:val="000000"/>
          <w:szCs w:val="32"/>
          <w:lang w:eastAsia="zh-CN"/>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p>
      <w:pPr>
        <w:widowControl w:val="0"/>
        <w:wordWrap/>
        <w:overflowPunct w:val="0"/>
        <w:adjustRightInd w:val="0"/>
        <w:snapToGrid w:val="0"/>
        <w:spacing w:line="574" w:lineRule="exact"/>
        <w:ind w:firstLine="0" w:firstLineChars="0"/>
        <w:textAlignment w:val="auto"/>
        <w:rPr>
          <w:rFonts w:hint="default" w:ascii="Times New Roman" w:hAnsi="Times New Roman" w:eastAsia="黑体" w:cs="Times New Roman"/>
          <w:color w:val="000000"/>
          <w:szCs w:val="32"/>
        </w:rPr>
      </w:pPr>
    </w:p>
    <w:tbl>
      <w:tblPr>
        <w:tblStyle w:val="9"/>
        <w:tblW w:w="8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38"/>
        <w:gridCol w:w="5647"/>
        <w:gridCol w:w="17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0" w:hRule="atLeast"/>
          <w:jc w:val="center"/>
        </w:trPr>
        <w:tc>
          <w:tcPr>
            <w:tcW w:w="8874" w:type="dxa"/>
            <w:gridSpan w:val="3"/>
            <w:tcBorders>
              <w:top w:val="single" w:color="auto" w:sz="4" w:space="0"/>
              <w:left w:val="single" w:color="auto" w:sz="4" w:space="0"/>
              <w:bottom w:val="single" w:color="000000" w:sz="4" w:space="0"/>
              <w:right w:val="single" w:color="auto" w:sz="4" w:space="0"/>
            </w:tcBorders>
            <w:vAlign w:val="center"/>
          </w:tcPr>
          <w:p>
            <w:pPr>
              <w:widowControl/>
              <w:wordWrap/>
              <w:adjustRightInd w:val="0"/>
              <w:snapToGrid w:val="0"/>
              <w:spacing w:line="360" w:lineRule="exact"/>
              <w:ind w:left="0" w:leftChars="0" w:firstLine="0" w:firstLineChars="0"/>
              <w:jc w:val="center"/>
              <w:textAlignment w:val="center"/>
              <w:rPr>
                <w:rFonts w:hint="default" w:ascii="Times New Roman" w:hAnsi="Times New Roman" w:eastAsia="微软雅黑" w:cs="Times New Roman"/>
                <w:color w:val="auto"/>
                <w:sz w:val="28"/>
                <w:szCs w:val="28"/>
              </w:rPr>
            </w:pPr>
            <w:r>
              <w:rPr>
                <w:rFonts w:hint="default" w:ascii="Times New Roman" w:hAnsi="Times New Roman" w:eastAsia="黑体" w:cs="Times New Roman"/>
                <w:b w:val="0"/>
                <w:bCs w:val="0"/>
                <w:color w:val="auto"/>
                <w:kern w:val="0"/>
                <w:sz w:val="28"/>
                <w:szCs w:val="28"/>
                <w:lang w:eastAsia="zh-CN"/>
              </w:rPr>
              <w:t>焦作市</w:t>
            </w:r>
            <w:r>
              <w:rPr>
                <w:rFonts w:hint="default" w:ascii="Times New Roman" w:hAnsi="Times New Roman" w:eastAsia="黑体" w:cs="Times New Roman"/>
                <w:b w:val="0"/>
                <w:bCs w:val="0"/>
                <w:color w:val="auto"/>
                <w:kern w:val="0"/>
                <w:sz w:val="28"/>
                <w:szCs w:val="28"/>
              </w:rPr>
              <w:t>北山生态环境保护类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5" w:hRule="atLeast"/>
          <w:jc w:val="center"/>
        </w:trPr>
        <w:tc>
          <w:tcPr>
            <w:tcW w:w="1438" w:type="dxa"/>
            <w:tcBorders>
              <w:top w:val="single" w:color="000000" w:sz="4" w:space="0"/>
              <w:left w:val="single" w:color="auto"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违法行为</w:t>
            </w:r>
          </w:p>
        </w:tc>
        <w:tc>
          <w:tcPr>
            <w:tcW w:w="7436" w:type="dxa"/>
            <w:gridSpan w:val="2"/>
            <w:tcBorders>
              <w:top w:val="single" w:color="000000" w:sz="4" w:space="0"/>
              <w:left w:val="single" w:color="000000" w:sz="4" w:space="0"/>
              <w:bottom w:val="single" w:color="000000" w:sz="4" w:space="0"/>
              <w:right w:val="single" w:color="auto" w:sz="4" w:space="0"/>
            </w:tcBorders>
            <w:vAlign w:val="center"/>
          </w:tcPr>
          <w:p>
            <w:pPr>
              <w:widowControl/>
              <w:wordWrap/>
              <w:adjustRightInd w:val="0"/>
              <w:snapToGrid w:val="0"/>
              <w:spacing w:line="360" w:lineRule="exact"/>
              <w:ind w:firstLine="0" w:firstLineChars="0"/>
              <w:jc w:val="left"/>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移动、毁损、破坏保护区域标志、标识和保护设施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0" w:hRule="atLeast"/>
          <w:jc w:val="center"/>
        </w:trPr>
        <w:tc>
          <w:tcPr>
            <w:tcW w:w="1438" w:type="dxa"/>
            <w:tcBorders>
              <w:top w:val="single" w:color="000000" w:sz="4" w:space="0"/>
              <w:left w:val="single" w:color="auto" w:sz="4" w:space="0"/>
              <w:bottom w:val="single" w:color="auto"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违反条款</w:t>
            </w:r>
          </w:p>
        </w:tc>
        <w:tc>
          <w:tcPr>
            <w:tcW w:w="7436" w:type="dxa"/>
            <w:gridSpan w:val="2"/>
            <w:tcBorders>
              <w:top w:val="single" w:color="000000" w:sz="4" w:space="0"/>
              <w:left w:val="single" w:color="000000" w:sz="4" w:space="0"/>
              <w:bottom w:val="single" w:color="auto" w:sz="4" w:space="0"/>
              <w:right w:val="single" w:color="auto" w:sz="4" w:space="0"/>
            </w:tcBorders>
            <w:vAlign w:val="center"/>
          </w:tcPr>
          <w:p>
            <w:pPr>
              <w:widowControl/>
              <w:wordWrap/>
              <w:adjustRightInd w:val="0"/>
              <w:snapToGrid w:val="0"/>
              <w:spacing w:line="360" w:lineRule="exact"/>
              <w:ind w:firstLine="0" w:firstLineChars="0"/>
              <w:jc w:val="left"/>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《焦作市北山生态环境保护条例》第十六条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市协调管理机构应当会同有关行政主管部门统一设置保护区域标志、标识和保护设施。任何组织和个人不得擅自移动、毁损、破坏。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5" w:hRule="atLeast"/>
          <w:jc w:val="center"/>
        </w:trPr>
        <w:tc>
          <w:tcPr>
            <w:tcW w:w="1438"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处罚依据</w:t>
            </w:r>
          </w:p>
        </w:tc>
        <w:tc>
          <w:tcPr>
            <w:tcW w:w="7436" w:type="dxa"/>
            <w:gridSpan w:val="2"/>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left"/>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《焦作市北山生态环境保护条例》第四十</w:t>
            </w:r>
            <w:r>
              <w:rPr>
                <w:rFonts w:hint="eastAsia" w:ascii="仿宋_GB2312" w:hAnsi="仿宋_GB2312" w:eastAsia="仿宋_GB2312" w:cs="仿宋_GB2312"/>
                <w:color w:val="auto"/>
                <w:sz w:val="28"/>
                <w:szCs w:val="28"/>
                <w:lang w:eastAsia="zh-CN"/>
              </w:rPr>
              <w:t>一</w:t>
            </w:r>
            <w:r>
              <w:rPr>
                <w:rFonts w:hint="eastAsia" w:ascii="仿宋_GB2312" w:hAnsi="仿宋_GB2312" w:eastAsia="仿宋_GB2312" w:cs="仿宋_GB2312"/>
                <w:color w:val="auto"/>
                <w:sz w:val="28"/>
                <w:szCs w:val="28"/>
              </w:rPr>
              <w:t>条</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 xml:space="preserve"> 违反本条例第十六条规定，擅自移动、毁损、破坏保护区域标志、标识和保护设施的，由</w:t>
            </w:r>
            <w:r>
              <w:rPr>
                <w:rFonts w:hint="eastAsia" w:ascii="仿宋_GB2312" w:hAnsi="仿宋_GB2312" w:eastAsia="仿宋_GB2312" w:cs="仿宋_GB2312"/>
                <w:color w:val="auto"/>
                <w:sz w:val="28"/>
                <w:szCs w:val="28"/>
                <w:lang w:eastAsia="zh-CN"/>
              </w:rPr>
              <w:t>生态环境</w:t>
            </w:r>
            <w:r>
              <w:rPr>
                <w:rFonts w:hint="eastAsia" w:ascii="仿宋_GB2312" w:hAnsi="仿宋_GB2312" w:eastAsia="仿宋_GB2312" w:cs="仿宋_GB2312"/>
                <w:color w:val="auto"/>
                <w:sz w:val="28"/>
                <w:szCs w:val="28"/>
              </w:rPr>
              <w:t>主管部门责令改正，限期恢复原状，可以处二百元以上五百元以下的罚款。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0" w:hRule="atLeast"/>
          <w:jc w:val="center"/>
        </w:trPr>
        <w:tc>
          <w:tcPr>
            <w:tcW w:w="1438"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裁量因素</w:t>
            </w: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判定标准</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裁量等级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3" w:hRule="atLeast"/>
          <w:jc w:val="center"/>
        </w:trPr>
        <w:tc>
          <w:tcPr>
            <w:tcW w:w="1438"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★违法行为</w:t>
            </w: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擅自移动</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毁损</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5"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破坏</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6" w:hRule="atLeast"/>
          <w:jc w:val="center"/>
        </w:trPr>
        <w:tc>
          <w:tcPr>
            <w:tcW w:w="1438"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保护区类别</w:t>
            </w: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三类保护区</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6"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二类保护区</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2"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一类保护区</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8" w:hRule="atLeast"/>
          <w:jc w:val="center"/>
        </w:trPr>
        <w:tc>
          <w:tcPr>
            <w:tcW w:w="1438"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涉及保护区域标志、标识和保护设施数量</w:t>
            </w: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一个（米）</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2"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二个（米）</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三个（米）及以上</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9" w:hRule="atLeast"/>
          <w:jc w:val="center"/>
        </w:trPr>
        <w:tc>
          <w:tcPr>
            <w:tcW w:w="1438"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受处罚次数</w:t>
            </w: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两年内未受到过同类处罚</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两年内受到同类处罚1次</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9"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两年内受到同类处罚2次</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0" w:hRule="atLeast"/>
          <w:jc w:val="center"/>
        </w:trPr>
        <w:tc>
          <w:tcPr>
            <w:tcW w:w="1438" w:type="dxa"/>
            <w:vMerge w:val="restart"/>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是否配合</w:t>
            </w:r>
          </w:p>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执法检查</w:t>
            </w: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配合调查</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不配合调查，拒绝提供证据</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jc w:val="center"/>
        </w:trPr>
        <w:tc>
          <w:tcPr>
            <w:tcW w:w="1438" w:type="dxa"/>
            <w:vMerge w:val="continue"/>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p>
        </w:tc>
        <w:tc>
          <w:tcPr>
            <w:tcW w:w="5647"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伪造变造证据、弄虚作假的</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9" w:hRule="atLeast"/>
          <w:jc w:val="center"/>
        </w:trPr>
        <w:tc>
          <w:tcPr>
            <w:tcW w:w="1438" w:type="dxa"/>
            <w:tcBorders>
              <w:top w:val="single" w:color="000000" w:sz="4" w:space="0"/>
              <w:left w:val="single" w:color="000000" w:sz="4" w:space="0"/>
              <w:bottom w:val="single" w:color="000000" w:sz="4" w:space="0"/>
              <w:right w:val="single" w:color="000000" w:sz="4" w:space="0"/>
            </w:tcBorders>
            <w:vAlign w:val="center"/>
          </w:tcPr>
          <w:p>
            <w:pPr>
              <w:widowControl/>
              <w:wordWrap/>
              <w:adjustRightInd w:val="0"/>
              <w:snapToGrid w:val="0"/>
              <w:spacing w:line="360" w:lineRule="exact"/>
              <w:ind w:firstLine="0" w:firstLineChars="0"/>
              <w:jc w:val="center"/>
              <w:textAlignment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备注</w:t>
            </w:r>
          </w:p>
        </w:tc>
        <w:tc>
          <w:tcPr>
            <w:tcW w:w="5647" w:type="dxa"/>
            <w:tcBorders>
              <w:top w:val="single" w:color="000000" w:sz="4" w:space="0"/>
              <w:left w:val="single" w:color="000000" w:sz="4" w:space="0"/>
              <w:bottom w:val="single" w:color="000000" w:sz="4" w:space="0"/>
              <w:right w:val="single" w:color="000000" w:sz="4" w:space="0"/>
            </w:tcBorders>
            <w:vAlign w:val="top"/>
          </w:tcPr>
          <w:p>
            <w:pPr>
              <w:widowControl/>
              <w:wordWrap/>
              <w:adjustRightInd w:val="0"/>
              <w:snapToGrid w:val="0"/>
              <w:spacing w:line="360" w:lineRule="exact"/>
              <w:ind w:firstLine="0" w:firstLineChars="0"/>
              <w:jc w:val="left"/>
              <w:textAlignment w:val="center"/>
              <w:rPr>
                <w:rFonts w:hint="eastAsia" w:ascii="仿宋_GB2312" w:hAnsi="仿宋_GB2312" w:eastAsia="仿宋_GB2312" w:cs="仿宋_GB2312"/>
                <w:color w:val="auto"/>
                <w:sz w:val="28"/>
                <w:szCs w:val="28"/>
              </w:rPr>
            </w:pPr>
          </w:p>
        </w:tc>
        <w:tc>
          <w:tcPr>
            <w:tcW w:w="1789" w:type="dxa"/>
            <w:tcBorders>
              <w:top w:val="single" w:color="000000" w:sz="4" w:space="0"/>
              <w:left w:val="single" w:color="000000" w:sz="4" w:space="0"/>
              <w:bottom w:val="single" w:color="000000" w:sz="4" w:space="0"/>
              <w:right w:val="single" w:color="000000" w:sz="4" w:space="0"/>
            </w:tcBorders>
            <w:vAlign w:val="top"/>
          </w:tcPr>
          <w:p>
            <w:pPr>
              <w:widowControl/>
              <w:wordWrap/>
              <w:adjustRightInd w:val="0"/>
              <w:snapToGrid w:val="0"/>
              <w:spacing w:line="360" w:lineRule="exact"/>
              <w:ind w:firstLine="0" w:firstLineChars="0"/>
              <w:jc w:val="left"/>
              <w:textAlignment w:val="center"/>
              <w:rPr>
                <w:rFonts w:hint="eastAsia" w:ascii="仿宋_GB2312" w:hAnsi="仿宋_GB2312" w:eastAsia="仿宋_GB2312" w:cs="仿宋_GB2312"/>
                <w:color w:val="auto"/>
                <w:sz w:val="28"/>
                <w:szCs w:val="28"/>
              </w:rPr>
            </w:pPr>
          </w:p>
        </w:tc>
      </w:tr>
    </w:tbl>
    <w:p>
      <w:pPr>
        <w:widowControl w:val="0"/>
        <w:wordWrap/>
        <w:adjustRightInd/>
        <w:snapToGrid/>
        <w:spacing w:line="20" w:lineRule="exact"/>
        <w:ind w:firstLine="0" w:firstLineChars="0"/>
        <w:textAlignment w:val="auto"/>
        <w:rPr>
          <w:rFonts w:hint="eastAsia" w:ascii="仿宋_GB2312" w:hAnsi="仿宋_GB2312" w:eastAsia="仿宋_GB2312" w:cs="仿宋_GB2312"/>
          <w:color w:val="333333"/>
          <w:sz w:val="28"/>
          <w:szCs w:val="28"/>
          <w:shd w:val="clear" w:color="auto" w:fill="FFFFFF"/>
        </w:rPr>
      </w:pPr>
    </w:p>
    <w:tbl>
      <w:tblPr>
        <w:tblStyle w:val="9"/>
        <w:tblW w:w="89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68"/>
        <w:gridCol w:w="5791"/>
        <w:gridCol w:w="16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8918" w:type="dxa"/>
            <w:gridSpan w:val="3"/>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left="0" w:leftChars="0" w:firstLine="0" w:firstLineChars="0"/>
              <w:jc w:val="center"/>
              <w:textAlignment w:val="center"/>
              <w:rPr>
                <w:rFonts w:hint="default" w:ascii="Times New Roman" w:hAnsi="Times New Roman" w:eastAsia="微软雅黑" w:cs="Times New Roman"/>
                <w:color w:val="333333"/>
                <w:sz w:val="28"/>
                <w:szCs w:val="28"/>
              </w:rPr>
            </w:pPr>
            <w:r>
              <w:rPr>
                <w:rFonts w:hint="default" w:ascii="Times New Roman" w:hAnsi="Times New Roman" w:eastAsia="黑体" w:cs="Times New Roman"/>
                <w:b w:val="0"/>
                <w:bCs w:val="0"/>
                <w:color w:val="333333"/>
                <w:kern w:val="0"/>
                <w:sz w:val="28"/>
                <w:szCs w:val="28"/>
                <w:lang w:eastAsia="zh-CN"/>
              </w:rPr>
              <w:t>焦作市</w:t>
            </w:r>
            <w:r>
              <w:rPr>
                <w:rFonts w:hint="default" w:ascii="Times New Roman" w:hAnsi="Times New Roman" w:eastAsia="黑体" w:cs="Times New Roman"/>
                <w:b w:val="0"/>
                <w:bCs w:val="0"/>
                <w:color w:val="333333"/>
                <w:kern w:val="0"/>
                <w:sz w:val="28"/>
                <w:szCs w:val="28"/>
              </w:rPr>
              <w:t>北山生态环境保护类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1468"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违法行为</w:t>
            </w:r>
          </w:p>
        </w:tc>
        <w:tc>
          <w:tcPr>
            <w:tcW w:w="7450" w:type="dxa"/>
            <w:gridSpan w:val="2"/>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both"/>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生产未采取喷淋、密闭、围挡等防尘措施，场地路面、车辆行驶道路未进行硬化、清扫、洒水等防尘处理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1468"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违反条款</w:t>
            </w:r>
          </w:p>
        </w:tc>
        <w:tc>
          <w:tcPr>
            <w:tcW w:w="7450" w:type="dxa"/>
            <w:gridSpan w:val="2"/>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both"/>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《焦作市北山生态环境保护条例》第二十八条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在北山从事生产、加工、贮存、运输等易产生扬尘污染活动的，应当符合下列要求</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（一）生产、建设等生产应当采取喷淋、密闭、围挡等防尘措施，场地路面、车辆行驶道路应当进行硬化、清扫、洒水等防尘处理；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0" w:hRule="atLeast"/>
          <w:jc w:val="center"/>
        </w:trPr>
        <w:tc>
          <w:tcPr>
            <w:tcW w:w="1468"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处罚依据</w:t>
            </w:r>
          </w:p>
        </w:tc>
        <w:tc>
          <w:tcPr>
            <w:tcW w:w="7450" w:type="dxa"/>
            <w:gridSpan w:val="2"/>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both"/>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《焦作市北山生态环境保护条例》第四十</w:t>
            </w:r>
            <w:r>
              <w:rPr>
                <w:rFonts w:hint="eastAsia" w:ascii="仿宋_GB2312" w:hAnsi="仿宋_GB2312" w:eastAsia="仿宋_GB2312" w:cs="仿宋_GB2312"/>
                <w:color w:val="000000"/>
                <w:sz w:val="28"/>
                <w:szCs w:val="28"/>
                <w:lang w:eastAsia="zh-CN"/>
              </w:rPr>
              <w:t>三</w:t>
            </w:r>
            <w:r>
              <w:rPr>
                <w:rFonts w:hint="eastAsia" w:ascii="仿宋_GB2312" w:hAnsi="仿宋_GB2312" w:eastAsia="仿宋_GB2312" w:cs="仿宋_GB2312"/>
                <w:color w:val="000000"/>
                <w:sz w:val="28"/>
                <w:szCs w:val="28"/>
              </w:rPr>
              <w:t>条</w:t>
            </w:r>
            <w:r>
              <w:rPr>
                <w:rFonts w:hint="eastAsia" w:ascii="仿宋_GB2312" w:hAnsi="仿宋_GB2312" w:eastAsia="仿宋_GB2312" w:cs="仿宋_GB2312"/>
                <w:color w:val="000000"/>
                <w:sz w:val="28"/>
                <w:szCs w:val="28"/>
                <w:lang w:eastAsia="zh-CN"/>
              </w:rPr>
              <w:t>第一款</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违反本条例第二十八条第一项、第二项规定，生产、建设等场地未采取喷淋、密闭、围挡等防尘措施，或者堆放物料、垃圾未采取喷淋、封闭、遮盖等防尘措施的，由</w:t>
            </w:r>
            <w:r>
              <w:rPr>
                <w:rFonts w:hint="eastAsia" w:ascii="仿宋_GB2312" w:hAnsi="仿宋_GB2312" w:eastAsia="仿宋_GB2312" w:cs="仿宋_GB2312"/>
                <w:color w:val="000000"/>
                <w:sz w:val="28"/>
                <w:szCs w:val="28"/>
                <w:lang w:eastAsia="zh-CN"/>
              </w:rPr>
              <w:t>生态环境</w:t>
            </w:r>
            <w:r>
              <w:rPr>
                <w:rFonts w:hint="eastAsia" w:ascii="仿宋_GB2312" w:hAnsi="仿宋_GB2312" w:eastAsia="仿宋_GB2312" w:cs="仿宋_GB2312"/>
                <w:color w:val="000000"/>
                <w:sz w:val="28"/>
                <w:szCs w:val="28"/>
              </w:rPr>
              <w:t>、住房和城乡建设等主管部门按照职责责令整改，并处以</w:t>
            </w:r>
            <w:r>
              <w:rPr>
                <w:rFonts w:hint="eastAsia" w:ascii="仿宋_GB2312" w:hAnsi="仿宋_GB2312" w:eastAsia="仿宋_GB2312" w:cs="仿宋_GB2312"/>
                <w:color w:val="000000"/>
                <w:sz w:val="28"/>
                <w:szCs w:val="28"/>
                <w:lang w:eastAsia="zh-CN"/>
              </w:rPr>
              <w:t>二</w:t>
            </w:r>
            <w:r>
              <w:rPr>
                <w:rFonts w:hint="eastAsia" w:ascii="仿宋_GB2312" w:hAnsi="仿宋_GB2312" w:eastAsia="仿宋_GB2312" w:cs="仿宋_GB2312"/>
                <w:color w:val="000000"/>
                <w:sz w:val="28"/>
                <w:szCs w:val="28"/>
              </w:rPr>
              <w:t>万元以上十万元以下的罚款；拒不改正的，可以自责令整改之日的次日起，按照原处罚数额按日连续处罚。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1468"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裁量因素</w:t>
            </w: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判定标准</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裁量等级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468" w:type="dxa"/>
            <w:vMerge w:val="restart"/>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★违法事实</w:t>
            </w:r>
          </w:p>
        </w:tc>
        <w:tc>
          <w:tcPr>
            <w:tcW w:w="5791" w:type="dxa"/>
            <w:tcBorders>
              <w:top w:val="single" w:color="000000" w:sz="4" w:space="0"/>
              <w:left w:val="single" w:color="000000" w:sz="4" w:space="0"/>
              <w:bottom w:val="single" w:color="000000" w:sz="4" w:space="0"/>
              <w:right w:val="single" w:color="000000" w:sz="4" w:space="0"/>
            </w:tcBorders>
            <w:vAlign w:val="top"/>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已落实落实喷淋、密闭、围挡</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硬化、清扫、洒水等措施，</w:t>
            </w:r>
            <w:r>
              <w:rPr>
                <w:rFonts w:hint="eastAsia" w:ascii="仿宋_GB2312" w:hAnsi="仿宋_GB2312" w:eastAsia="仿宋_GB2312" w:cs="仿宋_GB2312"/>
                <w:color w:val="000000"/>
                <w:kern w:val="2"/>
                <w:sz w:val="28"/>
                <w:szCs w:val="28"/>
                <w:shd w:val="clear" w:color="auto" w:fill="auto"/>
                <w:lang w:eastAsia="zh-CN"/>
              </w:rPr>
              <w:t>但未按规定使用或管理，</w:t>
            </w:r>
            <w:r>
              <w:rPr>
                <w:rFonts w:hint="eastAsia" w:ascii="仿宋_GB2312" w:hAnsi="仿宋_GB2312" w:eastAsia="仿宋_GB2312" w:cs="仿宋_GB2312"/>
                <w:color w:val="000000"/>
                <w:sz w:val="28"/>
                <w:szCs w:val="28"/>
              </w:rPr>
              <w:t>造成</w:t>
            </w:r>
            <w:r>
              <w:rPr>
                <w:rFonts w:hint="eastAsia" w:ascii="仿宋_GB2312" w:hAnsi="仿宋_GB2312" w:eastAsia="仿宋_GB2312" w:cs="仿宋_GB2312"/>
                <w:color w:val="000000"/>
                <w:sz w:val="28"/>
                <w:szCs w:val="28"/>
                <w:lang w:eastAsia="zh-CN"/>
              </w:rPr>
              <w:t>少量</w:t>
            </w:r>
            <w:r>
              <w:rPr>
                <w:rFonts w:hint="eastAsia" w:ascii="仿宋_GB2312" w:hAnsi="仿宋_GB2312" w:eastAsia="仿宋_GB2312" w:cs="仿宋_GB2312"/>
                <w:color w:val="000000"/>
                <w:sz w:val="28"/>
                <w:szCs w:val="28"/>
              </w:rPr>
              <w:t>物料抛洒，粉尘和气态污染物</w:t>
            </w:r>
            <w:r>
              <w:rPr>
                <w:rFonts w:hint="eastAsia" w:ascii="仿宋_GB2312" w:hAnsi="仿宋_GB2312" w:eastAsia="仿宋_GB2312" w:cs="仿宋_GB2312"/>
                <w:color w:val="000000"/>
                <w:sz w:val="28"/>
                <w:szCs w:val="28"/>
                <w:lang w:eastAsia="zh-CN"/>
              </w:rPr>
              <w:t>少量</w:t>
            </w:r>
            <w:r>
              <w:rPr>
                <w:rFonts w:hint="eastAsia" w:ascii="仿宋_GB2312" w:hAnsi="仿宋_GB2312" w:eastAsia="仿宋_GB2312" w:cs="仿宋_GB2312"/>
                <w:color w:val="000000"/>
                <w:sz w:val="28"/>
                <w:szCs w:val="28"/>
              </w:rPr>
              <w:t>泄漏、逸散。</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top"/>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部分落实喷淋、密闭、围挡</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硬化、清扫、洒水等</w:t>
            </w:r>
            <w:r>
              <w:rPr>
                <w:rFonts w:hint="eastAsia" w:ascii="仿宋_GB2312" w:hAnsi="仿宋_GB2312" w:eastAsia="仿宋_GB2312" w:cs="仿宋_GB2312"/>
                <w:color w:val="000000"/>
                <w:sz w:val="28"/>
                <w:szCs w:val="28"/>
                <w:lang w:eastAsia="zh-CN"/>
              </w:rPr>
              <w:t>某项</w:t>
            </w:r>
            <w:r>
              <w:rPr>
                <w:rFonts w:hint="eastAsia" w:ascii="仿宋_GB2312" w:hAnsi="仿宋_GB2312" w:eastAsia="仿宋_GB2312" w:cs="仿宋_GB2312"/>
                <w:color w:val="000000"/>
                <w:sz w:val="28"/>
                <w:szCs w:val="28"/>
              </w:rPr>
              <w:t>措施</w:t>
            </w:r>
            <w:r>
              <w:rPr>
                <w:rFonts w:hint="eastAsia" w:ascii="仿宋_GB2312" w:hAnsi="仿宋_GB2312" w:eastAsia="仿宋_GB2312" w:cs="仿宋_GB2312"/>
                <w:color w:val="000000"/>
                <w:sz w:val="28"/>
                <w:szCs w:val="28"/>
                <w:lang w:eastAsia="zh-CN"/>
              </w:rPr>
              <w:t>。</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top"/>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未落实落实喷淋、密闭、围挡</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硬化、清扫、洒水等</w:t>
            </w:r>
            <w:r>
              <w:rPr>
                <w:rFonts w:hint="eastAsia" w:ascii="仿宋_GB2312" w:hAnsi="仿宋_GB2312" w:eastAsia="仿宋_GB2312" w:cs="仿宋_GB2312"/>
                <w:color w:val="000000"/>
                <w:sz w:val="28"/>
                <w:szCs w:val="28"/>
                <w:lang w:eastAsia="zh-CN"/>
              </w:rPr>
              <w:t>任一</w:t>
            </w:r>
            <w:r>
              <w:rPr>
                <w:rFonts w:hint="eastAsia" w:ascii="仿宋_GB2312" w:hAnsi="仿宋_GB2312" w:eastAsia="仿宋_GB2312" w:cs="仿宋_GB2312"/>
                <w:color w:val="000000"/>
                <w:sz w:val="28"/>
                <w:szCs w:val="28"/>
              </w:rPr>
              <w:t>措施</w:t>
            </w:r>
            <w:r>
              <w:rPr>
                <w:rFonts w:hint="eastAsia" w:ascii="仿宋_GB2312" w:hAnsi="仿宋_GB2312" w:eastAsia="仿宋_GB2312" w:cs="仿宋_GB2312"/>
                <w:color w:val="000000"/>
                <w:sz w:val="28"/>
                <w:szCs w:val="28"/>
                <w:lang w:eastAsia="zh-CN"/>
              </w:rPr>
              <w:t>。</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468" w:type="dxa"/>
            <w:vMerge w:val="restart"/>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项目建设</w:t>
            </w: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地点</w:t>
            </w: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三类保护区</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3"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二类保护区</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一类保护区</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7" w:hRule="atLeast"/>
          <w:jc w:val="center"/>
        </w:trPr>
        <w:tc>
          <w:tcPr>
            <w:tcW w:w="1468" w:type="dxa"/>
            <w:vMerge w:val="restart"/>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生产场地及道路面积</w:t>
            </w: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占地面积500m²以内的</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7"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占地面积500m²以上2000m²以内的</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占地面积2000m²及以上的</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1468" w:type="dxa"/>
            <w:vMerge w:val="restart"/>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lang w:eastAsia="zh-CN"/>
              </w:rPr>
            </w:pPr>
            <w:r>
              <w:rPr>
                <w:rFonts w:hint="eastAsia" w:ascii="仿宋_GB2312" w:hAnsi="仿宋_GB2312" w:eastAsia="仿宋_GB2312" w:cs="仿宋_GB2312"/>
                <w:b/>
                <w:bCs/>
                <w:color w:val="000000"/>
                <w:sz w:val="28"/>
                <w:szCs w:val="28"/>
                <w:lang w:eastAsia="zh-CN"/>
              </w:rPr>
              <w:t>受处罚次数</w:t>
            </w: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两年内未受到过同类处罚</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9"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两年内受到同类处罚1次</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两年内受到同类处罚2次</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1468" w:type="dxa"/>
            <w:vMerge w:val="restart"/>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是否配合</w:t>
            </w: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执法检查</w:t>
            </w: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配合调查</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0"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不配合调查，拒绝提供证据</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5" w:hRule="atLeast"/>
          <w:jc w:val="center"/>
        </w:trPr>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5791"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伪造变造证据、弄虚作假的</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6" w:hRule="atLeast"/>
          <w:jc w:val="center"/>
        </w:trPr>
        <w:tc>
          <w:tcPr>
            <w:tcW w:w="1468" w:type="dxa"/>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c>
          <w:tcPr>
            <w:tcW w:w="7450" w:type="dxa"/>
            <w:gridSpan w:val="2"/>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p>
        </w:tc>
      </w:tr>
    </w:tbl>
    <w:p>
      <w:pPr>
        <w:widowControl w:val="0"/>
        <w:wordWrap/>
        <w:overflowPunct w:val="0"/>
        <w:adjustRightInd w:val="0"/>
        <w:snapToGrid w:val="0"/>
        <w:spacing w:line="20" w:lineRule="exact"/>
        <w:ind w:firstLine="0" w:firstLineChars="0"/>
        <w:textAlignment w:val="auto"/>
        <w:rPr>
          <w:rFonts w:hint="default" w:ascii="Times New Roman" w:hAnsi="Times New Roman" w:eastAsia="微软雅黑" w:cs="Times New Roman"/>
          <w:color w:val="333333"/>
          <w:shd w:val="clear" w:color="auto" w:fill="FFFFFF"/>
        </w:rPr>
      </w:pPr>
    </w:p>
    <w:tbl>
      <w:tblPr>
        <w:tblStyle w:val="9"/>
        <w:tblW w:w="8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40"/>
        <w:gridCol w:w="6070"/>
        <w:gridCol w:w="12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8874" w:type="dxa"/>
            <w:gridSpan w:val="3"/>
            <w:tcBorders>
              <w:top w:val="single" w:color="auto" w:sz="4" w:space="0"/>
              <w:left w:val="single" w:color="auto" w:sz="4" w:space="0"/>
              <w:bottom w:val="single" w:color="000000" w:sz="4" w:space="0"/>
              <w:right w:val="single" w:color="auto" w:sz="4" w:space="0"/>
            </w:tcBorders>
            <w:vAlign w:val="center"/>
          </w:tcPr>
          <w:p>
            <w:pPr>
              <w:widowControl w:val="0"/>
              <w:wordWrap/>
              <w:overflowPunct w:val="0"/>
              <w:adjustRightInd w:val="0"/>
              <w:snapToGrid w:val="0"/>
              <w:spacing w:line="280" w:lineRule="exact"/>
              <w:ind w:left="0" w:leftChars="0" w:firstLine="0" w:firstLineChars="0"/>
              <w:jc w:val="center"/>
              <w:textAlignment w:val="center"/>
              <w:rPr>
                <w:rFonts w:hint="default" w:ascii="Times New Roman" w:hAnsi="Times New Roman" w:cs="Times New Roman"/>
                <w:color w:val="000000"/>
                <w:sz w:val="28"/>
                <w:szCs w:val="28"/>
              </w:rPr>
            </w:pPr>
            <w:r>
              <w:rPr>
                <w:rFonts w:hint="default" w:ascii="Times New Roman" w:hAnsi="Times New Roman" w:eastAsia="黑体" w:cs="Times New Roman"/>
                <w:b w:val="0"/>
                <w:bCs w:val="0"/>
                <w:color w:val="333333"/>
                <w:kern w:val="0"/>
                <w:sz w:val="28"/>
                <w:szCs w:val="28"/>
                <w:lang w:eastAsia="zh-CN"/>
              </w:rPr>
              <w:t>焦作市</w:t>
            </w:r>
            <w:r>
              <w:rPr>
                <w:rFonts w:hint="default" w:ascii="Times New Roman" w:hAnsi="Times New Roman" w:eastAsia="黑体" w:cs="Times New Roman"/>
                <w:b w:val="0"/>
                <w:bCs w:val="0"/>
                <w:color w:val="333333"/>
                <w:kern w:val="0"/>
                <w:sz w:val="28"/>
                <w:szCs w:val="28"/>
              </w:rPr>
              <w:t>北山生态环境保护类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tcBorders>
              <w:top w:val="single" w:color="auto"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违法行为</w:t>
            </w:r>
          </w:p>
        </w:tc>
        <w:tc>
          <w:tcPr>
            <w:tcW w:w="7334" w:type="dxa"/>
            <w:gridSpan w:val="2"/>
            <w:tcBorders>
              <w:top w:val="single" w:color="auto" w:sz="4" w:space="0"/>
              <w:bottom w:val="single" w:color="000000" w:sz="4" w:space="0"/>
              <w:right w:val="single" w:color="000000" w:sz="4" w:space="0"/>
            </w:tcBorders>
            <w:vAlign w:val="top"/>
          </w:tcPr>
          <w:p>
            <w:pPr>
              <w:widowControl w:val="0"/>
              <w:wordWrap/>
              <w:overflowPunct w:val="0"/>
              <w:adjustRightInd w:val="0"/>
              <w:snapToGrid w:val="0"/>
              <w:spacing w:line="280" w:lineRule="exact"/>
              <w:ind w:firstLine="0" w:firstLineChars="0"/>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堆放易产生扬尘污染的物料、垃圾的，未采取喷淋、封闭、遮盖等防尘措施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违反条款</w:t>
            </w:r>
          </w:p>
        </w:tc>
        <w:tc>
          <w:tcPr>
            <w:tcW w:w="7334" w:type="dxa"/>
            <w:gridSpan w:val="2"/>
            <w:tcBorders>
              <w:bottom w:val="single" w:color="000000" w:sz="4" w:space="0"/>
              <w:right w:val="single" w:color="000000" w:sz="4" w:space="0"/>
            </w:tcBorders>
            <w:vAlign w:val="top"/>
          </w:tcPr>
          <w:p>
            <w:pPr>
              <w:widowControl w:val="0"/>
              <w:wordWrap/>
              <w:overflowPunct w:val="0"/>
              <w:adjustRightInd w:val="0"/>
              <w:snapToGrid w:val="0"/>
              <w:spacing w:line="280" w:lineRule="exact"/>
              <w:ind w:firstLine="0" w:firstLineChars="0"/>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《焦作市北山生态环境保护条例》第二十八条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在北山从事生产、加工、贮存、运输等易产生扬尘污染活动的，应当符合下列要求:　（二）堆放易产生扬尘污染的物料、垃圾的，应当采取喷淋、封闭、遮盖等防尘措施；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086" w:hRule="atLeast"/>
          <w:jc w:val="center"/>
        </w:trPr>
        <w:tc>
          <w:tcPr>
            <w:tcW w:w="1540" w:type="dxa"/>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处罚依据</w:t>
            </w:r>
          </w:p>
        </w:tc>
        <w:tc>
          <w:tcPr>
            <w:tcW w:w="7334" w:type="dxa"/>
            <w:gridSpan w:val="2"/>
            <w:tcBorders>
              <w:bottom w:val="single" w:color="000000" w:sz="4" w:space="0"/>
              <w:right w:val="single" w:color="000000" w:sz="4" w:space="0"/>
            </w:tcBorders>
            <w:vAlign w:val="top"/>
          </w:tcPr>
          <w:p>
            <w:pPr>
              <w:widowControl w:val="0"/>
              <w:wordWrap/>
              <w:overflowPunct w:val="0"/>
              <w:adjustRightInd w:val="0"/>
              <w:snapToGrid w:val="0"/>
              <w:spacing w:line="280" w:lineRule="exact"/>
              <w:ind w:firstLine="0" w:firstLineChars="0"/>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《焦作市北山生态环境保护条例》第四十</w:t>
            </w:r>
            <w:r>
              <w:rPr>
                <w:rFonts w:hint="eastAsia" w:ascii="仿宋_GB2312" w:hAnsi="仿宋_GB2312" w:eastAsia="仿宋_GB2312" w:cs="仿宋_GB2312"/>
                <w:color w:val="000000"/>
                <w:sz w:val="28"/>
                <w:szCs w:val="28"/>
                <w:lang w:eastAsia="zh-CN"/>
              </w:rPr>
              <w:t>三</w:t>
            </w:r>
            <w:r>
              <w:rPr>
                <w:rFonts w:hint="eastAsia" w:ascii="仿宋_GB2312" w:hAnsi="仿宋_GB2312" w:eastAsia="仿宋_GB2312" w:cs="仿宋_GB2312"/>
                <w:color w:val="000000"/>
                <w:sz w:val="28"/>
                <w:szCs w:val="28"/>
              </w:rPr>
              <w:t xml:space="preserve">条第一款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违反本条例第二十八条第一项、第二项规定，生产、建设等场地未采取喷淋、密闭、围挡等防尘措施，或者堆放物料、垃圾未采取喷淋、封闭、遮盖等防尘措施的，由</w:t>
            </w:r>
            <w:r>
              <w:rPr>
                <w:rFonts w:hint="eastAsia" w:ascii="仿宋_GB2312" w:hAnsi="仿宋_GB2312" w:eastAsia="仿宋_GB2312" w:cs="仿宋_GB2312"/>
                <w:color w:val="000000"/>
                <w:sz w:val="28"/>
                <w:szCs w:val="28"/>
                <w:lang w:eastAsia="zh-CN"/>
              </w:rPr>
              <w:t>生态环境</w:t>
            </w:r>
            <w:r>
              <w:rPr>
                <w:rFonts w:hint="eastAsia" w:ascii="仿宋_GB2312" w:hAnsi="仿宋_GB2312" w:eastAsia="仿宋_GB2312" w:cs="仿宋_GB2312"/>
                <w:color w:val="000000"/>
                <w:sz w:val="28"/>
                <w:szCs w:val="28"/>
              </w:rPr>
              <w:t>、住房和城乡建设等主管部门按照职责责令整改，并处以</w:t>
            </w:r>
            <w:r>
              <w:rPr>
                <w:rFonts w:hint="eastAsia" w:ascii="仿宋_GB2312" w:hAnsi="仿宋_GB2312" w:eastAsia="仿宋_GB2312" w:cs="仿宋_GB2312"/>
                <w:color w:val="000000"/>
                <w:sz w:val="28"/>
                <w:szCs w:val="28"/>
                <w:lang w:eastAsia="zh-CN"/>
              </w:rPr>
              <w:t>二</w:t>
            </w:r>
            <w:r>
              <w:rPr>
                <w:rFonts w:hint="eastAsia" w:ascii="仿宋_GB2312" w:hAnsi="仿宋_GB2312" w:eastAsia="仿宋_GB2312" w:cs="仿宋_GB2312"/>
                <w:color w:val="000000"/>
                <w:sz w:val="28"/>
                <w:szCs w:val="28"/>
              </w:rPr>
              <w:t>万元以上十万元以下的罚款；拒不改正的，可以自责令整改之日的次日起，按照原处罚数额按日连续处罚。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裁量因素</w:t>
            </w: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判定标准</w:t>
            </w:r>
          </w:p>
        </w:tc>
        <w:tc>
          <w:tcPr>
            <w:tcW w:w="1264" w:type="dxa"/>
            <w:tcBorders>
              <w:top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裁量等级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restart"/>
            <w:tcBorders>
              <w:left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★违法事实</w:t>
            </w: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已采取密闭措施但密闭不严导致扬尘污染的</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采取部分密闭措施导致扬尘污染的</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9" w:hRule="atLeast"/>
          <w:jc w:val="center"/>
        </w:trPr>
        <w:tc>
          <w:tcPr>
            <w:tcW w:w="1540" w:type="dxa"/>
            <w:vMerge w:val="continue"/>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未采取密闭措施的</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restart"/>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易产生扬尘的物料量</w:t>
            </w: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未密闭，易产生扬尘的物料100吨以下</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未密闭，易产生扬尘的物料100吨以上500吨</w:t>
            </w: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以下的</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未密闭，易产生扬尘的物料500吨以上1000吨</w:t>
            </w: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以下的</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9" w:hRule="atLeast"/>
          <w:jc w:val="center"/>
        </w:trPr>
        <w:tc>
          <w:tcPr>
            <w:tcW w:w="1540" w:type="dxa"/>
            <w:vMerge w:val="continue"/>
            <w:tcBorders>
              <w:left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未密闭，易产生扬尘的物料1000吨以上2000吨</w:t>
            </w: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以下的</w:t>
            </w:r>
          </w:p>
        </w:tc>
        <w:tc>
          <w:tcPr>
            <w:tcW w:w="1264" w:type="dxa"/>
            <w:tcBorders>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top w:val="single" w:color="auto" w:sz="4" w:space="0"/>
              <w:left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未密闭，易产生扬尘的物料2000吨以上</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restart"/>
            <w:tcBorders>
              <w:top w:val="single" w:color="auto" w:sz="4" w:space="0"/>
              <w:left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eastAsia="zh-CN"/>
              </w:rPr>
              <w:t>企业规模</w:t>
            </w:r>
          </w:p>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微型</w:t>
            </w:r>
            <w:r>
              <w:rPr>
                <w:rFonts w:hint="eastAsia" w:ascii="仿宋_GB2312" w:hAnsi="仿宋_GB2312" w:eastAsia="仿宋_GB2312" w:cs="仿宋_GB2312"/>
                <w:color w:val="000000"/>
                <w:sz w:val="28"/>
                <w:szCs w:val="28"/>
                <w:lang w:eastAsia="zh-CN"/>
              </w:rPr>
              <w:t>企业</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小型</w:t>
            </w:r>
            <w:r>
              <w:rPr>
                <w:rFonts w:hint="eastAsia" w:ascii="仿宋_GB2312" w:hAnsi="仿宋_GB2312" w:eastAsia="仿宋_GB2312" w:cs="仿宋_GB2312"/>
                <w:color w:val="000000"/>
                <w:sz w:val="28"/>
                <w:szCs w:val="28"/>
                <w:lang w:eastAsia="zh-CN"/>
              </w:rPr>
              <w:t>企业</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9" w:hRule="atLeast"/>
          <w:jc w:val="center"/>
        </w:trPr>
        <w:tc>
          <w:tcPr>
            <w:tcW w:w="1540" w:type="dxa"/>
            <w:vMerge w:val="continue"/>
            <w:tcBorders>
              <w:left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中型</w:t>
            </w:r>
            <w:r>
              <w:rPr>
                <w:rFonts w:hint="eastAsia" w:ascii="仿宋_GB2312" w:hAnsi="仿宋_GB2312" w:eastAsia="仿宋_GB2312" w:cs="仿宋_GB2312"/>
                <w:color w:val="000000"/>
                <w:sz w:val="28"/>
                <w:szCs w:val="28"/>
                <w:lang w:eastAsia="zh-CN"/>
              </w:rPr>
              <w:t>企业</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大型企业</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restart"/>
            <w:tcBorders>
              <w:left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lang w:val="en-US"/>
              </w:rPr>
            </w:pP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lang w:val="en-US"/>
              </w:rPr>
            </w:pPr>
            <w:r>
              <w:rPr>
                <w:rFonts w:hint="eastAsia" w:ascii="仿宋_GB2312" w:hAnsi="仿宋_GB2312" w:eastAsia="仿宋_GB2312" w:cs="仿宋_GB2312"/>
                <w:b/>
                <w:bCs/>
                <w:color w:val="000000"/>
                <w:sz w:val="28"/>
                <w:szCs w:val="28"/>
                <w:lang w:val="en-US"/>
              </w:rPr>
              <w:t>管理类别</w:t>
            </w:r>
          </w:p>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登记管理或豁免类</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简化管理</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9" w:hRule="atLeast"/>
          <w:jc w:val="center"/>
        </w:trPr>
        <w:tc>
          <w:tcPr>
            <w:tcW w:w="1540" w:type="dxa"/>
            <w:vMerge w:val="continue"/>
            <w:tcBorders>
              <w:left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重点管理</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restart"/>
            <w:tcBorders>
              <w:top w:val="single" w:color="auto" w:sz="4" w:space="0"/>
              <w:left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项目建设</w:t>
            </w: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地点</w:t>
            </w:r>
          </w:p>
        </w:tc>
        <w:tc>
          <w:tcPr>
            <w:tcW w:w="6070" w:type="dxa"/>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三类保护区</w:t>
            </w:r>
          </w:p>
        </w:tc>
        <w:tc>
          <w:tcPr>
            <w:tcW w:w="1264" w:type="dxa"/>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jc w:val="center"/>
        </w:trPr>
        <w:tc>
          <w:tcPr>
            <w:tcW w:w="1540" w:type="dxa"/>
            <w:vMerge w:val="continue"/>
            <w:tcBorders>
              <w:top w:val="single" w:color="auto" w:sz="4" w:space="0"/>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二类保护区</w:t>
            </w:r>
          </w:p>
        </w:tc>
        <w:tc>
          <w:tcPr>
            <w:tcW w:w="1264" w:type="dxa"/>
            <w:tcBorders>
              <w:top w:val="single" w:color="auto" w:sz="4" w:space="0"/>
              <w:bottom w:val="single" w:color="000000"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一类保护区</w:t>
            </w:r>
          </w:p>
        </w:tc>
        <w:tc>
          <w:tcPr>
            <w:tcW w:w="1264" w:type="dxa"/>
            <w:tcBorders>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9" w:hRule="atLeast"/>
          <w:jc w:val="center"/>
        </w:trPr>
        <w:tc>
          <w:tcPr>
            <w:tcW w:w="1540" w:type="dxa"/>
            <w:vMerge w:val="restart"/>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lang w:val="en-US"/>
              </w:rPr>
            </w:pPr>
            <w:r>
              <w:rPr>
                <w:rFonts w:hint="eastAsia" w:ascii="仿宋_GB2312" w:hAnsi="仿宋_GB2312" w:eastAsia="仿宋_GB2312" w:cs="仿宋_GB2312"/>
                <w:b/>
                <w:bCs/>
                <w:color w:val="000000"/>
                <w:sz w:val="28"/>
                <w:szCs w:val="28"/>
                <w:lang w:val="en-US"/>
              </w:rPr>
              <w:t>超过限期</w:t>
            </w: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rPr>
              <w:t>改正时间</w:t>
            </w:r>
          </w:p>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限期改正</w:t>
            </w:r>
          </w:p>
        </w:tc>
        <w:tc>
          <w:tcPr>
            <w:tcW w:w="1264" w:type="dxa"/>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3天以下</w:t>
            </w:r>
          </w:p>
        </w:tc>
        <w:tc>
          <w:tcPr>
            <w:tcW w:w="1264" w:type="dxa"/>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3天以上7天以下</w:t>
            </w:r>
          </w:p>
        </w:tc>
        <w:tc>
          <w:tcPr>
            <w:tcW w:w="1264" w:type="dxa"/>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p>
        </w:tc>
        <w:tc>
          <w:tcPr>
            <w:tcW w:w="6070" w:type="dxa"/>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7天以上</w:t>
            </w:r>
          </w:p>
        </w:tc>
        <w:tc>
          <w:tcPr>
            <w:tcW w:w="1264" w:type="dxa"/>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9" w:hRule="atLeast"/>
          <w:jc w:val="center"/>
        </w:trPr>
        <w:tc>
          <w:tcPr>
            <w:tcW w:w="1540" w:type="dxa"/>
            <w:vMerge w:val="restart"/>
            <w:tcBorders>
              <w:top w:val="single" w:color="auto" w:sz="4" w:space="0"/>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占地面积</w:t>
            </w:r>
          </w:p>
        </w:tc>
        <w:tc>
          <w:tcPr>
            <w:tcW w:w="6070" w:type="dxa"/>
            <w:tcBorders>
              <w:top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占地面积100m²以上500m²以内的</w:t>
            </w:r>
          </w:p>
        </w:tc>
        <w:tc>
          <w:tcPr>
            <w:tcW w:w="1264" w:type="dxa"/>
            <w:tcBorders>
              <w:top w:val="single" w:color="auto" w:sz="4" w:space="0"/>
              <w:bottom w:val="single" w:color="000000"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占地面积500m²以上的</w:t>
            </w:r>
          </w:p>
        </w:tc>
        <w:tc>
          <w:tcPr>
            <w:tcW w:w="1264" w:type="dxa"/>
            <w:tcBorders>
              <w:bottom w:val="single" w:color="000000"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restart"/>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lang w:eastAsia="zh-CN"/>
              </w:rPr>
            </w:pPr>
            <w:r>
              <w:rPr>
                <w:rFonts w:hint="eastAsia" w:ascii="仿宋_GB2312" w:hAnsi="仿宋_GB2312" w:eastAsia="仿宋_GB2312" w:cs="仿宋_GB2312"/>
                <w:b/>
                <w:bCs/>
                <w:color w:val="000000"/>
                <w:sz w:val="28"/>
                <w:szCs w:val="28"/>
                <w:lang w:eastAsia="zh-CN"/>
              </w:rPr>
              <w:t>受处罚次数</w:t>
            </w: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两年内未受到过同类处罚</w:t>
            </w:r>
          </w:p>
        </w:tc>
        <w:tc>
          <w:tcPr>
            <w:tcW w:w="1264" w:type="dxa"/>
            <w:tcBorders>
              <w:bottom w:val="single" w:color="000000"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auto" w:sz="4" w:space="0"/>
              <w:bottom w:val="single" w:color="auto"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bottom w:val="single" w:color="auto"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两年内受到同类处罚1次</w:t>
            </w:r>
          </w:p>
        </w:tc>
        <w:tc>
          <w:tcPr>
            <w:tcW w:w="1264" w:type="dxa"/>
            <w:tcBorders>
              <w:bottom w:val="single" w:color="auto" w:sz="4" w:space="0"/>
              <w:right w:val="single" w:color="auto"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9" w:hRule="atLeast"/>
          <w:jc w:val="center"/>
        </w:trPr>
        <w:tc>
          <w:tcPr>
            <w:tcW w:w="1540" w:type="dxa"/>
            <w:vMerge w:val="continue"/>
            <w:tcBorders>
              <w:top w:val="single" w:color="auto" w:sz="4" w:space="0"/>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top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两年内受到同类处罚2次</w:t>
            </w:r>
          </w:p>
        </w:tc>
        <w:tc>
          <w:tcPr>
            <w:tcW w:w="1264" w:type="dxa"/>
            <w:tcBorders>
              <w:top w:val="single" w:color="auto"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restart"/>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是否配合</w:t>
            </w:r>
          </w:p>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执法检查</w:t>
            </w: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配合调查</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不配合调查，拒绝提供证据</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1540" w:type="dxa"/>
            <w:vMerge w:val="continue"/>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560"/>
              <w:jc w:val="center"/>
              <w:rPr>
                <w:rFonts w:hint="eastAsia" w:ascii="仿宋_GB2312" w:hAnsi="仿宋_GB2312" w:eastAsia="仿宋_GB2312" w:cs="仿宋_GB2312"/>
                <w:b/>
                <w:bCs/>
                <w:color w:val="000000"/>
                <w:sz w:val="28"/>
                <w:szCs w:val="28"/>
              </w:rPr>
            </w:pPr>
          </w:p>
        </w:tc>
        <w:tc>
          <w:tcPr>
            <w:tcW w:w="6070"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伪造变造证据、弄虚作假的</w:t>
            </w: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28" w:hRule="atLeast"/>
          <w:jc w:val="center"/>
        </w:trPr>
        <w:tc>
          <w:tcPr>
            <w:tcW w:w="1540" w:type="dxa"/>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8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c>
          <w:tcPr>
            <w:tcW w:w="6070" w:type="dxa"/>
            <w:tcBorders>
              <w:bottom w:val="single" w:color="000000" w:sz="4" w:space="0"/>
              <w:right w:val="single" w:color="000000" w:sz="4" w:space="0"/>
            </w:tcBorders>
            <w:vAlign w:val="top"/>
          </w:tcPr>
          <w:p>
            <w:pPr>
              <w:widowControl w:val="0"/>
              <w:wordWrap/>
              <w:overflowPunct w:val="0"/>
              <w:adjustRightInd w:val="0"/>
              <w:snapToGrid w:val="0"/>
              <w:spacing w:line="280" w:lineRule="exact"/>
              <w:ind w:firstLine="560"/>
              <w:jc w:val="left"/>
              <w:textAlignment w:val="center"/>
              <w:rPr>
                <w:rFonts w:hint="eastAsia" w:ascii="仿宋_GB2312" w:hAnsi="仿宋_GB2312" w:eastAsia="仿宋_GB2312" w:cs="仿宋_GB2312"/>
                <w:color w:val="000000"/>
                <w:sz w:val="28"/>
                <w:szCs w:val="28"/>
              </w:rPr>
            </w:pPr>
          </w:p>
        </w:tc>
        <w:tc>
          <w:tcPr>
            <w:tcW w:w="1264" w:type="dxa"/>
            <w:tcBorders>
              <w:bottom w:val="single" w:color="000000" w:sz="4" w:space="0"/>
              <w:right w:val="single" w:color="000000" w:sz="4" w:space="0"/>
            </w:tcBorders>
            <w:vAlign w:val="center"/>
          </w:tcPr>
          <w:p>
            <w:pPr>
              <w:widowControl w:val="0"/>
              <w:wordWrap/>
              <w:overflowPunct w:val="0"/>
              <w:adjustRightInd w:val="0"/>
              <w:snapToGrid w:val="0"/>
              <w:spacing w:line="280" w:lineRule="exact"/>
              <w:ind w:firstLine="640"/>
              <w:textAlignment w:val="center"/>
              <w:rPr>
                <w:rFonts w:hint="eastAsia" w:ascii="仿宋_GB2312" w:hAnsi="仿宋_GB2312" w:eastAsia="仿宋_GB2312" w:cs="仿宋_GB2312"/>
                <w:sz w:val="28"/>
                <w:szCs w:val="28"/>
              </w:rPr>
            </w:pPr>
          </w:p>
        </w:tc>
      </w:tr>
    </w:tbl>
    <w:p>
      <w:pPr>
        <w:widowControl w:val="0"/>
        <w:wordWrap/>
        <w:overflowPunct w:val="0"/>
        <w:adjustRightInd w:val="0"/>
        <w:snapToGrid w:val="0"/>
        <w:spacing w:line="20" w:lineRule="exact"/>
        <w:ind w:firstLine="0" w:firstLineChars="0"/>
        <w:textAlignment w:val="auto"/>
        <w:rPr>
          <w:rFonts w:hint="default" w:ascii="Times New Roman" w:hAnsi="Times New Roman" w:eastAsia="微软雅黑" w:cs="Times New Roman"/>
          <w:color w:val="333333"/>
          <w:shd w:val="clear" w:color="auto" w:fill="FFFFFF"/>
        </w:rPr>
      </w:pPr>
    </w:p>
    <w:p>
      <w:pPr>
        <w:widowControl w:val="0"/>
        <w:wordWrap/>
        <w:adjustRightInd w:val="0"/>
        <w:snapToGrid w:val="0"/>
        <w:spacing w:line="20" w:lineRule="exact"/>
        <w:ind w:left="0" w:leftChars="0" w:firstLine="0" w:firstLineChars="0"/>
        <w:textAlignment w:val="auto"/>
        <w:rPr>
          <w:rFonts w:hint="default" w:ascii="Times New Roman" w:hAnsi="Times New Roman" w:eastAsia="微软雅黑"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firstLine="64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left="0" w:leftChars="0" w:firstLine="0" w:firstLineChars="0"/>
        <w:textAlignment w:val="auto"/>
        <w:rPr>
          <w:rFonts w:hint="default" w:ascii="Times New Roman" w:hAnsi="Times New Roman" w:eastAsia="黑体" w:cs="Times New Roman"/>
          <w:color w:val="333333"/>
          <w:shd w:val="clear" w:color="auto" w:fill="FFFFFF"/>
        </w:rPr>
      </w:pPr>
    </w:p>
    <w:p>
      <w:pPr>
        <w:widowControl w:val="0"/>
        <w:wordWrap/>
        <w:overflowPunct w:val="0"/>
        <w:adjustRightInd w:val="0"/>
        <w:snapToGrid w:val="0"/>
        <w:spacing w:line="574" w:lineRule="exact"/>
        <w:ind w:left="0" w:leftChars="0" w:firstLine="0" w:firstLineChars="0"/>
        <w:textAlignment w:val="auto"/>
        <w:rPr>
          <w:rFonts w:hint="default" w:ascii="Times New Roman" w:hAnsi="Times New Roman" w:eastAsia="黑体" w:cs="Times New Roman"/>
          <w:color w:val="333333"/>
          <w:shd w:val="clear" w:color="auto" w:fill="FFFFFF"/>
        </w:rPr>
      </w:pPr>
    </w:p>
    <w:tbl>
      <w:tblPr>
        <w:tblStyle w:val="9"/>
        <w:tblW w:w="902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3"/>
        <w:gridCol w:w="1538"/>
        <w:gridCol w:w="50"/>
        <w:gridCol w:w="4731"/>
        <w:gridCol w:w="1307"/>
        <w:gridCol w:w="1227"/>
        <w:gridCol w:w="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97" w:hRule="atLeast"/>
          <w:jc w:val="center"/>
        </w:trPr>
        <w:tc>
          <w:tcPr>
            <w:tcW w:w="8934" w:type="dxa"/>
            <w:gridSpan w:val="6"/>
            <w:tcBorders>
              <w:top w:val="single" w:color="000000"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90" w:lineRule="exact"/>
              <w:ind w:left="0" w:leftChars="0" w:firstLine="0" w:firstLineChars="0"/>
              <w:jc w:val="center"/>
              <w:textAlignment w:val="center"/>
              <w:rPr>
                <w:rFonts w:hint="default" w:ascii="Times New Roman" w:hAnsi="Times New Roman" w:eastAsia="微软雅黑" w:cs="Times New Roman"/>
                <w:color w:val="333333"/>
                <w:szCs w:val="32"/>
              </w:rPr>
            </w:pPr>
            <w:r>
              <w:rPr>
                <w:rFonts w:hint="default" w:ascii="Times New Roman" w:hAnsi="Times New Roman" w:eastAsia="黑体" w:cs="Times New Roman"/>
                <w:b w:val="0"/>
                <w:bCs w:val="0"/>
                <w:color w:val="333333"/>
                <w:kern w:val="0"/>
                <w:sz w:val="28"/>
                <w:szCs w:val="28"/>
                <w:lang w:eastAsia="zh-CN"/>
              </w:rPr>
              <w:t>焦作市</w:t>
            </w:r>
            <w:r>
              <w:rPr>
                <w:rFonts w:hint="default" w:ascii="Times New Roman" w:hAnsi="Times New Roman" w:eastAsia="黑体" w:cs="Times New Roman"/>
                <w:b w:val="0"/>
                <w:bCs w:val="0"/>
                <w:color w:val="333333"/>
                <w:kern w:val="0"/>
                <w:sz w:val="28"/>
                <w:szCs w:val="28"/>
              </w:rPr>
              <w:t>北山生态环境保护类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1135" w:hRule="atLeast"/>
          <w:jc w:val="center"/>
        </w:trPr>
        <w:tc>
          <w:tcPr>
            <w:tcW w:w="1538" w:type="dxa"/>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违法行为</w:t>
            </w:r>
          </w:p>
        </w:tc>
        <w:tc>
          <w:tcPr>
            <w:tcW w:w="7396" w:type="dxa"/>
            <w:gridSpan w:val="5"/>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运输矿石、垃圾、渣土、砂石、土方、灰浆等散装、流体物料的，未采取密闭、覆盖等防护措施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1720" w:hRule="atLeast"/>
          <w:jc w:val="center"/>
        </w:trPr>
        <w:tc>
          <w:tcPr>
            <w:tcW w:w="1538" w:type="dxa"/>
            <w:tcBorders>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违反条款</w:t>
            </w:r>
          </w:p>
        </w:tc>
        <w:tc>
          <w:tcPr>
            <w:tcW w:w="7396" w:type="dxa"/>
            <w:gridSpan w:val="5"/>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《焦作市北山生态环境保护条例》第二十八条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在北山从事生产、加工、贮存、运输等易产生扬尘污染活动的，应当符合下列要求: （三）施工运输车辆应当在除泥、冲洗干净后驶出作业场所，运输矿石、垃圾、渣土、砂石、土方、灰浆等散装、流体物料的，应当采取密闭、覆盖等防护措施。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1660" w:hRule="atLeast"/>
          <w:jc w:val="center"/>
        </w:trPr>
        <w:tc>
          <w:tcPr>
            <w:tcW w:w="1538" w:type="dxa"/>
            <w:tcBorders>
              <w:left w:val="single" w:color="000000"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处罚依据</w:t>
            </w:r>
          </w:p>
        </w:tc>
        <w:tc>
          <w:tcPr>
            <w:tcW w:w="7396" w:type="dxa"/>
            <w:gridSpan w:val="5"/>
            <w:tcBorders>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《焦作市北山生态环境保护条例》第四十</w:t>
            </w:r>
            <w:r>
              <w:rPr>
                <w:rFonts w:hint="eastAsia" w:ascii="仿宋_GB2312" w:hAnsi="仿宋_GB2312" w:eastAsia="仿宋_GB2312" w:cs="仿宋_GB2312"/>
                <w:color w:val="000000"/>
                <w:sz w:val="28"/>
                <w:szCs w:val="28"/>
                <w:lang w:eastAsia="zh-CN"/>
              </w:rPr>
              <w:t>三</w:t>
            </w:r>
            <w:r>
              <w:rPr>
                <w:rFonts w:hint="eastAsia" w:ascii="仿宋_GB2312" w:hAnsi="仿宋_GB2312" w:eastAsia="仿宋_GB2312" w:cs="仿宋_GB2312"/>
                <w:color w:val="000000"/>
                <w:sz w:val="28"/>
                <w:szCs w:val="28"/>
              </w:rPr>
              <w:t>条第二款</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违反本条例第二十八条第三项规定，运输散装、流体物料的车辆未采取密闭、覆盖等防护措施的，由公安、交通运输、</w:t>
            </w:r>
            <w:r>
              <w:rPr>
                <w:rFonts w:hint="eastAsia" w:ascii="仿宋_GB2312" w:hAnsi="仿宋_GB2312" w:eastAsia="仿宋_GB2312" w:cs="仿宋_GB2312"/>
                <w:color w:val="000000"/>
                <w:sz w:val="28"/>
                <w:szCs w:val="28"/>
                <w:lang w:eastAsia="zh-CN"/>
              </w:rPr>
              <w:t>生态环境</w:t>
            </w:r>
            <w:r>
              <w:rPr>
                <w:rFonts w:hint="eastAsia" w:ascii="仿宋_GB2312" w:hAnsi="仿宋_GB2312" w:eastAsia="仿宋_GB2312" w:cs="仿宋_GB2312"/>
                <w:color w:val="000000"/>
                <w:sz w:val="28"/>
                <w:szCs w:val="28"/>
              </w:rPr>
              <w:t>等主管部门责令改正，并处以二千元以上二万元以下的罚款；拒不改正的，车辆不得上道路行驶。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664" w:hRule="atLeast"/>
          <w:jc w:val="center"/>
        </w:trPr>
        <w:tc>
          <w:tcPr>
            <w:tcW w:w="1538" w:type="dxa"/>
            <w:tcBorders>
              <w:top w:val="single" w:color="auto" w:sz="4" w:space="0"/>
              <w:left w:val="single" w:color="auto"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裁量因素</w:t>
            </w:r>
          </w:p>
        </w:tc>
        <w:tc>
          <w:tcPr>
            <w:tcW w:w="6088" w:type="dxa"/>
            <w:gridSpan w:val="3"/>
            <w:tcBorders>
              <w:top w:val="single" w:color="auto"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判定标准</w:t>
            </w:r>
          </w:p>
        </w:tc>
        <w:tc>
          <w:tcPr>
            <w:tcW w:w="1308" w:type="dxa"/>
            <w:gridSpan w:val="2"/>
            <w:tcBorders>
              <w:top w:val="single" w:color="auto" w:sz="4" w:space="0"/>
              <w:bottom w:val="single" w:color="auto" w:sz="4" w:space="0"/>
              <w:right w:val="single" w:color="auto"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裁量等级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97" w:hRule="atLeast"/>
          <w:jc w:val="center"/>
        </w:trPr>
        <w:tc>
          <w:tcPr>
            <w:tcW w:w="1538" w:type="dxa"/>
            <w:vMerge w:val="restart"/>
            <w:tcBorders>
              <w:top w:val="single" w:color="auto" w:sz="4" w:space="0"/>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★违法事实</w:t>
            </w:r>
          </w:p>
        </w:tc>
        <w:tc>
          <w:tcPr>
            <w:tcW w:w="6088" w:type="dxa"/>
            <w:gridSpan w:val="3"/>
            <w:tcBorders>
              <w:top w:val="single" w:color="auto" w:sz="4" w:space="0"/>
              <w:bottom w:val="single" w:color="000000" w:sz="4" w:space="0"/>
              <w:right w:val="single" w:color="auto" w:sz="4" w:space="0"/>
            </w:tcBorders>
            <w:vAlign w:val="center"/>
          </w:tcPr>
          <w:p>
            <w:pPr>
              <w:widowControl w:val="0"/>
              <w:wordWrap/>
              <w:overflowPunct w:val="0"/>
              <w:adjustRightInd w:val="0"/>
              <w:snapToGrid w:val="0"/>
              <w:spacing w:line="290" w:lineRule="exact"/>
              <w:ind w:firstLine="0" w:firstLineChars="0"/>
              <w:jc w:val="left"/>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已落实密闭、覆盖等措施，但未按规定使用或管理，造成少量抛洒，泄露</w:t>
            </w:r>
            <w:r>
              <w:rPr>
                <w:rFonts w:hint="eastAsia" w:ascii="仿宋_GB2312" w:hAnsi="仿宋_GB2312" w:eastAsia="仿宋_GB2312" w:cs="仿宋_GB2312"/>
                <w:color w:val="000000"/>
                <w:sz w:val="28"/>
                <w:szCs w:val="28"/>
              </w:rPr>
              <w:t>。</w:t>
            </w:r>
          </w:p>
        </w:tc>
        <w:tc>
          <w:tcPr>
            <w:tcW w:w="1308" w:type="dxa"/>
            <w:gridSpan w:val="2"/>
            <w:tcBorders>
              <w:top w:val="single" w:color="auto" w:sz="4" w:space="0"/>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422" w:hRule="atLeast"/>
          <w:jc w:val="center"/>
        </w:trPr>
        <w:tc>
          <w:tcPr>
            <w:tcW w:w="1538" w:type="dxa"/>
            <w:vMerge w:val="continue"/>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rPr>
                <w:rFonts w:hint="eastAsia" w:ascii="仿宋_GB2312" w:hAnsi="仿宋_GB2312" w:eastAsia="仿宋_GB2312" w:cs="仿宋_GB2312"/>
                <w:b/>
                <w:bCs/>
                <w:color w:val="000000"/>
                <w:sz w:val="28"/>
                <w:szCs w:val="28"/>
              </w:rPr>
            </w:pPr>
          </w:p>
        </w:tc>
        <w:tc>
          <w:tcPr>
            <w:tcW w:w="6088" w:type="dxa"/>
            <w:gridSpan w:val="3"/>
            <w:tcBorders>
              <w:bottom w:val="single" w:color="auto" w:sz="4" w:space="0"/>
              <w:right w:val="single" w:color="auto" w:sz="4" w:space="0"/>
            </w:tcBorders>
            <w:vAlign w:val="center"/>
          </w:tcPr>
          <w:p>
            <w:pPr>
              <w:widowControl w:val="0"/>
              <w:wordWrap/>
              <w:overflowPunct w:val="0"/>
              <w:adjustRightInd w:val="0"/>
              <w:snapToGrid w:val="0"/>
              <w:spacing w:line="290" w:lineRule="exact"/>
              <w:ind w:firstLine="0" w:firstLineChars="0"/>
              <w:jc w:val="left"/>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仅落实密闭、覆盖其中一项措施。</w:t>
            </w:r>
          </w:p>
        </w:tc>
        <w:tc>
          <w:tcPr>
            <w:tcW w:w="1308" w:type="dxa"/>
            <w:gridSpan w:val="2"/>
            <w:tcBorders>
              <w:left w:val="single" w:color="auto"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467" w:hRule="atLeast"/>
          <w:jc w:val="center"/>
        </w:trPr>
        <w:tc>
          <w:tcPr>
            <w:tcW w:w="1538" w:type="dxa"/>
            <w:vMerge w:val="continue"/>
            <w:tcBorders>
              <w:left w:val="single" w:color="auto" w:sz="4" w:space="0"/>
              <w:bottom w:val="single" w:color="auto" w:sz="4" w:space="0"/>
              <w:right w:val="single" w:color="auto" w:sz="4" w:space="0"/>
            </w:tcBorders>
            <w:vAlign w:val="center"/>
          </w:tcPr>
          <w:p>
            <w:pPr>
              <w:widowControl w:val="0"/>
              <w:wordWrap/>
              <w:overflowPunct w:val="0"/>
              <w:adjustRightInd w:val="0"/>
              <w:snapToGrid w:val="0"/>
              <w:spacing w:line="290" w:lineRule="exact"/>
              <w:ind w:firstLine="0" w:firstLineChars="0"/>
              <w:jc w:val="center"/>
              <w:rPr>
                <w:rFonts w:hint="eastAsia" w:ascii="仿宋_GB2312" w:hAnsi="仿宋_GB2312" w:eastAsia="仿宋_GB2312" w:cs="仿宋_GB2312"/>
                <w:b/>
                <w:bCs/>
                <w:color w:val="000000"/>
                <w:sz w:val="28"/>
                <w:szCs w:val="28"/>
              </w:rPr>
            </w:pPr>
          </w:p>
        </w:tc>
        <w:tc>
          <w:tcPr>
            <w:tcW w:w="6088" w:type="dxa"/>
            <w:gridSpan w:val="3"/>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90" w:lineRule="exact"/>
              <w:ind w:firstLine="0" w:firstLineChars="0"/>
              <w:jc w:val="left"/>
              <w:textAlignment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未落实密闭、覆盖等任一措施。</w:t>
            </w:r>
          </w:p>
        </w:tc>
        <w:tc>
          <w:tcPr>
            <w:tcW w:w="1308" w:type="dxa"/>
            <w:gridSpan w:val="2"/>
            <w:tcBorders>
              <w:top w:val="single" w:color="auto" w:sz="4" w:space="0"/>
              <w:left w:val="single" w:color="auto" w:sz="4" w:space="0"/>
              <w:bottom w:val="single" w:color="000000" w:sz="4" w:space="0"/>
              <w:right w:val="single" w:color="auto"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02" w:hRule="atLeast"/>
          <w:jc w:val="center"/>
        </w:trPr>
        <w:tc>
          <w:tcPr>
            <w:tcW w:w="1538" w:type="dxa"/>
            <w:vMerge w:val="restart"/>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项目建设 地点</w:t>
            </w:r>
          </w:p>
        </w:tc>
        <w:tc>
          <w:tcPr>
            <w:tcW w:w="6088" w:type="dxa"/>
            <w:gridSpan w:val="3"/>
            <w:tcBorders>
              <w:top w:val="single" w:color="auto" w:sz="4" w:space="0"/>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三类保护区</w:t>
            </w:r>
          </w:p>
        </w:tc>
        <w:tc>
          <w:tcPr>
            <w:tcW w:w="1308" w:type="dxa"/>
            <w:gridSpan w:val="2"/>
            <w:tcBorders>
              <w:top w:val="single" w:color="auto"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04" w:hRule="atLeast"/>
          <w:jc w:val="center"/>
        </w:trPr>
        <w:tc>
          <w:tcPr>
            <w:tcW w:w="1538" w:type="dxa"/>
            <w:vMerge w:val="continue"/>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p>
        </w:tc>
        <w:tc>
          <w:tcPr>
            <w:tcW w:w="6088" w:type="dxa"/>
            <w:gridSpan w:val="3"/>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二类保护区</w:t>
            </w: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260" w:hRule="atLeast"/>
          <w:jc w:val="center"/>
        </w:trPr>
        <w:tc>
          <w:tcPr>
            <w:tcW w:w="1538" w:type="dxa"/>
            <w:vMerge w:val="continue"/>
            <w:tcBorders>
              <w:top w:val="single" w:color="auto" w:sz="4" w:space="0"/>
              <w:left w:val="single" w:color="auto" w:sz="4" w:space="0"/>
              <w:bottom w:val="single" w:color="auto" w:sz="4" w:space="0"/>
              <w:right w:val="single" w:color="auto" w:sz="4" w:space="0"/>
            </w:tcBorders>
            <w:vAlign w:val="center"/>
          </w:tcPr>
          <w:p>
            <w:pPr>
              <w:widowControl w:val="0"/>
              <w:wordWrap/>
              <w:overflowPunct w:val="0"/>
              <w:adjustRightInd w:val="0"/>
              <w:snapToGrid w:val="0"/>
              <w:spacing w:line="290" w:lineRule="exact"/>
              <w:ind w:firstLine="0" w:firstLineChars="0"/>
              <w:jc w:val="center"/>
              <w:rPr>
                <w:rFonts w:hint="eastAsia" w:ascii="仿宋_GB2312" w:hAnsi="仿宋_GB2312" w:eastAsia="仿宋_GB2312" w:cs="仿宋_GB2312"/>
                <w:b/>
                <w:bCs/>
                <w:color w:val="000000"/>
                <w:sz w:val="28"/>
                <w:szCs w:val="28"/>
              </w:rPr>
            </w:pPr>
          </w:p>
        </w:tc>
        <w:tc>
          <w:tcPr>
            <w:tcW w:w="6088" w:type="dxa"/>
            <w:gridSpan w:val="3"/>
            <w:tcBorders>
              <w:left w:val="single" w:color="auto"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一类保护区</w:t>
            </w: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12" w:hRule="atLeast"/>
          <w:jc w:val="center"/>
        </w:trPr>
        <w:tc>
          <w:tcPr>
            <w:tcW w:w="1538" w:type="dxa"/>
            <w:vMerge w:val="restart"/>
            <w:tcBorders>
              <w:top w:val="single" w:color="auto" w:sz="4" w:space="0"/>
              <w:left w:val="single" w:color="000000"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lang w:eastAsia="zh-CN"/>
              </w:rPr>
            </w:pPr>
            <w:r>
              <w:rPr>
                <w:rFonts w:hint="eastAsia" w:ascii="仿宋_GB2312" w:hAnsi="仿宋_GB2312" w:eastAsia="仿宋_GB2312" w:cs="仿宋_GB2312"/>
                <w:b/>
                <w:bCs/>
                <w:color w:val="000000"/>
                <w:sz w:val="28"/>
                <w:szCs w:val="28"/>
                <w:lang w:eastAsia="zh-CN"/>
              </w:rPr>
              <w:t>受处罚次数</w:t>
            </w:r>
          </w:p>
        </w:tc>
        <w:tc>
          <w:tcPr>
            <w:tcW w:w="6088" w:type="dxa"/>
            <w:gridSpan w:val="3"/>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两年内未受到过同类处罚</w:t>
            </w: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39" w:hRule="atLeast"/>
          <w:jc w:val="center"/>
        </w:trPr>
        <w:tc>
          <w:tcPr>
            <w:tcW w:w="1538" w:type="dxa"/>
            <w:vMerge w:val="continue"/>
            <w:tcBorders>
              <w:top w:val="single" w:color="auto" w:sz="4" w:space="0"/>
              <w:left w:val="single" w:color="000000"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rPr>
                <w:rFonts w:hint="eastAsia" w:ascii="仿宋_GB2312" w:hAnsi="仿宋_GB2312" w:eastAsia="仿宋_GB2312" w:cs="仿宋_GB2312"/>
                <w:b/>
                <w:bCs/>
                <w:color w:val="000000"/>
                <w:sz w:val="28"/>
                <w:szCs w:val="28"/>
              </w:rPr>
            </w:pPr>
          </w:p>
        </w:tc>
        <w:tc>
          <w:tcPr>
            <w:tcW w:w="6088" w:type="dxa"/>
            <w:gridSpan w:val="3"/>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两年内受到同类处罚1次</w:t>
            </w: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03" w:hRule="atLeast"/>
          <w:jc w:val="center"/>
        </w:trPr>
        <w:tc>
          <w:tcPr>
            <w:tcW w:w="1538" w:type="dxa"/>
            <w:vMerge w:val="continue"/>
            <w:tcBorders>
              <w:top w:val="single" w:color="auto" w:sz="4" w:space="0"/>
              <w:left w:val="single" w:color="000000"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rPr>
                <w:rFonts w:hint="eastAsia" w:ascii="仿宋_GB2312" w:hAnsi="仿宋_GB2312" w:eastAsia="仿宋_GB2312" w:cs="仿宋_GB2312"/>
                <w:b/>
                <w:bCs/>
                <w:color w:val="000000"/>
                <w:sz w:val="28"/>
                <w:szCs w:val="28"/>
              </w:rPr>
            </w:pPr>
          </w:p>
        </w:tc>
        <w:tc>
          <w:tcPr>
            <w:tcW w:w="6088" w:type="dxa"/>
            <w:gridSpan w:val="3"/>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两年内受到同类处罚2次</w:t>
            </w: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13" w:hRule="atLeast"/>
          <w:jc w:val="center"/>
        </w:trPr>
        <w:tc>
          <w:tcPr>
            <w:tcW w:w="1538" w:type="dxa"/>
            <w:vMerge w:val="restart"/>
            <w:tcBorders>
              <w:top w:val="single" w:color="auto" w:sz="4" w:space="0"/>
              <w:left w:val="single" w:color="000000"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是否配合</w:t>
            </w:r>
          </w:p>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执法检查</w:t>
            </w:r>
          </w:p>
        </w:tc>
        <w:tc>
          <w:tcPr>
            <w:tcW w:w="6088" w:type="dxa"/>
            <w:gridSpan w:val="3"/>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配合调查</w:t>
            </w: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92" w:hRule="atLeast"/>
          <w:jc w:val="center"/>
        </w:trPr>
        <w:tc>
          <w:tcPr>
            <w:tcW w:w="1538" w:type="dxa"/>
            <w:vMerge w:val="continue"/>
            <w:tcBorders>
              <w:top w:val="single" w:color="auto" w:sz="4" w:space="0"/>
              <w:left w:val="single" w:color="000000"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p>
        </w:tc>
        <w:tc>
          <w:tcPr>
            <w:tcW w:w="6088" w:type="dxa"/>
            <w:gridSpan w:val="3"/>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不配合调查，拒绝提供证据</w:t>
            </w: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330" w:hRule="atLeast"/>
          <w:jc w:val="center"/>
        </w:trPr>
        <w:tc>
          <w:tcPr>
            <w:tcW w:w="1538" w:type="dxa"/>
            <w:vMerge w:val="continue"/>
            <w:tcBorders>
              <w:top w:val="single" w:color="auto" w:sz="4" w:space="0"/>
              <w:left w:val="single" w:color="000000" w:sz="4" w:space="0"/>
              <w:bottom w:val="single" w:color="auto" w:sz="4" w:space="0"/>
              <w:right w:val="single" w:color="000000" w:sz="4" w:space="0"/>
            </w:tcBorders>
            <w:vAlign w:val="center"/>
          </w:tcPr>
          <w:p>
            <w:pPr>
              <w:widowControl w:val="0"/>
              <w:wordWrap/>
              <w:overflowPunct w:val="0"/>
              <w:adjustRightInd w:val="0"/>
              <w:snapToGrid w:val="0"/>
              <w:spacing w:line="290" w:lineRule="exact"/>
              <w:ind w:firstLine="0" w:firstLineChars="0"/>
              <w:jc w:val="center"/>
              <w:rPr>
                <w:rFonts w:hint="eastAsia" w:ascii="仿宋_GB2312" w:hAnsi="仿宋_GB2312" w:eastAsia="仿宋_GB2312" w:cs="仿宋_GB2312"/>
                <w:b/>
                <w:bCs/>
                <w:color w:val="000000"/>
                <w:sz w:val="28"/>
                <w:szCs w:val="28"/>
              </w:rPr>
            </w:pPr>
          </w:p>
        </w:tc>
        <w:tc>
          <w:tcPr>
            <w:tcW w:w="6088" w:type="dxa"/>
            <w:gridSpan w:val="3"/>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伪造变造证据、弄虚作假的</w:t>
            </w: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93" w:type="dxa"/>
          <w:trHeight w:val="719" w:hRule="atLeast"/>
          <w:jc w:val="center"/>
        </w:trPr>
        <w:tc>
          <w:tcPr>
            <w:tcW w:w="1538" w:type="dxa"/>
            <w:tcBorders>
              <w:top w:val="single" w:color="auto" w:sz="4" w:space="0"/>
              <w:left w:val="single" w:color="000000" w:sz="4" w:space="0"/>
              <w:bottom w:val="single" w:color="000000" w:sz="4" w:space="0"/>
              <w:right w:val="single" w:color="000000" w:sz="4" w:space="0"/>
            </w:tcBorders>
            <w:vAlign w:val="center"/>
          </w:tcPr>
          <w:p>
            <w:pPr>
              <w:widowControl w:val="0"/>
              <w:wordWrap/>
              <w:overflowPunct w:val="0"/>
              <w:adjustRightInd w:val="0"/>
              <w:snapToGrid w:val="0"/>
              <w:spacing w:line="290" w:lineRule="exact"/>
              <w:ind w:firstLine="0" w:firstLineChars="0"/>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c>
          <w:tcPr>
            <w:tcW w:w="6088" w:type="dxa"/>
            <w:gridSpan w:val="3"/>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560"/>
              <w:jc w:val="center"/>
              <w:textAlignment w:val="center"/>
              <w:rPr>
                <w:rFonts w:hint="eastAsia" w:ascii="仿宋_GB2312" w:hAnsi="仿宋_GB2312" w:eastAsia="仿宋_GB2312" w:cs="仿宋_GB2312"/>
                <w:color w:val="000000"/>
                <w:sz w:val="28"/>
                <w:szCs w:val="28"/>
              </w:rPr>
            </w:pPr>
          </w:p>
        </w:tc>
        <w:tc>
          <w:tcPr>
            <w:tcW w:w="1308" w:type="dxa"/>
            <w:gridSpan w:val="2"/>
            <w:tcBorders>
              <w:bottom w:val="single" w:color="000000" w:sz="4" w:space="0"/>
              <w:right w:val="single" w:color="000000" w:sz="4" w:space="0"/>
            </w:tcBorders>
            <w:vAlign w:val="center"/>
          </w:tcPr>
          <w:p>
            <w:pPr>
              <w:widowControl w:val="0"/>
              <w:wordWrap/>
              <w:overflowPunct w:val="0"/>
              <w:adjustRightInd w:val="0"/>
              <w:snapToGrid w:val="0"/>
              <w:spacing w:line="290" w:lineRule="exact"/>
              <w:ind w:firstLine="560"/>
              <w:textAlignment w:val="center"/>
              <w:rPr>
                <w:rFonts w:hint="default" w:ascii="Times New Roman" w:hAnsi="Times New Roman"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463" w:hRule="atLeast"/>
          <w:jc w:val="center"/>
        </w:trPr>
        <w:tc>
          <w:tcPr>
            <w:tcW w:w="8946" w:type="dxa"/>
            <w:gridSpan w:val="6"/>
            <w:vAlign w:val="center"/>
          </w:tcPr>
          <w:p>
            <w:pPr>
              <w:widowControl w:val="0"/>
              <w:wordWrap/>
              <w:overflowPunct w:val="0"/>
              <w:adjustRightInd w:val="0"/>
              <w:snapToGrid w:val="0"/>
              <w:spacing w:line="420" w:lineRule="exact"/>
              <w:ind w:left="0" w:leftChars="0" w:firstLine="0" w:firstLineChars="0"/>
              <w:jc w:val="center"/>
              <w:textAlignment w:val="auto"/>
              <w:rPr>
                <w:rFonts w:hint="default" w:ascii="Times New Roman" w:hAnsi="Times New Roman" w:cs="Times New Roman"/>
                <w:sz w:val="28"/>
                <w:szCs w:val="28"/>
              </w:rPr>
            </w:pPr>
            <w:bookmarkStart w:id="4" w:name="_Hlk64707096"/>
            <w:r>
              <w:rPr>
                <w:rFonts w:hint="default" w:ascii="Times New Roman" w:hAnsi="Times New Roman" w:eastAsia="黑体" w:cs="Times New Roman"/>
                <w:b w:val="0"/>
                <w:bCs w:val="0"/>
                <w:sz w:val="28"/>
                <w:szCs w:val="28"/>
              </w:rPr>
              <w:t>焦作市大气污染防治类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1088" w:hRule="atLeast"/>
          <w:jc w:val="center"/>
        </w:trPr>
        <w:tc>
          <w:tcPr>
            <w:tcW w:w="1681" w:type="dxa"/>
            <w:gridSpan w:val="3"/>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违法行为</w:t>
            </w:r>
          </w:p>
        </w:tc>
        <w:tc>
          <w:tcPr>
            <w:tcW w:w="7265" w:type="dxa"/>
            <w:gridSpan w:val="3"/>
            <w:vAlign w:val="top"/>
          </w:tcPr>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overflowPunct w:val="0"/>
              <w:adjustRightInd w:val="0"/>
              <w:snapToGrid w:val="0"/>
              <w:spacing w:before="87" w:beforeLines="20" w:line="420" w:lineRule="exact"/>
              <w:ind w:left="0" w:leftChars="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在人口集中区域从事经营性露天喷漆、喷涂、喷砂等产生含挥发性有机物废气的作业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1530" w:hRule="atLeast"/>
          <w:jc w:val="center"/>
        </w:trPr>
        <w:tc>
          <w:tcPr>
            <w:tcW w:w="1681" w:type="dxa"/>
            <w:gridSpan w:val="3"/>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违反条款</w:t>
            </w:r>
          </w:p>
        </w:tc>
        <w:tc>
          <w:tcPr>
            <w:tcW w:w="7265" w:type="dxa"/>
            <w:gridSpan w:val="3"/>
            <w:vAlign w:val="top"/>
          </w:tcPr>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overflowPunct w:val="0"/>
              <w:adjustRightInd w:val="0"/>
              <w:snapToGrid w:val="0"/>
              <w:spacing w:before="87" w:beforeLines="20" w:line="420" w:lineRule="exact"/>
              <w:ind w:left="0" w:leftChars="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w:t>
            </w:r>
            <w:r>
              <w:rPr>
                <w:rFonts w:hint="eastAsia" w:ascii="仿宋_GB2312" w:hAnsi="仿宋_GB2312" w:eastAsia="仿宋_GB2312" w:cs="仿宋_GB2312"/>
                <w:b/>
                <w:bCs/>
                <w:sz w:val="28"/>
                <w:szCs w:val="28"/>
              </w:rPr>
              <w:t>焦作市大气污染防治条例》</w:t>
            </w:r>
            <w:r>
              <w:rPr>
                <w:rFonts w:hint="eastAsia" w:ascii="仿宋_GB2312" w:hAnsi="仿宋_GB2312" w:eastAsia="仿宋_GB2312" w:cs="仿宋_GB2312"/>
                <w:color w:val="000000"/>
                <w:sz w:val="28"/>
                <w:szCs w:val="28"/>
              </w:rPr>
              <w:t>第十五条</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禁止在人口集中区域从事经营性露天喷漆、喷涂、喷砂等产生含挥发性有机物废气的作业。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处罚依据</w:t>
            </w:r>
          </w:p>
        </w:tc>
        <w:tc>
          <w:tcPr>
            <w:tcW w:w="7265" w:type="dxa"/>
            <w:gridSpan w:val="3"/>
            <w:vAlign w:val="top"/>
          </w:tcPr>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overflowPunct w:val="0"/>
              <w:adjustRightInd w:val="0"/>
              <w:snapToGrid w:val="0"/>
              <w:spacing w:before="87" w:beforeLines="20" w:line="420" w:lineRule="exact"/>
              <w:ind w:left="0" w:leftChars="0" w:firstLine="0" w:firstLineChars="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仿宋_GB2312" w:hAnsi="仿宋_GB2312" w:eastAsia="仿宋_GB2312" w:cs="仿宋_GB2312"/>
                <w:b/>
                <w:bCs/>
                <w:sz w:val="28"/>
                <w:szCs w:val="28"/>
              </w:rPr>
              <w:t>焦作市大气污染防治条例》</w:t>
            </w:r>
            <w:r>
              <w:rPr>
                <w:rFonts w:hint="eastAsia" w:ascii="仿宋_GB2312" w:hAnsi="仿宋_GB2312" w:eastAsia="仿宋_GB2312" w:cs="仿宋_GB2312"/>
                <w:color w:val="000000"/>
                <w:sz w:val="28"/>
                <w:szCs w:val="28"/>
              </w:rPr>
              <w:t>第三十七条</w:t>
            </w: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color w:val="000000"/>
                <w:sz w:val="28"/>
                <w:szCs w:val="28"/>
              </w:rPr>
              <w:t>违反本条例第十五条规定的，由生态环境主管部门责令改正，处二万元以上二十万元以下罚款，拒不改正的，责令停产整治。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裁量因素</w:t>
            </w: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判定标准</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裁量等级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restart"/>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★违法事实</w:t>
            </w: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固体涂料</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color w:val="000000"/>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rPr>
              <w:t>使用水性油漆</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color w:val="000000"/>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使用溶剂型油漆</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restart"/>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eastAsia="zh-CN"/>
              </w:rPr>
              <w:t>污染防治设施</w:t>
            </w:r>
          </w:p>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color w:val="auto"/>
                <w:sz w:val="28"/>
                <w:szCs w:val="28"/>
                <w:shd w:val="clear" w:color="auto" w:fill="auto"/>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按规定使用污染防治措施或无污染防治要求的</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color w:val="auto"/>
                <w:sz w:val="28"/>
                <w:szCs w:val="28"/>
                <w:shd w:val="clear" w:color="auto" w:fill="auto"/>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部分落实污染防治措施</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color w:val="auto"/>
                <w:sz w:val="28"/>
                <w:szCs w:val="28"/>
                <w:shd w:val="clear" w:color="auto" w:fill="auto"/>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eastAsia="zh-CN"/>
              </w:rPr>
              <w:t>未落实污染防治措施</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restart"/>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违法行为发生时期敏感度</w:t>
            </w: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非预警管控时段</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color w:val="000000"/>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重污染天气黄色预警期间</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color w:val="000000"/>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重污染天气橙色预警期间</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color w:val="000000"/>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重污染天气红色预警期间</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restart"/>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color w:val="auto"/>
                <w:sz w:val="28"/>
                <w:szCs w:val="28"/>
                <w:highlight w:val="yellow"/>
              </w:rPr>
            </w:pPr>
            <w:r>
              <w:rPr>
                <w:rFonts w:hint="eastAsia" w:ascii="仿宋_GB2312" w:hAnsi="仿宋_GB2312" w:eastAsia="仿宋_GB2312" w:cs="仿宋_GB2312"/>
                <w:b/>
                <w:bCs/>
                <w:color w:val="000000"/>
                <w:sz w:val="28"/>
                <w:szCs w:val="28"/>
              </w:rPr>
              <w:t>违法行为发生地点</w:t>
            </w: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符合环境功能区划</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color w:val="auto"/>
                <w:sz w:val="28"/>
                <w:szCs w:val="28"/>
                <w:highlight w:val="yellow"/>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不符合环境功能区划，</w:t>
            </w:r>
            <w:r>
              <w:rPr>
                <w:rFonts w:hint="eastAsia" w:ascii="仿宋_GB2312" w:hAnsi="仿宋_GB2312" w:eastAsia="仿宋_GB2312" w:cs="仿宋_GB2312"/>
                <w:color w:val="000000"/>
                <w:sz w:val="28"/>
                <w:szCs w:val="28"/>
                <w:lang w:eastAsia="zh-CN"/>
              </w:rPr>
              <w:t>但</w:t>
            </w:r>
            <w:r>
              <w:rPr>
                <w:rFonts w:hint="eastAsia" w:ascii="仿宋_GB2312" w:hAnsi="仿宋_GB2312" w:eastAsia="仿宋_GB2312" w:cs="仿宋_GB2312"/>
                <w:color w:val="000000"/>
                <w:sz w:val="28"/>
                <w:szCs w:val="28"/>
              </w:rPr>
              <w:t>位于居住区、商业交通居民混合区、文化区、工业区和农村地区</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color w:val="auto"/>
                <w:sz w:val="28"/>
                <w:szCs w:val="28"/>
                <w:highlight w:val="yellow"/>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不符合环境功能区划，</w:t>
            </w:r>
            <w:r>
              <w:rPr>
                <w:rFonts w:hint="eastAsia" w:ascii="仿宋_GB2312" w:hAnsi="仿宋_GB2312" w:eastAsia="仿宋_GB2312" w:cs="仿宋_GB2312"/>
                <w:color w:val="000000"/>
                <w:sz w:val="28"/>
                <w:szCs w:val="28"/>
                <w:lang w:eastAsia="zh-CN"/>
              </w:rPr>
              <w:t>但</w:t>
            </w:r>
            <w:r>
              <w:rPr>
                <w:rFonts w:hint="eastAsia" w:ascii="仿宋_GB2312" w:hAnsi="仿宋_GB2312" w:eastAsia="仿宋_GB2312" w:cs="仿宋_GB2312"/>
                <w:color w:val="000000"/>
                <w:sz w:val="28"/>
                <w:szCs w:val="28"/>
              </w:rPr>
              <w:t>位于自然保护区、风景名胜区和其他需要特殊保护的区域</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restart"/>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受处罚次数</w:t>
            </w: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两年内未受到过同类处罚</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color w:val="000000"/>
                <w:sz w:val="28"/>
                <w:szCs w:val="28"/>
              </w:rPr>
              <w:t>两年内受到同类处罚1次</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两年内受到同类处罚2次及以上</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restart"/>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sz w:val="28"/>
                <w:szCs w:val="28"/>
              </w:rPr>
              <w:t>是否配合执法检查</w:t>
            </w: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配合调查</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不配合调查，拒绝提供证据</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sz w:val="28"/>
                <w:szCs w:val="28"/>
              </w:rPr>
            </w:pPr>
          </w:p>
        </w:tc>
        <w:tc>
          <w:tcPr>
            <w:tcW w:w="4731" w:type="dxa"/>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伪造变造证据、弄虚作假的</w:t>
            </w:r>
          </w:p>
        </w:tc>
        <w:tc>
          <w:tcPr>
            <w:tcW w:w="2534" w:type="dxa"/>
            <w:gridSpan w:val="2"/>
            <w:vAlign w:val="center"/>
          </w:tcPr>
          <w:p>
            <w:pPr>
              <w:widowControl w:val="0"/>
              <w:wordWrap/>
              <w:overflowPunct w:val="0"/>
              <w:adjustRightInd w:val="0"/>
              <w:snapToGrid w:val="0"/>
              <w:spacing w:line="42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restart"/>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单位环保</w:t>
            </w:r>
          </w:p>
          <w:p>
            <w:pPr>
              <w:widowControl w:val="0"/>
              <w:wordWrap/>
              <w:overflowPunct w:val="0"/>
              <w:adjustRightInd w:val="0"/>
              <w:snapToGrid w:val="0"/>
              <w:spacing w:line="420" w:lineRule="exact"/>
              <w:ind w:left="0" w:leftChars="0" w:firstLine="0" w:firstLineChars="0"/>
              <w:jc w:val="both"/>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
                <w:bCs/>
                <w:color w:val="000000"/>
                <w:sz w:val="28"/>
                <w:szCs w:val="28"/>
              </w:rPr>
              <w:t>信用级别</w:t>
            </w:r>
          </w:p>
        </w:tc>
        <w:tc>
          <w:tcPr>
            <w:tcW w:w="4731"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诚信</w:t>
            </w:r>
          </w:p>
        </w:tc>
        <w:tc>
          <w:tcPr>
            <w:tcW w:w="2534" w:type="dxa"/>
            <w:gridSpan w:val="2"/>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sz w:val="28"/>
                <w:szCs w:val="28"/>
              </w:rPr>
            </w:pPr>
          </w:p>
        </w:tc>
        <w:tc>
          <w:tcPr>
            <w:tcW w:w="4731"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良好</w:t>
            </w:r>
          </w:p>
        </w:tc>
        <w:tc>
          <w:tcPr>
            <w:tcW w:w="2534" w:type="dxa"/>
            <w:gridSpan w:val="2"/>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sz w:val="28"/>
                <w:szCs w:val="28"/>
              </w:rPr>
            </w:pPr>
          </w:p>
        </w:tc>
        <w:tc>
          <w:tcPr>
            <w:tcW w:w="4731"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警示</w:t>
            </w:r>
          </w:p>
        </w:tc>
        <w:tc>
          <w:tcPr>
            <w:tcW w:w="2534" w:type="dxa"/>
            <w:gridSpan w:val="2"/>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397" w:hRule="atLeast"/>
          <w:jc w:val="center"/>
        </w:trPr>
        <w:tc>
          <w:tcPr>
            <w:tcW w:w="1681" w:type="dxa"/>
            <w:gridSpan w:val="3"/>
            <w:vMerge w:val="continue"/>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b/>
                <w:bCs/>
                <w:sz w:val="28"/>
                <w:szCs w:val="28"/>
              </w:rPr>
            </w:pPr>
          </w:p>
        </w:tc>
        <w:tc>
          <w:tcPr>
            <w:tcW w:w="4731"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不良</w:t>
            </w:r>
          </w:p>
        </w:tc>
        <w:tc>
          <w:tcPr>
            <w:tcW w:w="2534" w:type="dxa"/>
            <w:gridSpan w:val="2"/>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1" w:type="dxa"/>
          <w:trHeight w:val="560" w:hRule="atLeast"/>
          <w:jc w:val="center"/>
        </w:trPr>
        <w:tc>
          <w:tcPr>
            <w:tcW w:w="1681" w:type="dxa"/>
            <w:gridSpan w:val="3"/>
            <w:vAlign w:val="center"/>
          </w:tcPr>
          <w:p>
            <w:pPr>
              <w:widowControl w:val="0"/>
              <w:wordWrap/>
              <w:overflowPunct w:val="0"/>
              <w:adjustRightInd w:val="0"/>
              <w:snapToGrid w:val="0"/>
              <w:spacing w:line="42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c>
          <w:tcPr>
            <w:tcW w:w="7265" w:type="dxa"/>
            <w:gridSpan w:val="3"/>
            <w:vAlign w:val="center"/>
          </w:tcPr>
          <w:p>
            <w:pPr>
              <w:widowControl w:val="0"/>
              <w:wordWrap/>
              <w:overflowPunct w:val="0"/>
              <w:adjustRightInd w:val="0"/>
              <w:snapToGrid w:val="0"/>
              <w:spacing w:line="420" w:lineRule="exact"/>
              <w:ind w:firstLine="560"/>
              <w:jc w:val="center"/>
              <w:textAlignment w:val="auto"/>
              <w:rPr>
                <w:rFonts w:hint="eastAsia" w:ascii="仿宋_GB2312" w:hAnsi="仿宋_GB2312" w:eastAsia="仿宋_GB2312" w:cs="仿宋_GB2312"/>
                <w:sz w:val="28"/>
                <w:szCs w:val="28"/>
              </w:rPr>
            </w:pPr>
          </w:p>
        </w:tc>
      </w:tr>
      <w:bookmarkEnd w:id="4"/>
    </w:tbl>
    <w:p>
      <w:pPr>
        <w:rPr>
          <w:rFonts w:hint="eastAsia" w:ascii="仿宋_GB2312" w:hAnsi="仿宋_GB2312" w:eastAsia="仿宋_GB2312" w:cs="仿宋_GB2312"/>
          <w:sz w:val="28"/>
          <w:szCs w:val="28"/>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ind w:left="0" w:leftChars="0" w:firstLine="0" w:firstLineChars="0"/>
        <w:rPr>
          <w:rFonts w:hint="default" w:ascii="Times New Roman" w:hAnsi="Times New Roman" w:cs="Times New Roman"/>
        </w:rPr>
      </w:pPr>
    </w:p>
    <w:p>
      <w:pPr>
        <w:ind w:left="0" w:leftChars="0" w:firstLine="0" w:firstLineChars="0"/>
        <w:rPr>
          <w:rFonts w:hint="default" w:ascii="Times New Roman" w:hAnsi="Times New Roman" w:cs="Times New Roman"/>
        </w:rPr>
      </w:pPr>
    </w:p>
    <w:p>
      <w:pPr>
        <w:ind w:left="0" w:leftChars="0" w:firstLine="0" w:firstLineChars="0"/>
        <w:rPr>
          <w:rFonts w:hint="default" w:ascii="Times New Roman" w:hAnsi="Times New Roman" w:cs="Times New Roman"/>
        </w:rPr>
      </w:pPr>
    </w:p>
    <w:tbl>
      <w:tblPr>
        <w:tblStyle w:val="9"/>
        <w:tblpPr w:leftFromText="180" w:rightFromText="180" w:vertAnchor="text" w:horzAnchor="page" w:tblpX="1572" w:tblpY="66"/>
        <w:tblOverlap w:val="never"/>
        <w:tblW w:w="89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6"/>
        <w:gridCol w:w="4780"/>
        <w:gridCol w:w="2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961" w:type="dxa"/>
            <w:gridSpan w:val="3"/>
            <w:vAlign w:val="center"/>
          </w:tcPr>
          <w:p>
            <w:pPr>
              <w:widowControl w:val="0"/>
              <w:wordWrap/>
              <w:overflowPunct w:val="0"/>
              <w:adjustRightInd w:val="0"/>
              <w:snapToGrid w:val="0"/>
              <w:spacing w:line="380" w:lineRule="exact"/>
              <w:ind w:firstLine="560"/>
              <w:jc w:val="center"/>
              <w:textAlignment w:val="auto"/>
              <w:rPr>
                <w:rFonts w:hint="default" w:ascii="Times New Roman" w:hAnsi="Times New Roman" w:cs="Times New Roman"/>
                <w:sz w:val="28"/>
                <w:szCs w:val="28"/>
              </w:rPr>
            </w:pPr>
            <w:r>
              <w:rPr>
                <w:rFonts w:hint="default" w:ascii="Times New Roman" w:hAnsi="Times New Roman" w:cs="Times New Roman"/>
                <w:b/>
                <w:bCs/>
                <w:sz w:val="28"/>
                <w:szCs w:val="28"/>
              </w:rPr>
              <w:t>焦作市大气污染防治类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36" w:type="dxa"/>
            <w:vAlign w:val="center"/>
          </w:tcPr>
          <w:p>
            <w:pPr>
              <w:keepNext w:val="0"/>
              <w:keepLines w:val="0"/>
              <w:pageBreakBefore w:val="0"/>
              <w:widowControl w:val="0"/>
              <w:kinsoku/>
              <w:wordWrap/>
              <w:overflowPunct w:val="0"/>
              <w:topLinePunct w:val="0"/>
              <w:autoSpaceDE/>
              <w:autoSpaceDN/>
              <w:bidi w:val="0"/>
              <w:adjustRightInd w:val="0"/>
              <w:snapToGrid w:val="0"/>
              <w:spacing w:line="34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违法行为</w:t>
            </w:r>
          </w:p>
        </w:tc>
        <w:tc>
          <w:tcPr>
            <w:tcW w:w="7325" w:type="dxa"/>
            <w:gridSpan w:val="2"/>
            <w:vAlign w:val="top"/>
          </w:tcPr>
          <w:p>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val="0"/>
              <w:autoSpaceDE/>
              <w:autoSpaceDN/>
              <w:bidi w:val="0"/>
              <w:adjustRightInd w:val="0"/>
              <w:snapToGrid w:val="0"/>
              <w:spacing w:before="87" w:beforeLines="20" w:line="340" w:lineRule="exact"/>
              <w:ind w:left="0" w:leftChars="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纳入重污染天气应急预案的企业未制定重污染天气应急响应操作方案，并按照规定备案的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1636" w:type="dxa"/>
            <w:vAlign w:val="center"/>
          </w:tcPr>
          <w:p>
            <w:pPr>
              <w:keepNext w:val="0"/>
              <w:keepLines w:val="0"/>
              <w:pageBreakBefore w:val="0"/>
              <w:widowControl w:val="0"/>
              <w:kinsoku/>
              <w:wordWrap/>
              <w:overflowPunct w:val="0"/>
              <w:topLinePunct w:val="0"/>
              <w:autoSpaceDE/>
              <w:autoSpaceDN/>
              <w:bidi w:val="0"/>
              <w:adjustRightInd w:val="0"/>
              <w:snapToGrid w:val="0"/>
              <w:spacing w:line="34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违反条款</w:t>
            </w:r>
          </w:p>
        </w:tc>
        <w:tc>
          <w:tcPr>
            <w:tcW w:w="7325" w:type="dxa"/>
            <w:gridSpan w:val="2"/>
            <w:vAlign w:val="top"/>
          </w:tcPr>
          <w:p>
            <w:pPr>
              <w:pStyle w:val="7"/>
              <w:keepNext w:val="0"/>
              <w:keepLines w:val="0"/>
              <w:pageBreakBefore w:val="0"/>
              <w:widowControl w:val="0"/>
              <w:shd w:val="clear" w:color="auto" w:fill="FFFFFF"/>
              <w:kinsoku/>
              <w:wordWrap/>
              <w:overflowPunct w:val="0"/>
              <w:topLinePunct w:val="0"/>
              <w:autoSpaceDE/>
              <w:autoSpaceDN/>
              <w:bidi w:val="0"/>
              <w:adjustRightInd w:val="0"/>
              <w:snapToGrid w:val="0"/>
              <w:spacing w:before="0" w:beforeAutospacing="0" w:after="0" w:afterAutospacing="0" w:line="34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2"/>
                <w:sz w:val="28"/>
                <w:szCs w:val="28"/>
                <w:lang w:val="en-US" w:eastAsia="zh-CN" w:bidi="ar-SA"/>
              </w:rPr>
              <w:t>《焦作市大气污染防治条例》第三十五条  纳入重污染天气应急预案的企业应当根据市、县（市、区）人民政府制定的重污染天气应急预案，制定重污染天气应急响应操作方案，并按照规定备案和及时启动应急响应操作方案。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7" w:hRule="atLeast"/>
        </w:trPr>
        <w:tc>
          <w:tcPr>
            <w:tcW w:w="1636" w:type="dxa"/>
            <w:vAlign w:val="center"/>
          </w:tcPr>
          <w:p>
            <w:pPr>
              <w:keepNext w:val="0"/>
              <w:keepLines w:val="0"/>
              <w:pageBreakBefore w:val="0"/>
              <w:widowControl w:val="0"/>
              <w:kinsoku/>
              <w:wordWrap/>
              <w:overflowPunct w:val="0"/>
              <w:topLinePunct w:val="0"/>
              <w:autoSpaceDE/>
              <w:autoSpaceDN/>
              <w:bidi w:val="0"/>
              <w:adjustRightInd w:val="0"/>
              <w:snapToGrid w:val="0"/>
              <w:spacing w:line="34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处罚依据</w:t>
            </w:r>
          </w:p>
        </w:tc>
        <w:tc>
          <w:tcPr>
            <w:tcW w:w="7325" w:type="dxa"/>
            <w:gridSpan w:val="2"/>
            <w:vAlign w:val="top"/>
          </w:tcPr>
          <w:p>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topLinePunct w:val="0"/>
              <w:autoSpaceDE/>
              <w:autoSpaceDN/>
              <w:bidi w:val="0"/>
              <w:adjustRightInd w:val="0"/>
              <w:snapToGrid w:val="0"/>
              <w:spacing w:before="87" w:beforeLines="20" w:line="340" w:lineRule="exact"/>
              <w:ind w:left="0" w:leftChars="0" w:firstLine="0" w:firstLineChars="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191919"/>
                <w:sz w:val="28"/>
                <w:szCs w:val="28"/>
              </w:rPr>
              <w:t>《焦作市大气污染防治条例》</w:t>
            </w:r>
            <w:r>
              <w:rPr>
                <w:rStyle w:val="13"/>
                <w:rFonts w:hint="eastAsia" w:ascii="仿宋_GB2312" w:hAnsi="仿宋_GB2312" w:eastAsia="仿宋_GB2312" w:cs="仿宋_GB2312"/>
                <w:b w:val="0"/>
                <w:bCs w:val="0"/>
                <w:color w:val="191919"/>
                <w:sz w:val="28"/>
                <w:szCs w:val="28"/>
              </w:rPr>
              <w:t>第三十九条</w:t>
            </w:r>
            <w:r>
              <w:rPr>
                <w:rStyle w:val="13"/>
                <w:rFonts w:hint="eastAsia" w:ascii="仿宋_GB2312" w:hAnsi="仿宋_GB2312" w:eastAsia="仿宋_GB2312" w:cs="仿宋_GB2312"/>
                <w:b w:val="0"/>
                <w:bCs w:val="0"/>
                <w:color w:val="191919"/>
                <w:sz w:val="28"/>
                <w:szCs w:val="28"/>
                <w:lang w:val="en-US" w:eastAsia="zh-CN"/>
              </w:rPr>
              <w:t xml:space="preserve">  </w:t>
            </w:r>
            <w:r>
              <w:rPr>
                <w:rFonts w:hint="eastAsia" w:ascii="仿宋_GB2312" w:hAnsi="仿宋_GB2312" w:eastAsia="仿宋_GB2312" w:cs="仿宋_GB2312"/>
                <w:color w:val="191919"/>
                <w:sz w:val="28"/>
                <w:szCs w:val="28"/>
              </w:rPr>
              <w:t>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36"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裁量因素</w:t>
            </w: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判定标准</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裁量等级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636" w:type="dxa"/>
            <w:vMerge w:val="restart"/>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★违法事实</w:t>
            </w:r>
          </w:p>
        </w:tc>
        <w:tc>
          <w:tcPr>
            <w:tcW w:w="4780" w:type="dxa"/>
            <w:vAlign w:val="center"/>
          </w:tcPr>
          <w:p>
            <w:pPr>
              <w:widowControl w:val="0"/>
              <w:wordWrap/>
              <w:overflowPunct w:val="0"/>
              <w:adjustRightInd w:val="0"/>
              <w:snapToGrid w:val="0"/>
              <w:spacing w:line="380" w:lineRule="exact"/>
              <w:ind w:left="0" w:leftChars="0"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制定</w:t>
            </w:r>
            <w:r>
              <w:rPr>
                <w:rFonts w:hint="eastAsia" w:ascii="仿宋_GB2312" w:hAnsi="仿宋_GB2312" w:eastAsia="仿宋_GB2312" w:cs="仿宋_GB2312"/>
                <w:color w:val="191919"/>
                <w:sz w:val="28"/>
                <w:szCs w:val="28"/>
              </w:rPr>
              <w:t>重污染天气应急预案，未备案</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636" w:type="dxa"/>
            <w:vMerge w:val="continue"/>
            <w:vAlign w:val="center"/>
          </w:tcPr>
          <w:p>
            <w:pPr>
              <w:widowControl w:val="0"/>
              <w:wordWrap/>
              <w:overflowPunct w:val="0"/>
              <w:adjustRightInd w:val="0"/>
              <w:snapToGrid w:val="0"/>
              <w:spacing w:line="38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未制定</w:t>
            </w:r>
            <w:r>
              <w:rPr>
                <w:rFonts w:hint="eastAsia" w:ascii="仿宋_GB2312" w:hAnsi="仿宋_GB2312" w:eastAsia="仿宋_GB2312" w:cs="仿宋_GB2312"/>
                <w:color w:val="191919"/>
                <w:sz w:val="28"/>
                <w:szCs w:val="28"/>
              </w:rPr>
              <w:t>重污染天气应急预案</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636" w:type="dxa"/>
            <w:vMerge w:val="restart"/>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企业规模</w:t>
            </w: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微型企业</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636" w:type="dxa"/>
            <w:vMerge w:val="continue"/>
            <w:vAlign w:val="center"/>
          </w:tcPr>
          <w:p>
            <w:pPr>
              <w:widowControl w:val="0"/>
              <w:wordWrap/>
              <w:overflowPunct w:val="0"/>
              <w:adjustRightInd w:val="0"/>
              <w:snapToGrid w:val="0"/>
              <w:spacing w:line="38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小型企事业单位</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636" w:type="dxa"/>
            <w:vMerge w:val="continue"/>
            <w:vAlign w:val="center"/>
          </w:tcPr>
          <w:p>
            <w:pPr>
              <w:widowControl w:val="0"/>
              <w:wordWrap/>
              <w:overflowPunct w:val="0"/>
              <w:adjustRightInd w:val="0"/>
              <w:snapToGrid w:val="0"/>
              <w:spacing w:line="38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中型企事业单位</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1636" w:type="dxa"/>
            <w:vMerge w:val="continue"/>
            <w:vAlign w:val="center"/>
          </w:tcPr>
          <w:p>
            <w:pPr>
              <w:widowControl w:val="0"/>
              <w:wordWrap/>
              <w:overflowPunct w:val="0"/>
              <w:adjustRightInd w:val="0"/>
              <w:snapToGrid w:val="0"/>
              <w:spacing w:line="38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大型企事业单位</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636" w:type="dxa"/>
            <w:vMerge w:val="restart"/>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受处罚次数</w:t>
            </w: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二</w:t>
            </w:r>
            <w:r>
              <w:rPr>
                <w:rFonts w:hint="eastAsia" w:ascii="仿宋_GB2312" w:hAnsi="仿宋_GB2312" w:eastAsia="仿宋_GB2312" w:cs="仿宋_GB2312"/>
                <w:color w:val="000000"/>
                <w:sz w:val="28"/>
                <w:szCs w:val="28"/>
              </w:rPr>
              <w:t>年内未受到同类处罚</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636" w:type="dxa"/>
            <w:vMerge w:val="continue"/>
            <w:vAlign w:val="center"/>
          </w:tcPr>
          <w:p>
            <w:pPr>
              <w:widowControl w:val="0"/>
              <w:wordWrap/>
              <w:overflowPunct w:val="0"/>
              <w:adjustRightInd w:val="0"/>
              <w:snapToGrid w:val="0"/>
              <w:spacing w:line="38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color w:val="000000"/>
                <w:sz w:val="28"/>
                <w:szCs w:val="28"/>
                <w:lang w:eastAsia="zh-CN"/>
              </w:rPr>
              <w:t>二</w:t>
            </w:r>
            <w:r>
              <w:rPr>
                <w:rFonts w:hint="eastAsia" w:ascii="仿宋_GB2312" w:hAnsi="仿宋_GB2312" w:eastAsia="仿宋_GB2312" w:cs="仿宋_GB2312"/>
                <w:color w:val="000000"/>
                <w:sz w:val="28"/>
                <w:szCs w:val="28"/>
              </w:rPr>
              <w:t>年内受到过同类处罚</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636" w:type="dxa"/>
            <w:vMerge w:val="restart"/>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是否配合</w:t>
            </w:r>
          </w:p>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sz w:val="28"/>
                <w:szCs w:val="28"/>
              </w:rPr>
              <w:t>执法检查</w:t>
            </w: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配合调查</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636" w:type="dxa"/>
            <w:vMerge w:val="continue"/>
            <w:vAlign w:val="center"/>
          </w:tcPr>
          <w:p>
            <w:pPr>
              <w:widowControl w:val="0"/>
              <w:wordWrap/>
              <w:overflowPunct w:val="0"/>
              <w:adjustRightInd w:val="0"/>
              <w:snapToGrid w:val="0"/>
              <w:spacing w:line="38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不配合调查，拒绝提供证据</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636" w:type="dxa"/>
            <w:vMerge w:val="continue"/>
            <w:vAlign w:val="center"/>
          </w:tcPr>
          <w:p>
            <w:pPr>
              <w:widowControl w:val="0"/>
              <w:wordWrap/>
              <w:overflowPunct w:val="0"/>
              <w:adjustRightInd w:val="0"/>
              <w:snapToGrid w:val="0"/>
              <w:spacing w:line="38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伪造变造证据、弄虚作假的</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636" w:type="dxa"/>
            <w:vMerge w:val="restart"/>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单位环保</w:t>
            </w:r>
          </w:p>
          <w:p>
            <w:pPr>
              <w:widowControl w:val="0"/>
              <w:wordWrap/>
              <w:overflowPunct w:val="0"/>
              <w:adjustRightInd w:val="0"/>
              <w:snapToGrid w:val="0"/>
              <w:spacing w:line="380" w:lineRule="exact"/>
              <w:ind w:left="0" w:leftChars="0" w:firstLine="0" w:firstLineChars="0"/>
              <w:jc w:val="both"/>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sz w:val="28"/>
                <w:szCs w:val="28"/>
                <w:lang w:val="en-US" w:eastAsia="zh-CN"/>
              </w:rPr>
              <w:t xml:space="preserve"> </w:t>
            </w:r>
            <w:r>
              <w:rPr>
                <w:rFonts w:hint="eastAsia" w:ascii="仿宋_GB2312" w:hAnsi="仿宋_GB2312" w:eastAsia="仿宋_GB2312" w:cs="仿宋_GB2312"/>
                <w:b/>
                <w:bCs/>
                <w:color w:val="000000"/>
                <w:sz w:val="28"/>
                <w:szCs w:val="28"/>
              </w:rPr>
              <w:t>信用级别</w:t>
            </w: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诚信</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636" w:type="dxa"/>
            <w:vMerge w:val="continue"/>
            <w:vAlign w:val="center"/>
          </w:tcPr>
          <w:p>
            <w:pPr>
              <w:widowControl w:val="0"/>
              <w:wordWrap/>
              <w:overflowPunct w:val="0"/>
              <w:adjustRightInd w:val="0"/>
              <w:snapToGrid w:val="0"/>
              <w:spacing w:line="380" w:lineRule="exact"/>
              <w:ind w:left="0" w:leftChars="0" w:firstLine="0" w:firstLineChars="0"/>
              <w:jc w:val="both"/>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良好</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1636" w:type="dxa"/>
            <w:vMerge w:val="continue"/>
            <w:vAlign w:val="center"/>
          </w:tcPr>
          <w:p>
            <w:pPr>
              <w:widowControl w:val="0"/>
              <w:wordWrap/>
              <w:overflowPunct w:val="0"/>
              <w:adjustRightInd w:val="0"/>
              <w:snapToGrid w:val="0"/>
              <w:spacing w:line="380" w:lineRule="exact"/>
              <w:ind w:left="0" w:leftChars="0" w:firstLine="0" w:firstLineChars="0"/>
              <w:jc w:val="both"/>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警示</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36" w:type="dxa"/>
            <w:vMerge w:val="continue"/>
            <w:vAlign w:val="center"/>
          </w:tcPr>
          <w:p>
            <w:pPr>
              <w:widowControl w:val="0"/>
              <w:wordWrap/>
              <w:overflowPunct w:val="0"/>
              <w:adjustRightInd w:val="0"/>
              <w:snapToGrid w:val="0"/>
              <w:spacing w:line="380" w:lineRule="exact"/>
              <w:ind w:left="0" w:leftChars="0" w:firstLine="0" w:firstLineChars="0"/>
              <w:jc w:val="both"/>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不良</w:t>
            </w:r>
          </w:p>
        </w:tc>
        <w:tc>
          <w:tcPr>
            <w:tcW w:w="2545" w:type="dxa"/>
            <w:vAlign w:val="center"/>
          </w:tcPr>
          <w:p>
            <w:pPr>
              <w:widowControl w:val="0"/>
              <w:wordWrap/>
              <w:overflowPunct w:val="0"/>
              <w:adjustRightInd w:val="0"/>
              <w:snapToGrid w:val="0"/>
              <w:spacing w:line="38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636" w:type="dxa"/>
            <w:vAlign w:val="center"/>
          </w:tcPr>
          <w:p>
            <w:pPr>
              <w:widowControl w:val="0"/>
              <w:wordWrap/>
              <w:overflowPunct w:val="0"/>
              <w:adjustRightInd w:val="0"/>
              <w:snapToGrid w:val="0"/>
              <w:spacing w:line="38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c>
          <w:tcPr>
            <w:tcW w:w="7325" w:type="dxa"/>
            <w:gridSpan w:val="2"/>
            <w:vAlign w:val="center"/>
          </w:tcPr>
          <w:p>
            <w:pPr>
              <w:widowControl w:val="0"/>
              <w:wordWrap/>
              <w:overflowPunct w:val="0"/>
              <w:adjustRightInd w:val="0"/>
              <w:snapToGrid w:val="0"/>
              <w:spacing w:line="380" w:lineRule="exact"/>
              <w:ind w:firstLine="560"/>
              <w:jc w:val="center"/>
              <w:textAlignment w:val="auto"/>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8961" w:type="dxa"/>
            <w:gridSpan w:val="3"/>
            <w:vAlign w:val="center"/>
          </w:tcPr>
          <w:p>
            <w:pPr>
              <w:widowControl w:val="0"/>
              <w:wordWrap/>
              <w:overflowPunct w:val="0"/>
              <w:adjustRightInd w:val="0"/>
              <w:snapToGrid w:val="0"/>
              <w:spacing w:line="350" w:lineRule="exact"/>
              <w:ind w:left="0" w:leftChars="0" w:firstLine="0" w:firstLineChars="0"/>
              <w:jc w:val="center"/>
              <w:textAlignment w:val="auto"/>
              <w:rPr>
                <w:rFonts w:hint="default" w:ascii="Times New Roman" w:hAnsi="Times New Roman" w:cs="Times New Roman"/>
                <w:sz w:val="28"/>
                <w:szCs w:val="28"/>
              </w:rPr>
            </w:pPr>
            <w:r>
              <w:rPr>
                <w:rFonts w:hint="default" w:ascii="Times New Roman" w:hAnsi="Times New Roman" w:cs="Times New Roman"/>
                <w:b/>
                <w:bCs/>
                <w:sz w:val="28"/>
                <w:szCs w:val="28"/>
              </w:rPr>
              <w:t>焦作市大气污染防治类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1636"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违法行为</w:t>
            </w:r>
          </w:p>
        </w:tc>
        <w:tc>
          <w:tcPr>
            <w:tcW w:w="7325" w:type="dxa"/>
            <w:gridSpan w:val="2"/>
            <w:vAlign w:val="top"/>
          </w:tcPr>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overflowPunct w:val="0"/>
              <w:adjustRightInd w:val="0"/>
              <w:snapToGrid w:val="0"/>
              <w:spacing w:before="87" w:beforeLines="20" w:line="350" w:lineRule="exact"/>
              <w:ind w:left="0" w:leftChars="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191919"/>
                <w:sz w:val="28"/>
                <w:szCs w:val="28"/>
              </w:rPr>
              <w:t>纳入重污染天气应急预案的企业未按照规定及时启动应急响应操作方案的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5" w:hRule="atLeast"/>
        </w:trPr>
        <w:tc>
          <w:tcPr>
            <w:tcW w:w="1636"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违反条款</w:t>
            </w:r>
          </w:p>
        </w:tc>
        <w:tc>
          <w:tcPr>
            <w:tcW w:w="7325" w:type="dxa"/>
            <w:gridSpan w:val="2"/>
            <w:vAlign w:val="top"/>
          </w:tcPr>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overflowPunct w:val="0"/>
              <w:adjustRightInd w:val="0"/>
              <w:snapToGrid w:val="0"/>
              <w:spacing w:before="87" w:beforeLines="20" w:line="350" w:lineRule="exact"/>
              <w:ind w:left="0" w:leftChars="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191919"/>
                <w:sz w:val="28"/>
                <w:szCs w:val="28"/>
              </w:rPr>
              <w:t>《焦作市大气污染防治条例》</w:t>
            </w:r>
            <w:r>
              <w:rPr>
                <w:rFonts w:hint="eastAsia" w:ascii="仿宋_GB2312" w:hAnsi="仿宋_GB2312" w:eastAsia="仿宋_GB2312" w:cs="仿宋_GB2312"/>
                <w:b w:val="0"/>
                <w:bCs w:val="0"/>
                <w:sz w:val="28"/>
                <w:szCs w:val="28"/>
              </w:rPr>
              <w:t>第三十五条</w:t>
            </w: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color w:val="191919"/>
                <w:sz w:val="28"/>
                <w:szCs w:val="28"/>
              </w:rPr>
              <w:t>纳入重污染天气应急预案的企业应当根据市、县（市、区）人民政府制定的重污染天气应急预案，制定重污染天气应急响应操作方案，并按照规定备案和及时启动应急响应操作方案。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6" w:hRule="atLeast"/>
        </w:trPr>
        <w:tc>
          <w:tcPr>
            <w:tcW w:w="1636"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处罚依据</w:t>
            </w:r>
          </w:p>
        </w:tc>
        <w:tc>
          <w:tcPr>
            <w:tcW w:w="7325" w:type="dxa"/>
            <w:gridSpan w:val="2"/>
            <w:vAlign w:val="top"/>
          </w:tcPr>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overflowPunct w:val="0"/>
              <w:adjustRightInd w:val="0"/>
              <w:snapToGrid w:val="0"/>
              <w:spacing w:before="87" w:beforeLines="20" w:line="350" w:lineRule="exact"/>
              <w:ind w:left="0" w:leftChars="0" w:firstLine="0" w:firstLineChars="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191919"/>
                <w:sz w:val="28"/>
                <w:szCs w:val="28"/>
              </w:rPr>
              <w:t>《焦作市大气污染防治条例》</w:t>
            </w:r>
            <w:r>
              <w:rPr>
                <w:rStyle w:val="13"/>
                <w:rFonts w:hint="eastAsia" w:ascii="仿宋_GB2312" w:hAnsi="仿宋_GB2312" w:eastAsia="仿宋_GB2312" w:cs="仿宋_GB2312"/>
                <w:b w:val="0"/>
                <w:bCs w:val="0"/>
                <w:color w:val="191919"/>
                <w:sz w:val="28"/>
                <w:szCs w:val="28"/>
              </w:rPr>
              <w:t>第三十九条</w:t>
            </w:r>
            <w:r>
              <w:rPr>
                <w:rStyle w:val="13"/>
                <w:rFonts w:hint="eastAsia" w:ascii="仿宋_GB2312" w:hAnsi="仿宋_GB2312" w:eastAsia="仿宋_GB2312" w:cs="仿宋_GB2312"/>
                <w:b w:val="0"/>
                <w:bCs w:val="0"/>
                <w:color w:val="191919"/>
                <w:sz w:val="28"/>
                <w:szCs w:val="28"/>
                <w:lang w:val="en-US" w:eastAsia="zh-CN"/>
              </w:rPr>
              <w:t xml:space="preserve">  </w:t>
            </w:r>
            <w:r>
              <w:rPr>
                <w:rFonts w:hint="eastAsia" w:ascii="仿宋_GB2312" w:hAnsi="仿宋_GB2312" w:eastAsia="仿宋_GB2312" w:cs="仿宋_GB2312"/>
                <w:color w:val="191919"/>
                <w:sz w:val="28"/>
                <w:szCs w:val="28"/>
              </w:rPr>
              <w:t>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636"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裁量因素</w:t>
            </w: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判定标准</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裁量等级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restart"/>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★违法行为</w:t>
            </w:r>
          </w:p>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发生时期</w:t>
            </w:r>
          </w:p>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敏感度</w:t>
            </w: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重污染天气黄色预警期间</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重污染天气橙色预警期间</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重污染天气红色预警期间</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restart"/>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highlight w:val="yellow"/>
                <w:lang w:eastAsia="zh-CN"/>
              </w:rPr>
            </w:pPr>
            <w:r>
              <w:rPr>
                <w:rFonts w:hint="eastAsia" w:ascii="仿宋_GB2312" w:hAnsi="仿宋_GB2312" w:eastAsia="仿宋_GB2312" w:cs="仿宋_GB2312"/>
                <w:b/>
                <w:bCs/>
                <w:color w:val="000000"/>
                <w:sz w:val="28"/>
                <w:szCs w:val="28"/>
                <w:lang w:eastAsia="zh-CN"/>
              </w:rPr>
              <w:t>污染防治设施</w:t>
            </w: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按规定使用污染防治措施或无污染防治要求的</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highlight w:val="yellow"/>
                <w:lang w:eastAsia="zh-CN"/>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部分落实污染防治措施</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highlight w:val="yellow"/>
                <w:lang w:eastAsia="zh-CN"/>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未落实污染防治措施</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restart"/>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lang w:eastAsia="zh-CN"/>
              </w:rPr>
            </w:pPr>
            <w:r>
              <w:rPr>
                <w:rFonts w:hint="eastAsia" w:ascii="仿宋_GB2312" w:hAnsi="仿宋_GB2312" w:eastAsia="仿宋_GB2312" w:cs="仿宋_GB2312"/>
                <w:b/>
                <w:bCs/>
                <w:color w:val="000000"/>
                <w:sz w:val="28"/>
                <w:szCs w:val="28"/>
                <w:lang w:eastAsia="zh-CN"/>
              </w:rPr>
              <w:t>企业规模</w:t>
            </w: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sz w:val="28"/>
                <w:szCs w:val="28"/>
              </w:rPr>
              <w:t>微型企业</w:t>
            </w:r>
            <w:r>
              <w:rPr>
                <w:rFonts w:hint="eastAsia" w:ascii="仿宋_GB2312" w:hAnsi="仿宋_GB2312" w:eastAsia="仿宋_GB2312" w:cs="仿宋_GB2312"/>
                <w:sz w:val="28"/>
                <w:szCs w:val="28"/>
                <w:lang w:eastAsia="zh-CN"/>
              </w:rPr>
              <w:t>、个人</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小型企事业单位</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中型企事业单位</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大型企事业单位</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636" w:type="dxa"/>
            <w:vMerge w:val="restart"/>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lang w:eastAsia="zh-CN"/>
              </w:rPr>
            </w:pPr>
            <w:r>
              <w:rPr>
                <w:rFonts w:hint="eastAsia" w:ascii="仿宋_GB2312" w:hAnsi="仿宋_GB2312" w:eastAsia="仿宋_GB2312" w:cs="仿宋_GB2312"/>
                <w:b/>
                <w:bCs/>
                <w:color w:val="000000"/>
                <w:sz w:val="28"/>
                <w:szCs w:val="28"/>
                <w:lang w:val="en-US" w:eastAsia="zh-CN"/>
              </w:rPr>
              <w:t>违法行为</w:t>
            </w:r>
          </w:p>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val="en-US" w:eastAsia="zh-CN"/>
              </w:rPr>
              <w:t>持续时间</w:t>
            </w: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2天以下</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636" w:type="dxa"/>
            <w:vMerge w:val="continue"/>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2天以上4天以下</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4天以上</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restart"/>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lang w:eastAsia="zh-CN"/>
              </w:rPr>
            </w:pPr>
            <w:r>
              <w:rPr>
                <w:rFonts w:hint="eastAsia" w:ascii="仿宋_GB2312" w:hAnsi="仿宋_GB2312" w:eastAsia="仿宋_GB2312" w:cs="仿宋_GB2312"/>
                <w:b/>
                <w:bCs/>
                <w:color w:val="000000"/>
                <w:sz w:val="28"/>
                <w:szCs w:val="28"/>
                <w:lang w:eastAsia="zh-CN"/>
              </w:rPr>
              <w:t>违法行为</w:t>
            </w:r>
          </w:p>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eastAsia="zh-CN"/>
              </w:rPr>
              <w:t>发生地点</w:t>
            </w:r>
          </w:p>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符合环境功能区划</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不符合环境功能区划，但不在保护区内</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饮用水水源准保护区</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位于自然保护区实验区/饮用水水源二级保护区</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位于自然保护区缓冲区/位于自然保护区核心区/饮用水水源一级保护区</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restart"/>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lang w:val="en-US"/>
              </w:rPr>
            </w:pPr>
            <w:r>
              <w:rPr>
                <w:rFonts w:hint="eastAsia" w:ascii="仿宋_GB2312" w:hAnsi="仿宋_GB2312" w:eastAsia="仿宋_GB2312" w:cs="仿宋_GB2312"/>
                <w:b/>
                <w:bCs/>
                <w:color w:val="000000"/>
                <w:sz w:val="28"/>
                <w:szCs w:val="28"/>
                <w:lang w:val="en-US"/>
              </w:rPr>
              <w:t>超过限期</w:t>
            </w:r>
          </w:p>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rPr>
              <w:t>改正时间</w:t>
            </w:r>
          </w:p>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限期改正</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3天以下</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3天以上7天以下</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7天以上</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restart"/>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受处罚</w:t>
            </w:r>
            <w:r>
              <w:rPr>
                <w:rFonts w:hint="eastAsia" w:ascii="仿宋_GB2312" w:hAnsi="仿宋_GB2312" w:eastAsia="仿宋_GB2312" w:cs="仿宋_GB2312"/>
                <w:b/>
                <w:bCs/>
                <w:sz w:val="28"/>
                <w:szCs w:val="28"/>
              </w:rPr>
              <w:t>次数</w:t>
            </w: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两年内未受到过同类处罚</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color w:val="000000"/>
                <w:sz w:val="28"/>
                <w:szCs w:val="28"/>
              </w:rPr>
              <w:t>两年内受到同类处罚1次</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两年内受到同类处罚2次</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636" w:type="dxa"/>
            <w:vMerge w:val="restart"/>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是否配合</w:t>
            </w:r>
          </w:p>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color w:val="000000"/>
                <w:sz w:val="28"/>
                <w:szCs w:val="28"/>
              </w:rPr>
              <w:t>执法检查</w:t>
            </w: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配合调查</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不配合调查，拒绝提供证据</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6" w:type="dxa"/>
            <w:vMerge w:val="continue"/>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b/>
                <w:bCs/>
                <w:sz w:val="28"/>
                <w:szCs w:val="28"/>
              </w:rPr>
            </w:pPr>
          </w:p>
        </w:tc>
        <w:tc>
          <w:tcPr>
            <w:tcW w:w="4780"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伪造变造证据、弄虚作假的</w:t>
            </w:r>
          </w:p>
        </w:tc>
        <w:tc>
          <w:tcPr>
            <w:tcW w:w="2545" w:type="dxa"/>
            <w:vAlign w:val="center"/>
          </w:tcPr>
          <w:p>
            <w:pPr>
              <w:widowControl w:val="0"/>
              <w:wordWrap/>
              <w:overflowPunct w:val="0"/>
              <w:adjustRightInd w:val="0"/>
              <w:snapToGrid w:val="0"/>
              <w:spacing w:line="35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36" w:type="dxa"/>
            <w:vAlign w:val="center"/>
          </w:tcPr>
          <w:p>
            <w:pPr>
              <w:widowControl w:val="0"/>
              <w:wordWrap/>
              <w:overflowPunct w:val="0"/>
              <w:adjustRightInd w:val="0"/>
              <w:snapToGrid w:val="0"/>
              <w:spacing w:line="350" w:lineRule="exact"/>
              <w:ind w:firstLineChars="15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c>
          <w:tcPr>
            <w:tcW w:w="7325" w:type="dxa"/>
            <w:gridSpan w:val="2"/>
            <w:vAlign w:val="center"/>
          </w:tcPr>
          <w:p>
            <w:pPr>
              <w:widowControl w:val="0"/>
              <w:wordWrap/>
              <w:overflowPunct w:val="0"/>
              <w:adjustRightInd w:val="0"/>
              <w:snapToGrid w:val="0"/>
              <w:spacing w:line="350" w:lineRule="exact"/>
              <w:ind w:firstLine="560"/>
              <w:jc w:val="center"/>
              <w:textAlignment w:val="auto"/>
              <w:rPr>
                <w:rFonts w:hint="eastAsia" w:ascii="仿宋_GB2312" w:hAnsi="仿宋_GB2312" w:eastAsia="仿宋_GB2312" w:cs="仿宋_GB2312"/>
                <w:sz w:val="28"/>
                <w:szCs w:val="28"/>
              </w:rPr>
            </w:pPr>
          </w:p>
        </w:tc>
      </w:tr>
    </w:tbl>
    <w:p>
      <w:pPr>
        <w:pStyle w:val="3"/>
        <w:rPr>
          <w:rFonts w:hint="default"/>
        </w:rPr>
      </w:pPr>
    </w:p>
    <w:p>
      <w:pPr>
        <w:widowControl w:val="0"/>
        <w:wordWrap/>
        <w:adjustRightInd w:val="0"/>
        <w:snapToGrid w:val="0"/>
        <w:spacing w:line="576" w:lineRule="exact"/>
        <w:ind w:right="160" w:rightChars="50"/>
        <w:textAlignment w:val="auto"/>
        <w:rPr>
          <w:rFonts w:hint="default" w:ascii="Times New Roman" w:hAnsi="Times New Roman" w:eastAsia="仿宋_GB2312" w:cs="Times New Roman"/>
        </w:rPr>
      </w:pPr>
    </w:p>
    <w:p>
      <w:pPr>
        <w:widowControl w:val="0"/>
        <w:wordWrap/>
        <w:adjustRightInd w:val="0"/>
        <w:snapToGrid w:val="0"/>
        <w:spacing w:line="576" w:lineRule="exact"/>
        <w:ind w:right="160" w:rightChars="50"/>
        <w:textAlignment w:val="auto"/>
        <w:rPr>
          <w:rFonts w:hint="default" w:ascii="Times New Roman" w:hAnsi="Times New Roman" w:eastAsia="仿宋_GB2312" w:cs="Times New Roman"/>
        </w:rPr>
      </w:pPr>
    </w:p>
    <w:p>
      <w:pPr>
        <w:widowControl w:val="0"/>
        <w:wordWrap/>
        <w:adjustRightInd w:val="0"/>
        <w:snapToGrid w:val="0"/>
        <w:spacing w:line="576" w:lineRule="exact"/>
        <w:ind w:right="160" w:rightChars="50"/>
        <w:textAlignment w:val="auto"/>
        <w:rPr>
          <w:rFonts w:hint="default" w:ascii="Times New Roman" w:hAnsi="Times New Roman" w:eastAsia="仿宋_GB2312" w:cs="Times New Roman"/>
        </w:rPr>
      </w:pPr>
    </w:p>
    <w:p>
      <w:pPr>
        <w:widowControl w:val="0"/>
        <w:wordWrap/>
        <w:adjustRightInd w:val="0"/>
        <w:snapToGrid w:val="0"/>
        <w:spacing w:line="576" w:lineRule="exact"/>
        <w:ind w:right="160" w:rightChars="50"/>
        <w:textAlignment w:val="auto"/>
        <w:rPr>
          <w:rFonts w:hint="default" w:ascii="Times New Roman" w:hAnsi="Times New Roman" w:eastAsia="仿宋_GB2312" w:cs="Times New Roman"/>
        </w:rPr>
      </w:pPr>
    </w:p>
    <w:p>
      <w:pPr>
        <w:widowControl w:val="0"/>
        <w:wordWrap/>
        <w:overflowPunct w:val="0"/>
        <w:adjustRightInd w:val="0"/>
        <w:snapToGrid w:val="0"/>
        <w:spacing w:line="574" w:lineRule="exact"/>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黑体" w:cs="Times New Roman"/>
        </w:rPr>
        <w:br w:type="page"/>
      </w:r>
    </w:p>
    <w:tbl>
      <w:tblPr>
        <w:tblStyle w:val="9"/>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5085"/>
        <w:gridCol w:w="2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002" w:type="dxa"/>
            <w:gridSpan w:val="3"/>
            <w:vAlign w:val="center"/>
          </w:tcPr>
          <w:p>
            <w:pPr>
              <w:snapToGrid w:val="0"/>
              <w:spacing w:line="290" w:lineRule="exact"/>
              <w:jc w:val="center"/>
              <w:rPr>
                <w:rFonts w:hint="default" w:ascii="Times New Roman" w:hAnsi="Times New Roman" w:cs="Times New Roman"/>
                <w:sz w:val="28"/>
                <w:szCs w:val="28"/>
              </w:rPr>
            </w:pPr>
            <w:r>
              <w:rPr>
                <w:rFonts w:hint="default" w:ascii="Times New Roman" w:hAnsi="Times New Roman" w:cs="Times New Roman"/>
                <w:b/>
                <w:bCs/>
                <w:sz w:val="28"/>
                <w:szCs w:val="28"/>
              </w:rPr>
              <w:t>焦作市</w:t>
            </w:r>
            <w:r>
              <w:rPr>
                <w:rFonts w:hint="default" w:ascii="Times New Roman" w:hAnsi="Times New Roman" w:cs="Times New Roman"/>
                <w:b/>
                <w:bCs/>
                <w:sz w:val="28"/>
                <w:szCs w:val="28"/>
                <w:lang w:eastAsia="zh-CN"/>
              </w:rPr>
              <w:t>水</w:t>
            </w:r>
            <w:r>
              <w:rPr>
                <w:rFonts w:hint="default" w:ascii="Times New Roman" w:hAnsi="Times New Roman" w:cs="Times New Roman"/>
                <w:b/>
                <w:bCs/>
                <w:sz w:val="28"/>
                <w:szCs w:val="28"/>
              </w:rPr>
              <w:t>污染防治类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395" w:type="dxa"/>
            <w:vAlign w:val="center"/>
          </w:tcPr>
          <w:p>
            <w:pPr>
              <w:snapToGrid w:val="0"/>
              <w:spacing w:line="290" w:lineRule="exact"/>
              <w:ind w:left="0" w:leftChars="0" w:firstLine="0" w:firstLineChars="0"/>
              <w:jc w:val="center"/>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违法行为</w:t>
            </w:r>
          </w:p>
        </w:tc>
        <w:tc>
          <w:tcPr>
            <w:tcW w:w="7607" w:type="dxa"/>
            <w:gridSpan w:val="2"/>
            <w:vAlign w:val="center"/>
          </w:tcPr>
          <w:p>
            <w:pPr>
              <w:widowControl/>
              <w:shd w:val="clear" w:color="auto" w:fill="FFFFFF"/>
              <w:snapToGrid w:val="0"/>
              <w:spacing w:before="62" w:beforeLines="20" w:line="288" w:lineRule="auto"/>
              <w:ind w:firstLine="420" w:firstLineChars="0"/>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2"/>
                <w:sz w:val="28"/>
                <w:szCs w:val="28"/>
                <w:lang w:val="en-US" w:eastAsia="zh-CN" w:bidi="ar-SA"/>
              </w:rPr>
              <w:t>新建、改建、扩建入河排污口未经市生态环境主管部门审查同意的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95" w:type="dxa"/>
            <w:vAlign w:val="center"/>
          </w:tcPr>
          <w:p>
            <w:pPr>
              <w:snapToGrid w:val="0"/>
              <w:spacing w:line="290" w:lineRule="exact"/>
              <w:ind w:left="0" w:leftChars="0" w:firstLine="0" w:firstLineChars="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违反条款</w:t>
            </w:r>
          </w:p>
        </w:tc>
        <w:tc>
          <w:tcPr>
            <w:tcW w:w="7607" w:type="dxa"/>
            <w:gridSpan w:val="2"/>
            <w:vAlign w:val="center"/>
          </w:tcPr>
          <w:p>
            <w:pPr>
              <w:pStyle w:val="7"/>
              <w:snapToGrid w:val="0"/>
              <w:spacing w:before="62" w:beforeLines="20" w:beforeAutospacing="0" w:after="0" w:afterAutospacing="0" w:line="288" w:lineRule="auto"/>
              <w:ind w:right="0"/>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2"/>
                <w:sz w:val="28"/>
                <w:szCs w:val="28"/>
                <w:lang w:val="en-US" w:eastAsia="zh-CN"/>
              </w:rPr>
              <w:t>《焦作市大沙河保护条例》第二十七条第二款 新建、改建、扩建入河排污口的，应当按照设置程序，依法报经市生态环境主管部门审查同意。排污口出水水质应当达到国家和地方规定的排放标准。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trPr>
        <w:tc>
          <w:tcPr>
            <w:tcW w:w="1395" w:type="dxa"/>
            <w:vAlign w:val="center"/>
          </w:tcPr>
          <w:p>
            <w:pPr>
              <w:snapToGrid w:val="0"/>
              <w:spacing w:line="290" w:lineRule="exact"/>
              <w:ind w:left="0" w:leftChars="0" w:firstLine="0" w:firstLineChars="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处罚依据</w:t>
            </w:r>
          </w:p>
        </w:tc>
        <w:tc>
          <w:tcPr>
            <w:tcW w:w="7607" w:type="dxa"/>
            <w:gridSpan w:val="2"/>
            <w:vAlign w:val="center"/>
          </w:tcPr>
          <w:p>
            <w:pPr>
              <w:pStyle w:val="7"/>
              <w:snapToGrid w:val="0"/>
              <w:spacing w:before="0" w:beforeAutospacing="0" w:after="0" w:afterAutospacing="0" w:line="288" w:lineRule="auto"/>
              <w:ind w:right="0"/>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2"/>
                <w:sz w:val="28"/>
                <w:szCs w:val="28"/>
                <w:lang w:val="en-US" w:eastAsia="zh-CN"/>
              </w:rPr>
              <w:t>《焦作市大沙河保护条例》第四十二条　违反本条例第二十七条第二款规定，未经生态环境主管部门审查同意，新建、改建、扩建入河排污口的，由生态环境主管部门依据职权，责令停止违法行为，限期恢复原状，处五万元以上十万元以下罚款。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395" w:type="dxa"/>
            <w:vAlign w:val="center"/>
          </w:tcPr>
          <w:p>
            <w:pPr>
              <w:snapToGrid w:val="0"/>
              <w:spacing w:line="290" w:lineRule="exact"/>
              <w:ind w:left="0" w:leftChars="0" w:firstLine="0" w:firstLineChars="0"/>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kern w:val="0"/>
                <w:sz w:val="28"/>
                <w:szCs w:val="28"/>
              </w:rPr>
              <w:t>裁量因素</w:t>
            </w:r>
          </w:p>
        </w:tc>
        <w:tc>
          <w:tcPr>
            <w:tcW w:w="5085" w:type="dxa"/>
            <w:vAlign w:val="center"/>
          </w:tcPr>
          <w:p>
            <w:pPr>
              <w:snapToGrid w:val="0"/>
              <w:spacing w:line="290" w:lineRule="exact"/>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kern w:val="0"/>
                <w:sz w:val="28"/>
                <w:szCs w:val="28"/>
              </w:rPr>
              <w:t>判定标准</w:t>
            </w:r>
          </w:p>
        </w:tc>
        <w:tc>
          <w:tcPr>
            <w:tcW w:w="2522" w:type="dxa"/>
            <w:vAlign w:val="center"/>
          </w:tcPr>
          <w:p>
            <w:pPr>
              <w:snapToGrid w:val="0"/>
              <w:spacing w:line="290" w:lineRule="exact"/>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kern w:val="0"/>
                <w:sz w:val="28"/>
                <w:szCs w:val="28"/>
              </w:rPr>
              <w:t>裁量等级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restart"/>
            <w:vAlign w:val="center"/>
          </w:tcPr>
          <w:p>
            <w:pPr>
              <w:snapToGrid w:val="0"/>
              <w:spacing w:line="290" w:lineRule="exact"/>
              <w:ind w:left="0" w:leftChars="0" w:firstLine="0" w:firstLineChars="0"/>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kern w:val="0"/>
                <w:sz w:val="28"/>
                <w:szCs w:val="28"/>
              </w:rPr>
              <w:t>★违法事实</w:t>
            </w:r>
          </w:p>
        </w:tc>
        <w:tc>
          <w:tcPr>
            <w:tcW w:w="5085" w:type="dxa"/>
            <w:vAlign w:val="center"/>
          </w:tcPr>
          <w:p>
            <w:pPr>
              <w:snapToGrid w:val="0"/>
              <w:spacing w:line="290" w:lineRule="exact"/>
              <w:ind w:left="0" w:leftChars="0" w:firstLine="0" w:firstLineChars="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kern w:val="2"/>
                <w:sz w:val="28"/>
                <w:szCs w:val="28"/>
                <w:lang w:val="en-US" w:eastAsia="zh-CN"/>
              </w:rPr>
              <w:t>未经审查同意新建、改建、扩建入河排污口尚未投入使用的</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ind w:left="0" w:leftChars="0" w:firstLine="0" w:firstLineChars="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kern w:val="2"/>
                <w:sz w:val="28"/>
                <w:szCs w:val="28"/>
                <w:lang w:val="en-US" w:eastAsia="zh-CN"/>
              </w:rPr>
              <w:t>未经审查同意新建、改建、扩建入河排污口</w:t>
            </w:r>
            <w:r>
              <w:rPr>
                <w:rFonts w:hint="eastAsia" w:ascii="仿宋_GB2312" w:hAnsi="仿宋_GB2312" w:eastAsia="仿宋_GB2312" w:cs="仿宋_GB2312"/>
                <w:color w:val="000000"/>
                <w:sz w:val="28"/>
                <w:szCs w:val="28"/>
              </w:rPr>
              <w:t>投入使用1个月以下的</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ind w:left="0" w:leftChars="0" w:firstLine="0" w:firstLineChars="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kern w:val="2"/>
                <w:sz w:val="28"/>
                <w:szCs w:val="28"/>
                <w:lang w:val="en-US" w:eastAsia="zh-CN"/>
              </w:rPr>
              <w:t>未经审查同意新建、改建、扩建入河排污口</w:t>
            </w:r>
            <w:r>
              <w:rPr>
                <w:rFonts w:hint="eastAsia" w:ascii="仿宋_GB2312" w:hAnsi="仿宋_GB2312" w:eastAsia="仿宋_GB2312" w:cs="仿宋_GB2312"/>
                <w:color w:val="000000"/>
                <w:sz w:val="28"/>
                <w:szCs w:val="28"/>
              </w:rPr>
              <w:t>投入使用1个月以上3个月以下的</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ind w:left="0" w:leftChars="0" w:firstLine="0" w:firstLineChars="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kern w:val="2"/>
                <w:sz w:val="28"/>
                <w:szCs w:val="28"/>
                <w:lang w:val="en-US" w:eastAsia="zh-CN"/>
              </w:rPr>
              <w:t>未经审查同意新建、改建、扩建入河排污口</w:t>
            </w:r>
            <w:r>
              <w:rPr>
                <w:rFonts w:hint="eastAsia" w:ascii="仿宋_GB2312" w:hAnsi="仿宋_GB2312" w:eastAsia="仿宋_GB2312" w:cs="仿宋_GB2312"/>
                <w:color w:val="000000"/>
                <w:sz w:val="28"/>
                <w:szCs w:val="28"/>
              </w:rPr>
              <w:t>投入使用3个月以上6个月以下的</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ind w:left="0" w:leftChars="0" w:firstLine="0" w:firstLineChars="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kern w:val="2"/>
                <w:sz w:val="28"/>
                <w:szCs w:val="28"/>
                <w:lang w:val="en-US" w:eastAsia="zh-CN"/>
              </w:rPr>
              <w:t>未经审查同意新建、改建、扩建入河排污口</w:t>
            </w:r>
            <w:r>
              <w:rPr>
                <w:rFonts w:hint="eastAsia" w:ascii="仿宋_GB2312" w:hAnsi="仿宋_GB2312" w:eastAsia="仿宋_GB2312" w:cs="仿宋_GB2312"/>
                <w:color w:val="000000"/>
                <w:sz w:val="28"/>
                <w:szCs w:val="28"/>
              </w:rPr>
              <w:t>投入使用6个月以上的</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395" w:type="dxa"/>
            <w:vMerge w:val="restart"/>
            <w:vAlign w:val="center"/>
          </w:tcPr>
          <w:p>
            <w:pPr>
              <w:snapToGrid w:val="0"/>
              <w:spacing w:line="290" w:lineRule="exact"/>
              <w:ind w:left="0" w:leftChars="0" w:firstLine="0" w:firstLineChars="0"/>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kern w:val="0"/>
                <w:sz w:val="28"/>
                <w:szCs w:val="28"/>
                <w:lang w:val="en-US" w:eastAsia="zh-CN"/>
              </w:rPr>
              <w:t>水质类别</w:t>
            </w: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Ⅴ类水体</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Ⅳ类水体</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Ⅲ类水体</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Ⅱ类水体</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Ⅰ类水体</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restart"/>
            <w:vAlign w:val="center"/>
          </w:tcPr>
          <w:p>
            <w:pPr>
              <w:snapToGrid w:val="0"/>
              <w:spacing w:line="290" w:lineRule="exact"/>
              <w:ind w:left="0" w:leftChars="0" w:firstLine="0" w:firstLineChars="0"/>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kern w:val="0"/>
                <w:sz w:val="28"/>
                <w:szCs w:val="28"/>
              </w:rPr>
              <w:t>废水类别</w:t>
            </w: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生活废水</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服务业废水</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一般工业废水</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ind w:left="0" w:leftChars="0" w:firstLine="0" w:firstLineChars="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含其他有毒有害物质的废水、医疗废水</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ind w:left="0" w:leftChars="0" w:firstLine="0" w:firstLineChars="0"/>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含一类污染物或重金属、病原体、放射性物质的废水</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395" w:type="dxa"/>
            <w:vMerge w:val="restart"/>
            <w:vAlign w:val="center"/>
          </w:tcPr>
          <w:p>
            <w:pPr>
              <w:snapToGrid w:val="0"/>
              <w:spacing w:line="290" w:lineRule="exact"/>
              <w:ind w:left="0" w:leftChars="0" w:firstLine="0" w:firstLineChars="0"/>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kern w:val="0"/>
                <w:sz w:val="28"/>
                <w:szCs w:val="28"/>
              </w:rPr>
              <w:t>超过限期</w:t>
            </w:r>
            <w:r>
              <w:rPr>
                <w:rFonts w:hint="eastAsia" w:ascii="仿宋_GB2312" w:hAnsi="仿宋_GB2312" w:eastAsia="仿宋_GB2312" w:cs="仿宋_GB2312"/>
                <w:b/>
                <w:bCs/>
                <w:kern w:val="0"/>
                <w:sz w:val="28"/>
                <w:szCs w:val="28"/>
                <w:lang w:eastAsia="zh-CN"/>
              </w:rPr>
              <w:t>恢复原状</w:t>
            </w:r>
            <w:r>
              <w:rPr>
                <w:rFonts w:hint="eastAsia" w:ascii="仿宋_GB2312" w:hAnsi="仿宋_GB2312" w:eastAsia="仿宋_GB2312" w:cs="仿宋_GB2312"/>
                <w:b/>
                <w:bCs/>
                <w:kern w:val="0"/>
                <w:sz w:val="28"/>
                <w:szCs w:val="28"/>
              </w:rPr>
              <w:t>时间</w:t>
            </w: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不足5天</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5天以上不足10天</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10天以上不足20天</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20天以上不足1个月</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1个月以上</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95" w:type="dxa"/>
            <w:vMerge w:val="restart"/>
            <w:vAlign w:val="center"/>
          </w:tcPr>
          <w:p>
            <w:pPr>
              <w:snapToGrid w:val="0"/>
              <w:spacing w:line="290" w:lineRule="exact"/>
              <w:ind w:left="0" w:leftChars="0" w:firstLine="0" w:firstLineChars="0"/>
              <w:jc w:val="center"/>
              <w:rPr>
                <w:rFonts w:hint="eastAsia" w:ascii="仿宋_GB2312" w:hAnsi="仿宋_GB2312" w:eastAsia="仿宋_GB2312" w:cs="仿宋_GB2312"/>
                <w:b/>
                <w:bCs/>
                <w:kern w:val="0"/>
                <w:sz w:val="28"/>
                <w:szCs w:val="28"/>
                <w:lang w:eastAsia="zh-CN"/>
              </w:rPr>
            </w:pPr>
            <w:r>
              <w:rPr>
                <w:rFonts w:hint="eastAsia" w:ascii="仿宋_GB2312" w:hAnsi="仿宋_GB2312" w:eastAsia="仿宋_GB2312" w:cs="仿宋_GB2312"/>
                <w:b/>
                <w:bCs/>
                <w:kern w:val="0"/>
                <w:sz w:val="28"/>
                <w:szCs w:val="28"/>
                <w:lang w:eastAsia="zh-CN"/>
              </w:rPr>
              <w:t>是否配合</w:t>
            </w:r>
          </w:p>
          <w:p>
            <w:pPr>
              <w:snapToGrid w:val="0"/>
              <w:spacing w:line="290" w:lineRule="exact"/>
              <w:ind w:left="0" w:leftChars="0" w:firstLine="0" w:firstLineChars="0"/>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kern w:val="0"/>
                <w:sz w:val="28"/>
                <w:szCs w:val="28"/>
                <w:lang w:eastAsia="zh-CN"/>
              </w:rPr>
              <w:t>执法检查</w:t>
            </w: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配合调查</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不配合调查，拒绝提供证据</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5" w:type="dxa"/>
            <w:vMerge w:val="continue"/>
            <w:vAlign w:val="center"/>
          </w:tcPr>
          <w:p>
            <w:pPr>
              <w:snapToGrid w:val="0"/>
              <w:spacing w:line="290" w:lineRule="exact"/>
              <w:jc w:val="center"/>
              <w:rPr>
                <w:rFonts w:hint="eastAsia" w:ascii="仿宋_GB2312" w:hAnsi="仿宋_GB2312" w:eastAsia="仿宋_GB2312" w:cs="仿宋_GB2312"/>
                <w:b/>
                <w:bCs/>
                <w:color w:val="000000"/>
                <w:sz w:val="28"/>
                <w:szCs w:val="28"/>
              </w:rPr>
            </w:pPr>
          </w:p>
        </w:tc>
        <w:tc>
          <w:tcPr>
            <w:tcW w:w="5085"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伪造变造证据、弄虚作假的</w:t>
            </w:r>
          </w:p>
        </w:tc>
        <w:tc>
          <w:tcPr>
            <w:tcW w:w="2522" w:type="dxa"/>
            <w:vAlign w:val="center"/>
          </w:tcPr>
          <w:p>
            <w:pPr>
              <w:snapToGrid w:val="0"/>
              <w:spacing w:line="29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5" w:type="dxa"/>
            <w:vAlign w:val="center"/>
          </w:tcPr>
          <w:p>
            <w:pPr>
              <w:snapToGrid w:val="0"/>
              <w:spacing w:line="290" w:lineRule="exact"/>
              <w:ind w:left="0" w:leftChars="0" w:firstLine="0" w:firstLineChars="0"/>
              <w:jc w:val="both"/>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kern w:val="0"/>
                <w:sz w:val="28"/>
                <w:szCs w:val="28"/>
                <w:lang w:val="en-US" w:eastAsia="zh-CN"/>
              </w:rPr>
              <w:t xml:space="preserve">  备注</w:t>
            </w:r>
          </w:p>
        </w:tc>
        <w:tc>
          <w:tcPr>
            <w:tcW w:w="7607" w:type="dxa"/>
            <w:gridSpan w:val="2"/>
            <w:vAlign w:val="center"/>
          </w:tcPr>
          <w:p>
            <w:pPr>
              <w:snapToGrid w:val="0"/>
              <w:spacing w:line="290" w:lineRule="exact"/>
              <w:jc w:val="center"/>
              <w:rPr>
                <w:rFonts w:hint="eastAsia" w:ascii="仿宋_GB2312" w:hAnsi="仿宋_GB2312" w:eastAsia="仿宋_GB2312" w:cs="仿宋_GB2312"/>
                <w:color w:val="000000"/>
                <w:sz w:val="28"/>
                <w:szCs w:val="28"/>
              </w:rPr>
            </w:pPr>
          </w:p>
        </w:tc>
      </w:tr>
    </w:tbl>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p>
    <w:p>
      <w:pPr>
        <w:ind w:left="0" w:leftChars="0" w:firstLine="0" w:firstLineChars="0"/>
        <w:jc w:val="left"/>
        <w:rPr>
          <w:rFonts w:hint="default" w:ascii="Times New Roman" w:hAnsi="Times New Roman" w:eastAsia="黑体" w:cs="Times New Roman"/>
        </w:rPr>
      </w:pPr>
      <w:bookmarkStart w:id="5" w:name="_GoBack"/>
      <w:bookmarkEnd w:id="5"/>
    </w:p>
    <w:sectPr>
      <w:headerReference r:id="rId7" w:type="first"/>
      <w:footerReference r:id="rId10" w:type="first"/>
      <w:headerReference r:id="rId5" w:type="default"/>
      <w:footerReference r:id="rId8" w:type="default"/>
      <w:headerReference r:id="rId6" w:type="even"/>
      <w:footerReference r:id="rId9" w:type="even"/>
      <w:pgSz w:w="11906" w:h="16838"/>
      <w:pgMar w:top="2098" w:right="1531" w:bottom="1984" w:left="1531" w:header="851" w:footer="1531" w:gutter="0"/>
      <w:pgBorders>
        <w:top w:val="none" w:sz="0" w:space="0"/>
        <w:left w:val="none" w:sz="0" w:space="0"/>
        <w:bottom w:val="none" w:sz="0" w:space="0"/>
        <w:right w:val="none" w:sz="0" w:space="0"/>
      </w:pgBorders>
      <w:pgNumType w:fmt="numberInDash"/>
      <w:cols w:space="720" w:num="1"/>
      <w:rtlGutter w:val="0"/>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华文仿宋">
    <w:altName w:val="仿宋"/>
    <w:panose1 w:val="02010600040101010101"/>
    <w:charset w:val="00"/>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idowControl w:val="0"/>
      <w:wordWrap/>
      <w:adjustRightInd/>
      <w:snapToGrid w:val="0"/>
      <w:spacing w:line="300" w:lineRule="exact"/>
      <w:ind w:left="0" w:leftChars="0" w:firstLine="0" w:firstLineChars="0"/>
      <w:textAlignment w:val="auto"/>
    </w:pPr>
    <w:r>
      <w:rPr>
        <w:rFonts w:ascii="Calibri" w:hAnsi="Calibri" w:eastAsia="仿宋_GB2312" w:cs="黑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wps:txbx>
                    <wps:bodyPr wrap="none" lIns="0" tIns="0" rIns="0" bIns="0" upright="1">
                      <a:spAutoFit/>
                    </wps:bodyPr>
                  </wps:wsp>
                </a:graphicData>
              </a:graphic>
            </wp:anchor>
          </w:drawing>
        </mc:Choice>
        <mc:Fallback>
          <w:pict>
            <v:rect id="文本框 4" o:spid="_x0000_s1026" o:spt="1"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DyjV7ixAEAAI8DAAAOAAAAZHJz&#10;L2Uyb0RvYy54bWytU82O0zAQviPxDpbvNGkFqIqarpCqRUgIVlp4ANdxGkv+04zbpC8Ab8CJC3ee&#10;q8/B2Em6y3LZA5dkZjz55vs+TzY3gzXspAC1dzVfLkrOlJO+0e5Q869fbl+tOcMoXCOMd6rmZ4X8&#10;ZvvyxaYPlVr5zptGASMQh1Ufat7FGKqiQNkpK3Dhg3J02HqwIlIKh6IB0RO6NcWqLN8WvYcmgJcK&#10;kaq78ZBPiPAcQN+2Wqqdl0erXBxRQRkRSRJ2OiDfZrZtq2T83LaoIjM1J6UxP2kIxfv0LLYbUR1A&#10;hE7LiYJ4DoUnmqzQjoZeoXYiCnYE/Q+U1RI8+jYupLfFKCQ7QiqW5RNv7jsRVNZCVmO4mo7/D1Z+&#10;Ot0B003N33DmhKULv/z4fvn5+/LrG3ud7OkDVtR1H+5gypDCpHVowaY3qWBDtvR8tVQNkUkqLter&#10;9boktyWdzQnhFA+fB8D4XnnLUlBzoDvLVorTR4xj69ySpjl/q42huqiM+6tAmKlSJMYjxxTFYT9M&#10;xPe+OZPanq675o62mzPzwZGbaTPmAOZgPwfHAPrQEbVl5oXh3TESicwtTRhhp8F0T1ndtFNpER7n&#10;uevhP9r+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Ll1uVLQAAAABQEAAA8AAAAAAAAAAQAgAAAA&#10;OAAAAGRycy9kb3ducmV2LnhtbFBLAQIUABQAAAAIAIdO4kDyjV7ixAEAAI8DAAAOAAAAAAAAAAEA&#10;IAAAADUBAABkcnMvZTJvRG9jLnhtbFBLBQYAAAAABgAGAFkBAABrBQ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chineseCountingThousand"/>
      <w:pStyle w:val="4"/>
      <w:lvlText w:val="第%1章　"/>
      <w:lvlJc w:val="left"/>
      <w:pPr>
        <w:tabs>
          <w:tab w:val="left" w:pos="1440"/>
        </w:tabs>
        <w:ind w:left="930" w:hanging="720"/>
      </w:pPr>
      <w:rPr>
        <w:rFonts w:hint="eastAsia"/>
        <w:sz w:val="32"/>
        <w:szCs w:val="32"/>
      </w:rPr>
    </w:lvl>
    <w:lvl w:ilvl="1" w:tentative="0">
      <w:start w:val="1"/>
      <w:numFmt w:val="lowerRoman"/>
      <w:lvlText w:val="(%2)"/>
      <w:lvlJc w:val="left"/>
      <w:pPr>
        <w:tabs>
          <w:tab w:val="left" w:pos="861"/>
        </w:tabs>
        <w:ind w:left="1071" w:hanging="720"/>
      </w:pPr>
      <w:rPr>
        <w:rFonts w:hint="eastAsia"/>
      </w:rPr>
    </w:lvl>
    <w:lvl w:ilvl="2" w:tentative="0">
      <w:start w:val="1"/>
      <w:numFmt w:val="lowerLetter"/>
      <w:lvlText w:val="(%3)"/>
      <w:lvlJc w:val="left"/>
      <w:pPr>
        <w:tabs>
          <w:tab w:val="left" w:pos="1335"/>
        </w:tabs>
        <w:ind w:left="1545" w:hanging="495"/>
      </w:pPr>
      <w:rPr>
        <w:rFonts w:hint="eastAsia"/>
      </w:rPr>
    </w:lvl>
    <w:lvl w:ilvl="3" w:tentative="0">
      <w:start w:val="1"/>
      <w:numFmt w:val="decimal"/>
      <w:lvlText w:val="%4."/>
      <w:lvlJc w:val="left"/>
      <w:pPr>
        <w:tabs>
          <w:tab w:val="left" w:pos="1680"/>
        </w:tabs>
        <w:ind w:left="1890" w:hanging="420"/>
      </w:pPr>
    </w:lvl>
    <w:lvl w:ilvl="4" w:tentative="0">
      <w:start w:val="1"/>
      <w:numFmt w:val="lowerLetter"/>
      <w:lvlText w:val="%5)"/>
      <w:lvlJc w:val="left"/>
      <w:pPr>
        <w:tabs>
          <w:tab w:val="left" w:pos="2100"/>
        </w:tabs>
        <w:ind w:left="2310" w:hanging="420"/>
      </w:pPr>
    </w:lvl>
    <w:lvl w:ilvl="5" w:tentative="0">
      <w:start w:val="1"/>
      <w:numFmt w:val="lowerRoman"/>
      <w:lvlText w:val="%6."/>
      <w:lvlJc w:val="right"/>
      <w:pPr>
        <w:tabs>
          <w:tab w:val="left" w:pos="2520"/>
        </w:tabs>
        <w:ind w:left="2730" w:hanging="420"/>
      </w:pPr>
    </w:lvl>
    <w:lvl w:ilvl="6" w:tentative="0">
      <w:start w:val="1"/>
      <w:numFmt w:val="decimal"/>
      <w:lvlText w:val="%7."/>
      <w:lvlJc w:val="left"/>
      <w:pPr>
        <w:tabs>
          <w:tab w:val="left" w:pos="2940"/>
        </w:tabs>
        <w:ind w:left="3150" w:hanging="420"/>
      </w:pPr>
    </w:lvl>
    <w:lvl w:ilvl="7" w:tentative="0">
      <w:start w:val="1"/>
      <w:numFmt w:val="lowerLetter"/>
      <w:lvlText w:val="%8)"/>
      <w:lvlJc w:val="left"/>
      <w:pPr>
        <w:tabs>
          <w:tab w:val="left" w:pos="3360"/>
        </w:tabs>
        <w:ind w:left="3570" w:hanging="420"/>
      </w:pPr>
    </w:lvl>
    <w:lvl w:ilvl="8" w:tentative="0">
      <w:start w:val="1"/>
      <w:numFmt w:val="lowerRoman"/>
      <w:lvlText w:val="%9."/>
      <w:lvlJc w:val="right"/>
      <w:pPr>
        <w:tabs>
          <w:tab w:val="left" w:pos="378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18"/>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672F"/>
    <w:rsid w:val="0002106A"/>
    <w:rsid w:val="0002525D"/>
    <w:rsid w:val="00034376"/>
    <w:rsid w:val="00042DEC"/>
    <w:rsid w:val="0006125E"/>
    <w:rsid w:val="000623D9"/>
    <w:rsid w:val="000701D8"/>
    <w:rsid w:val="000846E4"/>
    <w:rsid w:val="00097A1D"/>
    <w:rsid w:val="000A47A7"/>
    <w:rsid w:val="000A4A19"/>
    <w:rsid w:val="000A58C6"/>
    <w:rsid w:val="000A736C"/>
    <w:rsid w:val="000B5461"/>
    <w:rsid w:val="000D4DD3"/>
    <w:rsid w:val="000E2806"/>
    <w:rsid w:val="000E3D86"/>
    <w:rsid w:val="000F543A"/>
    <w:rsid w:val="00105900"/>
    <w:rsid w:val="00112589"/>
    <w:rsid w:val="00113DBE"/>
    <w:rsid w:val="001267EE"/>
    <w:rsid w:val="00142131"/>
    <w:rsid w:val="00147CC7"/>
    <w:rsid w:val="00162931"/>
    <w:rsid w:val="001632BF"/>
    <w:rsid w:val="0017226A"/>
    <w:rsid w:val="00172A27"/>
    <w:rsid w:val="00183D40"/>
    <w:rsid w:val="001906DC"/>
    <w:rsid w:val="00196E39"/>
    <w:rsid w:val="001A5325"/>
    <w:rsid w:val="001A79E3"/>
    <w:rsid w:val="001C28E9"/>
    <w:rsid w:val="001C6F97"/>
    <w:rsid w:val="001D0B25"/>
    <w:rsid w:val="001D3AD7"/>
    <w:rsid w:val="001F4B11"/>
    <w:rsid w:val="00202D0C"/>
    <w:rsid w:val="00203B83"/>
    <w:rsid w:val="002077D2"/>
    <w:rsid w:val="00217356"/>
    <w:rsid w:val="00217E04"/>
    <w:rsid w:val="002205FB"/>
    <w:rsid w:val="00223670"/>
    <w:rsid w:val="0022758A"/>
    <w:rsid w:val="002434DE"/>
    <w:rsid w:val="00246FFF"/>
    <w:rsid w:val="0024787D"/>
    <w:rsid w:val="00247C15"/>
    <w:rsid w:val="0026110E"/>
    <w:rsid w:val="002735C9"/>
    <w:rsid w:val="00277C9A"/>
    <w:rsid w:val="00292BDA"/>
    <w:rsid w:val="002932B6"/>
    <w:rsid w:val="002975FD"/>
    <w:rsid w:val="002A1164"/>
    <w:rsid w:val="002B126A"/>
    <w:rsid w:val="002B165B"/>
    <w:rsid w:val="002B5DAE"/>
    <w:rsid w:val="002B7878"/>
    <w:rsid w:val="002C2F01"/>
    <w:rsid w:val="002C339A"/>
    <w:rsid w:val="002E276D"/>
    <w:rsid w:val="002E7A51"/>
    <w:rsid w:val="002F60D8"/>
    <w:rsid w:val="00316AC3"/>
    <w:rsid w:val="003202DD"/>
    <w:rsid w:val="0037621F"/>
    <w:rsid w:val="00377F36"/>
    <w:rsid w:val="0038035A"/>
    <w:rsid w:val="003821B1"/>
    <w:rsid w:val="0038720E"/>
    <w:rsid w:val="00387F2D"/>
    <w:rsid w:val="003A7042"/>
    <w:rsid w:val="003D3BD6"/>
    <w:rsid w:val="003D42BE"/>
    <w:rsid w:val="003E38FD"/>
    <w:rsid w:val="003F3E07"/>
    <w:rsid w:val="003F6787"/>
    <w:rsid w:val="00403948"/>
    <w:rsid w:val="0040779A"/>
    <w:rsid w:val="00412B47"/>
    <w:rsid w:val="00416CFF"/>
    <w:rsid w:val="00446FDC"/>
    <w:rsid w:val="00457928"/>
    <w:rsid w:val="00463302"/>
    <w:rsid w:val="00467026"/>
    <w:rsid w:val="00484C63"/>
    <w:rsid w:val="0049703A"/>
    <w:rsid w:val="004A5349"/>
    <w:rsid w:val="004B0387"/>
    <w:rsid w:val="004C0D6B"/>
    <w:rsid w:val="004D2CEF"/>
    <w:rsid w:val="004E1AEB"/>
    <w:rsid w:val="004F58B4"/>
    <w:rsid w:val="004F6A58"/>
    <w:rsid w:val="00504243"/>
    <w:rsid w:val="00524612"/>
    <w:rsid w:val="00526E4E"/>
    <w:rsid w:val="00531D64"/>
    <w:rsid w:val="00554D7F"/>
    <w:rsid w:val="005654CE"/>
    <w:rsid w:val="00577C68"/>
    <w:rsid w:val="005832EF"/>
    <w:rsid w:val="0058474A"/>
    <w:rsid w:val="00585445"/>
    <w:rsid w:val="00585A76"/>
    <w:rsid w:val="00587359"/>
    <w:rsid w:val="00590977"/>
    <w:rsid w:val="005A1144"/>
    <w:rsid w:val="005A40A9"/>
    <w:rsid w:val="005A4CD5"/>
    <w:rsid w:val="005A7CD7"/>
    <w:rsid w:val="005B0C51"/>
    <w:rsid w:val="005B549C"/>
    <w:rsid w:val="005C6934"/>
    <w:rsid w:val="005D2CB3"/>
    <w:rsid w:val="005E6890"/>
    <w:rsid w:val="005F7D3F"/>
    <w:rsid w:val="0060311E"/>
    <w:rsid w:val="0061264B"/>
    <w:rsid w:val="0061273C"/>
    <w:rsid w:val="00621F8C"/>
    <w:rsid w:val="00634597"/>
    <w:rsid w:val="00635CC3"/>
    <w:rsid w:val="006439ED"/>
    <w:rsid w:val="0065164D"/>
    <w:rsid w:val="006634E2"/>
    <w:rsid w:val="006654CC"/>
    <w:rsid w:val="00676685"/>
    <w:rsid w:val="00677362"/>
    <w:rsid w:val="00677AFE"/>
    <w:rsid w:val="006D3D33"/>
    <w:rsid w:val="006D6300"/>
    <w:rsid w:val="006D7561"/>
    <w:rsid w:val="006F4715"/>
    <w:rsid w:val="00701AFC"/>
    <w:rsid w:val="00702C04"/>
    <w:rsid w:val="007230EF"/>
    <w:rsid w:val="00723180"/>
    <w:rsid w:val="00727E65"/>
    <w:rsid w:val="007412EC"/>
    <w:rsid w:val="00753E0E"/>
    <w:rsid w:val="007553C3"/>
    <w:rsid w:val="00757CE3"/>
    <w:rsid w:val="00760055"/>
    <w:rsid w:val="007611A0"/>
    <w:rsid w:val="007667C3"/>
    <w:rsid w:val="0078048A"/>
    <w:rsid w:val="007A4E90"/>
    <w:rsid w:val="007A634C"/>
    <w:rsid w:val="007A672F"/>
    <w:rsid w:val="007A7024"/>
    <w:rsid w:val="007B5FE8"/>
    <w:rsid w:val="007C24EB"/>
    <w:rsid w:val="007C3498"/>
    <w:rsid w:val="007D5729"/>
    <w:rsid w:val="007E190A"/>
    <w:rsid w:val="007E71E5"/>
    <w:rsid w:val="007F21E8"/>
    <w:rsid w:val="007F31A5"/>
    <w:rsid w:val="007F4A18"/>
    <w:rsid w:val="00822030"/>
    <w:rsid w:val="00824544"/>
    <w:rsid w:val="00824FCF"/>
    <w:rsid w:val="0083124A"/>
    <w:rsid w:val="00834FCC"/>
    <w:rsid w:val="008445B4"/>
    <w:rsid w:val="0086018D"/>
    <w:rsid w:val="00861174"/>
    <w:rsid w:val="00861A86"/>
    <w:rsid w:val="00872CEF"/>
    <w:rsid w:val="00880F7D"/>
    <w:rsid w:val="00886B54"/>
    <w:rsid w:val="008940C5"/>
    <w:rsid w:val="008A222D"/>
    <w:rsid w:val="008B2352"/>
    <w:rsid w:val="008B7A19"/>
    <w:rsid w:val="008C743A"/>
    <w:rsid w:val="00916B39"/>
    <w:rsid w:val="00921599"/>
    <w:rsid w:val="0093303D"/>
    <w:rsid w:val="00942639"/>
    <w:rsid w:val="009443A9"/>
    <w:rsid w:val="0094717D"/>
    <w:rsid w:val="00960E0C"/>
    <w:rsid w:val="00970DE4"/>
    <w:rsid w:val="009726E6"/>
    <w:rsid w:val="00977B8B"/>
    <w:rsid w:val="00990E89"/>
    <w:rsid w:val="009930CE"/>
    <w:rsid w:val="009B6B4D"/>
    <w:rsid w:val="009B7778"/>
    <w:rsid w:val="009C0AA7"/>
    <w:rsid w:val="009D1CB6"/>
    <w:rsid w:val="009D7F81"/>
    <w:rsid w:val="009E656D"/>
    <w:rsid w:val="009F4C6D"/>
    <w:rsid w:val="009F614E"/>
    <w:rsid w:val="00A161C9"/>
    <w:rsid w:val="00A233ED"/>
    <w:rsid w:val="00A414B8"/>
    <w:rsid w:val="00A5642C"/>
    <w:rsid w:val="00A56B33"/>
    <w:rsid w:val="00A709FB"/>
    <w:rsid w:val="00A77383"/>
    <w:rsid w:val="00A97634"/>
    <w:rsid w:val="00AD0DA2"/>
    <w:rsid w:val="00AD2E4A"/>
    <w:rsid w:val="00AE41DA"/>
    <w:rsid w:val="00AE78B1"/>
    <w:rsid w:val="00AF6765"/>
    <w:rsid w:val="00B00159"/>
    <w:rsid w:val="00B05920"/>
    <w:rsid w:val="00B06B49"/>
    <w:rsid w:val="00B11F2C"/>
    <w:rsid w:val="00B120EE"/>
    <w:rsid w:val="00B14217"/>
    <w:rsid w:val="00B25341"/>
    <w:rsid w:val="00B30549"/>
    <w:rsid w:val="00B36409"/>
    <w:rsid w:val="00BA10FB"/>
    <w:rsid w:val="00BB5395"/>
    <w:rsid w:val="00BC086F"/>
    <w:rsid w:val="00BC18B7"/>
    <w:rsid w:val="00BC3C4A"/>
    <w:rsid w:val="00BE27BF"/>
    <w:rsid w:val="00BE57A9"/>
    <w:rsid w:val="00C02D44"/>
    <w:rsid w:val="00C0640B"/>
    <w:rsid w:val="00C070F0"/>
    <w:rsid w:val="00C20631"/>
    <w:rsid w:val="00C210F0"/>
    <w:rsid w:val="00C3477A"/>
    <w:rsid w:val="00C3581C"/>
    <w:rsid w:val="00C44F14"/>
    <w:rsid w:val="00C6360E"/>
    <w:rsid w:val="00C6416A"/>
    <w:rsid w:val="00C66175"/>
    <w:rsid w:val="00C8218D"/>
    <w:rsid w:val="00CA74D1"/>
    <w:rsid w:val="00CD77D9"/>
    <w:rsid w:val="00CE0DB2"/>
    <w:rsid w:val="00CE119F"/>
    <w:rsid w:val="00CF084C"/>
    <w:rsid w:val="00CF0E30"/>
    <w:rsid w:val="00D1115D"/>
    <w:rsid w:val="00D17822"/>
    <w:rsid w:val="00D76365"/>
    <w:rsid w:val="00D84097"/>
    <w:rsid w:val="00D93434"/>
    <w:rsid w:val="00DC5C2C"/>
    <w:rsid w:val="00E00506"/>
    <w:rsid w:val="00E14753"/>
    <w:rsid w:val="00E16C1E"/>
    <w:rsid w:val="00E17249"/>
    <w:rsid w:val="00E17A0F"/>
    <w:rsid w:val="00E224E7"/>
    <w:rsid w:val="00E251E5"/>
    <w:rsid w:val="00E43D26"/>
    <w:rsid w:val="00E61D0B"/>
    <w:rsid w:val="00E66F32"/>
    <w:rsid w:val="00E674AE"/>
    <w:rsid w:val="00E83EEE"/>
    <w:rsid w:val="00E92376"/>
    <w:rsid w:val="00EA4699"/>
    <w:rsid w:val="00EB1B18"/>
    <w:rsid w:val="00EB4DF7"/>
    <w:rsid w:val="00EC7768"/>
    <w:rsid w:val="00ED326F"/>
    <w:rsid w:val="00ED4001"/>
    <w:rsid w:val="00ED4F0E"/>
    <w:rsid w:val="00F00B78"/>
    <w:rsid w:val="00F027D7"/>
    <w:rsid w:val="00F148A6"/>
    <w:rsid w:val="00F2028A"/>
    <w:rsid w:val="00F27739"/>
    <w:rsid w:val="00F305BF"/>
    <w:rsid w:val="00F53FA7"/>
    <w:rsid w:val="00F571A9"/>
    <w:rsid w:val="00F5732B"/>
    <w:rsid w:val="00F61D77"/>
    <w:rsid w:val="00F62402"/>
    <w:rsid w:val="00F730AA"/>
    <w:rsid w:val="00F87319"/>
    <w:rsid w:val="00FC44ED"/>
    <w:rsid w:val="00FE2E2B"/>
    <w:rsid w:val="00FE39BF"/>
    <w:rsid w:val="00FF5E3B"/>
    <w:rsid w:val="015C2F72"/>
    <w:rsid w:val="025517E0"/>
    <w:rsid w:val="031A477C"/>
    <w:rsid w:val="03456EEA"/>
    <w:rsid w:val="038C7AB4"/>
    <w:rsid w:val="03A96349"/>
    <w:rsid w:val="03F26185"/>
    <w:rsid w:val="0423435A"/>
    <w:rsid w:val="04CA28A4"/>
    <w:rsid w:val="04CC5A6D"/>
    <w:rsid w:val="05226C13"/>
    <w:rsid w:val="05246825"/>
    <w:rsid w:val="05921FB2"/>
    <w:rsid w:val="05965135"/>
    <w:rsid w:val="05A85AE3"/>
    <w:rsid w:val="05BA15EC"/>
    <w:rsid w:val="06680D11"/>
    <w:rsid w:val="07100225"/>
    <w:rsid w:val="079E0D8E"/>
    <w:rsid w:val="07C868B0"/>
    <w:rsid w:val="08457598"/>
    <w:rsid w:val="093E24FB"/>
    <w:rsid w:val="098531AD"/>
    <w:rsid w:val="09B80B36"/>
    <w:rsid w:val="0A087F03"/>
    <w:rsid w:val="0A1F33AB"/>
    <w:rsid w:val="0A305844"/>
    <w:rsid w:val="0A552200"/>
    <w:rsid w:val="0B446F01"/>
    <w:rsid w:val="0BEA0098"/>
    <w:rsid w:val="0C5A778D"/>
    <w:rsid w:val="0C610FDC"/>
    <w:rsid w:val="0C616DDD"/>
    <w:rsid w:val="0CCF7411"/>
    <w:rsid w:val="0D0F23F9"/>
    <w:rsid w:val="0E1267A4"/>
    <w:rsid w:val="0E2F3B55"/>
    <w:rsid w:val="0EC937F0"/>
    <w:rsid w:val="0EE33E4A"/>
    <w:rsid w:val="0F370B05"/>
    <w:rsid w:val="0F4A7B25"/>
    <w:rsid w:val="0F8D44AE"/>
    <w:rsid w:val="0FF41CC9"/>
    <w:rsid w:val="1023025C"/>
    <w:rsid w:val="1083311F"/>
    <w:rsid w:val="122E44B2"/>
    <w:rsid w:val="123060B8"/>
    <w:rsid w:val="129373E3"/>
    <w:rsid w:val="12CC1965"/>
    <w:rsid w:val="12E85A12"/>
    <w:rsid w:val="13BD2925"/>
    <w:rsid w:val="13E05FAA"/>
    <w:rsid w:val="16244EE0"/>
    <w:rsid w:val="16B80A70"/>
    <w:rsid w:val="16F5303A"/>
    <w:rsid w:val="16F60ABB"/>
    <w:rsid w:val="182F3FF6"/>
    <w:rsid w:val="185A0382"/>
    <w:rsid w:val="1872428E"/>
    <w:rsid w:val="188E1AD6"/>
    <w:rsid w:val="190E18BF"/>
    <w:rsid w:val="19430300"/>
    <w:rsid w:val="195F75F9"/>
    <w:rsid w:val="19CC6F5F"/>
    <w:rsid w:val="1AC40FF6"/>
    <w:rsid w:val="1AF844CE"/>
    <w:rsid w:val="1AF866D9"/>
    <w:rsid w:val="1CC8383D"/>
    <w:rsid w:val="1D2D4DD3"/>
    <w:rsid w:val="1D407C9A"/>
    <w:rsid w:val="1E470382"/>
    <w:rsid w:val="1E931443"/>
    <w:rsid w:val="1EAF32E5"/>
    <w:rsid w:val="1ECF381A"/>
    <w:rsid w:val="1F0F0D80"/>
    <w:rsid w:val="1FA36DA2"/>
    <w:rsid w:val="21800B85"/>
    <w:rsid w:val="22592C8B"/>
    <w:rsid w:val="22F83F14"/>
    <w:rsid w:val="23865536"/>
    <w:rsid w:val="23886CB9"/>
    <w:rsid w:val="24201BFE"/>
    <w:rsid w:val="242B0CEB"/>
    <w:rsid w:val="24345221"/>
    <w:rsid w:val="245971DF"/>
    <w:rsid w:val="246E3FA7"/>
    <w:rsid w:val="24F72435"/>
    <w:rsid w:val="2628063B"/>
    <w:rsid w:val="262C4D6B"/>
    <w:rsid w:val="26377985"/>
    <w:rsid w:val="26D63BC5"/>
    <w:rsid w:val="270C763A"/>
    <w:rsid w:val="27112725"/>
    <w:rsid w:val="27FB52AD"/>
    <w:rsid w:val="283819A4"/>
    <w:rsid w:val="28F05539"/>
    <w:rsid w:val="29105301"/>
    <w:rsid w:val="2A0A48D5"/>
    <w:rsid w:val="2A0B74D7"/>
    <w:rsid w:val="2A13628A"/>
    <w:rsid w:val="2B55275F"/>
    <w:rsid w:val="2BA25079"/>
    <w:rsid w:val="2C6B57F0"/>
    <w:rsid w:val="2C8A4A20"/>
    <w:rsid w:val="2CEB7869"/>
    <w:rsid w:val="2DE45D3A"/>
    <w:rsid w:val="2DFB13FE"/>
    <w:rsid w:val="2DFF5C06"/>
    <w:rsid w:val="2E075211"/>
    <w:rsid w:val="2F2E5B68"/>
    <w:rsid w:val="2F5B483E"/>
    <w:rsid w:val="30084911"/>
    <w:rsid w:val="30777594"/>
    <w:rsid w:val="307D49AD"/>
    <w:rsid w:val="308F4C3A"/>
    <w:rsid w:val="30FE3488"/>
    <w:rsid w:val="3125512E"/>
    <w:rsid w:val="323B26F8"/>
    <w:rsid w:val="32EA4525"/>
    <w:rsid w:val="335069BC"/>
    <w:rsid w:val="342A4BEA"/>
    <w:rsid w:val="35684E2E"/>
    <w:rsid w:val="35F44A12"/>
    <w:rsid w:val="37B665A7"/>
    <w:rsid w:val="37E31CBE"/>
    <w:rsid w:val="383A7E81"/>
    <w:rsid w:val="38E00EBC"/>
    <w:rsid w:val="39401BFB"/>
    <w:rsid w:val="396B62C2"/>
    <w:rsid w:val="399257B0"/>
    <w:rsid w:val="39A7570C"/>
    <w:rsid w:val="3A651D5D"/>
    <w:rsid w:val="3BC5739B"/>
    <w:rsid w:val="3DF45431"/>
    <w:rsid w:val="3E883727"/>
    <w:rsid w:val="3ED328A1"/>
    <w:rsid w:val="3F767B2C"/>
    <w:rsid w:val="3FCC7236"/>
    <w:rsid w:val="40AC7BA9"/>
    <w:rsid w:val="40C208F7"/>
    <w:rsid w:val="40DC0F96"/>
    <w:rsid w:val="41780576"/>
    <w:rsid w:val="419A7831"/>
    <w:rsid w:val="425D07A3"/>
    <w:rsid w:val="426F528B"/>
    <w:rsid w:val="439245C8"/>
    <w:rsid w:val="43CE64CC"/>
    <w:rsid w:val="445676AA"/>
    <w:rsid w:val="44A6072E"/>
    <w:rsid w:val="44DF341F"/>
    <w:rsid w:val="44FE0DBC"/>
    <w:rsid w:val="45150039"/>
    <w:rsid w:val="45344388"/>
    <w:rsid w:val="455D4659"/>
    <w:rsid w:val="45FD5417"/>
    <w:rsid w:val="46BE7EB0"/>
    <w:rsid w:val="473751E4"/>
    <w:rsid w:val="478512D8"/>
    <w:rsid w:val="47E91FFD"/>
    <w:rsid w:val="483E5AFB"/>
    <w:rsid w:val="49EE310E"/>
    <w:rsid w:val="4AA52C67"/>
    <w:rsid w:val="4B0B13AD"/>
    <w:rsid w:val="4B33126C"/>
    <w:rsid w:val="4B3D53FF"/>
    <w:rsid w:val="4B481211"/>
    <w:rsid w:val="4D041FFB"/>
    <w:rsid w:val="4D077EEE"/>
    <w:rsid w:val="4D486759"/>
    <w:rsid w:val="4D5A1EF6"/>
    <w:rsid w:val="4D884FC4"/>
    <w:rsid w:val="4DE07BD1"/>
    <w:rsid w:val="4F1137C6"/>
    <w:rsid w:val="4FE57021"/>
    <w:rsid w:val="4FF3039E"/>
    <w:rsid w:val="505066D1"/>
    <w:rsid w:val="52023B18"/>
    <w:rsid w:val="52B97DEE"/>
    <w:rsid w:val="531E0DED"/>
    <w:rsid w:val="537F7B8D"/>
    <w:rsid w:val="53FF5B69"/>
    <w:rsid w:val="54140080"/>
    <w:rsid w:val="544B226E"/>
    <w:rsid w:val="54FC024F"/>
    <w:rsid w:val="55152E8E"/>
    <w:rsid w:val="557C355E"/>
    <w:rsid w:val="55E912A0"/>
    <w:rsid w:val="560A4CB8"/>
    <w:rsid w:val="58A4714A"/>
    <w:rsid w:val="599E0097"/>
    <w:rsid w:val="59BC3DC4"/>
    <w:rsid w:val="5A086442"/>
    <w:rsid w:val="5A094537"/>
    <w:rsid w:val="5A66205E"/>
    <w:rsid w:val="5A7C689C"/>
    <w:rsid w:val="5AA16833"/>
    <w:rsid w:val="5B622739"/>
    <w:rsid w:val="5B7643E2"/>
    <w:rsid w:val="5B793A89"/>
    <w:rsid w:val="5B7E72A8"/>
    <w:rsid w:val="5B8D2DEE"/>
    <w:rsid w:val="5BB72E15"/>
    <w:rsid w:val="5BE72944"/>
    <w:rsid w:val="5BED535D"/>
    <w:rsid w:val="5C80234E"/>
    <w:rsid w:val="5E3C3929"/>
    <w:rsid w:val="5F6433DE"/>
    <w:rsid w:val="5FCE0C36"/>
    <w:rsid w:val="60790CD5"/>
    <w:rsid w:val="6111214D"/>
    <w:rsid w:val="6143039D"/>
    <w:rsid w:val="61B067D3"/>
    <w:rsid w:val="62DF072B"/>
    <w:rsid w:val="63CA2740"/>
    <w:rsid w:val="643364F2"/>
    <w:rsid w:val="646A444D"/>
    <w:rsid w:val="649D798B"/>
    <w:rsid w:val="64C81CF2"/>
    <w:rsid w:val="64FC22A4"/>
    <w:rsid w:val="65270084"/>
    <w:rsid w:val="65A2414A"/>
    <w:rsid w:val="65A402BA"/>
    <w:rsid w:val="66C73BE1"/>
    <w:rsid w:val="68A634BD"/>
    <w:rsid w:val="690F2EED"/>
    <w:rsid w:val="69240037"/>
    <w:rsid w:val="698A2836"/>
    <w:rsid w:val="69B00E52"/>
    <w:rsid w:val="6A131496"/>
    <w:rsid w:val="6A65333C"/>
    <w:rsid w:val="6AA1780D"/>
    <w:rsid w:val="6B72648E"/>
    <w:rsid w:val="6B8E522D"/>
    <w:rsid w:val="6BE674CE"/>
    <w:rsid w:val="6C384002"/>
    <w:rsid w:val="6C9176A5"/>
    <w:rsid w:val="6C955CB1"/>
    <w:rsid w:val="6D12279C"/>
    <w:rsid w:val="6D23F33B"/>
    <w:rsid w:val="6DBF0A3F"/>
    <w:rsid w:val="6E232E74"/>
    <w:rsid w:val="6EB77A88"/>
    <w:rsid w:val="6F1C1E64"/>
    <w:rsid w:val="705E3AE9"/>
    <w:rsid w:val="713F665A"/>
    <w:rsid w:val="716F13A8"/>
    <w:rsid w:val="71FE5F2B"/>
    <w:rsid w:val="725E322F"/>
    <w:rsid w:val="72BF0B1B"/>
    <w:rsid w:val="740F75FB"/>
    <w:rsid w:val="748E2C3D"/>
    <w:rsid w:val="75951AF7"/>
    <w:rsid w:val="75E00E60"/>
    <w:rsid w:val="76DA690B"/>
    <w:rsid w:val="775C533C"/>
    <w:rsid w:val="778F5135"/>
    <w:rsid w:val="77D54DBD"/>
    <w:rsid w:val="78F969B7"/>
    <w:rsid w:val="791A047A"/>
    <w:rsid w:val="79642E90"/>
    <w:rsid w:val="79BD0AD5"/>
    <w:rsid w:val="7AE9196F"/>
    <w:rsid w:val="7B261499"/>
    <w:rsid w:val="7BED6A56"/>
    <w:rsid w:val="7BF54FE9"/>
    <w:rsid w:val="7CB650A7"/>
    <w:rsid w:val="7CFE1F53"/>
    <w:rsid w:val="7DE80C9C"/>
    <w:rsid w:val="7E2B0ED1"/>
    <w:rsid w:val="7E2B598D"/>
    <w:rsid w:val="7E2C0292"/>
    <w:rsid w:val="7E3B63A6"/>
    <w:rsid w:val="7F6C689A"/>
    <w:rsid w:val="7F8661D9"/>
    <w:rsid w:val="7FD604F2"/>
    <w:rsid w:val="7FE04995"/>
    <w:rsid w:val="7FE43DBF"/>
    <w:rsid w:val="BD5F834C"/>
    <w:rsid w:val="CB792D3D"/>
    <w:rsid w:val="D7FA093C"/>
    <w:rsid w:val="DDF983F0"/>
    <w:rsid w:val="DFFF13C2"/>
    <w:rsid w:val="EF723B8D"/>
    <w:rsid w:val="F5B7C4F9"/>
    <w:rsid w:val="FAEF4DB6"/>
    <w:rsid w:val="FAF3AEED"/>
    <w:rsid w:val="FB3998CA"/>
    <w:rsid w:val="FFD2511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40" w:lineRule="exact"/>
      <w:ind w:firstLine="420" w:firstLineChars="200"/>
      <w:jc w:val="both"/>
    </w:pPr>
    <w:rPr>
      <w:rFonts w:ascii="Calibri" w:hAnsi="Calibri" w:eastAsia="仿宋_GB2312" w:cs="黑体"/>
      <w:kern w:val="2"/>
      <w:sz w:val="32"/>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1">
    <w:name w:val="Default Paragraph Font"/>
    <w:link w:val="12"/>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Body Text"/>
    <w:basedOn w:val="1"/>
    <w:next w:val="4"/>
    <w:unhideWhenUsed/>
    <w:qFormat/>
    <w:uiPriority w:val="0"/>
    <w:rPr>
      <w:szCs w:val="32"/>
    </w:rPr>
  </w:style>
  <w:style w:type="paragraph" w:styleId="4">
    <w:name w:val="Body Text 2"/>
    <w:basedOn w:val="1"/>
    <w:next w:val="3"/>
    <w:qFormat/>
    <w:uiPriority w:val="0"/>
    <w:pPr>
      <w:numPr>
        <w:ilvl w:val="0"/>
        <w:numId w:val="1"/>
      </w:numPr>
      <w:spacing w:beforeLines="50" w:line="336" w:lineRule="auto"/>
      <w:ind w:left="0" w:firstLine="0"/>
    </w:pPr>
    <w:rPr>
      <w:rFonts w:ascii="Times New Roman" w:hAnsi="Times New Roman" w:eastAsia="仿宋_GB2312" w:cs="Times New Roman"/>
      <w:kern w:val="0"/>
      <w:lang w:val="zh-CN" w:eastAsia="en-US"/>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7">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styleId="8">
    <w:name w:val="Body Text First Indent"/>
    <w:basedOn w:val="3"/>
    <w:qFormat/>
    <w:uiPriority w:val="0"/>
    <w:pPr>
      <w:ind w:firstLine="88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 Char Char Char Char Char Char3 Char Char Char Char Char Char Char"/>
    <w:basedOn w:val="1"/>
    <w:next w:val="1"/>
    <w:link w:val="11"/>
    <w:qFormat/>
    <w:uiPriority w:val="0"/>
  </w:style>
  <w:style w:type="character" w:styleId="13">
    <w:name w:val="Strong"/>
    <w:qFormat/>
    <w:uiPriority w:val="22"/>
    <w:rPr>
      <w:b/>
      <w:bCs/>
    </w:rPr>
  </w:style>
  <w:style w:type="character" w:styleId="14">
    <w:name w:val="page number"/>
    <w:qFormat/>
    <w:uiPriority w:val="0"/>
  </w:style>
  <w:style w:type="character" w:styleId="15">
    <w:name w:val="Emphasis"/>
    <w:basedOn w:val="11"/>
    <w:qFormat/>
    <w:uiPriority w:val="99"/>
    <w:rPr>
      <w:rFonts w:ascii="Calibri" w:hAnsi="Calibri" w:eastAsia="黑体" w:cs="Times New Roman"/>
      <w:sz w:val="21"/>
    </w:rPr>
  </w:style>
  <w:style w:type="paragraph" w:customStyle="1" w:styleId="16">
    <w:name w:val="列表段落1"/>
    <w:basedOn w:val="1"/>
    <w:qFormat/>
    <w:uiPriority w:val="34"/>
  </w:style>
  <w:style w:type="character" w:customStyle="1" w:styleId="17">
    <w:name w:val="font61"/>
    <w:qFormat/>
    <w:uiPriority w:val="0"/>
    <w:rPr>
      <w:rFonts w:ascii="仿宋_GB2312" w:eastAsia="仿宋_GB2312" w:cs="仿宋_GB2312"/>
      <w:color w:val="000000"/>
      <w:sz w:val="24"/>
      <w:szCs w:val="24"/>
      <w:u w:val="none"/>
    </w:rPr>
  </w:style>
  <w:style w:type="character" w:customStyle="1" w:styleId="18">
    <w:name w:val="bjh-p"/>
    <w:basedOn w:val="11"/>
    <w:qFormat/>
    <w:uiPriority w:val="0"/>
  </w:style>
  <w:style w:type="character" w:customStyle="1" w:styleId="19">
    <w:name w:val="font31"/>
    <w:qFormat/>
    <w:uiPriority w:val="0"/>
    <w:rPr>
      <w:rFonts w:hint="eastAsia" w:ascii="仿宋_GB2312" w:eastAsia="仿宋_GB2312" w:cs="仿宋_GB2312"/>
      <w:b/>
      <w:color w:val="000000"/>
      <w:sz w:val="28"/>
      <w:szCs w:val="28"/>
      <w:u w:val="none"/>
    </w:rPr>
  </w:style>
  <w:style w:type="character" w:customStyle="1" w:styleId="20">
    <w:name w:val="font41"/>
    <w:qFormat/>
    <w:uiPriority w:val="0"/>
    <w:rPr>
      <w:rFonts w:hint="eastAsia" w:ascii="仿宋_GB2312" w:eastAsia="仿宋_GB2312" w:cs="仿宋_GB2312"/>
      <w:color w:val="000000"/>
      <w:sz w:val="28"/>
      <w:szCs w:val="28"/>
      <w:u w:val="none"/>
    </w:rPr>
  </w:style>
  <w:style w:type="character" w:customStyle="1" w:styleId="21">
    <w:name w:val="font21"/>
    <w:qFormat/>
    <w:uiPriority w:val="0"/>
    <w:rPr>
      <w:rFonts w:hint="eastAsia" w:ascii="仿宋_GB2312" w:eastAsia="仿宋_GB2312" w:cs="仿宋_GB2312"/>
      <w:color w:val="000000"/>
      <w:sz w:val="28"/>
      <w:szCs w:val="28"/>
      <w:u w:val="none"/>
    </w:rPr>
  </w:style>
  <w:style w:type="character" w:customStyle="1" w:styleId="22">
    <w:name w:val="font01"/>
    <w:qFormat/>
    <w:uiPriority w:val="0"/>
    <w:rPr>
      <w:rFonts w:hint="eastAsia" w:ascii="仿宋_GB2312" w:eastAsia="仿宋_GB2312" w:cs="仿宋_GB2312"/>
      <w:color w:val="000000"/>
      <w:sz w:val="28"/>
      <w:szCs w:val="28"/>
      <w:u w:val="none"/>
      <w:vertAlign w:val="superscript"/>
    </w:rPr>
  </w:style>
  <w:style w:type="character" w:customStyle="1" w:styleId="23">
    <w:name w:val="title"/>
    <w:basedOn w:val="11"/>
    <w:qFormat/>
    <w:uiPriority w:val="0"/>
    <w:rPr>
      <w:rFonts w:cs="Times New Roman"/>
    </w:rPr>
  </w:style>
  <w:style w:type="paragraph" w:customStyle="1" w:styleId="24">
    <w:name w:val="Body text|1"/>
    <w:basedOn w:val="1"/>
    <w:qFormat/>
    <w:uiPriority w:val="0"/>
    <w:pPr>
      <w:spacing w:line="420" w:lineRule="auto"/>
      <w:ind w:firstLine="400"/>
    </w:pPr>
    <w:rPr>
      <w:rFonts w:ascii="宋体" w:hAnsi="宋体" w:eastAsia="宋体" w:cs="宋体"/>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20</Pages>
  <Words>6500</Words>
  <Characters>6576</Characters>
  <Lines>56</Lines>
  <Paragraphs>15</Paragraphs>
  <TotalTime>16</TotalTime>
  <ScaleCrop>false</ScaleCrop>
  <LinksUpToDate>false</LinksUpToDate>
  <CharactersWithSpaces>6669</CharactersWithSpaces>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2020-02-21T09:04:00Z</dcterms:created>
  <dc:creator>86188</dc:creator>
  <cp:lastModifiedBy>mengwenxi</cp:lastModifiedBy>
  <cp:lastPrinted>2025-05-28T01:42:00Z</cp:lastPrinted>
  <dcterms:modified xsi:type="dcterms:W3CDTF">2025-12-25T15:22:05Z</dcterms:modified>
  <dc:title>焦作市生态环境局关于征求《焦作市生态环境行政处罚裁量基准适用规则（修订）》《焦作市生态环境行政处罚裁量基准》意见建议的通知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2052-11.8.2.1121</vt:lpwstr>
  </property>
  <property fmtid="{D5CDD505-2E9C-101B-9397-08002B2CF9AE}" pid="3" name="KSOTemplateDocerSaveRecord">
    <vt:lpwstr>eyJoZGlkIjoiZjBhZWYzZTg1MjgwM2JkYjE3N2EwZmNkZDJhMDc1MWYifQ==</vt:lpwstr>
  </property>
  <property fmtid="{D5CDD505-2E9C-101B-9397-08002B2CF9AE}" pid="4" name="ICV">
    <vt:lpwstr>FCDD0A468088395C01E64C6964D41B1E</vt:lpwstr>
  </property>
</Properties>
</file>