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wordWrap/>
        <w:overflowPunct/>
        <w:topLinePunct w:val="0"/>
        <w:autoSpaceDN w:val="0"/>
        <w:bidi w:val="0"/>
        <w:adjustRightInd/>
        <w:snapToGrid/>
        <w:spacing w:beforeAutospacing="0" w:afterAutospacing="0" w:line="52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keepNext w:val="0"/>
        <w:keepLines w:val="0"/>
        <w:pageBreakBefore w:val="0"/>
        <w:widowControl w:val="0"/>
        <w:shd w:val="clear" w:color="auto" w:fill="FFFFFF"/>
        <w:wordWrap/>
        <w:overflowPunct/>
        <w:topLinePunct w:val="0"/>
        <w:autoSpaceDN w:val="0"/>
        <w:bidi w:val="0"/>
        <w:adjustRightInd/>
        <w:snapToGrid/>
        <w:spacing w:beforeAutospacing="0" w:afterAutospacing="0" w:line="52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keepNext w:val="0"/>
        <w:keepLines w:val="0"/>
        <w:pageBreakBefore w:val="0"/>
        <w:widowControl w:val="0"/>
        <w:shd w:val="clear" w:color="auto" w:fill="FFFFFF"/>
        <w:wordWrap/>
        <w:overflowPunct/>
        <w:topLinePunct w:val="0"/>
        <w:autoSpaceDN w:val="0"/>
        <w:bidi w:val="0"/>
        <w:adjustRightInd/>
        <w:snapToGrid/>
        <w:spacing w:beforeAutospacing="0" w:afterAutospacing="0" w:line="52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pPr>
        <w:keepNext w:val="0"/>
        <w:keepLines w:val="0"/>
        <w:pageBreakBefore w:val="0"/>
        <w:widowControl w:val="0"/>
        <w:shd w:val="clear" w:color="auto" w:fill="FFFFFF"/>
        <w:wordWrap/>
        <w:overflowPunct/>
        <w:topLinePunct w:val="0"/>
        <w:autoSpaceDN w:val="0"/>
        <w:bidi w:val="0"/>
        <w:adjustRightInd/>
        <w:snapToGrid/>
        <w:spacing w:beforeAutospacing="0" w:afterAutospacing="0" w:line="52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pPr>
        <w:keepNext w:val="0"/>
        <w:keepLines w:val="0"/>
        <w:pageBreakBefore w:val="0"/>
        <w:widowControl w:val="0"/>
        <w:numPr>
          <w:ilvl w:val="0"/>
          <w:numId w:val="0"/>
        </w:numPr>
        <w:wordWrap/>
        <w:overflowPunct/>
        <w:topLinePunct w:val="0"/>
        <w:bidi w:val="0"/>
        <w:adjustRightInd/>
        <w:snapToGrid/>
        <w:spacing w:after="0" w:line="520" w:lineRule="exact"/>
        <w:ind w:left="0" w:right="0"/>
        <w:jc w:val="center"/>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焦环罚〔2025〕434号</w:t>
      </w:r>
    </w:p>
    <w:p>
      <w:pPr>
        <w:keepNext w:val="0"/>
        <w:keepLines w:val="0"/>
        <w:pageBreakBefore w:val="0"/>
        <w:widowControl w:val="0"/>
        <w:numPr>
          <w:ilvl w:val="0"/>
          <w:numId w:val="0"/>
        </w:numPr>
        <w:wordWrap/>
        <w:overflowPunct/>
        <w:topLinePunct w:val="0"/>
        <w:bidi w:val="0"/>
        <w:adjustRightInd/>
        <w:snapToGrid/>
        <w:spacing w:after="0" w:line="52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keepNext w:val="0"/>
        <w:keepLines w:val="0"/>
        <w:pageBreakBefore w:val="0"/>
        <w:widowControl w:val="0"/>
        <w:wordWrap/>
        <w:overflowPunct/>
        <w:topLinePunct w:val="0"/>
        <w:bidi w:val="0"/>
        <w:adjustRightInd w:val="0"/>
        <w:snapToGrid w:val="0"/>
        <w:spacing w:line="520" w:lineRule="exact"/>
        <w:ind w:left="0"/>
        <w:textAlignment w:val="auto"/>
        <w:outlineLvl w:val="9"/>
        <w:rPr>
          <w:rFonts w:hint="eastAsia" w:ascii="CESI仿宋-GB2312" w:hAnsi="CESI仿宋-GB2312" w:eastAsia="CESI仿宋-GB2312" w:cs="CESI仿宋-GB2312"/>
          <w:b w:val="0"/>
          <w:bCs w:val="0"/>
          <w:color w:val="auto"/>
          <w:sz w:val="32"/>
          <w:szCs w:val="32"/>
          <w:lang w:eastAsia="zh-CN"/>
        </w:rPr>
      </w:pPr>
      <w:r>
        <w:rPr>
          <w:rFonts w:hint="eastAsia" w:ascii="CESI仿宋-GB2312" w:hAnsi="CESI仿宋-GB2312" w:eastAsia="CESI仿宋-GB2312" w:cs="CESI仿宋-GB2312"/>
          <w:b w:val="0"/>
          <w:bCs w:val="0"/>
          <w:color w:val="auto"/>
          <w:sz w:val="32"/>
          <w:szCs w:val="32"/>
          <w:lang w:val="en-US" w:eastAsia="zh-CN"/>
        </w:rPr>
        <w:t>沁阳市烨顺煤业有限公司</w:t>
      </w:r>
      <w:r>
        <w:rPr>
          <w:rFonts w:hint="eastAsia" w:ascii="CESI仿宋-GB2312" w:hAnsi="CESI仿宋-GB2312" w:eastAsia="CESI仿宋-GB2312" w:cs="CESI仿宋-GB2312"/>
          <w:b w:val="0"/>
          <w:bCs w:val="0"/>
          <w:color w:val="auto"/>
          <w:sz w:val="32"/>
          <w:szCs w:val="32"/>
          <w:lang w:eastAsia="zh-CN"/>
        </w:rPr>
        <w:t>：</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rPr>
        <w:t>统一社会信用代码：</w:t>
      </w:r>
      <w:r>
        <w:rPr>
          <w:rFonts w:hint="eastAsia" w:ascii="CESI仿宋-GB2312" w:hAnsi="CESI仿宋-GB2312" w:eastAsia="CESI仿宋-GB2312" w:cs="CESI仿宋-GB2312"/>
          <w:b w:val="0"/>
          <w:color w:val="auto"/>
          <w:sz w:val="32"/>
          <w:szCs w:val="32"/>
          <w:lang w:val="en-US" w:eastAsia="zh-CN"/>
        </w:rPr>
        <w:t>91410882725835435G</w:t>
      </w:r>
    </w:p>
    <w:p>
      <w:pPr>
        <w:keepNext w:val="0"/>
        <w:keepLines w:val="0"/>
        <w:pageBreakBefore w:val="0"/>
        <w:widowControl w:val="0"/>
        <w:wordWrap/>
        <w:overflowPunct/>
        <w:topLinePunct w:val="0"/>
        <w:bidi w:val="0"/>
        <w:adjustRightInd w:val="0"/>
        <w:snapToGrid w:val="0"/>
        <w:spacing w:line="520" w:lineRule="exact"/>
        <w:ind w:left="0"/>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b w:val="0"/>
          <w:bCs/>
          <w:color w:val="auto"/>
          <w:sz w:val="32"/>
          <w:szCs w:val="32"/>
        </w:rPr>
        <w:t>地址：</w:t>
      </w:r>
      <w:r>
        <w:rPr>
          <w:rFonts w:hint="eastAsia" w:ascii="CESI仿宋-GB2312" w:hAnsi="CESI仿宋-GB2312" w:eastAsia="CESI仿宋-GB2312" w:cs="CESI仿宋-GB2312"/>
          <w:color w:val="000000"/>
          <w:sz w:val="32"/>
          <w:szCs w:val="32"/>
          <w:lang w:val="en-US" w:eastAsia="zh-CN"/>
        </w:rPr>
        <w:t>沁阳市山王庄镇盆窑村</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法定代表人（负责人）：廉二虎</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一、环境违法事实和证据</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2025年10月28日，焦作市生态环境保护委员会办公室下发了《关于启动重污染天气橙色预警（Ⅱ级响应）的通知。》（焦环委办[2025]31号），通知要求自2025年10月28日中午12时启动我市重污染天气橙色预警（Ⅱ级响应），解除时间另行通知。该公司重污染天气橙色预警（Ⅱ级响应）的管控要求是1.2条洗煤生产线停产；2.较预警发布前10个正常日日均情况，生产线运行数量下降百分之百；停止国五及以下重型载货车辆（含燃气）进行运输，停止使用国三以下非道路移动机械作业。2025年10月28日，焦作市生态环境局执法人员对该单位重污染天气应急响应情况进行检查，发现该单位在启动重污染天气橙色预警后一条洗煤生产线正在生产，未执行重污染天气橙色预警（Ⅱ级响应）的管控要求。</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lang w:val="en-US" w:eastAsia="zh-CN"/>
        </w:rPr>
        <w:t>你单位的上述行为</w:t>
      </w:r>
      <w:r>
        <w:rPr>
          <w:rFonts w:hint="eastAsia" w:ascii="CESI仿宋-GB2312" w:hAnsi="CESI仿宋-GB2312" w:eastAsia="CESI仿宋-GB2312" w:cs="CESI仿宋-GB2312"/>
          <w:color w:val="000000"/>
          <w:sz w:val="32"/>
          <w:szCs w:val="32"/>
        </w:rPr>
        <w:t>违反了《</w:t>
      </w:r>
      <w:r>
        <w:rPr>
          <w:rFonts w:hint="eastAsia" w:ascii="CESI仿宋-GB2312" w:hAnsi="CESI仿宋-GB2312" w:eastAsia="CESI仿宋-GB2312" w:cs="CESI仿宋-GB2312"/>
          <w:color w:val="000000"/>
          <w:sz w:val="32"/>
          <w:szCs w:val="32"/>
          <w:u w:val="none"/>
          <w:lang w:val="en-US" w:eastAsia="zh-CN"/>
        </w:rPr>
        <w:t>焦作市大气污染防治条例</w:t>
      </w:r>
      <w:r>
        <w:rPr>
          <w:rFonts w:hint="eastAsia" w:ascii="CESI仿宋-GB2312" w:hAnsi="CESI仿宋-GB2312" w:eastAsia="CESI仿宋-GB2312" w:cs="CESI仿宋-GB2312"/>
          <w:color w:val="000000"/>
          <w:sz w:val="32"/>
          <w:szCs w:val="32"/>
        </w:rPr>
        <w:t>》第</w:t>
      </w:r>
      <w:r>
        <w:rPr>
          <w:rFonts w:hint="eastAsia" w:ascii="CESI仿宋-GB2312" w:hAnsi="CESI仿宋-GB2312" w:eastAsia="CESI仿宋-GB2312" w:cs="CESI仿宋-GB2312"/>
          <w:color w:val="000000"/>
          <w:sz w:val="32"/>
          <w:szCs w:val="32"/>
          <w:lang w:eastAsia="zh-CN"/>
        </w:rPr>
        <w:t>三十五</w:t>
      </w:r>
      <w:r>
        <w:rPr>
          <w:rFonts w:hint="eastAsia" w:ascii="CESI仿宋-GB2312" w:hAnsi="CESI仿宋-GB2312" w:eastAsia="CESI仿宋-GB2312" w:cs="CESI仿宋-GB2312"/>
          <w:color w:val="000000"/>
          <w:sz w:val="32"/>
          <w:szCs w:val="32"/>
        </w:rPr>
        <w:t>条</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纳入重污染天气应急预案的企业应当根据市、县（市、区）人民政府制定的重污染天气应急预案，制定重污染天气应急响应操作方案，并按照规定备案和及时启动应急响应操作方案。</w:t>
      </w:r>
      <w:r>
        <w:rPr>
          <w:rFonts w:hint="eastAsia" w:ascii="CESI仿宋-GB2312" w:hAnsi="CESI仿宋-GB2312" w:eastAsia="CESI仿宋-GB2312" w:cs="CESI仿宋-GB2312"/>
          <w:color w:val="000000"/>
          <w:sz w:val="32"/>
          <w:szCs w:val="32"/>
        </w:rPr>
        <w:t>”的规定。</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000000"/>
          <w:sz w:val="32"/>
          <w:szCs w:val="32"/>
          <w:lang w:val="en-US" w:eastAsia="en-US"/>
        </w:rPr>
      </w:pPr>
      <w:r>
        <w:rPr>
          <w:rFonts w:hint="eastAsia" w:ascii="CESI仿宋-GB2312" w:hAnsi="CESI仿宋-GB2312" w:eastAsia="CESI仿宋-GB2312" w:cs="CESI仿宋-GB2312"/>
          <w:color w:val="000000"/>
          <w:sz w:val="32"/>
          <w:szCs w:val="32"/>
          <w:lang w:val="en-US" w:eastAsia="en-US"/>
        </w:rPr>
        <w:t>以上事实，主要有以下证据证明：</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现场检查（勘察）笔录及现场照片/视频（2025年10月28日），证明你单位洗煤生产线正在生产，未落实重污染天气橙色预警应急减排措施的事实；</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调查询问笔录（2025年11月29日对田向前的调查询问），证明你单位存在未落实重污染天气橙色预警应急减排措施的事实；</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营业执照复印件,证明你单位法人主体资格；</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授权委托书、被授权人身份证复印件，证明被询问人田向前的身份信息；</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固定污染源排污登记回执复印件，证明你单位依法办理排污许可手续；</w:t>
      </w:r>
      <w:bookmarkStart w:id="0" w:name="_GoBack"/>
      <w:bookmarkEnd w:id="0"/>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6</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现状环境影响评估报告（2018年11月编制），证明你单位建设项目依法编制并通过审批；</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7</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沁阳市2025-2026年工业源清单（节选）,证明你单位被列入2025-2026年秋冬季重污染天气应急减排清单名单中；</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8</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焦环委办〔2025〕31号文件，证明2025年10月28日12时我市启动重污染天气橙色预警（Ⅱ级响应）；</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9</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沁阳市烨顺煤业有限公司减排措施一厂一策，证明你单位重污染天气启动后的具体减排措施；</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10</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执法人员的执法证复印，证明执法人员的身份和资格；</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right="0" w:rightChars="0" w:firstLine="640" w:firstLineChars="200"/>
        <w:jc w:val="both"/>
        <w:textAlignment w:val="auto"/>
        <w:outlineLvl w:val="9"/>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lang w:val="en-US" w:eastAsia="en-US"/>
        </w:rPr>
        <w:t>焦环委办〔202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38</w:t>
      </w:r>
      <w:r>
        <w:rPr>
          <w:rFonts w:hint="eastAsia" w:ascii="CESI仿宋-GB2312" w:hAnsi="CESI仿宋-GB2312" w:eastAsia="CESI仿宋-GB2312" w:cs="CESI仿宋-GB2312"/>
          <w:color w:val="auto"/>
          <w:sz w:val="32"/>
          <w:szCs w:val="32"/>
          <w:lang w:val="en-US" w:eastAsia="en-US"/>
        </w:rPr>
        <w:t>号文件，证明202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年1</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16</w:t>
      </w:r>
      <w:r>
        <w:rPr>
          <w:rFonts w:hint="eastAsia" w:ascii="CESI仿宋-GB2312" w:hAnsi="CESI仿宋-GB2312" w:eastAsia="CESI仿宋-GB2312" w:cs="CESI仿宋-GB2312"/>
          <w:color w:val="auto"/>
          <w:sz w:val="32"/>
          <w:szCs w:val="32"/>
          <w:lang w:val="en-US" w:eastAsia="en-US"/>
        </w:rPr>
        <w:t>日</w:t>
      </w:r>
      <w:r>
        <w:rPr>
          <w:rFonts w:hint="eastAsia" w:ascii="CESI仿宋-GB2312" w:hAnsi="CESI仿宋-GB2312" w:eastAsia="CESI仿宋-GB2312" w:cs="CESI仿宋-GB2312"/>
          <w:color w:val="auto"/>
          <w:sz w:val="32"/>
          <w:szCs w:val="32"/>
          <w:lang w:val="en-US" w:eastAsia="zh-CN"/>
        </w:rPr>
        <w:t>8</w:t>
      </w:r>
      <w:r>
        <w:rPr>
          <w:rFonts w:hint="eastAsia" w:ascii="CESI仿宋-GB2312" w:hAnsi="CESI仿宋-GB2312" w:eastAsia="CESI仿宋-GB2312" w:cs="CESI仿宋-GB2312"/>
          <w:color w:val="auto"/>
          <w:sz w:val="32"/>
          <w:szCs w:val="32"/>
          <w:lang w:val="en-US" w:eastAsia="en-US"/>
        </w:rPr>
        <w:t>时我市解除重污染天气橙色预警（Ⅱ级响应）</w:t>
      </w:r>
      <w:r>
        <w:rPr>
          <w:rFonts w:hint="eastAsia" w:ascii="CESI仿宋-GB2312" w:hAnsi="CESI仿宋-GB2312" w:eastAsia="CESI仿宋-GB2312" w:cs="CESI仿宋-GB2312"/>
          <w:color w:val="auto"/>
          <w:sz w:val="32"/>
          <w:szCs w:val="32"/>
          <w:lang w:val="en-US" w:eastAsia="zh-CN"/>
        </w:rPr>
        <w:t>；</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right="0" w:rightChars="0" w:firstLine="640" w:firstLineChars="200"/>
        <w:jc w:val="both"/>
        <w:textAlignment w:val="auto"/>
        <w:outlineLvl w:val="9"/>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12.其他证据。</w:t>
      </w:r>
    </w:p>
    <w:p>
      <w:pPr>
        <w:pStyle w:val="5"/>
        <w:keepNext w:val="0"/>
        <w:keepLines w:val="0"/>
        <w:pageBreakBefore w:val="0"/>
        <w:widowControl/>
        <w:wordWrap/>
        <w:overflowPunct/>
        <w:topLinePunct w:val="0"/>
        <w:bidi w:val="0"/>
        <w:adjustRightInd/>
        <w:snapToGrid/>
        <w:spacing w:before="0" w:beforeAutospacing="0" w:after="0" w:afterAutospacing="0" w:line="520" w:lineRule="exact"/>
        <w:ind w:left="0"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21</w:t>
      </w:r>
      <w:r>
        <w:rPr>
          <w:rFonts w:hint="eastAsia" w:ascii="CESI仿宋-GB2312" w:hAnsi="CESI仿宋-GB2312" w:eastAsia="CESI仿宋-GB2312" w:cs="CESI仿宋-GB2312"/>
          <w:color w:val="auto"/>
          <w:sz w:val="32"/>
          <w:szCs w:val="32"/>
          <w:lang w:val="en-US" w:eastAsia="en-US"/>
        </w:rPr>
        <w:t>日直接送达《行政处罚事先告知书》（焦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51</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lang w:val="en-US" w:eastAsia="zh-CN"/>
        </w:rPr>
        <w:t>告知书告知你单位</w:t>
      </w:r>
      <w:r>
        <w:rPr>
          <w:rFonts w:hint="eastAsia" w:ascii="CESI仿宋-GB2312" w:hAnsi="CESI仿宋-GB2312" w:eastAsia="CESI仿宋-GB2312" w:cs="CESI仿宋-GB2312"/>
          <w:color w:val="auto"/>
          <w:sz w:val="32"/>
          <w:szCs w:val="32"/>
          <w:lang w:val="en-US" w:eastAsia="en-US"/>
        </w:rPr>
        <w:t>陈述申辩权。你</w:t>
      </w:r>
      <w:r>
        <w:rPr>
          <w:rFonts w:hint="eastAsia" w:ascii="CESI仿宋-GB2312" w:hAnsi="CESI仿宋-GB2312" w:eastAsia="CESI仿宋-GB2312" w:cs="CESI仿宋-GB2312"/>
          <w:color w:val="auto"/>
          <w:sz w:val="32"/>
          <w:szCs w:val="32"/>
          <w:lang w:val="en-US" w:eastAsia="zh-CN"/>
        </w:rPr>
        <w:t>单位在</w:t>
      </w:r>
      <w:r>
        <w:rPr>
          <w:rFonts w:hint="eastAsia" w:ascii="CESI仿宋-GB2312" w:hAnsi="CESI仿宋-GB2312" w:eastAsia="CESI仿宋-GB2312" w:cs="CESI仿宋-GB2312"/>
          <w:color w:val="auto"/>
          <w:sz w:val="32"/>
          <w:szCs w:val="32"/>
          <w:lang w:val="en-US" w:eastAsia="en-US"/>
        </w:rPr>
        <w:t>法定期限内未提出陈述申辩</w:t>
      </w:r>
      <w:r>
        <w:rPr>
          <w:rFonts w:hint="eastAsia" w:ascii="CESI仿宋-GB2312" w:hAnsi="CESI仿宋-GB2312" w:eastAsia="CESI仿宋-GB2312" w:cs="CESI仿宋-GB2312"/>
          <w:color w:val="auto"/>
          <w:sz w:val="32"/>
          <w:szCs w:val="32"/>
          <w:lang w:val="en-US" w:eastAsia="zh-CN"/>
        </w:rPr>
        <w:t>，视为你单位放弃</w:t>
      </w:r>
      <w:r>
        <w:rPr>
          <w:rFonts w:hint="eastAsia" w:ascii="CESI仿宋-GB2312" w:hAnsi="CESI仿宋-GB2312" w:eastAsia="CESI仿宋-GB2312" w:cs="CESI仿宋-GB2312"/>
          <w:color w:val="auto"/>
          <w:sz w:val="32"/>
          <w:szCs w:val="32"/>
          <w:lang w:val="en-US" w:eastAsia="en-US"/>
        </w:rPr>
        <w:t>陈述申辩</w:t>
      </w:r>
      <w:r>
        <w:rPr>
          <w:rFonts w:hint="eastAsia" w:ascii="CESI仿宋-GB2312" w:hAnsi="CESI仿宋-GB2312" w:eastAsia="CESI仿宋-GB2312" w:cs="CESI仿宋-GB2312"/>
          <w:color w:val="auto"/>
          <w:sz w:val="32"/>
          <w:szCs w:val="32"/>
          <w:lang w:val="en-US" w:eastAsia="zh-CN"/>
        </w:rPr>
        <w:t>权利。</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二、行政处罚的依据、种类</w:t>
      </w:r>
    </w:p>
    <w:p>
      <w:pPr>
        <w:keepNext w:val="0"/>
        <w:keepLines w:val="0"/>
        <w:pageBreakBefore w:val="0"/>
        <w:widowControl w:val="0"/>
        <w:wordWrap w:val="0"/>
        <w:overflowPunct/>
        <w:topLinePunct w:val="0"/>
        <w:bidi w:val="0"/>
        <w:adjustRightInd w:val="0"/>
        <w:snapToGrid w:val="0"/>
        <w:spacing w:line="520" w:lineRule="exact"/>
        <w:ind w:left="0"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根据你单位违法行为的事实、性质、情节、社会危害程度和相关证据，</w:t>
      </w:r>
      <w:r>
        <w:rPr>
          <w:rFonts w:hint="eastAsia" w:ascii="CESI仿宋-GB2312" w:hAnsi="CESI仿宋-GB2312" w:eastAsia="CESI仿宋-GB2312" w:cs="CESI仿宋-GB2312"/>
          <w:color w:val="000000"/>
          <w:kern w:val="0"/>
          <w:sz w:val="32"/>
          <w:szCs w:val="32"/>
          <w:lang w:val="en-US" w:eastAsia="zh-CN" w:bidi="ar"/>
        </w:rPr>
        <w:t>参照《焦作市生态环境行政处罚裁量基准》处罚裁量基准：裁量因素：违法行为发生时期，敏感度，内容：重污染天气橙色预警期间，裁量等级：3，裁量因素：污染防治设施，内容：按规定使用污染防治措施或无污染防治要求的，裁量等级：1；裁量因素：企业规模，内容：微型企业，裁量等级：1；裁量因素：违法行为持续时间，内容：2天以下，裁量等级：1；裁量因素：违法行为发生地点，内容：符合环境功能区规划，裁量等级：1；裁量因素：超过期限改正时间，内容：限期改正，裁量等级：1；裁量因素：受处罚次数次数，内容：两年内受到过同类处罚1次，裁量等级：3；裁量因素：是否配合执法检查，内容：配合调查，裁量等级：1。法定处罚金额上限(M)：50000，法定处罚金额下限(N)：10000，首要裁量因素裁量等级(A)：3，其余裁量因素个数(n)：7，其余裁量因素裁量等级(Bi)：[1,1,1,1,1,3,1],处罚金额(X)：18914.28,代入公式：18914=10000+(50000-10000)x[(3/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+3</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x7)]x50%，裁量金额：18914元。</w:t>
      </w:r>
    </w:p>
    <w:p>
      <w:pPr>
        <w:keepNext w:val="0"/>
        <w:keepLines w:val="0"/>
        <w:pageBreakBefore w:val="0"/>
        <w:wordWrap/>
        <w:overflowPunct/>
        <w:topLinePunct w:val="0"/>
        <w:bidi w:val="0"/>
        <w:adjustRightInd w:val="0"/>
        <w:snapToGrid w:val="0"/>
        <w:spacing w:line="520" w:lineRule="exact"/>
        <w:ind w:left="0"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bCs/>
          <w:color w:val="000000"/>
          <w:kern w:val="0"/>
          <w:sz w:val="32"/>
          <w:szCs w:val="32"/>
          <w:u w:val="none"/>
          <w:lang w:val="en-US" w:eastAsia="zh-CN"/>
        </w:rPr>
        <w:t>根据《</w:t>
      </w:r>
      <w:r>
        <w:rPr>
          <w:rFonts w:hint="eastAsia" w:ascii="CESI仿宋-GB2312" w:hAnsi="CESI仿宋-GB2312" w:eastAsia="CESI仿宋-GB2312" w:cs="CESI仿宋-GB2312"/>
          <w:color w:val="000000"/>
          <w:kern w:val="0"/>
          <w:sz w:val="32"/>
          <w:szCs w:val="32"/>
          <w:lang w:val="en-US" w:eastAsia="zh-CN"/>
        </w:rPr>
        <w:t>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r>
        <w:rPr>
          <w:rFonts w:hint="eastAsia" w:ascii="CESI仿宋-GB2312" w:hAnsi="CESI仿宋-GB2312" w:eastAsia="CESI仿宋-GB2312" w:cs="CESI仿宋-GB2312"/>
          <w:color w:val="000000"/>
          <w:kern w:val="0"/>
          <w:sz w:val="32"/>
          <w:szCs w:val="32"/>
          <w:u w:val="none"/>
          <w:lang w:val="en-US" w:eastAsia="zh-CN"/>
        </w:rPr>
        <w:t>的规定，我局对你单位未按照规定及时启动重污染天气应急响应操作方案的违法行为作出以下处理决定：</w:t>
      </w:r>
    </w:p>
    <w:p>
      <w:pPr>
        <w:keepNext w:val="0"/>
        <w:keepLines w:val="0"/>
        <w:pageBreakBefore w:val="0"/>
        <w:wordWrap/>
        <w:overflowPunct/>
        <w:topLinePunct w:val="0"/>
        <w:bidi w:val="0"/>
        <w:adjustRightInd w:val="0"/>
        <w:snapToGrid w:val="0"/>
        <w:spacing w:line="520" w:lineRule="exact"/>
        <w:ind w:left="0"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给予罚款壹万捌仟玖佰壹拾肆元（18914元）的行政处罚。</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pPr>
        <w:keepNext w:val="0"/>
        <w:keepLines w:val="0"/>
        <w:pageBreakBefore w:val="0"/>
        <w:widowControl w:val="0"/>
        <w:numPr>
          <w:ilvl w:val="0"/>
          <w:numId w:val="0"/>
        </w:numPr>
        <w:wordWrap/>
        <w:overflowPunct/>
        <w:topLinePunct w:val="0"/>
        <w:bidi w:val="0"/>
        <w:adjustRightInd/>
        <w:snapToGrid/>
        <w:spacing w:after="0" w:line="52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pPr>
        <w:keepNext w:val="0"/>
        <w:keepLines w:val="0"/>
        <w:pageBreakBefore w:val="0"/>
        <w:wordWrap/>
        <w:overflowPunct/>
        <w:topLinePunct w:val="0"/>
        <w:bidi w:val="0"/>
        <w:adjustRightInd w:val="0"/>
        <w:snapToGrid w:val="0"/>
        <w:spacing w:line="520" w:lineRule="exact"/>
        <w:ind w:left="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keepNext w:val="0"/>
        <w:keepLines w:val="0"/>
        <w:pageBreakBefore w:val="0"/>
        <w:widowControl w:val="0"/>
        <w:numPr>
          <w:ilvl w:val="0"/>
          <w:numId w:val="0"/>
        </w:numPr>
        <w:wordWrap/>
        <w:overflowPunct/>
        <w:topLinePunct w:val="0"/>
        <w:bidi w:val="0"/>
        <w:adjustRightInd/>
        <w:snapToGrid/>
        <w:spacing w:after="0" w:line="520" w:lineRule="exact"/>
        <w:ind w:left="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keepNext w:val="0"/>
        <w:keepLines w:val="0"/>
        <w:pageBreakBefore w:val="0"/>
        <w:widowControl w:val="0"/>
        <w:numPr>
          <w:ilvl w:val="0"/>
          <w:numId w:val="0"/>
        </w:numPr>
        <w:wordWrap/>
        <w:overflowPunct/>
        <w:topLinePunct w:val="0"/>
        <w:bidi w:val="0"/>
        <w:adjustRightInd/>
        <w:snapToGrid/>
        <w:spacing w:after="0" w:line="520" w:lineRule="exact"/>
        <w:ind w:left="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keepNext w:val="0"/>
        <w:keepLines w:val="0"/>
        <w:pageBreakBefore w:val="0"/>
        <w:widowControl w:val="0"/>
        <w:numPr>
          <w:ilvl w:val="0"/>
          <w:numId w:val="0"/>
        </w:numPr>
        <w:wordWrap/>
        <w:overflowPunct/>
        <w:topLinePunct w:val="0"/>
        <w:bidi w:val="0"/>
        <w:adjustRightInd/>
        <w:snapToGrid/>
        <w:spacing w:after="0" w:line="520" w:lineRule="exact"/>
        <w:ind w:left="0" w:right="0" w:firstLine="5120" w:firstLineChars="16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keepNext w:val="0"/>
        <w:keepLines w:val="0"/>
        <w:pageBreakBefore w:val="0"/>
        <w:widowControl w:val="0"/>
        <w:numPr>
          <w:ilvl w:val="0"/>
          <w:numId w:val="0"/>
        </w:numPr>
        <w:wordWrap/>
        <w:overflowPunct/>
        <w:topLinePunct w:val="0"/>
        <w:bidi w:val="0"/>
        <w:adjustRightInd/>
        <w:snapToGrid/>
        <w:spacing w:after="0" w:line="520" w:lineRule="exact"/>
        <w:ind w:left="0" w:right="0" w:firstLine="5120" w:firstLineChars="16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2025年12月29日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4"/>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4D8694C"/>
    <w:rsid w:val="065D906F"/>
    <w:rsid w:val="06DB5F0F"/>
    <w:rsid w:val="0870581B"/>
    <w:rsid w:val="097A7FD3"/>
    <w:rsid w:val="0AC60045"/>
    <w:rsid w:val="0B963B10"/>
    <w:rsid w:val="0D755681"/>
    <w:rsid w:val="12434112"/>
    <w:rsid w:val="142938DC"/>
    <w:rsid w:val="164A75BB"/>
    <w:rsid w:val="169545F4"/>
    <w:rsid w:val="17516817"/>
    <w:rsid w:val="17BC0000"/>
    <w:rsid w:val="1AB25442"/>
    <w:rsid w:val="1AB74894"/>
    <w:rsid w:val="1B7B3A8A"/>
    <w:rsid w:val="1D640352"/>
    <w:rsid w:val="1EED00E4"/>
    <w:rsid w:val="1F7E5515"/>
    <w:rsid w:val="1FDA683E"/>
    <w:rsid w:val="20002274"/>
    <w:rsid w:val="22066450"/>
    <w:rsid w:val="2374861F"/>
    <w:rsid w:val="23F65BDB"/>
    <w:rsid w:val="265F57EE"/>
    <w:rsid w:val="26FE1DEC"/>
    <w:rsid w:val="28C00B1B"/>
    <w:rsid w:val="2A781BD2"/>
    <w:rsid w:val="2B7FDE67"/>
    <w:rsid w:val="2CAB3160"/>
    <w:rsid w:val="2D7E4035"/>
    <w:rsid w:val="2DBF0F9F"/>
    <w:rsid w:val="30B221FC"/>
    <w:rsid w:val="31DC5891"/>
    <w:rsid w:val="34C44175"/>
    <w:rsid w:val="36DF7B44"/>
    <w:rsid w:val="377FA655"/>
    <w:rsid w:val="37C16C4A"/>
    <w:rsid w:val="38194CD8"/>
    <w:rsid w:val="381F26FA"/>
    <w:rsid w:val="394713D0"/>
    <w:rsid w:val="3D54DFC2"/>
    <w:rsid w:val="3D864BBD"/>
    <w:rsid w:val="3E19AE4E"/>
    <w:rsid w:val="3E374268"/>
    <w:rsid w:val="3F5B9A4C"/>
    <w:rsid w:val="3F95733A"/>
    <w:rsid w:val="3FFD8EBD"/>
    <w:rsid w:val="40DE491A"/>
    <w:rsid w:val="42395E28"/>
    <w:rsid w:val="44320A04"/>
    <w:rsid w:val="458D1810"/>
    <w:rsid w:val="46CFE917"/>
    <w:rsid w:val="47673D9F"/>
    <w:rsid w:val="47FFC21A"/>
    <w:rsid w:val="49647D7D"/>
    <w:rsid w:val="4ABF34BD"/>
    <w:rsid w:val="4AC46D25"/>
    <w:rsid w:val="4D2E2816"/>
    <w:rsid w:val="4DF96577"/>
    <w:rsid w:val="4EC2CB95"/>
    <w:rsid w:val="4FE7BACD"/>
    <w:rsid w:val="509108A7"/>
    <w:rsid w:val="50E023DF"/>
    <w:rsid w:val="523D116B"/>
    <w:rsid w:val="52F97B59"/>
    <w:rsid w:val="54071DAE"/>
    <w:rsid w:val="55D63DB0"/>
    <w:rsid w:val="563E2A36"/>
    <w:rsid w:val="56D36B56"/>
    <w:rsid w:val="56E4774D"/>
    <w:rsid w:val="5761658A"/>
    <w:rsid w:val="576C3088"/>
    <w:rsid w:val="5780200F"/>
    <w:rsid w:val="599E4BE5"/>
    <w:rsid w:val="5BF3746A"/>
    <w:rsid w:val="5D796EED"/>
    <w:rsid w:val="5DB3B9C8"/>
    <w:rsid w:val="5DBBF2B6"/>
    <w:rsid w:val="5EC738F0"/>
    <w:rsid w:val="5EEF22FE"/>
    <w:rsid w:val="5F0F3539"/>
    <w:rsid w:val="5F43E1A2"/>
    <w:rsid w:val="5F702BE4"/>
    <w:rsid w:val="5FBF8C48"/>
    <w:rsid w:val="636B3D8A"/>
    <w:rsid w:val="64BC23C3"/>
    <w:rsid w:val="653B66AE"/>
    <w:rsid w:val="66A47BB4"/>
    <w:rsid w:val="66FD7324"/>
    <w:rsid w:val="69494216"/>
    <w:rsid w:val="6B7FA5F9"/>
    <w:rsid w:val="6DBC5D6D"/>
    <w:rsid w:val="6EF711A9"/>
    <w:rsid w:val="6EFE4309"/>
    <w:rsid w:val="6F3BFCF4"/>
    <w:rsid w:val="70862A82"/>
    <w:rsid w:val="72693B8A"/>
    <w:rsid w:val="727701DB"/>
    <w:rsid w:val="72EC6569"/>
    <w:rsid w:val="742770C0"/>
    <w:rsid w:val="743A38AB"/>
    <w:rsid w:val="74570DBE"/>
    <w:rsid w:val="75210DC6"/>
    <w:rsid w:val="75FB055A"/>
    <w:rsid w:val="765608C9"/>
    <w:rsid w:val="77DFE647"/>
    <w:rsid w:val="77F75EB7"/>
    <w:rsid w:val="795F396C"/>
    <w:rsid w:val="797F7E8E"/>
    <w:rsid w:val="7A7F57A2"/>
    <w:rsid w:val="7ADFBFB4"/>
    <w:rsid w:val="7B5D7422"/>
    <w:rsid w:val="7BCB0A6E"/>
    <w:rsid w:val="7BE64AD6"/>
    <w:rsid w:val="7BEF629F"/>
    <w:rsid w:val="7C152FAD"/>
    <w:rsid w:val="7D7988FE"/>
    <w:rsid w:val="7D97E883"/>
    <w:rsid w:val="7D9C70D4"/>
    <w:rsid w:val="7DFBC00A"/>
    <w:rsid w:val="7DFBF250"/>
    <w:rsid w:val="7E5B36C4"/>
    <w:rsid w:val="7E777503"/>
    <w:rsid w:val="7E7F693C"/>
    <w:rsid w:val="7EB92419"/>
    <w:rsid w:val="7EF74D99"/>
    <w:rsid w:val="7F531E4A"/>
    <w:rsid w:val="7F9FAA5E"/>
    <w:rsid w:val="7FBE8819"/>
    <w:rsid w:val="7FE5492C"/>
    <w:rsid w:val="7FF94B93"/>
    <w:rsid w:val="7FFE7FFD"/>
    <w:rsid w:val="7FFF06D0"/>
    <w:rsid w:val="8EF74955"/>
    <w:rsid w:val="977D67C4"/>
    <w:rsid w:val="97F2A3FD"/>
    <w:rsid w:val="AEFC1C5E"/>
    <w:rsid w:val="AEFF6ECF"/>
    <w:rsid w:val="B4BE2919"/>
    <w:rsid w:val="B5E7598D"/>
    <w:rsid w:val="B6BE2F16"/>
    <w:rsid w:val="B76ADEC8"/>
    <w:rsid w:val="B7EF1382"/>
    <w:rsid w:val="BBBF0948"/>
    <w:rsid w:val="BDFF9C73"/>
    <w:rsid w:val="BEDF9A4C"/>
    <w:rsid w:val="BEFFE1CD"/>
    <w:rsid w:val="BF335460"/>
    <w:rsid w:val="BF777DE0"/>
    <w:rsid w:val="BFBF3ACC"/>
    <w:rsid w:val="BFDF881F"/>
    <w:rsid w:val="BFF5EE63"/>
    <w:rsid w:val="C74BCC9C"/>
    <w:rsid w:val="CBEE7583"/>
    <w:rsid w:val="CDFF0FF3"/>
    <w:rsid w:val="D7B7028B"/>
    <w:rsid w:val="D7EB23EF"/>
    <w:rsid w:val="DBA7FFF3"/>
    <w:rsid w:val="DBCF6CAD"/>
    <w:rsid w:val="DE7BB4C6"/>
    <w:rsid w:val="DEEB87C9"/>
    <w:rsid w:val="DF3D7F9E"/>
    <w:rsid w:val="DFBF4923"/>
    <w:rsid w:val="DFF74832"/>
    <w:rsid w:val="E7704FED"/>
    <w:rsid w:val="E77C0199"/>
    <w:rsid w:val="E7EE46D9"/>
    <w:rsid w:val="EAAFBA06"/>
    <w:rsid w:val="EE7CF78A"/>
    <w:rsid w:val="EF6F1B90"/>
    <w:rsid w:val="EF7437D7"/>
    <w:rsid w:val="F5BF8A59"/>
    <w:rsid w:val="F5F522D3"/>
    <w:rsid w:val="F65DCEF8"/>
    <w:rsid w:val="F73E11DB"/>
    <w:rsid w:val="F7B7840B"/>
    <w:rsid w:val="F7B81B7B"/>
    <w:rsid w:val="F7EF8682"/>
    <w:rsid w:val="F7F7AA1D"/>
    <w:rsid w:val="F7FEDF52"/>
    <w:rsid w:val="F9E79DE6"/>
    <w:rsid w:val="FB9759D9"/>
    <w:rsid w:val="FBB15F72"/>
    <w:rsid w:val="FD5DB323"/>
    <w:rsid w:val="FD5F4CDA"/>
    <w:rsid w:val="FD7C595D"/>
    <w:rsid w:val="FFBDA71D"/>
    <w:rsid w:val="FFEF38CD"/>
    <w:rsid w:val="FFF72883"/>
    <w:rsid w:val="FFFFE3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2058</Words>
  <Characters>2316</Characters>
  <Lines>0</Lines>
  <Paragraphs>0</Paragraphs>
  <TotalTime>3</TotalTime>
  <ScaleCrop>false</ScaleCrop>
  <LinksUpToDate>false</LinksUpToDate>
  <CharactersWithSpaces>2316</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2023-05-27T18:46:00Z</dcterms:created>
  <dc:creator>Administrator</dc:creator>
  <cp:lastModifiedBy>未来</cp:lastModifiedBy>
  <cp:lastPrinted>2025-12-29T11:49:40Z</cp:lastPrinted>
  <dcterms:modified xsi:type="dcterms:W3CDTF">2025-12-29T11:50:04Z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B3C3E372B6D742108616B40DBD63EAFC_13</vt:lpwstr>
  </property>
  <property fmtid="{D5CDD505-2E9C-101B-9397-08002B2CF9AE}" pid="4" name="KSOTemplateDocerSaveRecord">
    <vt:lpwstr>eyJoZGlkIjoiYmViMDNiNDM1M2UzNTJmYjI0MDE2NWRjMWI5MTc1YmMiLCJ1c2VySWQiOiI0MjYwNTU1MDYifQ==</vt:lpwstr>
  </property>
</Properties>
</file>