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default" w:ascii="Times New Roman" w:hAnsi="Times New Roman" w:eastAsia="仿宋" w:cs="Times New Roman"/>
          <w:b w:val="0"/>
          <w:bCs w:val="0"/>
          <w:color w:val="auto"/>
          <w:sz w:val="34"/>
          <w:szCs w:val="34"/>
        </w:rPr>
      </w:pPr>
      <w:r>
        <w:rPr>
          <w:rFonts w:hint="default" w:ascii="Times New Roman" w:hAnsi="Times New Roman" w:eastAsia="仿宋" w:cs="Times New Roman"/>
          <w:b w:val="0"/>
          <w:bCs w:val="0"/>
          <w:color w:val="auto"/>
          <w:sz w:val="34"/>
          <w:szCs w:val="34"/>
        </w:rPr>
        <w:t>焦环审孟〔202</w:t>
      </w:r>
      <w:r>
        <w:rPr>
          <w:rFonts w:hint="default" w:ascii="Times New Roman" w:hAnsi="Times New Roman" w:eastAsia="仿宋" w:cs="Times New Roman"/>
          <w:b w:val="0"/>
          <w:bCs w:val="0"/>
          <w:color w:val="auto"/>
          <w:sz w:val="34"/>
          <w:szCs w:val="34"/>
          <w:lang w:val="en-US" w:eastAsia="zh-CN"/>
        </w:rPr>
        <w:t>5</w:t>
      </w:r>
      <w:r>
        <w:rPr>
          <w:rFonts w:hint="default" w:ascii="Times New Roman" w:hAnsi="Times New Roman" w:eastAsia="仿宋" w:cs="Times New Roman"/>
          <w:b w:val="0"/>
          <w:bCs w:val="0"/>
          <w:color w:val="auto"/>
          <w:sz w:val="34"/>
          <w:szCs w:val="34"/>
        </w:rPr>
        <w:t>〕</w:t>
      </w:r>
      <w:r>
        <w:rPr>
          <w:rFonts w:hint="default" w:ascii="Times New Roman" w:hAnsi="Times New Roman" w:eastAsia="仿宋" w:cs="Times New Roman"/>
          <w:b w:val="0"/>
          <w:bCs w:val="0"/>
          <w:color w:val="auto"/>
          <w:sz w:val="34"/>
          <w:szCs w:val="34"/>
          <w:lang w:val="en-US" w:eastAsia="zh-CN"/>
        </w:rPr>
        <w:t>19</w:t>
      </w:r>
      <w:r>
        <w:rPr>
          <w:rFonts w:hint="default" w:ascii="Times New Roman" w:hAnsi="Times New Roman" w:eastAsia="仿宋" w:cs="Times New Roman"/>
          <w:b w:val="0"/>
          <w:bCs w:val="0"/>
          <w:color w:val="auto"/>
          <w:sz w:val="34"/>
          <w:szCs w:val="34"/>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焦作市生态环境局</w:t>
      </w:r>
    </w:p>
    <w:p w14:paraId="14743DF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关于孟州市纵横包装材料有限公司</w:t>
      </w:r>
    </w:p>
    <w:p w14:paraId="35DE1FF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lang w:val="en-US" w:eastAsia="zh-CN"/>
        </w:rPr>
      </w:pPr>
      <w:r>
        <w:rPr>
          <w:rFonts w:hint="default" w:ascii="Times New Roman" w:hAnsi="Times New Roman" w:cs="Times New Roman" w:eastAsiaTheme="minorEastAsia"/>
          <w:b/>
          <w:color w:val="auto"/>
          <w:spacing w:val="-4"/>
          <w:sz w:val="44"/>
          <w:szCs w:val="44"/>
        </w:rPr>
        <w:t>年产400吨塑料编织袋项目</w:t>
      </w:r>
    </w:p>
    <w:p w14:paraId="388066B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环境影响报告</w:t>
      </w:r>
      <w:r>
        <w:rPr>
          <w:rFonts w:hint="default" w:ascii="Times New Roman" w:hAnsi="Times New Roman" w:cs="Times New Roman" w:eastAsiaTheme="minorEastAsia"/>
          <w:b/>
          <w:color w:val="auto"/>
          <w:spacing w:val="-4"/>
          <w:sz w:val="44"/>
          <w:szCs w:val="44"/>
          <w:lang w:eastAsia="zh-CN"/>
        </w:rPr>
        <w:t>表</w:t>
      </w:r>
      <w:r>
        <w:rPr>
          <w:rFonts w:hint="default" w:ascii="Times New Roman" w:hAnsi="Times New Roman" w:cs="Times New Roman" w:eastAsiaTheme="minorEastAsia"/>
          <w:b/>
          <w:color w:val="auto"/>
          <w:spacing w:val="-4"/>
          <w:sz w:val="44"/>
          <w:szCs w:val="44"/>
        </w:rPr>
        <w:t>的批复</w:t>
      </w:r>
    </w:p>
    <w:p w14:paraId="2A0B6ED3">
      <w:pPr>
        <w:keepNext w:val="0"/>
        <w:keepLines w:val="0"/>
        <w:pageBreakBefore w:val="0"/>
        <w:widowControl w:val="0"/>
        <w:kinsoku/>
        <w:wordWrap/>
        <w:overflowPunct/>
        <w:topLinePunct w:val="0"/>
        <w:autoSpaceDE/>
        <w:autoSpaceDN/>
        <w:bidi w:val="0"/>
        <w:adjustRightInd w:val="0"/>
        <w:snapToGrid w:val="0"/>
        <w:spacing w:line="500" w:lineRule="exact"/>
        <w:ind w:firstLine="688" w:firstLineChars="200"/>
        <w:textAlignment w:val="auto"/>
        <w:rPr>
          <w:rFonts w:hint="default" w:ascii="Times New Roman" w:hAnsi="Times New Roman" w:eastAsia="仿宋" w:cs="Times New Roman"/>
          <w:color w:val="auto"/>
          <w:sz w:val="34"/>
          <w:szCs w:val="34"/>
        </w:rPr>
      </w:pPr>
    </w:p>
    <w:p w14:paraId="7C6CFDBC">
      <w:pPr>
        <w:keepNext w:val="0"/>
        <w:keepLines w:val="0"/>
        <w:pageBreakBefore w:val="0"/>
        <w:widowControl w:val="0"/>
        <w:kinsoku/>
        <w:wordWrap/>
        <w:overflowPunct/>
        <w:topLinePunct w:val="0"/>
        <w:autoSpaceDE/>
        <w:autoSpaceDN/>
        <w:bidi w:val="0"/>
        <w:adjustRightInd w:val="0"/>
        <w:snapToGrid w:val="0"/>
        <w:spacing w:line="460" w:lineRule="exact"/>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孟州市纵横包装材料有限公司：</w:t>
      </w:r>
    </w:p>
    <w:p w14:paraId="470054DF">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仿宋" w:cs="Times New Roman"/>
          <w:b w:val="0"/>
          <w:bCs/>
          <w:color w:val="auto"/>
          <w:sz w:val="32"/>
          <w:szCs w:val="32"/>
          <w:lang w:val="en-US" w:eastAsia="zh-CN"/>
        </w:rPr>
      </w:pPr>
      <w:r>
        <w:rPr>
          <w:rFonts w:hint="default" w:ascii="Times New Roman" w:hAnsi="Times New Roman" w:eastAsia="方正仿宋_GB2312" w:cs="Times New Roman"/>
          <w:b w:val="0"/>
          <w:bCs/>
          <w:color w:val="auto"/>
          <w:sz w:val="32"/>
          <w:szCs w:val="32"/>
          <w:lang w:val="en-US" w:eastAsia="zh-CN"/>
        </w:rPr>
        <w:t>你公司（</w:t>
      </w:r>
      <w:r>
        <w:rPr>
          <w:rFonts w:hint="default" w:ascii="Times New Roman" w:hAnsi="Times New Roman" w:eastAsia="方正仿宋_GB2312" w:cs="Times New Roman"/>
          <w:b w:val="0"/>
          <w:bCs/>
          <w:color w:val="auto"/>
          <w:sz w:val="32"/>
          <w:szCs w:val="32"/>
          <w:lang w:eastAsia="zh-CN"/>
        </w:rPr>
        <w:t>统一社会信用代码：</w:t>
      </w:r>
      <w:r>
        <w:rPr>
          <w:rFonts w:hint="default" w:ascii="Times New Roman" w:hAnsi="Times New Roman" w:eastAsia="方正仿宋_GB2312" w:cs="Times New Roman"/>
          <w:b w:val="0"/>
          <w:bCs/>
          <w:color w:val="auto"/>
          <w:sz w:val="32"/>
          <w:szCs w:val="32"/>
          <w:lang w:val="en-US" w:eastAsia="zh-CN"/>
        </w:rPr>
        <w:t>91410883MA9LLG0L2T）报送的由</w:t>
      </w:r>
      <w:r>
        <w:rPr>
          <w:rFonts w:hint="default" w:ascii="Times New Roman" w:hAnsi="Times New Roman" w:eastAsia="方正仿宋_GB2312" w:cs="Times New Roman"/>
          <w:color w:val="auto"/>
          <w:sz w:val="32"/>
          <w:szCs w:val="32"/>
          <w:lang w:eastAsia="zh-CN"/>
        </w:rPr>
        <w:t>济源蓝天科技</w:t>
      </w:r>
      <w:r>
        <w:rPr>
          <w:rFonts w:hint="default" w:ascii="Times New Roman" w:hAnsi="Times New Roman" w:eastAsia="方正仿宋_GB2312" w:cs="Times New Roman"/>
          <w:sz w:val="32"/>
          <w:szCs w:val="32"/>
          <w:lang w:eastAsia="zh-CN"/>
        </w:rPr>
        <w:t>有限责任公司</w:t>
      </w:r>
      <w:r>
        <w:rPr>
          <w:rFonts w:hint="default" w:ascii="Times New Roman" w:hAnsi="Times New Roman" w:eastAsia="方正仿宋_GB2312" w:cs="Times New Roman"/>
          <w:b w:val="0"/>
          <w:bCs/>
          <w:color w:val="auto"/>
          <w:sz w:val="32"/>
          <w:szCs w:val="32"/>
          <w:lang w:val="en-US" w:eastAsia="zh-CN"/>
        </w:rPr>
        <w:t>编制的《</w:t>
      </w:r>
      <w:r>
        <w:rPr>
          <w:rFonts w:hint="default" w:ascii="Times New Roman" w:hAnsi="Times New Roman" w:eastAsia="方正仿宋_GB2312" w:cs="Times New Roman"/>
          <w:b w:val="0"/>
          <w:bCs/>
          <w:color w:val="000000" w:themeColor="text1"/>
          <w:sz w:val="32"/>
          <w:szCs w:val="32"/>
          <w14:textFill>
            <w14:solidFill>
              <w14:schemeClr w14:val="tx1"/>
            </w14:solidFill>
          </w14:textFill>
        </w:rPr>
        <w:t>孟州市纵横包装材料有限公司年产400吨塑料编织袋项目</w:t>
      </w:r>
      <w:r>
        <w:rPr>
          <w:rFonts w:hint="default" w:ascii="Times New Roman" w:hAnsi="Times New Roman" w:eastAsia="方正仿宋_GB2312" w:cs="Times New Roman"/>
          <w:b w:val="0"/>
          <w:bCs/>
          <w:color w:val="auto"/>
          <w:sz w:val="32"/>
          <w:szCs w:val="32"/>
          <w:lang w:val="en-US" w:eastAsia="zh-CN"/>
        </w:rPr>
        <w:t>环境影响</w:t>
      </w:r>
      <w:r>
        <w:rPr>
          <w:rFonts w:hint="default" w:ascii="Times New Roman" w:hAnsi="Times New Roman" w:eastAsia="方正仿宋_GB2312" w:cs="Times New Roman"/>
          <w:b w:val="0"/>
          <w:bCs/>
          <w:color w:val="auto"/>
          <w:sz w:val="32"/>
          <w:szCs w:val="32"/>
        </w:rPr>
        <w:t>报告</w:t>
      </w:r>
      <w:r>
        <w:rPr>
          <w:rFonts w:hint="default" w:ascii="Times New Roman" w:hAnsi="Times New Roman" w:eastAsia="方正仿宋_GB2312" w:cs="Times New Roman"/>
          <w:b w:val="0"/>
          <w:bCs/>
          <w:color w:val="auto"/>
          <w:sz w:val="32"/>
          <w:szCs w:val="32"/>
          <w:lang w:eastAsia="zh-CN"/>
        </w:rPr>
        <w:t>表</w:t>
      </w:r>
      <w:r>
        <w:rPr>
          <w:rFonts w:hint="default" w:ascii="Times New Roman" w:hAnsi="Times New Roman" w:eastAsia="方正仿宋_GB2312" w:cs="Times New Roman"/>
          <w:b w:val="0"/>
          <w:bCs/>
          <w:color w:val="auto"/>
          <w:sz w:val="32"/>
          <w:szCs w:val="32"/>
          <w:lang w:val="en-US" w:eastAsia="zh-CN"/>
        </w:rPr>
        <w:t>（报批版）》（以下简</w:t>
      </w:r>
      <w:r>
        <w:rPr>
          <w:rFonts w:hint="default" w:ascii="Times New Roman" w:hAnsi="Times New Roman" w:eastAsia="方正仿宋_GB2312" w:cs="Times New Roman"/>
          <w:b w:val="0"/>
          <w:bCs/>
          <w:color w:val="auto"/>
          <w:sz w:val="32"/>
          <w:szCs w:val="32"/>
        </w:rPr>
        <w:t>称《报告</w:t>
      </w:r>
      <w:r>
        <w:rPr>
          <w:rFonts w:hint="default" w:ascii="Times New Roman" w:hAnsi="Times New Roman" w:eastAsia="方正仿宋_GB2312" w:cs="Times New Roman"/>
          <w:b w:val="0"/>
          <w:bCs/>
          <w:color w:val="auto"/>
          <w:sz w:val="32"/>
          <w:szCs w:val="32"/>
          <w:lang w:eastAsia="zh-CN"/>
        </w:rPr>
        <w:t>表</w:t>
      </w:r>
      <w:r>
        <w:rPr>
          <w:rFonts w:hint="default" w:ascii="Times New Roman" w:hAnsi="Times New Roman" w:eastAsia="方正仿宋_GB2312" w:cs="Times New Roman"/>
          <w:b w:val="0"/>
          <w:bCs/>
          <w:color w:val="auto"/>
          <w:sz w:val="32"/>
          <w:szCs w:val="32"/>
        </w:rPr>
        <w:t>》）等材料收悉。该项目审批事项在我局网站公示期满。根据《中华人民共和国环境保护法》</w:t>
      </w:r>
      <w:r>
        <w:rPr>
          <w:rFonts w:hint="default" w:ascii="Times New Roman" w:hAnsi="Times New Roman" w:eastAsia="方正仿宋_GB2312" w:cs="Times New Roman"/>
          <w:b w:val="0"/>
          <w:bCs/>
          <w:color w:val="auto"/>
          <w:sz w:val="32"/>
          <w:szCs w:val="32"/>
          <w:lang w:eastAsia="zh-CN"/>
        </w:rPr>
        <w:t>、</w:t>
      </w:r>
      <w:r>
        <w:rPr>
          <w:rFonts w:hint="default" w:ascii="Times New Roman" w:hAnsi="Times New Roman" w:eastAsia="方正仿宋_GB2312" w:cs="Times New Roman"/>
          <w:b w:val="0"/>
          <w:bCs/>
          <w:color w:val="auto"/>
          <w:sz w:val="32"/>
          <w:szCs w:val="32"/>
        </w:rPr>
        <w:t>《中华人民共和国行政许可法》</w:t>
      </w:r>
      <w:r>
        <w:rPr>
          <w:rFonts w:hint="default" w:ascii="Times New Roman" w:hAnsi="Times New Roman" w:eastAsia="方正仿宋_GB2312" w:cs="Times New Roman"/>
          <w:b w:val="0"/>
          <w:bCs/>
          <w:color w:val="auto"/>
          <w:sz w:val="32"/>
          <w:szCs w:val="32"/>
          <w:lang w:eastAsia="zh-CN"/>
        </w:rPr>
        <w:t>、</w:t>
      </w:r>
      <w:r>
        <w:rPr>
          <w:rFonts w:hint="default" w:ascii="Times New Roman" w:hAnsi="Times New Roman" w:eastAsia="方正仿宋_GB2312" w:cs="Times New Roman"/>
          <w:b w:val="0"/>
          <w:bCs/>
          <w:color w:val="auto"/>
          <w:sz w:val="32"/>
          <w:szCs w:val="32"/>
        </w:rPr>
        <w:t>《中华人民共和国环境影响评价法》</w:t>
      </w:r>
      <w:r>
        <w:rPr>
          <w:rFonts w:hint="default" w:ascii="Times New Roman" w:hAnsi="Times New Roman" w:eastAsia="方正仿宋_GB2312" w:cs="Times New Roman"/>
          <w:b w:val="0"/>
          <w:bCs/>
          <w:color w:val="auto"/>
          <w:sz w:val="32"/>
          <w:szCs w:val="32"/>
          <w:lang w:eastAsia="zh-CN"/>
        </w:rPr>
        <w:t>、</w:t>
      </w:r>
      <w:r>
        <w:rPr>
          <w:rFonts w:hint="default" w:ascii="Times New Roman" w:hAnsi="Times New Roman" w:eastAsia="方正仿宋_GB2312" w:cs="Times New Roman"/>
          <w:b w:val="0"/>
          <w:bCs/>
          <w:color w:val="auto"/>
          <w:sz w:val="32"/>
          <w:szCs w:val="32"/>
        </w:rPr>
        <w:t>《建设项目环境保护管理条例》等法律法规规定，经研究，批复如下：</w:t>
      </w:r>
      <w:r>
        <w:rPr>
          <w:rFonts w:hint="default" w:ascii="Times New Roman" w:hAnsi="Times New Roman" w:eastAsia="仿宋" w:cs="Times New Roman"/>
          <w:b w:val="0"/>
          <w:bCs/>
          <w:color w:val="auto"/>
          <w:sz w:val="32"/>
          <w:szCs w:val="32"/>
          <w:lang w:val="en-US" w:eastAsia="zh-CN"/>
        </w:rPr>
        <w:t xml:space="preserve"> </w:t>
      </w:r>
    </w:p>
    <w:p w14:paraId="1732EEFA">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一、</w:t>
      </w:r>
      <w:r>
        <w:rPr>
          <w:rFonts w:hint="default" w:ascii="Times New Roman" w:hAnsi="Times New Roman" w:eastAsia="方正仿宋_GB2312" w:cs="Times New Roman"/>
          <w:color w:val="auto"/>
          <w:sz w:val="32"/>
          <w:szCs w:val="32"/>
          <w:lang w:val="en-US" w:eastAsia="zh-CN"/>
        </w:rPr>
        <w:t>本项目位于焦作市孟州市河阳街道缑村上酒路中段东侧，属于</w:t>
      </w:r>
      <w:r>
        <w:rPr>
          <w:rFonts w:hint="default" w:ascii="Times New Roman" w:hAnsi="Times New Roman" w:eastAsia="方正仿宋_GB2312" w:cs="Times New Roman"/>
          <w:color w:val="auto"/>
          <w:sz w:val="32"/>
          <w:szCs w:val="32"/>
          <w:lang w:eastAsia="zh-CN"/>
        </w:rPr>
        <w:t>新建</w:t>
      </w:r>
      <w:r>
        <w:rPr>
          <w:rFonts w:hint="default" w:ascii="Times New Roman" w:hAnsi="Times New Roman" w:eastAsia="方正仿宋_GB2312" w:cs="Times New Roman"/>
          <w:color w:val="auto"/>
          <w:sz w:val="32"/>
          <w:szCs w:val="32"/>
          <w:lang w:val="en-US" w:eastAsia="zh-CN"/>
        </w:rPr>
        <w:t>项目，拟投资130万元</w:t>
      </w:r>
      <w:r>
        <w:rPr>
          <w:rFonts w:hint="default" w:ascii="Times New Roman" w:hAnsi="Times New Roman" w:eastAsia="方正仿宋_GB2312" w:cs="Times New Roman"/>
          <w:color w:val="auto"/>
          <w:sz w:val="32"/>
          <w:szCs w:val="32"/>
          <w:lang w:eastAsia="zh-CN"/>
        </w:rPr>
        <w:t>建设年产400吨塑料编织袋项目</w:t>
      </w:r>
      <w:r>
        <w:rPr>
          <w:rFonts w:hint="default" w:ascii="Times New Roman" w:hAnsi="Times New Roman" w:eastAsia="方正仿宋_GB2312" w:cs="Times New Roman"/>
          <w:color w:val="auto"/>
          <w:sz w:val="32"/>
          <w:szCs w:val="32"/>
          <w:lang w:val="en-US" w:eastAsia="zh-CN"/>
        </w:rPr>
        <w:t>。</w:t>
      </w:r>
    </w:p>
    <w:p w14:paraId="620823D1">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二、《报告表》内容符合国家有关法律法规要求和建设项目环境管理规定，评价结论可信。我局批准该《报告表》，原则同意你</w:t>
      </w:r>
      <w:r>
        <w:rPr>
          <w:rFonts w:hint="default" w:ascii="Times New Roman" w:hAnsi="Times New Roman" w:eastAsia="方正仿宋_GB2312" w:cs="Times New Roman"/>
          <w:color w:val="auto"/>
          <w:sz w:val="32"/>
          <w:szCs w:val="32"/>
          <w:lang w:val="en-US" w:eastAsia="zh-CN"/>
        </w:rPr>
        <w:t>公司</w:t>
      </w:r>
      <w:r>
        <w:rPr>
          <w:rFonts w:hint="default" w:ascii="Times New Roman" w:hAnsi="Times New Roman" w:eastAsia="方正仿宋_GB2312" w:cs="Times New Roman"/>
          <w:color w:val="auto"/>
          <w:sz w:val="32"/>
          <w:szCs w:val="32"/>
          <w:lang w:eastAsia="zh-CN"/>
        </w:rPr>
        <w:t>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三、你</w:t>
      </w:r>
      <w:r>
        <w:rPr>
          <w:rFonts w:hint="default" w:ascii="Times New Roman" w:hAnsi="Times New Roman" w:eastAsia="方正仿宋_GB2312" w:cs="Times New Roman"/>
          <w:color w:val="auto"/>
          <w:sz w:val="32"/>
          <w:szCs w:val="32"/>
          <w:lang w:val="en-US" w:eastAsia="zh-CN"/>
        </w:rPr>
        <w:t>公司</w:t>
      </w:r>
      <w:r>
        <w:rPr>
          <w:rFonts w:hint="default" w:ascii="Times New Roman" w:hAnsi="Times New Roman" w:eastAsia="方正仿宋_GB2312" w:cs="Times New Roman"/>
          <w:color w:val="auto"/>
          <w:sz w:val="32"/>
          <w:szCs w:val="32"/>
          <w:lang w:eastAsia="zh-CN"/>
        </w:rPr>
        <w:t>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四、你</w:t>
      </w:r>
      <w:r>
        <w:rPr>
          <w:rFonts w:hint="default" w:ascii="Times New Roman" w:hAnsi="Times New Roman" w:eastAsia="方正仿宋_GB2312" w:cs="Times New Roman"/>
          <w:color w:val="auto"/>
          <w:sz w:val="32"/>
          <w:szCs w:val="32"/>
          <w:lang w:val="en-US" w:eastAsia="zh-CN"/>
        </w:rPr>
        <w:t>公司</w:t>
      </w:r>
      <w:r>
        <w:rPr>
          <w:rFonts w:hint="default" w:ascii="Times New Roman" w:hAnsi="Times New Roman" w:eastAsia="方正仿宋_GB2312" w:cs="Times New Roman"/>
          <w:color w:val="auto"/>
          <w:sz w:val="32"/>
          <w:szCs w:val="32"/>
          <w:lang w:eastAsia="zh-CN"/>
        </w:rPr>
        <w:t>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（三）项目运行时，外排污染物应满足以下要求：</w:t>
      </w:r>
    </w:p>
    <w:p w14:paraId="6D3F2683">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1．废气。</w:t>
      </w:r>
      <w:r>
        <w:rPr>
          <w:rFonts w:hint="default" w:ascii="Times New Roman" w:hAnsi="Times New Roman" w:eastAsia="方正仿宋_GB2312" w:cs="Times New Roman"/>
          <w:color w:val="auto"/>
          <w:sz w:val="32"/>
          <w:szCs w:val="32"/>
          <w:lang w:val="en-US" w:eastAsia="zh-CN"/>
        </w:rPr>
        <w:t>熔融-挤出-拉丝工序、覆膜工序及造粒工序产生的废气经集气管道收集后采用“两级活性炭吸附装置”进行净化处理，处理达标后通过15m高排气筒（DA001）排放；针对</w:t>
      </w:r>
      <w:r>
        <w:rPr>
          <w:rFonts w:hint="default" w:ascii="Times New Roman" w:hAnsi="Times New Roman" w:eastAsia="方正仿宋_GB2312" w:cs="Times New Roman"/>
          <w:color w:val="auto"/>
          <w:sz w:val="32"/>
          <w:szCs w:val="32"/>
          <w:lang w:eastAsia="zh-CN"/>
        </w:rPr>
        <w:t>无组织废气，采取加强车间密闭、集气系统和环保设备的维护，保证集气效率和净化效率。</w:t>
      </w:r>
      <w:r>
        <w:rPr>
          <w:rFonts w:hint="default" w:ascii="Times New Roman" w:hAnsi="Times New Roman" w:eastAsia="方正仿宋_GB2312" w:cs="Times New Roman"/>
          <w:color w:val="auto"/>
          <w:sz w:val="32"/>
          <w:szCs w:val="32"/>
          <w:lang w:val="en-US" w:eastAsia="zh-CN"/>
        </w:rPr>
        <w:t>废气经相应污染治理措施处理后达标排放，应满足《合成树脂工业污染物排放标准》（GB31572-2015）（含2024年修改单）、《河南省重污染天气重点行业应急减排措施制定技术指南》（2024 年修订版）中塑料制品行业 A 级绩效指标、《挥发性有机物无组织排放控制标 准》（GB37822-2019）表 A.1等相应管控要求。</w:t>
      </w:r>
    </w:p>
    <w:p w14:paraId="4E1249DB">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2．废水。</w:t>
      </w:r>
      <w:r>
        <w:rPr>
          <w:rFonts w:hint="default" w:ascii="Times New Roman" w:hAnsi="Times New Roman" w:eastAsia="方正仿宋_GB2312" w:cs="Times New Roman"/>
          <w:color w:val="auto"/>
          <w:sz w:val="32"/>
          <w:szCs w:val="32"/>
          <w:lang w:val="en-US" w:eastAsia="zh-CN"/>
        </w:rPr>
        <w:t>设备冷却水循环使用不外排；</w:t>
      </w:r>
      <w:r>
        <w:rPr>
          <w:rFonts w:hint="default" w:ascii="Times New Roman" w:hAnsi="Times New Roman" w:eastAsia="方正仿宋_GB2312" w:cs="Times New Roman"/>
          <w:color w:val="auto"/>
          <w:sz w:val="32"/>
          <w:szCs w:val="32"/>
          <w:lang w:eastAsia="zh-CN"/>
        </w:rPr>
        <w:t>生活污水经厂区化粪池处理后用于农田施肥</w:t>
      </w:r>
      <w:r>
        <w:rPr>
          <w:rFonts w:hint="default" w:ascii="Times New Roman" w:hAnsi="Times New Roman" w:eastAsia="方正仿宋_GB2312" w:cs="Times New Roman"/>
          <w:color w:val="auto"/>
          <w:sz w:val="32"/>
          <w:szCs w:val="32"/>
          <w:lang w:val="en-US" w:eastAsia="zh-CN"/>
        </w:rPr>
        <w:t>。</w:t>
      </w:r>
    </w:p>
    <w:p w14:paraId="27BE350B">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3．噪声。对产生噪声的设备采取</w:t>
      </w:r>
      <w:r>
        <w:rPr>
          <w:rFonts w:hint="default" w:ascii="Times New Roman" w:hAnsi="Times New Roman" w:eastAsia="方正仿宋_GB2312" w:cs="Times New Roman"/>
          <w:color w:val="auto"/>
          <w:sz w:val="32"/>
          <w:szCs w:val="32"/>
          <w:lang w:val="en-US" w:eastAsia="zh-CN"/>
        </w:rPr>
        <w:t>室内布置</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减振基础</w:t>
      </w:r>
      <w:r>
        <w:rPr>
          <w:rFonts w:hint="default" w:ascii="Times New Roman" w:hAnsi="Times New Roman" w:eastAsia="方正仿宋_GB2312" w:cs="Times New Roman"/>
          <w:color w:val="auto"/>
          <w:sz w:val="32"/>
          <w:szCs w:val="32"/>
          <w:lang w:eastAsia="zh-CN"/>
        </w:rPr>
        <w:t>、传动润滑等措施，厂界噪声应满足《工业企业厂界环境噪声排放标准》（GB12348-2008）</w:t>
      </w:r>
      <w:r>
        <w:rPr>
          <w:rFonts w:hint="default" w:ascii="Times New Roman" w:hAnsi="Times New Roman" w:eastAsia="方正仿宋_GB2312" w:cs="Times New Roman"/>
          <w:color w:val="auto"/>
          <w:sz w:val="32"/>
          <w:szCs w:val="32"/>
          <w:lang w:val="en-US" w:eastAsia="zh-CN"/>
        </w:rPr>
        <w:t>2</w:t>
      </w:r>
      <w:r>
        <w:rPr>
          <w:rFonts w:hint="default" w:ascii="Times New Roman" w:hAnsi="Times New Roman" w:eastAsia="方正仿宋_GB2312" w:cs="Times New Roman"/>
          <w:color w:val="auto"/>
          <w:sz w:val="32"/>
          <w:szCs w:val="32"/>
          <w:lang w:eastAsia="zh-CN"/>
        </w:rPr>
        <w:t>类标准。</w:t>
      </w:r>
    </w:p>
    <w:p w14:paraId="59E850C0">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eastAsia="zh-CN"/>
        </w:rPr>
        <w:t>4．固废。</w:t>
      </w:r>
      <w:r>
        <w:rPr>
          <w:rFonts w:hint="default" w:ascii="Times New Roman" w:hAnsi="Times New Roman" w:eastAsia="方正仿宋_GB2312" w:cs="Times New Roman"/>
          <w:color w:val="auto"/>
          <w:sz w:val="32"/>
          <w:szCs w:val="32"/>
          <w:lang w:val="en-US" w:eastAsia="zh-CN"/>
        </w:rPr>
        <w:t>不合格产品、边角料收集后回用于造粒工序；</w:t>
      </w:r>
      <w:r>
        <w:rPr>
          <w:rFonts w:hint="default" w:ascii="Times New Roman" w:hAnsi="Times New Roman" w:eastAsia="方正仿宋_GB2312" w:cs="Times New Roman"/>
          <w:color w:val="auto"/>
          <w:sz w:val="32"/>
          <w:szCs w:val="32"/>
          <w:lang w:eastAsia="zh-CN"/>
        </w:rPr>
        <w:t>生活垃圾由环卫部门清运处置；废润滑油、废油桶、废活性炭</w:t>
      </w:r>
      <w:r>
        <w:rPr>
          <w:rFonts w:hint="default" w:ascii="Times New Roman" w:hAnsi="Times New Roman" w:eastAsia="方正仿宋_GB2312" w:cs="Times New Roman"/>
          <w:color w:val="auto"/>
          <w:sz w:val="32"/>
          <w:szCs w:val="32"/>
          <w:lang w:val="en-US" w:eastAsia="zh-CN"/>
        </w:rPr>
        <w:t>采用密闭容器收集后分类分区暂存于危废暂存库内，定期交由有危废处置资质的单位进行处置。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四</w:t>
      </w:r>
      <w:r>
        <w:rPr>
          <w:rFonts w:hint="default" w:ascii="Times New Roman" w:hAnsi="Times New Roman" w:eastAsia="方正仿宋_GB2312" w:cs="Times New Roman"/>
          <w:color w:val="auto"/>
          <w:sz w:val="32"/>
          <w:szCs w:val="32"/>
          <w:lang w:eastAsia="zh-CN"/>
        </w:rPr>
        <w:t>）认真落实环评提出的各项环境安全措施和风险防范措施，加强人员培训和日常管理，及时排除安全隐患，严防环境污染事故发生。</w:t>
      </w:r>
    </w:p>
    <w:p w14:paraId="3675A5D0">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五</w:t>
      </w: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本项目</w:t>
      </w:r>
      <w:r>
        <w:rPr>
          <w:rFonts w:hint="default" w:ascii="Times New Roman" w:hAnsi="Times New Roman" w:eastAsia="方正仿宋_GB2312" w:cs="Times New Roman"/>
          <w:color w:val="auto"/>
          <w:sz w:val="32"/>
          <w:szCs w:val="32"/>
          <w:lang w:eastAsia="zh-CN"/>
        </w:rPr>
        <w:t>污染物排放总量控制指标为：</w:t>
      </w:r>
      <w:r>
        <w:rPr>
          <w:rFonts w:hint="default" w:ascii="Times New Roman" w:hAnsi="Times New Roman" w:eastAsia="方正仿宋_GB2312" w:cs="Times New Roman"/>
          <w:color w:val="auto"/>
          <w:sz w:val="32"/>
          <w:szCs w:val="32"/>
          <w:lang w:val="en-US" w:eastAsia="zh-CN"/>
        </w:rPr>
        <w:t>非甲烷总烃0.1413</w:t>
      </w:r>
      <w:r>
        <w:rPr>
          <w:rFonts w:hint="default" w:ascii="Times New Roman" w:hAnsi="Times New Roman" w:eastAsia="方正仿宋_GB2312" w:cs="Times New Roman"/>
          <w:color w:val="auto"/>
          <w:sz w:val="32"/>
          <w:szCs w:val="32"/>
          <w:lang w:eastAsia="zh-CN"/>
        </w:rPr>
        <w:t>t/a。</w:t>
      </w:r>
      <w:r>
        <w:rPr>
          <w:rFonts w:hint="default" w:ascii="Times New Roman" w:hAnsi="Times New Roman" w:eastAsia="方正仿宋_GB2312" w:cs="Times New Roman"/>
          <w:color w:val="auto"/>
          <w:sz w:val="32"/>
          <w:szCs w:val="32"/>
          <w:lang w:val="en-US" w:eastAsia="zh-CN"/>
        </w:rPr>
        <w:t xml:space="preserve">                                                                                                                                                                         </w:t>
      </w:r>
    </w:p>
    <w:p w14:paraId="31DE335C">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w:t>
      </w:r>
      <w:r>
        <w:rPr>
          <w:rFonts w:hint="default" w:ascii="Times New Roman" w:hAnsi="Times New Roman" w:eastAsia="方正仿宋_GB2312" w:cs="Times New Roman"/>
          <w:color w:val="auto"/>
          <w:sz w:val="32"/>
          <w:szCs w:val="32"/>
          <w:lang w:val="en-US" w:eastAsia="zh-CN"/>
        </w:rPr>
        <w:t>六</w:t>
      </w:r>
      <w:r>
        <w:rPr>
          <w:rFonts w:hint="default" w:ascii="Times New Roman" w:hAnsi="Times New Roman" w:eastAsia="方正仿宋_GB2312" w:cs="Times New Roman"/>
          <w:color w:val="auto"/>
          <w:sz w:val="32"/>
          <w:szCs w:val="32"/>
          <w:lang w:eastAsia="zh-CN"/>
        </w:rPr>
        <w:t>）如果今后国家、河南省或焦作市颁布新的污染物排放限值标准，届时你公司应按新的排放标准执行。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五、工程竣工后要按照规定进行自主验收，验收合格后方可投产。你公司还应当在启动生产设施或者实际排污之前申请取得排污许可证或填报排污登记表。</w:t>
      </w:r>
    </w:p>
    <w:p w14:paraId="200C4643">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六、焦作市生态环境局</w:t>
      </w:r>
      <w:r>
        <w:rPr>
          <w:rFonts w:hint="default" w:ascii="Times New Roman" w:hAnsi="Times New Roman" w:eastAsia="方正仿宋_GB2312" w:cs="Times New Roman"/>
          <w:color w:val="auto"/>
          <w:sz w:val="32"/>
          <w:szCs w:val="32"/>
          <w:lang w:eastAsia="zh-CN"/>
        </w:rPr>
        <w:t>孟州</w:t>
      </w:r>
      <w:r>
        <w:rPr>
          <w:rFonts w:hint="default" w:ascii="Times New Roman" w:hAnsi="Times New Roman" w:eastAsia="方正仿宋_GB2312" w:cs="Times New Roman"/>
          <w:color w:val="auto"/>
          <w:sz w:val="32"/>
          <w:szCs w:val="32"/>
          <w:lang w:eastAsia="zh-CN"/>
        </w:rPr>
        <w:t>综合行政执法大队负责项目施工期和运营期的环境监察工作。</w:t>
      </w:r>
    </w:p>
    <w:p w14:paraId="280766E6">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val="en-US" w:eastAsia="zh-CN"/>
        </w:rPr>
        <w:t>七</w:t>
      </w:r>
      <w:r>
        <w:rPr>
          <w:rFonts w:hint="default" w:ascii="Times New Roman" w:hAnsi="Times New Roman" w:eastAsia="方正仿宋_GB2312" w:cs="Times New Roman"/>
          <w:color w:val="auto"/>
          <w:sz w:val="32"/>
          <w:szCs w:val="32"/>
          <w:lang w:eastAsia="zh-CN"/>
        </w:rPr>
        <w:t>、该项目自批复之日起五年后开工建设的，应重新报我局审核。本批复生效后，建设项目的性质、规模、地点、工艺和污染防治措施等发生重大变化时，应重新报批。</w:t>
      </w:r>
    </w:p>
    <w:p w14:paraId="6275AA2F">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方正仿宋_GB2312" w:cs="Times New Roman"/>
          <w:color w:val="auto"/>
          <w:sz w:val="32"/>
          <w:szCs w:val="32"/>
          <w:lang w:eastAsia="zh-CN"/>
        </w:rPr>
        <w:t xml:space="preserve">八、土地、规划等要求以有关部门意见为准。 </w:t>
      </w:r>
      <w:r>
        <w:rPr>
          <w:rFonts w:hint="default" w:ascii="Times New Roman" w:hAnsi="Times New Roman" w:eastAsia="仿宋" w:cs="Times New Roman"/>
          <w:color w:val="auto"/>
          <w:sz w:val="32"/>
          <w:szCs w:val="32"/>
          <w:lang w:val="en-US" w:eastAsia="zh-CN"/>
        </w:rPr>
        <w:t xml:space="preserve">                                    </w:t>
      </w:r>
    </w:p>
    <w:p w14:paraId="3E34D75C">
      <w:pPr>
        <w:keepNext w:val="0"/>
        <w:keepLines w:val="0"/>
        <w:pageBreakBefore w:val="0"/>
        <w:widowControl w:val="0"/>
        <w:kinsoku/>
        <w:wordWrap w:val="0"/>
        <w:overflowPunct/>
        <w:topLinePunct w:val="0"/>
        <w:autoSpaceDE/>
        <w:autoSpaceDN/>
        <w:bidi w:val="0"/>
        <w:adjustRightInd/>
        <w:snapToGrid/>
        <w:spacing w:line="560" w:lineRule="exact"/>
        <w:ind w:firstLine="486" w:firstLineChars="150"/>
        <w:jc w:val="center"/>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r>
        <w:rPr>
          <w:rFonts w:hint="eastAsia" w:ascii="Times New Roman" w:hAnsi="Times New Roman" w:eastAsia="仿宋" w:cs="Times New Roman"/>
          <w:color w:val="auto"/>
          <w:sz w:val="32"/>
          <w:szCs w:val="32"/>
          <w:lang w:val="en-US" w:eastAsia="zh-CN"/>
        </w:rPr>
        <w:t xml:space="preserve"> </w:t>
      </w:r>
      <w:bookmarkStart w:id="0" w:name="_GoBack"/>
      <w:bookmarkEnd w:id="0"/>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12</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30</w:t>
      </w:r>
      <w:r>
        <w:rPr>
          <w:rFonts w:hint="default" w:ascii="Times New Roman" w:hAnsi="Times New Roman" w:eastAsia="仿宋" w:cs="Times New Roman"/>
          <w:color w:val="auto"/>
          <w:sz w:val="32"/>
          <w:szCs w:val="32"/>
        </w:rPr>
        <w:t>日</w:t>
      </w:r>
      <w:r>
        <w:rPr>
          <w:rFonts w:hint="default" w:ascii="Times New Roman" w:hAnsi="Times New Roman" w:eastAsia="仿宋" w:cs="Times New Roman"/>
          <w:color w:val="auto"/>
          <w:sz w:val="32"/>
          <w:szCs w:val="32"/>
          <w:lang w:val="en-US" w:eastAsia="zh-CN"/>
        </w:rPr>
        <w:t xml:space="preserve"> </w:t>
      </w:r>
    </w:p>
    <w:p w14:paraId="5612039B">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 xml:space="preserve">  </w:t>
      </w:r>
    </w:p>
    <w:p w14:paraId="7C382837">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 w:cs="Times New Roman"/>
          <w:color w:val="auto"/>
          <w:sz w:val="32"/>
          <w:szCs w:val="32"/>
          <w:lang w:val="en-US" w:eastAsia="zh-CN"/>
        </w:rPr>
      </w:pPr>
    </w:p>
    <w:p w14:paraId="1157FC73">
      <w:pPr>
        <w:keepNext w:val="0"/>
        <w:keepLines w:val="0"/>
        <w:pageBreakBefore w:val="0"/>
        <w:widowControl w:val="0"/>
        <w:kinsoku/>
        <w:wordWrap/>
        <w:overflowPunct/>
        <w:topLinePunct w:val="0"/>
        <w:autoSpaceDE/>
        <w:autoSpaceDN/>
        <w:bidi w:val="0"/>
        <w:adjustRightInd/>
        <w:snapToGrid/>
        <w:spacing w:line="460" w:lineRule="exact"/>
        <w:ind w:firstLine="648" w:firstLineChars="200"/>
        <w:textAlignment w:val="auto"/>
        <w:rPr>
          <w:rFonts w:hint="default" w:ascii="Times New Roman" w:hAnsi="Times New Roman" w:eastAsia="方正仿宋_GB2312" w:cs="Times New Roman"/>
          <w:color w:val="auto"/>
          <w:sz w:val="32"/>
          <w:szCs w:val="32"/>
          <w:lang w:eastAsia="zh-CN"/>
        </w:rPr>
      </w:pPr>
      <w:r>
        <w:rPr>
          <w:rFonts w:hint="default" w:ascii="Times New Roman" w:hAnsi="Times New Roman" w:eastAsia="方正仿宋_GB2312" w:cs="Times New Roman"/>
          <w:color w:val="auto"/>
          <w:sz w:val="32"/>
          <w:szCs w:val="32"/>
          <w:lang w:eastAsia="zh-CN"/>
        </w:rPr>
        <w:t>抄送：焦作市生态环境局孟州综合行政执法大队、济源蓝天科技有限责任公司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F4B3CBDE-C505-450E-BDC8-EF1783760B44}"/>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1205E6F0-3FDF-4BB7-AB81-FEDB881B2F1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7"/>
        <w:sz w:val="28"/>
        <w:szCs w:val="28"/>
      </w:rPr>
    </w:pPr>
    <w:r>
      <w:rPr>
        <w:sz w:val="28"/>
        <w:szCs w:val="28"/>
      </w:rPr>
      <w:fldChar w:fldCharType="begin"/>
    </w:r>
    <w:r>
      <w:rPr>
        <w:rStyle w:val="17"/>
        <w:sz w:val="28"/>
        <w:szCs w:val="28"/>
      </w:rPr>
      <w:instrText xml:space="preserve">PAGE  </w:instrText>
    </w:r>
    <w:r>
      <w:rPr>
        <w:sz w:val="28"/>
        <w:szCs w:val="28"/>
      </w:rPr>
      <w:fldChar w:fldCharType="separate"/>
    </w:r>
    <w:r>
      <w:rPr>
        <w:rStyle w:val="17"/>
        <w:sz w:val="28"/>
        <w:szCs w:val="28"/>
      </w:rPr>
      <w:t>- 1 -</w:t>
    </w:r>
    <w:r>
      <w:rPr>
        <w:sz w:val="28"/>
        <w:szCs w:val="28"/>
      </w:rPr>
      <w:fldChar w:fldCharType="end"/>
    </w:r>
  </w:p>
  <w:p w14:paraId="405E61D4">
    <w:pPr>
      <w:pStyle w:val="11"/>
      <w:framePr w:wrap="around" w:vAnchor="text" w:hAnchor="margin" w:xAlign="center" w:y="1"/>
      <w:ind w:right="360" w:firstLine="360"/>
      <w:rPr>
        <w:rStyle w:val="17"/>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7"/>
      </w:rPr>
    </w:pPr>
    <w:r>
      <w:fldChar w:fldCharType="begin"/>
    </w:r>
    <w:r>
      <w:rPr>
        <w:rStyle w:val="17"/>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E7B1F"/>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682"/>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F13BF8"/>
    <w:rsid w:val="02062B27"/>
    <w:rsid w:val="02385327"/>
    <w:rsid w:val="02BD69F8"/>
    <w:rsid w:val="02E124CC"/>
    <w:rsid w:val="02FE20CD"/>
    <w:rsid w:val="03002884"/>
    <w:rsid w:val="03321D76"/>
    <w:rsid w:val="03676C76"/>
    <w:rsid w:val="03D90444"/>
    <w:rsid w:val="03DA3FE9"/>
    <w:rsid w:val="03F555CB"/>
    <w:rsid w:val="040F20B8"/>
    <w:rsid w:val="04A66578"/>
    <w:rsid w:val="04DE6C50"/>
    <w:rsid w:val="051225D4"/>
    <w:rsid w:val="05706B86"/>
    <w:rsid w:val="057D7861"/>
    <w:rsid w:val="05C0366A"/>
    <w:rsid w:val="05E17018"/>
    <w:rsid w:val="063F6C84"/>
    <w:rsid w:val="06B2002C"/>
    <w:rsid w:val="06C24B5F"/>
    <w:rsid w:val="06F061D0"/>
    <w:rsid w:val="07607939"/>
    <w:rsid w:val="078F3A65"/>
    <w:rsid w:val="07C02047"/>
    <w:rsid w:val="082969B1"/>
    <w:rsid w:val="0858402D"/>
    <w:rsid w:val="085B6756"/>
    <w:rsid w:val="08F65453"/>
    <w:rsid w:val="092862D2"/>
    <w:rsid w:val="09B259BF"/>
    <w:rsid w:val="09F62756"/>
    <w:rsid w:val="0A212B33"/>
    <w:rsid w:val="0A7B662E"/>
    <w:rsid w:val="0AFD710E"/>
    <w:rsid w:val="0B112BB9"/>
    <w:rsid w:val="0B236202"/>
    <w:rsid w:val="0B3A3942"/>
    <w:rsid w:val="0B5D7BAD"/>
    <w:rsid w:val="0B7E31AA"/>
    <w:rsid w:val="0BFF1881"/>
    <w:rsid w:val="0C5E4AC6"/>
    <w:rsid w:val="0C6B6BC0"/>
    <w:rsid w:val="0C796C68"/>
    <w:rsid w:val="0C9413AC"/>
    <w:rsid w:val="0CE11328"/>
    <w:rsid w:val="0CE208A6"/>
    <w:rsid w:val="0CEE4F60"/>
    <w:rsid w:val="0D12048F"/>
    <w:rsid w:val="0D1500CF"/>
    <w:rsid w:val="0D446961"/>
    <w:rsid w:val="0D964518"/>
    <w:rsid w:val="0DAE3713"/>
    <w:rsid w:val="0DC718A1"/>
    <w:rsid w:val="0E6D1A09"/>
    <w:rsid w:val="0E912047"/>
    <w:rsid w:val="0ECE329B"/>
    <w:rsid w:val="0EF3685E"/>
    <w:rsid w:val="0F0C12A9"/>
    <w:rsid w:val="0F0C4138"/>
    <w:rsid w:val="0F722AE4"/>
    <w:rsid w:val="0F7F00F1"/>
    <w:rsid w:val="0FEB39D9"/>
    <w:rsid w:val="1094512C"/>
    <w:rsid w:val="10D75D0B"/>
    <w:rsid w:val="11762E2D"/>
    <w:rsid w:val="117C7416"/>
    <w:rsid w:val="117D4B05"/>
    <w:rsid w:val="118D4BE1"/>
    <w:rsid w:val="11AB04ED"/>
    <w:rsid w:val="11D449CA"/>
    <w:rsid w:val="11F1108D"/>
    <w:rsid w:val="121677A2"/>
    <w:rsid w:val="12244F80"/>
    <w:rsid w:val="122A4C8C"/>
    <w:rsid w:val="122D02D9"/>
    <w:rsid w:val="123E4BCE"/>
    <w:rsid w:val="12717AE3"/>
    <w:rsid w:val="12C10A21"/>
    <w:rsid w:val="12CA304D"/>
    <w:rsid w:val="12E52961"/>
    <w:rsid w:val="134F2433"/>
    <w:rsid w:val="135D2E40"/>
    <w:rsid w:val="13702B73"/>
    <w:rsid w:val="13987C98"/>
    <w:rsid w:val="1399374C"/>
    <w:rsid w:val="13FC217C"/>
    <w:rsid w:val="14300B3B"/>
    <w:rsid w:val="1445321E"/>
    <w:rsid w:val="14691370"/>
    <w:rsid w:val="14706BA3"/>
    <w:rsid w:val="149219C3"/>
    <w:rsid w:val="14B64888"/>
    <w:rsid w:val="14F926F4"/>
    <w:rsid w:val="153D6416"/>
    <w:rsid w:val="1571672E"/>
    <w:rsid w:val="158B7AF8"/>
    <w:rsid w:val="16121408"/>
    <w:rsid w:val="16204BA6"/>
    <w:rsid w:val="16242939"/>
    <w:rsid w:val="16301575"/>
    <w:rsid w:val="16491459"/>
    <w:rsid w:val="17053E58"/>
    <w:rsid w:val="17125CEF"/>
    <w:rsid w:val="17830FB1"/>
    <w:rsid w:val="17B80644"/>
    <w:rsid w:val="17D153C7"/>
    <w:rsid w:val="17E01949"/>
    <w:rsid w:val="18047D2E"/>
    <w:rsid w:val="180C242A"/>
    <w:rsid w:val="18221F62"/>
    <w:rsid w:val="18253341"/>
    <w:rsid w:val="183E605B"/>
    <w:rsid w:val="184B2B52"/>
    <w:rsid w:val="185B2F39"/>
    <w:rsid w:val="188A36D0"/>
    <w:rsid w:val="18A842FE"/>
    <w:rsid w:val="18E65685"/>
    <w:rsid w:val="19531D99"/>
    <w:rsid w:val="195E521C"/>
    <w:rsid w:val="19DE6ECB"/>
    <w:rsid w:val="1A3D3083"/>
    <w:rsid w:val="1AA5552B"/>
    <w:rsid w:val="1ABF7531"/>
    <w:rsid w:val="1B695BC5"/>
    <w:rsid w:val="1B880ED5"/>
    <w:rsid w:val="1BD73063"/>
    <w:rsid w:val="1C151F02"/>
    <w:rsid w:val="1C9E0003"/>
    <w:rsid w:val="1CAC1E8B"/>
    <w:rsid w:val="1CAC7A27"/>
    <w:rsid w:val="1CD1661B"/>
    <w:rsid w:val="1D252DAB"/>
    <w:rsid w:val="1D860285"/>
    <w:rsid w:val="1DF14673"/>
    <w:rsid w:val="1DFD25EB"/>
    <w:rsid w:val="1E1113CE"/>
    <w:rsid w:val="1E5F1B3A"/>
    <w:rsid w:val="1EC21DA9"/>
    <w:rsid w:val="1EC3325D"/>
    <w:rsid w:val="1ED536F1"/>
    <w:rsid w:val="1EED079A"/>
    <w:rsid w:val="1EED151B"/>
    <w:rsid w:val="1FB45B95"/>
    <w:rsid w:val="201C3479"/>
    <w:rsid w:val="204A72FE"/>
    <w:rsid w:val="2055020E"/>
    <w:rsid w:val="20875058"/>
    <w:rsid w:val="209414B9"/>
    <w:rsid w:val="216B2B80"/>
    <w:rsid w:val="219F5BB6"/>
    <w:rsid w:val="22125599"/>
    <w:rsid w:val="221C7A35"/>
    <w:rsid w:val="223C1E72"/>
    <w:rsid w:val="23255A95"/>
    <w:rsid w:val="232A616E"/>
    <w:rsid w:val="232C0139"/>
    <w:rsid w:val="23446059"/>
    <w:rsid w:val="237067FC"/>
    <w:rsid w:val="23CF7FDA"/>
    <w:rsid w:val="23D96CA9"/>
    <w:rsid w:val="23DE79D3"/>
    <w:rsid w:val="23EE36B3"/>
    <w:rsid w:val="2463402E"/>
    <w:rsid w:val="248C3D86"/>
    <w:rsid w:val="24B222E1"/>
    <w:rsid w:val="24FB6014"/>
    <w:rsid w:val="25401C79"/>
    <w:rsid w:val="25D85F0F"/>
    <w:rsid w:val="25DE32C8"/>
    <w:rsid w:val="268C60DD"/>
    <w:rsid w:val="269E30FB"/>
    <w:rsid w:val="26B268B3"/>
    <w:rsid w:val="26B50227"/>
    <w:rsid w:val="271E4989"/>
    <w:rsid w:val="27871DE1"/>
    <w:rsid w:val="27AE0AD1"/>
    <w:rsid w:val="27CB2D88"/>
    <w:rsid w:val="280B47C0"/>
    <w:rsid w:val="281C242C"/>
    <w:rsid w:val="28523586"/>
    <w:rsid w:val="28B63EF6"/>
    <w:rsid w:val="28C8445F"/>
    <w:rsid w:val="29121264"/>
    <w:rsid w:val="291F0C95"/>
    <w:rsid w:val="29626586"/>
    <w:rsid w:val="2A125337"/>
    <w:rsid w:val="2A1F04AA"/>
    <w:rsid w:val="2A2070FA"/>
    <w:rsid w:val="2A2A2A11"/>
    <w:rsid w:val="2A38584B"/>
    <w:rsid w:val="2AD5532C"/>
    <w:rsid w:val="2B405144"/>
    <w:rsid w:val="2B525C62"/>
    <w:rsid w:val="2B6D12EE"/>
    <w:rsid w:val="2B8F74B6"/>
    <w:rsid w:val="2BAA42F0"/>
    <w:rsid w:val="2BB86A0D"/>
    <w:rsid w:val="2BC453B2"/>
    <w:rsid w:val="2C2820B5"/>
    <w:rsid w:val="2CC413E2"/>
    <w:rsid w:val="2D0943FC"/>
    <w:rsid w:val="2DA261E2"/>
    <w:rsid w:val="2DB21744"/>
    <w:rsid w:val="2DC93154"/>
    <w:rsid w:val="2DEA4E78"/>
    <w:rsid w:val="2E3B56D4"/>
    <w:rsid w:val="2E57540A"/>
    <w:rsid w:val="2E6E3CFB"/>
    <w:rsid w:val="2EB15996"/>
    <w:rsid w:val="2EB95A21"/>
    <w:rsid w:val="2F1B7B84"/>
    <w:rsid w:val="2F230642"/>
    <w:rsid w:val="2F837332"/>
    <w:rsid w:val="2F917CA1"/>
    <w:rsid w:val="2FA379D4"/>
    <w:rsid w:val="2FAD43AF"/>
    <w:rsid w:val="2FB137ED"/>
    <w:rsid w:val="2FB37297"/>
    <w:rsid w:val="301A5EE8"/>
    <w:rsid w:val="30411835"/>
    <w:rsid w:val="30C606E6"/>
    <w:rsid w:val="315A40C3"/>
    <w:rsid w:val="317433D6"/>
    <w:rsid w:val="318F4421"/>
    <w:rsid w:val="31920D26"/>
    <w:rsid w:val="31B64386"/>
    <w:rsid w:val="31ED758C"/>
    <w:rsid w:val="320108DC"/>
    <w:rsid w:val="320D7387"/>
    <w:rsid w:val="328C0BF4"/>
    <w:rsid w:val="32911D66"/>
    <w:rsid w:val="32B819E9"/>
    <w:rsid w:val="32C361FF"/>
    <w:rsid w:val="32D22AAA"/>
    <w:rsid w:val="32EC3440"/>
    <w:rsid w:val="331C1F78"/>
    <w:rsid w:val="335A2DC7"/>
    <w:rsid w:val="337C6572"/>
    <w:rsid w:val="337F4336"/>
    <w:rsid w:val="34280CA3"/>
    <w:rsid w:val="34833930"/>
    <w:rsid w:val="348A4CBF"/>
    <w:rsid w:val="35437D17"/>
    <w:rsid w:val="35C44201"/>
    <w:rsid w:val="35E40B18"/>
    <w:rsid w:val="35F4119E"/>
    <w:rsid w:val="36BC3076"/>
    <w:rsid w:val="36FB1EA4"/>
    <w:rsid w:val="371371EE"/>
    <w:rsid w:val="37525D00"/>
    <w:rsid w:val="37EA2644"/>
    <w:rsid w:val="382F44FB"/>
    <w:rsid w:val="38330423"/>
    <w:rsid w:val="384F2603"/>
    <w:rsid w:val="38723763"/>
    <w:rsid w:val="388872B6"/>
    <w:rsid w:val="38995E18"/>
    <w:rsid w:val="38BE297B"/>
    <w:rsid w:val="39495149"/>
    <w:rsid w:val="395D0BF4"/>
    <w:rsid w:val="395D3BE7"/>
    <w:rsid w:val="396931C4"/>
    <w:rsid w:val="39B3606D"/>
    <w:rsid w:val="39F23A32"/>
    <w:rsid w:val="3AF64E5C"/>
    <w:rsid w:val="3B1A36B5"/>
    <w:rsid w:val="3B3903B3"/>
    <w:rsid w:val="3B8C3A12"/>
    <w:rsid w:val="3BDE2894"/>
    <w:rsid w:val="3C805325"/>
    <w:rsid w:val="3C991F43"/>
    <w:rsid w:val="3CD70CBD"/>
    <w:rsid w:val="3D54230E"/>
    <w:rsid w:val="3D6904F0"/>
    <w:rsid w:val="3DFD6976"/>
    <w:rsid w:val="3E4D1237"/>
    <w:rsid w:val="3E5E3444"/>
    <w:rsid w:val="3E9F68F1"/>
    <w:rsid w:val="3EAD7F28"/>
    <w:rsid w:val="3EE32547"/>
    <w:rsid w:val="3EEC6CA2"/>
    <w:rsid w:val="3F0833B0"/>
    <w:rsid w:val="3F277CDA"/>
    <w:rsid w:val="3F2955B1"/>
    <w:rsid w:val="3F917849"/>
    <w:rsid w:val="40111788"/>
    <w:rsid w:val="40CD48B1"/>
    <w:rsid w:val="418F1B67"/>
    <w:rsid w:val="41923E60"/>
    <w:rsid w:val="419475A2"/>
    <w:rsid w:val="41A85863"/>
    <w:rsid w:val="41AC0DA2"/>
    <w:rsid w:val="41C910A4"/>
    <w:rsid w:val="42491D4E"/>
    <w:rsid w:val="42B02787"/>
    <w:rsid w:val="42FC3977"/>
    <w:rsid w:val="435E5C94"/>
    <w:rsid w:val="436112E1"/>
    <w:rsid w:val="44371BFB"/>
    <w:rsid w:val="44A27E03"/>
    <w:rsid w:val="44D81A76"/>
    <w:rsid w:val="4516060E"/>
    <w:rsid w:val="456E12D4"/>
    <w:rsid w:val="457B2E78"/>
    <w:rsid w:val="457B3BCD"/>
    <w:rsid w:val="459B31D0"/>
    <w:rsid w:val="45C224EF"/>
    <w:rsid w:val="46032B23"/>
    <w:rsid w:val="461A66D1"/>
    <w:rsid w:val="475B0B09"/>
    <w:rsid w:val="47781DC7"/>
    <w:rsid w:val="47836ED1"/>
    <w:rsid w:val="47AF4D11"/>
    <w:rsid w:val="47D227AD"/>
    <w:rsid w:val="481D611E"/>
    <w:rsid w:val="488241D3"/>
    <w:rsid w:val="489E2A21"/>
    <w:rsid w:val="49177011"/>
    <w:rsid w:val="49507E2D"/>
    <w:rsid w:val="496E4757"/>
    <w:rsid w:val="4974508A"/>
    <w:rsid w:val="4A3E412A"/>
    <w:rsid w:val="4ABA4312"/>
    <w:rsid w:val="4ABD35AC"/>
    <w:rsid w:val="4AD37D5C"/>
    <w:rsid w:val="4B112F9B"/>
    <w:rsid w:val="4B1F3F5B"/>
    <w:rsid w:val="4B412715"/>
    <w:rsid w:val="4B52038D"/>
    <w:rsid w:val="4BDF4651"/>
    <w:rsid w:val="4BE34F89"/>
    <w:rsid w:val="4BF525E3"/>
    <w:rsid w:val="4C6D79C2"/>
    <w:rsid w:val="4CAE37E9"/>
    <w:rsid w:val="4CEE62DB"/>
    <w:rsid w:val="4CFD207A"/>
    <w:rsid w:val="4E0B4C6B"/>
    <w:rsid w:val="4E3D2524"/>
    <w:rsid w:val="4E7574C0"/>
    <w:rsid w:val="4E7D706F"/>
    <w:rsid w:val="4E832A53"/>
    <w:rsid w:val="4EA2112B"/>
    <w:rsid w:val="4EF67811"/>
    <w:rsid w:val="4F367AC5"/>
    <w:rsid w:val="4F463213"/>
    <w:rsid w:val="4F754A92"/>
    <w:rsid w:val="4F92566A"/>
    <w:rsid w:val="4FA358D7"/>
    <w:rsid w:val="503F36FF"/>
    <w:rsid w:val="504D156B"/>
    <w:rsid w:val="512F0C70"/>
    <w:rsid w:val="514547B5"/>
    <w:rsid w:val="5182390B"/>
    <w:rsid w:val="51C458CF"/>
    <w:rsid w:val="51E81543"/>
    <w:rsid w:val="51FC5D3D"/>
    <w:rsid w:val="5208004C"/>
    <w:rsid w:val="5288688A"/>
    <w:rsid w:val="52F45CCD"/>
    <w:rsid w:val="537F5EDF"/>
    <w:rsid w:val="5397728D"/>
    <w:rsid w:val="53A72D40"/>
    <w:rsid w:val="53B536AF"/>
    <w:rsid w:val="54E63D3C"/>
    <w:rsid w:val="551F126F"/>
    <w:rsid w:val="55452810"/>
    <w:rsid w:val="55C53951"/>
    <w:rsid w:val="55E97640"/>
    <w:rsid w:val="56007DFE"/>
    <w:rsid w:val="56312D95"/>
    <w:rsid w:val="563A60ED"/>
    <w:rsid w:val="567F2833"/>
    <w:rsid w:val="56807ECE"/>
    <w:rsid w:val="56820B45"/>
    <w:rsid w:val="56B04601"/>
    <w:rsid w:val="56CD2B71"/>
    <w:rsid w:val="571A3EAC"/>
    <w:rsid w:val="57240A6B"/>
    <w:rsid w:val="578515EA"/>
    <w:rsid w:val="57917F8F"/>
    <w:rsid w:val="5801019B"/>
    <w:rsid w:val="58472D43"/>
    <w:rsid w:val="58580AAD"/>
    <w:rsid w:val="58D8399B"/>
    <w:rsid w:val="58E601D8"/>
    <w:rsid w:val="58E748CF"/>
    <w:rsid w:val="593E4DDE"/>
    <w:rsid w:val="5A1804F3"/>
    <w:rsid w:val="5A4D7877"/>
    <w:rsid w:val="5AAB1367"/>
    <w:rsid w:val="5B037E03"/>
    <w:rsid w:val="5B7130CD"/>
    <w:rsid w:val="5B8147BE"/>
    <w:rsid w:val="5B814DC6"/>
    <w:rsid w:val="5BA52839"/>
    <w:rsid w:val="5BC65C32"/>
    <w:rsid w:val="5C2238AB"/>
    <w:rsid w:val="5C433822"/>
    <w:rsid w:val="5CEB4F3C"/>
    <w:rsid w:val="5CEE19DF"/>
    <w:rsid w:val="5D094A6B"/>
    <w:rsid w:val="5D482D07"/>
    <w:rsid w:val="5DD5324F"/>
    <w:rsid w:val="5E391380"/>
    <w:rsid w:val="5E954808"/>
    <w:rsid w:val="5EAB402C"/>
    <w:rsid w:val="5EE17DDB"/>
    <w:rsid w:val="5EF33E64"/>
    <w:rsid w:val="5F8304CF"/>
    <w:rsid w:val="5FD50FE3"/>
    <w:rsid w:val="60107EBF"/>
    <w:rsid w:val="602A0F80"/>
    <w:rsid w:val="60B04296"/>
    <w:rsid w:val="612400C6"/>
    <w:rsid w:val="613876CD"/>
    <w:rsid w:val="614A647F"/>
    <w:rsid w:val="6155602B"/>
    <w:rsid w:val="616D192A"/>
    <w:rsid w:val="61A943DA"/>
    <w:rsid w:val="62197C87"/>
    <w:rsid w:val="62B66F70"/>
    <w:rsid w:val="630C0E11"/>
    <w:rsid w:val="63296B46"/>
    <w:rsid w:val="633F385C"/>
    <w:rsid w:val="634C02AF"/>
    <w:rsid w:val="638B7F88"/>
    <w:rsid w:val="644B46DD"/>
    <w:rsid w:val="64746C6E"/>
    <w:rsid w:val="647A1103"/>
    <w:rsid w:val="647E7AED"/>
    <w:rsid w:val="64D12312"/>
    <w:rsid w:val="65006595"/>
    <w:rsid w:val="653F2E19"/>
    <w:rsid w:val="659D0EB4"/>
    <w:rsid w:val="65CA0953"/>
    <w:rsid w:val="65E6594A"/>
    <w:rsid w:val="661D6773"/>
    <w:rsid w:val="66C15587"/>
    <w:rsid w:val="671604B6"/>
    <w:rsid w:val="67642FCA"/>
    <w:rsid w:val="67763CF6"/>
    <w:rsid w:val="67A23AF2"/>
    <w:rsid w:val="67BA0E3C"/>
    <w:rsid w:val="67DC2E31"/>
    <w:rsid w:val="683134DE"/>
    <w:rsid w:val="68793DF2"/>
    <w:rsid w:val="690600B1"/>
    <w:rsid w:val="69337AA8"/>
    <w:rsid w:val="69424018"/>
    <w:rsid w:val="69855479"/>
    <w:rsid w:val="698E79C2"/>
    <w:rsid w:val="69F47A46"/>
    <w:rsid w:val="6A2151A2"/>
    <w:rsid w:val="6A8219B9"/>
    <w:rsid w:val="6B1A74F6"/>
    <w:rsid w:val="6B3801FD"/>
    <w:rsid w:val="6B85609D"/>
    <w:rsid w:val="6BC66B5B"/>
    <w:rsid w:val="6C0E4716"/>
    <w:rsid w:val="6C663385"/>
    <w:rsid w:val="6C67530A"/>
    <w:rsid w:val="6C6B0957"/>
    <w:rsid w:val="6CA35B4F"/>
    <w:rsid w:val="6CAC3A15"/>
    <w:rsid w:val="6CC4450B"/>
    <w:rsid w:val="6CEE3336"/>
    <w:rsid w:val="6D01750D"/>
    <w:rsid w:val="6D277604"/>
    <w:rsid w:val="6E645D70"/>
    <w:rsid w:val="6ED722D3"/>
    <w:rsid w:val="6F5E0C47"/>
    <w:rsid w:val="6FE4739E"/>
    <w:rsid w:val="6FEF4C8C"/>
    <w:rsid w:val="6FFB0E00"/>
    <w:rsid w:val="70433998"/>
    <w:rsid w:val="70645DE9"/>
    <w:rsid w:val="707A560C"/>
    <w:rsid w:val="70CB459C"/>
    <w:rsid w:val="71175551"/>
    <w:rsid w:val="71B20DD6"/>
    <w:rsid w:val="71BC3A02"/>
    <w:rsid w:val="725A6975"/>
    <w:rsid w:val="72E9539F"/>
    <w:rsid w:val="732A3505"/>
    <w:rsid w:val="733C304D"/>
    <w:rsid w:val="733F2B3D"/>
    <w:rsid w:val="73762B77"/>
    <w:rsid w:val="73DC038C"/>
    <w:rsid w:val="73E20CAB"/>
    <w:rsid w:val="74835169"/>
    <w:rsid w:val="748C3B60"/>
    <w:rsid w:val="74F932C0"/>
    <w:rsid w:val="74FD680C"/>
    <w:rsid w:val="75B062ED"/>
    <w:rsid w:val="75F938AE"/>
    <w:rsid w:val="7622272C"/>
    <w:rsid w:val="765E777E"/>
    <w:rsid w:val="768A069C"/>
    <w:rsid w:val="778B6351"/>
    <w:rsid w:val="77A2369A"/>
    <w:rsid w:val="78530991"/>
    <w:rsid w:val="786A065C"/>
    <w:rsid w:val="78B10592"/>
    <w:rsid w:val="78CD4747"/>
    <w:rsid w:val="790208FE"/>
    <w:rsid w:val="790B58F3"/>
    <w:rsid w:val="79295E21"/>
    <w:rsid w:val="797A042B"/>
    <w:rsid w:val="798C015E"/>
    <w:rsid w:val="799E680F"/>
    <w:rsid w:val="79F24E00"/>
    <w:rsid w:val="7A036672"/>
    <w:rsid w:val="7A4B1DC7"/>
    <w:rsid w:val="7AFB559C"/>
    <w:rsid w:val="7B2E3BC3"/>
    <w:rsid w:val="7B4231CA"/>
    <w:rsid w:val="7B6A4FD9"/>
    <w:rsid w:val="7B8E01BE"/>
    <w:rsid w:val="7B9253B3"/>
    <w:rsid w:val="7C10151B"/>
    <w:rsid w:val="7C745605"/>
    <w:rsid w:val="7D012352"/>
    <w:rsid w:val="7D2F777E"/>
    <w:rsid w:val="7DD547CA"/>
    <w:rsid w:val="7EA2641A"/>
    <w:rsid w:val="7F8A755E"/>
    <w:rsid w:val="7F932891"/>
    <w:rsid w:val="7FEF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FollowedHyperlink"/>
    <w:basedOn w:val="16"/>
    <w:qFormat/>
    <w:uiPriority w:val="0"/>
    <w:rPr>
      <w:color w:val="337AB7"/>
      <w:u w:val="single"/>
    </w:rPr>
  </w:style>
  <w:style w:type="character" w:styleId="19">
    <w:name w:val="annotation reference"/>
    <w:semiHidden/>
    <w:qFormat/>
    <w:uiPriority w:val="0"/>
    <w:rPr>
      <w:sz w:val="21"/>
    </w:rPr>
  </w:style>
  <w:style w:type="character" w:customStyle="1" w:styleId="20">
    <w:name w:val="个人撰写风格"/>
    <w:qFormat/>
    <w:uiPriority w:val="0"/>
    <w:rPr>
      <w:rFonts w:ascii="Arial" w:hAnsi="Arial" w:eastAsia="宋体" w:cs="Arial"/>
      <w:color w:val="auto"/>
      <w:sz w:val="20"/>
    </w:rPr>
  </w:style>
  <w:style w:type="character" w:customStyle="1" w:styleId="21">
    <w:name w:val="个人答复风格"/>
    <w:qFormat/>
    <w:uiPriority w:val="0"/>
    <w:rPr>
      <w:rFonts w:ascii="Arial" w:hAnsi="Arial" w:eastAsia="宋体" w:cs="Arial"/>
      <w:color w:val="auto"/>
      <w:sz w:val="20"/>
    </w:rPr>
  </w:style>
  <w:style w:type="character" w:customStyle="1" w:styleId="22">
    <w:name w:val="正文(首行缩进) Char"/>
    <w:link w:val="23"/>
    <w:qFormat/>
    <w:uiPriority w:val="0"/>
    <w:rPr>
      <w:rFonts w:eastAsia="宋体"/>
      <w:snapToGrid w:val="0"/>
      <w:sz w:val="24"/>
      <w:szCs w:val="24"/>
      <w:lang w:val="en-US" w:eastAsia="zh-CN" w:bidi="ar-SA"/>
    </w:rPr>
  </w:style>
  <w:style w:type="paragraph" w:customStyle="1" w:styleId="23">
    <w:name w:val="正文(首行缩进)"/>
    <w:basedOn w:val="1"/>
    <w:link w:val="22"/>
    <w:qFormat/>
    <w:uiPriority w:val="0"/>
    <w:pPr>
      <w:adjustRightInd w:val="0"/>
      <w:snapToGrid w:val="0"/>
      <w:spacing w:line="360" w:lineRule="auto"/>
      <w:ind w:firstLine="200" w:firstLineChars="200"/>
    </w:pPr>
    <w:rPr>
      <w:rFonts w:eastAsia="宋体"/>
      <w:snapToGrid w:val="0"/>
      <w:kern w:val="0"/>
      <w:sz w:val="24"/>
    </w:rPr>
  </w:style>
  <w:style w:type="paragraph" w:customStyle="1" w:styleId="24">
    <w:name w:val="默认段落字体 Para Char Char Char Char"/>
    <w:basedOn w:val="1"/>
    <w:qFormat/>
    <w:uiPriority w:val="0"/>
    <w:rPr>
      <w:rFonts w:ascii="宋体" w:hAnsi="Courier New" w:eastAsia="宋体" w:cs="Courier New"/>
      <w:sz w:val="24"/>
      <w:szCs w:val="21"/>
    </w:rPr>
  </w:style>
  <w:style w:type="paragraph" w:customStyle="1" w:styleId="25">
    <w:name w:val="Char"/>
    <w:basedOn w:val="1"/>
    <w:qFormat/>
    <w:uiPriority w:val="0"/>
    <w:pPr>
      <w:spacing w:line="360" w:lineRule="auto"/>
      <w:ind w:firstLine="200" w:firstLineChars="200"/>
    </w:pPr>
    <w:rPr>
      <w:rFonts w:ascii="宋体" w:hAnsi="宋体" w:eastAsia="宋体" w:cs="宋体"/>
      <w:sz w:val="24"/>
    </w:rPr>
  </w:style>
  <w:style w:type="paragraph" w:customStyle="1" w:styleId="26">
    <w:name w:val="Char Char Char Char Char Char Char Char Char Char"/>
    <w:basedOn w:val="1"/>
    <w:qFormat/>
    <w:uiPriority w:val="0"/>
    <w:pPr>
      <w:snapToGrid w:val="0"/>
      <w:spacing w:line="360" w:lineRule="auto"/>
      <w:ind w:firstLine="200" w:firstLineChars="200"/>
    </w:pPr>
    <w:rPr>
      <w:sz w:val="24"/>
    </w:rPr>
  </w:style>
  <w:style w:type="paragraph" w:customStyle="1" w:styleId="27">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8">
    <w:name w:val="shenbao"/>
    <w:basedOn w:val="16"/>
    <w:qFormat/>
    <w:uiPriority w:val="0"/>
    <w:rPr>
      <w:color w:val="EF6334"/>
    </w:rPr>
  </w:style>
  <w:style w:type="character" w:customStyle="1" w:styleId="29">
    <w:name w:val="checkbox"/>
    <w:basedOn w:val="16"/>
    <w:qFormat/>
    <w:uiPriority w:val="0"/>
  </w:style>
  <w:style w:type="character" w:customStyle="1" w:styleId="30">
    <w:name w:val="chakan"/>
    <w:basedOn w:val="16"/>
    <w:qFormat/>
    <w:uiPriority w:val="0"/>
    <w:rPr>
      <w:color w:val="0064EA"/>
    </w:rPr>
  </w:style>
  <w:style w:type="paragraph" w:customStyle="1" w:styleId="31">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1550</Words>
  <Characters>1661</Characters>
  <Lines>15</Lines>
  <Paragraphs>4</Paragraphs>
  <TotalTime>4</TotalTime>
  <ScaleCrop>false</ScaleCrop>
  <LinksUpToDate>false</LinksUpToDate>
  <CharactersWithSpaces>1938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2025-12-25T07:46:48Z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704B66F079D64A7889C32432C036A68A_13</vt:lpwstr>
  </property>
  <property fmtid="{D5CDD505-2E9C-101B-9397-08002B2CF9AE}" pid="4" name="KSOTemplateDocerSaveRecord">
    <vt:lpwstr>eyJoZGlkIjoiMDllYTI4NjBiMTM3ZjMyN2I0MTBhZTc5NGZlZWI3NDEiLCJ1c2VySWQiOiIxMTY1ODU5NDI1In0=</vt:lpwstr>
  </property>
</Properties>
</file>