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B8211">
      <w:pPr>
        <w:keepNext w:val="0"/>
        <w:keepLines w:val="0"/>
        <w:pageBreakBefore w:val="0"/>
        <w:widowControl w:val="0"/>
        <w:tabs>
          <w:tab w:val="left" w:pos="2538"/>
        </w:tabs>
        <w:kinsoku/>
        <w:wordWrap/>
        <w:overflowPunct/>
        <w:topLinePunct w:val="0"/>
        <w:autoSpaceDE/>
        <w:autoSpaceDN/>
        <w:bidi w:val="0"/>
        <w:adjustRightInd/>
        <w:snapToGrid/>
        <w:spacing w:line="560" w:lineRule="exact"/>
        <w:jc w:val="left"/>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ab/>
      </w:r>
    </w:p>
    <w:p w14:paraId="03A345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eastAsia="zh-CN"/>
        </w:rPr>
      </w:pPr>
    </w:p>
    <w:p w14:paraId="61C143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焦作市生态环境局</w:t>
      </w:r>
    </w:p>
    <w:p w14:paraId="6B8C4B1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0"/>
        <w:rPr>
          <w:rFonts w:hint="eastAsia" w:ascii="方正小标宋_GBK" w:hAnsi="方正小标宋_GBK" w:eastAsia="方正小标宋_GBK" w:cs="方正小标宋_GBK"/>
          <w:b w:val="0"/>
          <w:color w:val="auto"/>
          <w:sz w:val="44"/>
          <w:szCs w:val="44"/>
        </w:rPr>
      </w:pPr>
      <w:bookmarkStart w:id="0" w:name="_Toc421247846"/>
      <w:bookmarkStart w:id="1" w:name="_Toc30261"/>
      <w:bookmarkStart w:id="2" w:name="_Toc10394"/>
      <w:r>
        <w:rPr>
          <w:rFonts w:hint="eastAsia" w:ascii="方正小标宋_GBK" w:hAnsi="方正小标宋_GBK" w:eastAsia="方正小标宋_GBK" w:cs="方正小标宋_GBK"/>
          <w:b w:val="0"/>
          <w:color w:val="auto"/>
          <w:sz w:val="44"/>
          <w:szCs w:val="44"/>
          <w:lang w:val="en-US" w:eastAsia="zh-CN"/>
        </w:rPr>
        <w:t>行政处罚</w:t>
      </w:r>
      <w:r>
        <w:rPr>
          <w:rFonts w:hint="eastAsia" w:ascii="方正小标宋_GBK" w:hAnsi="方正小标宋_GBK" w:eastAsia="方正小标宋_GBK" w:cs="方正小标宋_GBK"/>
          <w:b w:val="0"/>
          <w:color w:val="auto"/>
          <w:sz w:val="44"/>
          <w:szCs w:val="44"/>
        </w:rPr>
        <w:t>决定书</w:t>
      </w:r>
      <w:bookmarkEnd w:id="0"/>
      <w:bookmarkEnd w:id="1"/>
      <w:bookmarkEnd w:id="2"/>
    </w:p>
    <w:p w14:paraId="13D0AA80">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color w:val="auto"/>
          <w:sz w:val="32"/>
          <w:szCs w:val="32"/>
        </w:rPr>
      </w:pPr>
      <w:r>
        <w:rPr>
          <w:rFonts w:hint="eastAsia" w:ascii="楷体" w:hAnsi="楷体" w:eastAsia="楷体" w:cs="楷体"/>
          <w:color w:val="auto"/>
          <w:sz w:val="32"/>
          <w:szCs w:val="32"/>
          <w:lang w:eastAsia="zh-CN"/>
        </w:rPr>
        <w:t>焦</w:t>
      </w:r>
      <w:r>
        <w:rPr>
          <w:rFonts w:hint="eastAsia" w:ascii="楷体" w:hAnsi="楷体" w:eastAsia="楷体" w:cs="楷体"/>
          <w:color w:val="auto"/>
          <w:sz w:val="32"/>
          <w:szCs w:val="32"/>
        </w:rPr>
        <w:t>环</w:t>
      </w:r>
      <w:r>
        <w:rPr>
          <w:rFonts w:hint="eastAsia" w:ascii="楷体" w:hAnsi="楷体" w:eastAsia="楷体" w:cs="楷体"/>
          <w:color w:val="auto"/>
          <w:sz w:val="32"/>
          <w:szCs w:val="32"/>
          <w:lang w:val="en-US" w:eastAsia="zh-CN"/>
        </w:rPr>
        <w:t>罚</w:t>
      </w:r>
      <w:r>
        <w:rPr>
          <w:rFonts w:hint="eastAsia" w:ascii="楷体_GB2312" w:hAnsi="楷体_GB2312" w:eastAsia="楷体_GB2312" w:cs="楷体_GB2312"/>
          <w:color w:val="auto"/>
          <w:sz w:val="32"/>
          <w:szCs w:val="32"/>
        </w:rPr>
        <w:t>〔</w:t>
      </w:r>
      <w:r>
        <w:rPr>
          <w:rFonts w:hint="default" w:ascii="Times New Roman" w:hAnsi="Times New Roman" w:eastAsia="楷体_GB2312" w:cs="Times New Roman"/>
          <w:color w:val="auto"/>
          <w:sz w:val="32"/>
          <w:szCs w:val="32"/>
          <w:lang w:val="en-US" w:eastAsia="zh-CN"/>
        </w:rPr>
        <w:t>2025</w:t>
      </w:r>
      <w:r>
        <w:rPr>
          <w:rFonts w:hint="eastAsia" w:ascii="楷体_GB2312" w:hAnsi="楷体_GB2312" w:eastAsia="楷体_GB2312" w:cs="楷体_GB2312"/>
          <w:color w:val="auto"/>
          <w:sz w:val="32"/>
          <w:szCs w:val="32"/>
        </w:rPr>
        <w:t>〕</w:t>
      </w:r>
      <w:r>
        <w:rPr>
          <w:rFonts w:hint="eastAsia" w:ascii="Times New Roman" w:hAnsi="Times New Roman" w:eastAsia="楷体_GB2312" w:cs="Times New Roman"/>
          <w:color w:val="auto"/>
          <w:sz w:val="32"/>
          <w:szCs w:val="32"/>
          <w:lang w:val="en-US" w:eastAsia="zh-CN"/>
        </w:rPr>
        <w:t>454</w:t>
      </w:r>
      <w:r>
        <w:rPr>
          <w:rFonts w:hint="eastAsia" w:ascii="楷体_GB2312" w:hAnsi="楷体_GB2312" w:eastAsia="楷体_GB2312" w:cs="楷体_GB2312"/>
          <w:color w:val="auto"/>
          <w:sz w:val="32"/>
          <w:szCs w:val="32"/>
        </w:rPr>
        <w:t>号</w:t>
      </w:r>
    </w:p>
    <w:p w14:paraId="0D4CC94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auto"/>
          <w:sz w:val="32"/>
          <w:szCs w:val="32"/>
          <w:u w:val="none"/>
          <w:lang w:eastAsia="zh-CN"/>
        </w:rPr>
      </w:pPr>
    </w:p>
    <w:p w14:paraId="657AFE5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 w:cs="Times New Roman"/>
          <w:b w:val="0"/>
          <w:bCs w:val="0"/>
          <w:color w:val="auto"/>
          <w:sz w:val="32"/>
          <w:szCs w:val="32"/>
          <w:u w:val="none"/>
          <w:lang w:val="en-US" w:eastAsia="zh-CN"/>
        </w:rPr>
      </w:pPr>
      <w:r>
        <w:rPr>
          <w:rFonts w:hint="default" w:ascii="Times New Roman" w:hAnsi="Times New Roman" w:eastAsia="黑体" w:cs="Times New Roman"/>
          <w:b w:val="0"/>
          <w:bCs w:val="0"/>
          <w:color w:val="auto"/>
          <w:sz w:val="32"/>
          <w:szCs w:val="32"/>
          <w:u w:val="none"/>
          <w:lang w:eastAsia="zh-CN"/>
        </w:rPr>
        <w:t>公司</w:t>
      </w:r>
      <w:r>
        <w:rPr>
          <w:rFonts w:hint="default" w:ascii="Times New Roman" w:hAnsi="Times New Roman" w:eastAsia="黑体" w:cs="Times New Roman"/>
          <w:b w:val="0"/>
          <w:bCs w:val="0"/>
          <w:color w:val="auto"/>
          <w:sz w:val="32"/>
          <w:szCs w:val="32"/>
          <w:u w:val="none"/>
        </w:rPr>
        <w:t>名称：</w:t>
      </w:r>
      <w:r>
        <w:rPr>
          <w:rFonts w:hint="default" w:ascii="Times New Roman" w:hAnsi="Times New Roman" w:eastAsia="仿宋" w:cs="Times New Roman"/>
          <w:b w:val="0"/>
          <w:bCs w:val="0"/>
          <w:color w:val="auto"/>
          <w:sz w:val="32"/>
          <w:szCs w:val="32"/>
          <w:u w:val="none"/>
        </w:rPr>
        <w:t>河南秦泰建筑工程有限公司</w:t>
      </w:r>
    </w:p>
    <w:p w14:paraId="5C9E25C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统一社会信用代码：</w:t>
      </w:r>
      <w:r>
        <w:rPr>
          <w:rFonts w:hint="default" w:ascii="Times New Roman" w:hAnsi="Times New Roman" w:eastAsia="仿宋" w:cs="Times New Roman"/>
          <w:b w:val="0"/>
          <w:bCs w:val="0"/>
          <w:color w:val="auto"/>
          <w:sz w:val="32"/>
          <w:szCs w:val="32"/>
          <w:u w:val="none"/>
        </w:rPr>
        <w:t>914110233176628469</w:t>
      </w:r>
    </w:p>
    <w:p w14:paraId="405271B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地址：</w:t>
      </w:r>
      <w:r>
        <w:rPr>
          <w:rFonts w:hint="default" w:ascii="Times New Roman" w:hAnsi="Times New Roman" w:eastAsia="仿宋" w:cs="Times New Roman"/>
          <w:b w:val="0"/>
          <w:bCs w:val="0"/>
          <w:color w:val="auto"/>
          <w:sz w:val="32"/>
          <w:szCs w:val="32"/>
          <w:u w:val="none"/>
        </w:rPr>
        <w:t>许昌市城乡一体化示范区芙蓉大道与永兴路交叉口芙蓉商务中心9幢11层1101号</w:t>
      </w:r>
    </w:p>
    <w:p w14:paraId="0ECC40B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 w:cs="Times New Roman"/>
          <w:color w:val="auto"/>
          <w:sz w:val="32"/>
          <w:szCs w:val="32"/>
        </w:rPr>
      </w:pPr>
      <w:r>
        <w:rPr>
          <w:rFonts w:hint="default" w:ascii="Times New Roman" w:hAnsi="Times New Roman" w:eastAsia="黑体" w:cs="Times New Roman"/>
          <w:b w:val="0"/>
          <w:bCs w:val="0"/>
          <w:color w:val="auto"/>
          <w:sz w:val="32"/>
          <w:szCs w:val="32"/>
          <w:u w:val="none"/>
        </w:rPr>
        <w:t>法定代表人</w:t>
      </w:r>
      <w:r>
        <w:rPr>
          <w:rFonts w:hint="default" w:ascii="Times New Roman" w:hAnsi="Times New Roman" w:eastAsia="黑体" w:cs="Times New Roman"/>
          <w:b w:val="0"/>
          <w:bCs w:val="0"/>
          <w:color w:val="auto"/>
          <w:sz w:val="32"/>
          <w:szCs w:val="32"/>
          <w:u w:val="none"/>
          <w:lang w:eastAsia="zh-CN"/>
        </w:rPr>
        <w:t>：</w:t>
      </w:r>
      <w:r>
        <w:rPr>
          <w:rFonts w:hint="default" w:ascii="Times New Roman" w:hAnsi="Times New Roman" w:eastAsia="仿宋" w:cs="Times New Roman"/>
          <w:b w:val="0"/>
          <w:bCs w:val="0"/>
          <w:color w:val="auto"/>
          <w:sz w:val="32"/>
          <w:szCs w:val="32"/>
          <w:u w:val="none"/>
        </w:rPr>
        <w:t>刘英举</w:t>
      </w:r>
    </w:p>
    <w:p w14:paraId="6BDB11EB">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color w:val="auto"/>
          <w:sz w:val="32"/>
          <w:szCs w:val="32"/>
        </w:rPr>
      </w:pPr>
      <w:bookmarkStart w:id="3" w:name="_Toc29232"/>
      <w:r>
        <w:rPr>
          <w:rFonts w:hint="eastAsia" w:ascii="黑体" w:hAnsi="黑体" w:eastAsia="黑体" w:cs="黑体"/>
          <w:color w:val="auto"/>
          <w:sz w:val="32"/>
          <w:szCs w:val="32"/>
        </w:rPr>
        <w:t>一、环境违法事实和证据</w:t>
      </w:r>
      <w:bookmarkEnd w:id="3"/>
    </w:p>
    <w:p w14:paraId="48580B6D">
      <w:pPr>
        <w:pStyle w:val="5"/>
        <w:keepNext w:val="0"/>
        <w:keepLines w:val="0"/>
        <w:pageBreakBefore w:val="0"/>
        <w:numPr>
          <w:ilvl w:val="0"/>
          <w:numId w:val="0"/>
        </w:numPr>
        <w:kinsoku/>
        <w:wordWrap/>
        <w:overflowPunct/>
        <w:topLinePunct w:val="0"/>
        <w:autoSpaceDE/>
        <w:autoSpaceDN/>
        <w:bidi w:val="0"/>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我局于2025年10月21日对你公司进行了调查，发现你公司实施了以下环境违法行为：</w:t>
      </w:r>
    </w:p>
    <w:p w14:paraId="3F16D264">
      <w:pPr>
        <w:pStyle w:val="5"/>
        <w:keepNext w:val="0"/>
        <w:keepLines w:val="0"/>
        <w:pageBreakBefore w:val="0"/>
        <w:numPr>
          <w:ilvl w:val="0"/>
          <w:numId w:val="0"/>
        </w:numPr>
        <w:kinsoku/>
        <w:wordWrap/>
        <w:overflowPunct/>
        <w:topLinePunct w:val="0"/>
        <w:autoSpaceDE/>
        <w:autoSpaceDN/>
        <w:bidi w:val="0"/>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2025年10月21日我局执法人员对河南秦泰建筑工程有限公司承建的沿太行高速焦作段1标4工区拌合站进行检查。现场检查时，沿太行高速焦作段1标4工区拌合站正常生产，但料仓大门未关闭，物料传输带未进行密闭，造成粉尘无组织排放。上述行为违反了《中华人民共和国大气污染防治法》第四十八条 “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的规定，已构成违法。以上事实及证据如下：</w:t>
      </w:r>
    </w:p>
    <w:p w14:paraId="17A28C14">
      <w:pPr>
        <w:keepNext w:val="0"/>
        <w:keepLines w:val="0"/>
        <w:pageBreakBefore w:val="0"/>
        <w:kinsoku/>
        <w:wordWrap/>
        <w:overflowPunct/>
        <w:topLinePunct w:val="0"/>
        <w:autoSpaceDE/>
        <w:autoSpaceDN/>
        <w:bidi w:val="0"/>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zh-CN" w:eastAsia="zh-CN" w:bidi="ar-SA"/>
        </w:rPr>
      </w:pPr>
      <w:r>
        <w:rPr>
          <w:rFonts w:hint="default" w:ascii="Times New Roman" w:hAnsi="Times New Roman" w:eastAsia="仿宋" w:cs="Times New Roman"/>
          <w:color w:val="auto"/>
          <w:sz w:val="32"/>
          <w:szCs w:val="32"/>
          <w:u w:val="none"/>
          <w:lang w:val="zh-CN" w:eastAsia="zh-CN" w:bidi="ar-SA"/>
        </w:rPr>
        <w:t>1.河南秦泰建筑工程有限公司营业执照复印件1份，证明你公司的名称、地址、经营范围。</w:t>
      </w:r>
    </w:p>
    <w:p w14:paraId="0EC4F3D3">
      <w:pPr>
        <w:keepNext w:val="0"/>
        <w:keepLines w:val="0"/>
        <w:pageBreakBefore w:val="0"/>
        <w:kinsoku/>
        <w:wordWrap/>
        <w:overflowPunct/>
        <w:topLinePunct w:val="0"/>
        <w:autoSpaceDE/>
        <w:autoSpaceDN/>
        <w:bidi w:val="0"/>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zh-CN" w:eastAsia="zh-CN" w:bidi="ar-SA"/>
        </w:rPr>
      </w:pPr>
      <w:r>
        <w:rPr>
          <w:rFonts w:hint="default" w:ascii="Times New Roman" w:hAnsi="Times New Roman" w:eastAsia="仿宋" w:cs="Times New Roman"/>
          <w:color w:val="auto"/>
          <w:sz w:val="32"/>
          <w:szCs w:val="32"/>
          <w:u w:val="none"/>
          <w:lang w:val="zh-CN" w:eastAsia="zh-CN" w:bidi="ar-SA"/>
        </w:rPr>
        <w:t>2.河南秦泰建筑工程有限公司授权委托书1份、授权人及被授权人身份证复印件各1份，证明你公司委托李国杰全权代表公司配合执法检查工作。</w:t>
      </w:r>
    </w:p>
    <w:p w14:paraId="04DBF4D3">
      <w:pPr>
        <w:keepNext w:val="0"/>
        <w:keepLines w:val="0"/>
        <w:pageBreakBefore w:val="0"/>
        <w:kinsoku/>
        <w:wordWrap/>
        <w:overflowPunct/>
        <w:topLinePunct w:val="0"/>
        <w:autoSpaceDE/>
        <w:autoSpaceDN/>
        <w:bidi w:val="0"/>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zh-CN" w:eastAsia="zh-CN" w:bidi="ar-SA"/>
        </w:rPr>
      </w:pPr>
      <w:r>
        <w:rPr>
          <w:rFonts w:hint="default" w:ascii="Times New Roman" w:hAnsi="Times New Roman" w:eastAsia="仿宋" w:cs="Times New Roman"/>
          <w:color w:val="auto"/>
          <w:sz w:val="32"/>
          <w:szCs w:val="32"/>
          <w:u w:val="none"/>
          <w:lang w:val="zh-CN" w:eastAsia="zh-CN" w:bidi="ar-SA"/>
        </w:rPr>
        <w:t>3.《焦作市生态环境局现场勘察笔录》1份（共3页）、《现场勘察示意图》1份、现场勘察照片（共3页）、《焦作市生态环境局调查询问笔录》1份（共4页）、《焦作市生态环境局关于沿太行高速公路焦作段项目环境影响报告书的批复》、《沿太行高速公路焦作段项目环境影响报告书》，证明你公司涉嫌未采取措施减少粉尘排放，造成粉尘无组织排放的事实。</w:t>
      </w:r>
    </w:p>
    <w:p w14:paraId="3EF18D21">
      <w:pPr>
        <w:keepNext w:val="0"/>
        <w:keepLines w:val="0"/>
        <w:pageBreakBefore w:val="0"/>
        <w:kinsoku/>
        <w:wordWrap/>
        <w:overflowPunct/>
        <w:topLinePunct w:val="0"/>
        <w:autoSpaceDE/>
        <w:autoSpaceDN/>
        <w:bidi w:val="0"/>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zh-CN" w:eastAsia="zh-CN" w:bidi="ar-SA"/>
        </w:rPr>
      </w:pPr>
      <w:r>
        <w:rPr>
          <w:rFonts w:hint="default" w:ascii="Times New Roman" w:hAnsi="Times New Roman" w:eastAsia="仿宋" w:cs="Times New Roman"/>
          <w:color w:val="auto"/>
          <w:sz w:val="32"/>
          <w:szCs w:val="32"/>
          <w:u w:val="none"/>
          <w:lang w:val="zh-CN" w:eastAsia="zh-CN" w:bidi="ar-SA"/>
        </w:rPr>
        <w:t>4.河南秦泰建筑工程有限公司情况说明，证明你公司属</w:t>
      </w:r>
      <w:r>
        <w:rPr>
          <w:rFonts w:hint="default" w:ascii="Times New Roman" w:hAnsi="Times New Roman" w:eastAsia="仿宋" w:cs="Times New Roman"/>
          <w:color w:val="auto"/>
          <w:sz w:val="32"/>
          <w:szCs w:val="32"/>
          <w:u w:val="none"/>
          <w:lang w:val="en-US" w:eastAsia="zh-CN" w:bidi="ar-SA"/>
        </w:rPr>
        <w:t>微</w:t>
      </w:r>
      <w:r>
        <w:rPr>
          <w:rFonts w:hint="default" w:ascii="Times New Roman" w:hAnsi="Times New Roman" w:eastAsia="仿宋" w:cs="Times New Roman"/>
          <w:color w:val="auto"/>
          <w:sz w:val="32"/>
          <w:szCs w:val="32"/>
          <w:u w:val="none"/>
          <w:lang w:val="zh-CN" w:eastAsia="zh-CN" w:bidi="ar-SA"/>
        </w:rPr>
        <w:t>型企业。</w:t>
      </w:r>
    </w:p>
    <w:p w14:paraId="0F49DF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zh-CN" w:eastAsia="zh-CN" w:bidi="ar-SA"/>
        </w:rPr>
      </w:pPr>
      <w:r>
        <w:rPr>
          <w:rFonts w:hint="default" w:ascii="Times New Roman" w:hAnsi="Times New Roman" w:eastAsia="仿宋" w:cs="Times New Roman"/>
          <w:color w:val="auto"/>
          <w:sz w:val="32"/>
          <w:szCs w:val="32"/>
          <w:u w:val="none"/>
          <w:lang w:val="zh-CN" w:eastAsia="zh-CN" w:bidi="ar-SA"/>
        </w:rPr>
        <w:t>5.执法人员的执法证复印件，证明执法人员的身份和资格。</w:t>
      </w:r>
    </w:p>
    <w:p w14:paraId="0BAC85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我局于</w:t>
      </w:r>
      <w:r>
        <w:rPr>
          <w:rFonts w:hint="default" w:ascii="Times New Roman" w:hAnsi="Times New Roman" w:eastAsia="仿宋" w:cs="Times New Roman"/>
          <w:color w:val="auto"/>
          <w:sz w:val="32"/>
          <w:szCs w:val="32"/>
          <w:u w:val="none"/>
          <w:lang w:val="en-US" w:eastAsia="zh-CN"/>
        </w:rPr>
        <w:t>2025</w:t>
      </w:r>
      <w:r>
        <w:rPr>
          <w:rFonts w:hint="eastAsia" w:ascii="仿宋" w:hAnsi="仿宋" w:eastAsia="仿宋" w:cs="仿宋"/>
          <w:color w:val="auto"/>
          <w:sz w:val="32"/>
          <w:szCs w:val="32"/>
          <w:u w:val="none"/>
          <w:lang w:val="en-US" w:eastAsia="zh-CN"/>
        </w:rPr>
        <w:t>年</w:t>
      </w:r>
      <w:r>
        <w:rPr>
          <w:rFonts w:hint="eastAsia" w:ascii="Times New Roman" w:hAnsi="Times New Roman" w:eastAsia="仿宋" w:cs="Times New Roman"/>
          <w:color w:val="auto"/>
          <w:sz w:val="32"/>
          <w:szCs w:val="32"/>
          <w:u w:val="none"/>
          <w:lang w:val="en-US" w:eastAsia="zh-CN"/>
        </w:rPr>
        <w:t>12</w:t>
      </w:r>
      <w:r>
        <w:rPr>
          <w:rFonts w:hint="eastAsia" w:ascii="仿宋" w:hAnsi="仿宋" w:eastAsia="仿宋" w:cs="仿宋"/>
          <w:color w:val="auto"/>
          <w:sz w:val="32"/>
          <w:szCs w:val="32"/>
          <w:u w:val="none"/>
          <w:lang w:val="en-US" w:eastAsia="zh-CN"/>
        </w:rPr>
        <w:t>月</w:t>
      </w:r>
      <w:r>
        <w:rPr>
          <w:rFonts w:hint="eastAsia" w:ascii="Times New Roman" w:hAnsi="Times New Roman" w:eastAsia="仿宋" w:cs="Times New Roman"/>
          <w:color w:val="auto"/>
          <w:sz w:val="32"/>
          <w:szCs w:val="32"/>
          <w:u w:val="none"/>
          <w:lang w:val="en-US" w:eastAsia="zh-CN"/>
        </w:rPr>
        <w:t>15</w:t>
      </w:r>
      <w:r>
        <w:rPr>
          <w:rFonts w:hint="eastAsia" w:ascii="仿宋" w:hAnsi="仿宋" w:eastAsia="仿宋" w:cs="仿宋"/>
          <w:color w:val="auto"/>
          <w:sz w:val="32"/>
          <w:szCs w:val="32"/>
          <w:u w:val="none"/>
          <w:lang w:val="en-US" w:eastAsia="zh-CN"/>
        </w:rPr>
        <w:t>日向你公司送达了《行政处罚事先（听证）告知书》（焦解环先告〔</w:t>
      </w:r>
      <w:r>
        <w:rPr>
          <w:rFonts w:hint="default" w:ascii="Times New Roman" w:hAnsi="Times New Roman" w:eastAsia="仿宋" w:cs="Times New Roman"/>
          <w:color w:val="auto"/>
          <w:sz w:val="32"/>
          <w:szCs w:val="32"/>
          <w:u w:val="none"/>
          <w:lang w:val="en-US" w:eastAsia="zh-CN"/>
        </w:rPr>
        <w:t>2025</w:t>
      </w:r>
      <w:r>
        <w:rPr>
          <w:rFonts w:hint="eastAsia" w:ascii="仿宋" w:hAnsi="仿宋" w:eastAsia="仿宋" w:cs="仿宋"/>
          <w:color w:val="auto"/>
          <w:sz w:val="32"/>
          <w:szCs w:val="32"/>
          <w:u w:val="none"/>
          <w:lang w:val="en-US" w:eastAsia="zh-CN"/>
        </w:rPr>
        <w:t>〕</w:t>
      </w:r>
      <w:r>
        <w:rPr>
          <w:rFonts w:hint="eastAsia" w:ascii="Times New Roman" w:hAnsi="Times New Roman" w:eastAsia="仿宋" w:cs="Times New Roman"/>
          <w:color w:val="auto"/>
          <w:sz w:val="32"/>
          <w:szCs w:val="32"/>
          <w:u w:val="none"/>
          <w:lang w:val="en-US" w:eastAsia="zh-CN"/>
        </w:rPr>
        <w:t>3</w:t>
      </w:r>
      <w:r>
        <w:rPr>
          <w:rFonts w:hint="eastAsia" w:ascii="仿宋" w:hAnsi="仿宋" w:eastAsia="仿宋" w:cs="仿宋"/>
          <w:color w:val="auto"/>
          <w:sz w:val="32"/>
          <w:szCs w:val="32"/>
          <w:u w:val="none"/>
          <w:lang w:val="en-US" w:eastAsia="zh-CN"/>
        </w:rPr>
        <w:t>号），告知你公司对我局拟作出的行政处罚有权进行陈述申辩和申请听证。以上事实有我局《行政处罚事先（听证）告知书》（焦解环先告〔</w:t>
      </w:r>
      <w:r>
        <w:rPr>
          <w:rFonts w:hint="default" w:ascii="Times New Roman" w:hAnsi="Times New Roman" w:eastAsia="仿宋" w:cs="Times New Roman"/>
          <w:color w:val="auto"/>
          <w:sz w:val="32"/>
          <w:szCs w:val="32"/>
          <w:u w:val="none"/>
          <w:lang w:val="en-US" w:eastAsia="zh-CN"/>
        </w:rPr>
        <w:t>2025</w:t>
      </w:r>
      <w:r>
        <w:rPr>
          <w:rFonts w:hint="eastAsia" w:ascii="仿宋" w:hAnsi="仿宋" w:eastAsia="仿宋" w:cs="仿宋"/>
          <w:color w:val="auto"/>
          <w:sz w:val="32"/>
          <w:szCs w:val="32"/>
          <w:u w:val="none"/>
          <w:lang w:val="en-US" w:eastAsia="zh-CN"/>
        </w:rPr>
        <w:t>〕</w:t>
      </w:r>
      <w:r>
        <w:rPr>
          <w:rFonts w:hint="eastAsia" w:ascii="Times New Roman" w:hAnsi="Times New Roman" w:eastAsia="仿宋" w:cs="Times New Roman"/>
          <w:color w:val="auto"/>
          <w:sz w:val="32"/>
          <w:szCs w:val="32"/>
          <w:u w:val="none"/>
          <w:lang w:val="en-US" w:eastAsia="zh-CN"/>
        </w:rPr>
        <w:t>3</w:t>
      </w:r>
      <w:r>
        <w:rPr>
          <w:rFonts w:hint="eastAsia" w:ascii="仿宋" w:hAnsi="仿宋" w:eastAsia="仿宋" w:cs="仿宋"/>
          <w:color w:val="auto"/>
          <w:sz w:val="32"/>
          <w:szCs w:val="32"/>
          <w:u w:val="none"/>
          <w:lang w:val="en-US" w:eastAsia="zh-CN"/>
        </w:rPr>
        <w:t>号）和《送达回证》等为证。你单位在规定的时间内未进行陈述、申辩，未申请听证。</w:t>
      </w:r>
    </w:p>
    <w:p w14:paraId="4915C47F">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color w:val="auto"/>
          <w:sz w:val="32"/>
          <w:szCs w:val="32"/>
        </w:rPr>
      </w:pPr>
      <w:bookmarkStart w:id="4" w:name="_Toc7667"/>
      <w:r>
        <w:rPr>
          <w:rFonts w:hint="eastAsia" w:ascii="黑体" w:hAnsi="黑体" w:eastAsia="黑体" w:cs="黑体"/>
          <w:color w:val="auto"/>
          <w:sz w:val="32"/>
          <w:szCs w:val="32"/>
          <w:u w:val="none"/>
        </w:rPr>
        <w:t>二、行政处罚的依据、种类</w:t>
      </w:r>
      <w:bookmarkEnd w:id="4"/>
    </w:p>
    <w:p w14:paraId="4B324584">
      <w:pPr>
        <w:keepNext w:val="0"/>
        <w:keepLines w:val="0"/>
        <w:pageBreakBefore w:val="0"/>
        <w:kinsoku/>
        <w:wordWrap/>
        <w:overflowPunct/>
        <w:topLinePunct w:val="0"/>
        <w:autoSpaceDE/>
        <w:autoSpaceDN/>
        <w:bidi w:val="0"/>
        <w:snapToGrid/>
        <w:spacing w:line="560" w:lineRule="exact"/>
        <w:ind w:firstLine="640" w:firstLineChars="200"/>
        <w:jc w:val="left"/>
        <w:textAlignment w:val="auto"/>
        <w:rPr>
          <w:rFonts w:hint="default" w:ascii="Times New Roman" w:hAnsi="Times New Roman" w:eastAsia="仿宋" w:cs="Times New Roman"/>
          <w:color w:val="auto"/>
          <w:sz w:val="32"/>
          <w:szCs w:val="32"/>
          <w:u w:val="none"/>
        </w:rPr>
      </w:pPr>
      <w:r>
        <w:rPr>
          <w:rFonts w:hint="default" w:ascii="Times New Roman" w:hAnsi="Times New Roman" w:eastAsia="仿宋" w:cs="Times New Roman"/>
          <w:kern w:val="0"/>
          <w:sz w:val="32"/>
          <w:szCs w:val="32"/>
          <w:u w:val="none"/>
          <w:lang w:val="en-US" w:eastAsia="zh-CN" w:bidi="ar-SA"/>
        </w:rPr>
        <w:t>依据《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w:t>
      </w:r>
      <w:r>
        <w:rPr>
          <w:rFonts w:hint="eastAsia" w:ascii="仿宋" w:hAnsi="仿宋" w:eastAsia="仿宋" w:cs="仿宋"/>
          <w:sz w:val="32"/>
          <w:szCs w:val="32"/>
          <w:u w:val="none"/>
        </w:rPr>
        <w:t>之规定</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rPr>
        <w:t>根据</w:t>
      </w:r>
      <w:r>
        <w:rPr>
          <w:rFonts w:hint="eastAsia" w:ascii="仿宋" w:hAnsi="仿宋" w:eastAsia="仿宋" w:cs="仿宋"/>
          <w:color w:val="auto"/>
          <w:sz w:val="32"/>
          <w:szCs w:val="32"/>
          <w:u w:val="none"/>
          <w:lang w:val="en-US" w:eastAsia="zh-CN"/>
        </w:rPr>
        <w:t>你</w:t>
      </w:r>
      <w:r>
        <w:rPr>
          <w:rFonts w:hint="eastAsia" w:ascii="仿宋" w:hAnsi="仿宋" w:eastAsia="仿宋" w:cs="仿宋"/>
          <w:color w:val="auto"/>
          <w:sz w:val="32"/>
          <w:szCs w:val="32"/>
          <w:u w:val="none"/>
        </w:rPr>
        <w:t>公司违法行为的事实、性质、情节、社会危害程度和相关证据，</w:t>
      </w:r>
      <w:r>
        <w:rPr>
          <w:rFonts w:hint="default" w:ascii="Times New Roman" w:hAnsi="Times New Roman" w:eastAsia="仿宋" w:cs="Times New Roman"/>
          <w:color w:val="auto"/>
          <w:sz w:val="32"/>
          <w:szCs w:val="32"/>
          <w:u w:val="none"/>
        </w:rPr>
        <w:t>参照《河南省生态环境行政处罚裁量基准》：</w:t>
      </w:r>
      <w:r>
        <w:rPr>
          <w:rFonts w:hint="default" w:ascii="Times New Roman" w:hAnsi="Times New Roman" w:eastAsia="方正仿宋_GB2312" w:cs="Times New Roman"/>
          <w:color w:val="auto"/>
          <w:sz w:val="32"/>
          <w:szCs w:val="32"/>
          <w:u w:val="none"/>
        </w:rPr>
        <w:t>★</w:t>
      </w:r>
      <w:r>
        <w:rPr>
          <w:rFonts w:hint="default" w:ascii="Times New Roman" w:hAnsi="Times New Roman" w:eastAsia="仿宋" w:cs="Times New Roman"/>
          <w:color w:val="auto"/>
          <w:sz w:val="32"/>
          <w:szCs w:val="32"/>
          <w:u w:val="none"/>
          <w:lang w:val="en-US" w:eastAsia="zh-CN"/>
        </w:rPr>
        <w:t>违法事实：部分落实集中收集处理、密闭、围挡、遮盖、清扫、洒水等措施（裁量等级：3）；项目建设地点：符合环境功能区划（裁量等级：1)；违法行为持续时间：1个月以下（裁量等级：1）；企业规模：微型企业（裁量等级：1）；超过限期改正时间 ：限期改正（裁量等级：1)；违法行为发生时期环境敏感度：一般时期（裁量等级：1)；受处罚次数：两年内未受到同类处罚（裁量等级：1）；是否配合执法检查：配合检查（裁量等级：1）；</w:t>
      </w:r>
      <w:r>
        <w:rPr>
          <w:rFonts w:hint="default" w:ascii="Times New Roman" w:hAnsi="Times New Roman" w:eastAsia="仿宋" w:cs="Times New Roman"/>
          <w:color w:val="auto"/>
          <w:sz w:val="32"/>
          <w:szCs w:val="32"/>
          <w:u w:val="none"/>
        </w:rPr>
        <w:t>法定处罚金额上限(M)</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lang w:val="en-US" w:eastAsia="zh-CN"/>
        </w:rPr>
        <w:t>200000</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法定处罚金额下限(N)：</w:t>
      </w:r>
      <w:r>
        <w:rPr>
          <w:rFonts w:hint="default" w:ascii="Times New Roman" w:hAnsi="Times New Roman" w:eastAsia="仿宋" w:cs="Times New Roman"/>
          <w:color w:val="auto"/>
          <w:sz w:val="32"/>
          <w:szCs w:val="32"/>
          <w:u w:val="none"/>
          <w:lang w:val="en-US" w:eastAsia="zh-CN"/>
        </w:rPr>
        <w:t>2</w:t>
      </w:r>
      <w:r>
        <w:rPr>
          <w:rFonts w:hint="default" w:ascii="Times New Roman" w:hAnsi="Times New Roman" w:eastAsia="仿宋" w:cs="Times New Roman"/>
          <w:color w:val="auto"/>
          <w:sz w:val="32"/>
          <w:szCs w:val="32"/>
          <w:u w:val="none"/>
        </w:rPr>
        <w:t>0000</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首要裁量因素裁量等级(A)：</w:t>
      </w:r>
      <w:r>
        <w:rPr>
          <w:rFonts w:hint="default" w:ascii="Times New Roman" w:hAnsi="Times New Roman" w:eastAsia="仿宋" w:cs="Times New Roman"/>
          <w:color w:val="auto"/>
          <w:sz w:val="32"/>
          <w:szCs w:val="32"/>
          <w:u w:val="none"/>
          <w:lang w:val="en-US" w:eastAsia="zh-CN"/>
        </w:rPr>
        <w:t>3</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其余裁量因素个数(n)</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lang w:val="en-US" w:eastAsia="zh-CN"/>
        </w:rPr>
        <w:t>7，</w:t>
      </w:r>
      <w:r>
        <w:rPr>
          <w:rFonts w:hint="default" w:ascii="Times New Roman" w:hAnsi="Times New Roman" w:eastAsia="仿宋" w:cs="Times New Roman"/>
          <w:color w:val="auto"/>
          <w:sz w:val="32"/>
          <w:szCs w:val="32"/>
          <w:u w:val="none"/>
        </w:rPr>
        <w:t>其余裁量因素裁量等级(Bi)：[</w:t>
      </w:r>
      <w:r>
        <w:rPr>
          <w:rFonts w:hint="default" w:ascii="Times New Roman" w:hAnsi="Times New Roman" w:eastAsia="仿宋" w:cs="Times New Roman"/>
          <w:color w:val="auto"/>
          <w:sz w:val="32"/>
          <w:szCs w:val="32"/>
          <w:u w:val="none"/>
          <w:lang w:val="en-US" w:eastAsia="zh-CN"/>
        </w:rPr>
        <w:t>1，1，1，1，1，1，1</w:t>
      </w:r>
      <w:r>
        <w:rPr>
          <w:rFonts w:hint="default" w:ascii="Times New Roman" w:hAnsi="Times New Roman" w:eastAsia="仿宋" w:cs="Times New Roman"/>
          <w:color w:val="auto"/>
          <w:sz w:val="32"/>
          <w:szCs w:val="32"/>
          <w:u w:val="none"/>
        </w:rPr>
        <w:t>]</w:t>
      </w:r>
      <w:r>
        <w:rPr>
          <w:rFonts w:hint="default" w:ascii="Times New Roman" w:hAnsi="Times New Roman" w:eastAsia="仿宋" w:cs="Times New Roman"/>
          <w:color w:val="auto"/>
          <w:sz w:val="32"/>
          <w:szCs w:val="32"/>
          <w:u w:val="none"/>
          <w:lang w:eastAsia="zh-CN"/>
        </w:rPr>
        <w:t>。</w:t>
      </w:r>
    </w:p>
    <w:p w14:paraId="2300C81C">
      <w:pPr>
        <w:keepNext w:val="0"/>
        <w:keepLines w:val="0"/>
        <w:pageBreakBefore w:val="0"/>
        <w:kinsoku/>
        <w:wordWrap/>
        <w:overflowPunct/>
        <w:topLinePunct w:val="0"/>
        <w:autoSpaceDE/>
        <w:autoSpaceDN/>
        <w:bidi w:val="0"/>
        <w:snapToGrid/>
        <w:spacing w:line="560" w:lineRule="exact"/>
        <w:textAlignment w:val="auto"/>
        <w:rPr>
          <w:rFonts w:hint="default" w:ascii="Times New Roman" w:hAnsi="Times New Roman" w:eastAsia="仿宋" w:cs="Times New Roman"/>
          <w:color w:val="auto"/>
          <w:kern w:val="0"/>
          <w:sz w:val="32"/>
          <w:szCs w:val="32"/>
        </w:rPr>
      </w:pPr>
      <w:r>
        <w:rPr>
          <w:rFonts w:hint="default" w:ascii="Times New Roman" w:hAnsi="Times New Roman" w:eastAsia="仿宋" w:cs="Times New Roman"/>
          <w:color w:val="auto"/>
          <w:kern w:val="0"/>
          <w:sz w:val="32"/>
          <w:szCs w:val="32"/>
        </w:rPr>
        <w:t>计算公式：</w:t>
      </w:r>
      <w:r>
        <w:rPr>
          <w:rFonts w:hint="default" w:ascii="Times New Roman" w:hAnsi="Times New Roman" w:eastAsia="仿宋" w:cs="Times New Roman"/>
          <w:color w:val="auto"/>
          <w:kern w:val="0"/>
          <w:sz w:val="32"/>
          <w:szCs w:val="32"/>
          <w:lang w:eastAsia="zh-CN"/>
        </w:rPr>
        <w:drawing>
          <wp:anchor distT="0" distB="0" distL="114300" distR="114300" simplePos="0" relativeHeight="251659264" behindDoc="0" locked="0" layoutInCell="1" allowOverlap="1">
            <wp:simplePos x="0" y="0"/>
            <wp:positionH relativeFrom="column">
              <wp:posOffset>189230</wp:posOffset>
            </wp:positionH>
            <wp:positionV relativeFrom="paragraph">
              <wp:posOffset>297815</wp:posOffset>
            </wp:positionV>
            <wp:extent cx="5512435" cy="814070"/>
            <wp:effectExtent l="0" t="0" r="12065" b="11430"/>
            <wp:wrapNone/>
            <wp:docPr id="1" name="图片 2" descr="截图_选择区域_2023041016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截图_选择区域_20230410160820"/>
                    <pic:cNvPicPr>
                      <a:picLocks noChangeAspect="1"/>
                    </pic:cNvPicPr>
                  </pic:nvPicPr>
                  <pic:blipFill>
                    <a:blip r:embed="rId4"/>
                    <a:stretch>
                      <a:fillRect/>
                    </a:stretch>
                  </pic:blipFill>
                  <pic:spPr>
                    <a:xfrm>
                      <a:off x="1161415" y="9025255"/>
                      <a:ext cx="5512435" cy="814070"/>
                    </a:xfrm>
                    <a:prstGeom prst="rect">
                      <a:avLst/>
                    </a:prstGeom>
                    <a:noFill/>
                    <a:ln>
                      <a:noFill/>
                    </a:ln>
                  </pic:spPr>
                </pic:pic>
              </a:graphicData>
            </a:graphic>
          </wp:anchor>
        </w:drawing>
      </w:r>
    </w:p>
    <w:p w14:paraId="3C423EDB">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 w:cs="Times New Roman"/>
          <w:color w:val="FF0000"/>
          <w:kern w:val="0"/>
          <w:sz w:val="32"/>
          <w:szCs w:val="32"/>
        </w:rPr>
      </w:pPr>
    </w:p>
    <w:p w14:paraId="658D7E71">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 w:cs="Times New Roman"/>
          <w:color w:val="FF0000"/>
          <w:kern w:val="0"/>
          <w:sz w:val="32"/>
          <w:szCs w:val="32"/>
        </w:rPr>
      </w:pPr>
    </w:p>
    <w:p w14:paraId="114DD9BA">
      <w:pPr>
        <w:keepNext w:val="0"/>
        <w:keepLines w:val="0"/>
        <w:pageBreakBefore w:val="0"/>
        <w:widowControl/>
        <w:kinsoku/>
        <w:wordWrap/>
        <w:overflowPunct/>
        <w:topLinePunct w:val="0"/>
        <w:autoSpaceDE/>
        <w:autoSpaceDN/>
        <w:bidi w:val="0"/>
        <w:snapToGrid/>
        <w:spacing w:before="0" w:beforeAutospacing="0" w:after="0" w:afterAutospacing="0" w:line="560" w:lineRule="exact"/>
        <w:ind w:left="638" w:leftChars="304" w:firstLine="0" w:firstLineChars="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X：处罚金额；</w:t>
      </w:r>
    </w:p>
    <w:p w14:paraId="636A6556">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M：法定处罚金额上限；</w:t>
      </w:r>
    </w:p>
    <w:p w14:paraId="3F837E36">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N：法定处罚金额下限，下限可以为零；</w:t>
      </w:r>
    </w:p>
    <w:p w14:paraId="06F3F216">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A：首要裁量因素裁量等级；</w:t>
      </w:r>
    </w:p>
    <w:p w14:paraId="04951F4D">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n：其余裁量因素个数；</w:t>
      </w:r>
    </w:p>
    <w:p w14:paraId="358E0B05">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color w:val="auto"/>
          <w:kern w:val="0"/>
          <w:sz w:val="32"/>
          <w:szCs w:val="32"/>
          <w:u w:val="single"/>
          <w:lang w:val="en-US" w:eastAsia="zh-CN" w:bidi="ar-SA"/>
        </w:rPr>
      </w:pPr>
      <w:r>
        <w:rPr>
          <w:rFonts w:hint="default" w:ascii="Times New Roman" w:hAnsi="Times New Roman" w:eastAsia="仿宋" w:cs="Times New Roman"/>
          <w:kern w:val="0"/>
          <w:sz w:val="32"/>
          <w:szCs w:val="32"/>
          <w:lang w:val="en-US" w:eastAsia="zh-CN" w:bidi="ar-SA"/>
        </w:rPr>
        <w:t>B：其余裁量因素的裁量等级。</w:t>
      </w:r>
    </w:p>
    <w:p w14:paraId="72769BF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代入公式：</w:t>
      </w:r>
      <w:r>
        <w:rPr>
          <w:rFonts w:hint="default" w:ascii="Times New Roman" w:hAnsi="Times New Roman" w:eastAsia="仿宋" w:cs="Times New Roman"/>
          <w:kern w:val="0"/>
          <w:sz w:val="32"/>
          <w:szCs w:val="32"/>
          <w:lang w:val="en-US" w:eastAsia="zh-CN" w:bidi="ar-SA"/>
        </w:rPr>
        <w:t>X</w:t>
      </w:r>
      <w:r>
        <w:rPr>
          <w:rFonts w:hint="default" w:ascii="Times New Roman" w:hAnsi="Times New Roman" w:eastAsia="仿宋" w:cs="Times New Roman"/>
          <w:color w:val="auto"/>
          <w:sz w:val="32"/>
          <w:szCs w:val="32"/>
          <w:lang w:val="en-US" w:eastAsia="zh-CN"/>
        </w:rPr>
        <w:t>= 20000 + (200000 - 20000) × [(3/5)² + ( 1² + 1² + 1² + 1² + 1² + 1² + 1² )/(5² ×7)]×50%=</w:t>
      </w:r>
      <w:r>
        <w:rPr>
          <w:rFonts w:hint="eastAsia" w:ascii="Times New Roman" w:hAnsi="Times New Roman" w:eastAsia="仿宋" w:cs="Times New Roman"/>
          <w:color w:val="auto"/>
          <w:sz w:val="32"/>
          <w:szCs w:val="32"/>
          <w:lang w:val="en-US" w:eastAsia="zh-CN"/>
        </w:rPr>
        <w:t>56000</w:t>
      </w:r>
    </w:p>
    <w:p w14:paraId="586918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w:t>
      </w:r>
      <w:r>
        <w:rPr>
          <w:rFonts w:hint="default" w:ascii="Times New Roman" w:hAnsi="Times New Roman" w:eastAsia="仿宋" w:cs="Times New Roman"/>
          <w:color w:val="auto"/>
          <w:sz w:val="32"/>
          <w:szCs w:val="32"/>
          <w:lang w:eastAsia="zh-CN"/>
        </w:rPr>
        <w:t>局</w:t>
      </w:r>
      <w:r>
        <w:rPr>
          <w:rFonts w:hint="default" w:ascii="Times New Roman" w:hAnsi="Times New Roman" w:eastAsia="仿宋" w:cs="Times New Roman"/>
          <w:color w:val="auto"/>
          <w:sz w:val="32"/>
          <w:szCs w:val="32"/>
        </w:rPr>
        <w:t>对你</w:t>
      </w:r>
      <w:r>
        <w:rPr>
          <w:rFonts w:hint="default" w:ascii="Times New Roman" w:hAnsi="Times New Roman" w:eastAsia="仿宋" w:cs="Times New Roman"/>
          <w:color w:val="auto"/>
          <w:sz w:val="32"/>
          <w:szCs w:val="32"/>
          <w:lang w:val="en-US" w:eastAsia="zh-CN"/>
        </w:rPr>
        <w:t>公司</w:t>
      </w:r>
      <w:r>
        <w:rPr>
          <w:rFonts w:hint="default" w:ascii="Times New Roman" w:hAnsi="Times New Roman" w:eastAsia="仿宋" w:cs="Times New Roman"/>
          <w:color w:val="auto"/>
          <w:sz w:val="32"/>
          <w:szCs w:val="32"/>
        </w:rPr>
        <w:t>作出如下行政处罚：</w:t>
      </w:r>
    </w:p>
    <w:p w14:paraId="310C8744">
      <w:pPr>
        <w:keepNext w:val="0"/>
        <w:keepLines w:val="0"/>
        <w:pageBreakBefore w:val="0"/>
        <w:widowControl/>
        <w:kinsoku/>
        <w:wordWrap/>
        <w:overflowPunct/>
        <w:topLinePunct w:val="0"/>
        <w:autoSpaceDE/>
        <w:autoSpaceDN/>
        <w:bidi w:val="0"/>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kern w:val="0"/>
          <w:sz w:val="32"/>
          <w:szCs w:val="32"/>
          <w:u w:val="none"/>
          <w:lang w:val="en-US" w:eastAsia="zh-CN" w:bidi="ar-SA"/>
        </w:rPr>
      </w:pPr>
      <w:r>
        <w:rPr>
          <w:rFonts w:hint="default" w:ascii="Times New Roman" w:hAnsi="Times New Roman" w:eastAsia="仿宋" w:cs="Times New Roman"/>
          <w:kern w:val="0"/>
          <w:sz w:val="32"/>
          <w:szCs w:val="32"/>
          <w:u w:val="none"/>
          <w:lang w:val="en-US" w:eastAsia="zh-CN" w:bidi="ar-SA"/>
        </w:rPr>
        <w:t>罚款伍万陆仟元整</w:t>
      </w:r>
      <w:r>
        <w:rPr>
          <w:rFonts w:hint="eastAsia" w:ascii="Times New Roman" w:hAnsi="Times New Roman" w:eastAsia="仿宋" w:cs="Times New Roman"/>
          <w:kern w:val="0"/>
          <w:sz w:val="32"/>
          <w:szCs w:val="32"/>
          <w:u w:val="none"/>
          <w:lang w:val="en-US" w:eastAsia="zh-CN" w:bidi="ar-SA"/>
        </w:rPr>
        <w:t>（</w:t>
      </w:r>
      <w:r>
        <w:rPr>
          <w:rFonts w:hint="default" w:ascii="Times New Roman" w:hAnsi="Times New Roman" w:eastAsia="仿宋" w:cs="Times New Roman"/>
          <w:kern w:val="0"/>
          <w:sz w:val="32"/>
          <w:szCs w:val="32"/>
          <w:u w:val="none"/>
          <w:lang w:val="en-US" w:eastAsia="zh-CN" w:bidi="ar-SA"/>
        </w:rPr>
        <w:t>56000元</w:t>
      </w:r>
      <w:r>
        <w:rPr>
          <w:rFonts w:hint="eastAsia" w:ascii="Times New Roman" w:hAnsi="Times New Roman" w:eastAsia="仿宋" w:cs="Times New Roman"/>
          <w:kern w:val="0"/>
          <w:sz w:val="32"/>
          <w:szCs w:val="32"/>
          <w:u w:val="none"/>
          <w:lang w:val="en-US" w:eastAsia="zh-CN" w:bidi="ar-SA"/>
        </w:rPr>
        <w:t>)</w:t>
      </w:r>
      <w:r>
        <w:rPr>
          <w:rFonts w:hint="default" w:ascii="Times New Roman" w:hAnsi="Times New Roman" w:eastAsia="仿宋" w:cs="Times New Roman"/>
          <w:kern w:val="0"/>
          <w:sz w:val="32"/>
          <w:szCs w:val="32"/>
          <w:u w:val="none"/>
          <w:lang w:val="en-US" w:eastAsia="zh-CN" w:bidi="ar-SA"/>
        </w:rPr>
        <w:t>。</w:t>
      </w:r>
    </w:p>
    <w:p w14:paraId="295742F8">
      <w:pPr>
        <w:keepNext w:val="0"/>
        <w:keepLines w:val="0"/>
        <w:pageBreakBefore w:val="0"/>
        <w:widowControl w:val="0"/>
        <w:kinsoku/>
        <w:wordWrap w:val="0"/>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eastAsia" w:ascii="黑体" w:hAnsi="Times New Roman" w:eastAsia="黑体" w:cs="Times New Roman"/>
          <w:b w:val="0"/>
          <w:bCs/>
          <w:kern w:val="2"/>
          <w:sz w:val="32"/>
          <w:szCs w:val="32"/>
          <w:lang w:val="en-US" w:eastAsia="zh-CN" w:bidi="ar-SA"/>
        </w:rPr>
        <w:t>三、</w:t>
      </w:r>
      <w:r>
        <w:rPr>
          <w:rFonts w:hint="default" w:ascii="黑体" w:hAnsi="Times New Roman" w:eastAsia="黑体" w:cs="Times New Roman"/>
          <w:b w:val="0"/>
          <w:bCs/>
          <w:kern w:val="2"/>
          <w:sz w:val="32"/>
          <w:szCs w:val="32"/>
          <w:lang w:val="en-US" w:eastAsia="zh-CN" w:bidi="ar-SA"/>
        </w:rPr>
        <w:t>行政处罚决定的履行方式和期限</w:t>
      </w:r>
    </w:p>
    <w:p w14:paraId="2BE26C5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根据《中华人民共和国行政处罚法》和《罚款决定与罚款收缴分离实施办法》的规定，你公司应当自收到本处罚决定书之日起</w:t>
      </w:r>
      <w:r>
        <w:rPr>
          <w:rFonts w:hint="default" w:ascii="Times New Roman" w:hAnsi="Times New Roman" w:eastAsia="仿宋" w:cs="Times New Roman"/>
          <w:b w:val="0"/>
          <w:bCs w:val="0"/>
          <w:kern w:val="0"/>
          <w:sz w:val="32"/>
          <w:szCs w:val="32"/>
          <w:lang w:val="en-US" w:eastAsia="zh-CN" w:bidi="ar-SA"/>
        </w:rPr>
        <w:t>15</w:t>
      </w:r>
      <w:r>
        <w:rPr>
          <w:rFonts w:hint="eastAsia" w:ascii="仿宋" w:hAnsi="仿宋" w:eastAsia="仿宋" w:cs="仿宋"/>
          <w:b w:val="0"/>
          <w:bCs w:val="0"/>
          <w:kern w:val="0"/>
          <w:sz w:val="32"/>
          <w:szCs w:val="32"/>
          <w:lang w:val="en-US" w:eastAsia="zh-CN" w:bidi="ar-SA"/>
        </w:rPr>
        <w:t>日内将罚款缴至以下账户：</w:t>
      </w:r>
    </w:p>
    <w:p w14:paraId="4A69B27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开户行：邮政储蓄银行民主南路支行</w:t>
      </w:r>
    </w:p>
    <w:p w14:paraId="456D991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银行账号：</w:t>
      </w:r>
      <w:r>
        <w:rPr>
          <w:rFonts w:hint="default" w:ascii="Times New Roman" w:hAnsi="Times New Roman" w:eastAsia="仿宋" w:cs="Times New Roman"/>
          <w:b w:val="0"/>
          <w:bCs w:val="0"/>
          <w:kern w:val="0"/>
          <w:sz w:val="32"/>
          <w:szCs w:val="32"/>
          <w:lang w:val="en-US" w:eastAsia="zh-CN" w:bidi="ar-SA"/>
        </w:rPr>
        <w:t>100195545980010001</w:t>
      </w:r>
    </w:p>
    <w:p w14:paraId="7A25B9D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户名：焦作市财政局非税收入财政专户</w:t>
      </w:r>
    </w:p>
    <w:p w14:paraId="76B8A19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kern w:val="0"/>
          <w:sz w:val="32"/>
          <w:szCs w:val="32"/>
          <w:lang w:val="en-US" w:eastAsia="zh-CN" w:bidi="ar-SA"/>
        </w:rPr>
      </w:pPr>
      <w:r>
        <w:rPr>
          <w:rFonts w:hint="eastAsia" w:ascii="仿宋" w:hAnsi="仿宋" w:eastAsia="仿宋" w:cs="仿宋"/>
          <w:b w:val="0"/>
          <w:bCs w:val="0"/>
          <w:kern w:val="0"/>
          <w:sz w:val="32"/>
          <w:szCs w:val="32"/>
          <w:lang w:val="en-US" w:eastAsia="zh-CN" w:bidi="ar-SA"/>
        </w:rPr>
        <w:t>款项缴清后，请持银行受理回单到我局索取罚款收据，并将缴款凭据第三联（备查联）报送我局备案。</w:t>
      </w:r>
    </w:p>
    <w:p w14:paraId="73559CEB">
      <w:pPr>
        <w:keepNext w:val="0"/>
        <w:keepLines w:val="0"/>
        <w:pageBreakBefore w:val="0"/>
        <w:widowControl w:val="0"/>
        <w:numPr>
          <w:ilvl w:val="0"/>
          <w:numId w:val="0"/>
        </w:numPr>
        <w:kinsoku/>
        <w:wordWrap w:val="0"/>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四、申请行政复议或提起行政诉讼的途径和期限</w:t>
      </w:r>
    </w:p>
    <w:p w14:paraId="58937391">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你</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如不服本处罚决定，可以在收到本处罚决定书之日起六十日内向</w:t>
      </w:r>
      <w:r>
        <w:rPr>
          <w:rFonts w:hint="eastAsia" w:ascii="仿宋" w:hAnsi="仿宋" w:eastAsia="仿宋" w:cs="仿宋"/>
          <w:color w:val="auto"/>
          <w:sz w:val="32"/>
          <w:szCs w:val="32"/>
          <w:lang w:eastAsia="zh-CN"/>
        </w:rPr>
        <w:t>焦作市人民政府</w:t>
      </w:r>
      <w:r>
        <w:rPr>
          <w:rFonts w:hint="eastAsia" w:ascii="仿宋" w:hAnsi="仿宋" w:eastAsia="仿宋" w:cs="仿宋"/>
          <w:color w:val="auto"/>
          <w:sz w:val="32"/>
          <w:szCs w:val="32"/>
        </w:rPr>
        <w:t>申请行政复议，也可以在收到本处罚决定书之日起六个月内向</w:t>
      </w:r>
      <w:r>
        <w:rPr>
          <w:rFonts w:hint="eastAsia" w:ascii="仿宋" w:hAnsi="仿宋" w:eastAsia="仿宋" w:cs="仿宋"/>
          <w:color w:val="auto"/>
          <w:sz w:val="32"/>
          <w:szCs w:val="32"/>
          <w:lang w:val="en-US" w:eastAsia="zh-CN"/>
        </w:rPr>
        <w:t>解放区</w:t>
      </w:r>
      <w:r>
        <w:rPr>
          <w:rFonts w:hint="eastAsia" w:ascii="仿宋" w:hAnsi="仿宋" w:eastAsia="仿宋" w:cs="仿宋"/>
          <w:color w:val="auto"/>
          <w:sz w:val="32"/>
          <w:szCs w:val="32"/>
        </w:rPr>
        <w:t>人民法院提起行政诉讼。申请行政复议或者提起行政诉讼，不停止行政处罚决定的执行。</w:t>
      </w:r>
    </w:p>
    <w:p w14:paraId="5E431C28">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到期不缴纳罚款的，我局可以依据《中华人民共和国行政处罚法》第七十二条第一款第一项规定，每日按罚款数额的</w:t>
      </w:r>
      <w:r>
        <w:rPr>
          <w:rFonts w:hint="default" w:ascii="Times New Roman" w:hAnsi="Times New Roman" w:eastAsia="仿宋" w:cs="Times New Roman"/>
          <w:color w:val="auto"/>
          <w:sz w:val="32"/>
          <w:szCs w:val="32"/>
        </w:rPr>
        <w:t>3%</w:t>
      </w:r>
      <w:r>
        <w:rPr>
          <w:rFonts w:hint="eastAsia" w:ascii="仿宋" w:hAnsi="仿宋" w:eastAsia="仿宋" w:cs="仿宋"/>
          <w:color w:val="auto"/>
          <w:sz w:val="32"/>
          <w:szCs w:val="32"/>
        </w:rPr>
        <w:t>加处罚款。逾期不申请行政复议，不提起行政诉讼，又不履行本处罚决定的，我局将依法申请人民法院强制执行。</w:t>
      </w:r>
    </w:p>
    <w:p w14:paraId="1CC73779">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kern w:val="0"/>
          <w:sz w:val="32"/>
          <w:szCs w:val="32"/>
          <w:lang w:val="en-US" w:eastAsia="zh-CN" w:bidi="ar-SA"/>
        </w:rPr>
      </w:pPr>
    </w:p>
    <w:p w14:paraId="73B6FAC9">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120" w:firstLineChars="1600"/>
        <w:jc w:val="both"/>
        <w:textAlignment w:val="auto"/>
        <w:rPr>
          <w:rFonts w:hint="default" w:ascii="Times New Roman" w:hAnsi="Times New Roman" w:eastAsia="仿宋_GB2312" w:cs="Times New Roman"/>
          <w:b w:val="0"/>
          <w:bCs w:val="0"/>
          <w:color w:val="000000"/>
          <w:kern w:val="0"/>
          <w:sz w:val="32"/>
          <w:szCs w:val="32"/>
          <w:lang w:val="en-US" w:eastAsia="zh-CN" w:bidi="ar-SA"/>
        </w:rPr>
      </w:pPr>
    </w:p>
    <w:p w14:paraId="24BC3D44">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b w:val="0"/>
          <w:bCs w:val="0"/>
          <w:color w:val="auto"/>
          <w:kern w:val="0"/>
          <w:sz w:val="32"/>
          <w:szCs w:val="32"/>
          <w:lang w:val="en-US" w:eastAsia="zh-CN" w:bidi="ar-SA"/>
        </w:rPr>
      </w:pPr>
      <w:r>
        <w:rPr>
          <w:rFonts w:hint="eastAsia" w:ascii="Times New Roman" w:hAnsi="Times New Roman" w:eastAsia="仿宋_GB2312" w:cs="Times New Roman"/>
          <w:b w:val="0"/>
          <w:bCs w:val="0"/>
          <w:color w:val="auto"/>
          <w:kern w:val="0"/>
          <w:sz w:val="32"/>
          <w:szCs w:val="32"/>
          <w:lang w:val="en-US" w:eastAsia="zh-CN" w:bidi="ar-SA"/>
        </w:rPr>
        <w:t xml:space="preserve">    </w:t>
      </w:r>
    </w:p>
    <w:p w14:paraId="121D1AE1">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color w:val="auto"/>
          <w:sz w:val="32"/>
          <w:szCs w:val="32"/>
        </w:rPr>
      </w:pPr>
      <w:r>
        <w:rPr>
          <w:rFonts w:hint="eastAsia" w:ascii="Times New Roman" w:hAnsi="Times New Roman" w:eastAsia="仿宋_GB2312" w:cs="Times New Roman"/>
          <w:b w:val="0"/>
          <w:bCs w:val="0"/>
          <w:color w:val="FF0000"/>
          <w:kern w:val="0"/>
          <w:sz w:val="32"/>
          <w:szCs w:val="32"/>
          <w:lang w:val="en-US" w:eastAsia="zh-CN" w:bidi="ar-SA"/>
        </w:rPr>
        <w:t xml:space="preserve">         </w:t>
      </w:r>
    </w:p>
    <w:p w14:paraId="59D43E6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color w:val="auto"/>
          <w:spacing w:val="200"/>
          <w:sz w:val="32"/>
          <w:szCs w:val="32"/>
        </w:rPr>
      </w:pP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default" w:ascii="Times New Roman" w:hAnsi="Times New Roman" w:eastAsia="仿宋" w:cs="Times New Roman"/>
          <w:color w:val="auto"/>
          <w:sz w:val="32"/>
          <w:szCs w:val="32"/>
          <w:lang w:val="en-US" w:eastAsia="zh-CN"/>
        </w:rPr>
        <w:t xml:space="preserve"> 2025</w:t>
      </w:r>
      <w:r>
        <w:rPr>
          <w:rFonts w:hint="eastAsia" w:ascii="仿宋" w:hAnsi="仿宋" w:eastAsia="仿宋" w:cs="仿宋"/>
          <w:color w:val="auto"/>
          <w:sz w:val="32"/>
          <w:szCs w:val="32"/>
        </w:rPr>
        <w:t>年</w:t>
      </w:r>
      <w:r>
        <w:rPr>
          <w:rFonts w:hint="default" w:ascii="Times New Roman" w:hAnsi="Times New Roman" w:eastAsia="仿宋" w:cs="Times New Roman"/>
          <w:color w:val="auto"/>
          <w:sz w:val="32"/>
          <w:szCs w:val="32"/>
          <w:lang w:val="en-US" w:eastAsia="zh-CN"/>
        </w:rPr>
        <w:t>12</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3</w:t>
      </w:r>
      <w:r>
        <w:rPr>
          <w:rFonts w:hint="eastAsia" w:ascii="Times New Roman" w:hAnsi="Times New Roman" w:eastAsia="仿宋" w:cs="Times New Roman"/>
          <w:color w:val="auto"/>
          <w:sz w:val="32"/>
          <w:szCs w:val="32"/>
          <w:lang w:val="en-US" w:eastAsia="zh-CN"/>
        </w:rPr>
        <w:t>0</w:t>
      </w:r>
      <w:bookmarkStart w:id="5" w:name="_GoBack"/>
      <w:bookmarkEnd w:id="5"/>
      <w:r>
        <w:rPr>
          <w:rFonts w:hint="eastAsia" w:ascii="仿宋" w:hAnsi="仿宋" w:eastAsia="仿宋" w:cs="仿宋"/>
          <w:color w:val="auto"/>
          <w:sz w:val="32"/>
          <w:szCs w:val="32"/>
        </w:rPr>
        <w:t>日</w:t>
      </w:r>
    </w:p>
    <w:p w14:paraId="7F6CD438">
      <w:pPr>
        <w:keepNext w:val="0"/>
        <w:keepLines w:val="0"/>
        <w:pageBreakBefore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Cs/>
          <w:color w:val="auto"/>
          <w:sz w:val="44"/>
          <w:szCs w:val="44"/>
          <w:lang w:val="en"/>
        </w:rPr>
      </w:pPr>
    </w:p>
    <w:p w14:paraId="44A7C2E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center"/>
        <w:textAlignment w:val="auto"/>
        <w:rPr>
          <w:rFonts w:ascii="华文中宋" w:hAnsi="Times New Roman" w:eastAsia="华文中宋" w:cs="Times New Roman"/>
          <w:b/>
          <w:bCs/>
          <w:color w:val="auto"/>
          <w:kern w:val="2"/>
          <w:sz w:val="44"/>
          <w:szCs w:val="36"/>
          <w:lang w:val="en-US" w:eastAsia="zh-CN" w:bidi="ar-SA"/>
        </w:rPr>
      </w:pPr>
    </w:p>
    <w:p w14:paraId="3EA3F931">
      <w:pPr>
        <w:rPr>
          <w:color w:val="FF0000"/>
        </w:rPr>
      </w:pPr>
    </w:p>
    <w:p w14:paraId="67FA95FD">
      <w:pPr>
        <w:rPr>
          <w:rFonts w:hint="eastAsia" w:ascii="仿宋_GB2312" w:hAnsi="仿宋_GB2312" w:eastAsia="仿宋_GB2312" w:cs="仿宋_GB2312"/>
          <w:color w:val="auto"/>
          <w:sz w:val="32"/>
          <w:szCs w:val="32"/>
        </w:rPr>
      </w:pPr>
    </w:p>
    <w:sectPr>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234848-E6A7-4D9D-BE29-62709ADB0D2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BEDDAA11-EBC0-4DC7-8C52-8E7B2FC2130D}"/>
  </w:font>
  <w:font w:name="方正小标宋_GBK">
    <w:panose1 w:val="02000000000000000000"/>
    <w:charset w:val="86"/>
    <w:family w:val="script"/>
    <w:pitch w:val="default"/>
    <w:sig w:usb0="A00002BF" w:usb1="38CF7CFA" w:usb2="00082016" w:usb3="00000000" w:csb0="00040001" w:csb1="00000000"/>
    <w:embedRegular r:id="rId3" w:fontKey="{0731996E-1292-4B6B-A310-89ADB5DB445D}"/>
  </w:font>
  <w:font w:name="楷体_GB2312">
    <w:panose1 w:val="02010609030101010101"/>
    <w:charset w:val="86"/>
    <w:family w:val="modern"/>
    <w:pitch w:val="default"/>
    <w:sig w:usb0="00000001" w:usb1="080E0000" w:usb2="00000000" w:usb3="00000000" w:csb0="00040000" w:csb1="00000000"/>
    <w:embedRegular r:id="rId4" w:fontKey="{8DE53A5C-539F-49CB-9B27-0373908F49AE}"/>
  </w:font>
  <w:font w:name="楷体">
    <w:panose1 w:val="02010609060101010101"/>
    <w:charset w:val="86"/>
    <w:family w:val="auto"/>
    <w:pitch w:val="default"/>
    <w:sig w:usb0="800002BF" w:usb1="38CF7CFA" w:usb2="00000016" w:usb3="00000000" w:csb0="00040001" w:csb1="00000000"/>
    <w:embedRegular r:id="rId5" w:fontKey="{42B901FE-BE51-49D3-A336-EEB571F9D1A3}"/>
  </w:font>
  <w:font w:name="仿宋">
    <w:panose1 w:val="02010609060101010101"/>
    <w:charset w:val="86"/>
    <w:family w:val="auto"/>
    <w:pitch w:val="default"/>
    <w:sig w:usb0="800002BF" w:usb1="38CF7CFA" w:usb2="00000016" w:usb3="00000000" w:csb0="00040001" w:csb1="00000000"/>
    <w:embedRegular r:id="rId6" w:fontKey="{A79326E3-1FF4-4407-B92F-FD65C180FDFB}"/>
  </w:font>
  <w:font w:name="方正仿宋_GB2312">
    <w:panose1 w:val="02000000000000000000"/>
    <w:charset w:val="86"/>
    <w:family w:val="auto"/>
    <w:pitch w:val="default"/>
    <w:sig w:usb0="A00002BF" w:usb1="184F6CFA" w:usb2="00000012" w:usb3="00000000" w:csb0="00040001" w:csb1="00000000"/>
    <w:embedRegular r:id="rId7" w:fontKey="{6D031885-49F7-448C-8884-49D5C5198527}"/>
  </w:font>
  <w:font w:name="仿宋_GB2312">
    <w:panose1 w:val="02010609030101010101"/>
    <w:charset w:val="86"/>
    <w:family w:val="auto"/>
    <w:pitch w:val="default"/>
    <w:sig w:usb0="00000001" w:usb1="080E0000" w:usb2="00000000" w:usb3="00000000" w:csb0="00040000" w:csb1="00000000"/>
    <w:embedRegular r:id="rId8" w:fontKey="{7083A2E6-14CF-4406-B23B-DE6269FB4455}"/>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3712F7"/>
    <w:rsid w:val="01AE15BA"/>
    <w:rsid w:val="05FB6D97"/>
    <w:rsid w:val="09561C9D"/>
    <w:rsid w:val="0D285206"/>
    <w:rsid w:val="12D06EB6"/>
    <w:rsid w:val="15284D87"/>
    <w:rsid w:val="158E1B32"/>
    <w:rsid w:val="1A46317F"/>
    <w:rsid w:val="1ADD03C2"/>
    <w:rsid w:val="1CCC6B2F"/>
    <w:rsid w:val="1D574DDD"/>
    <w:rsid w:val="1E4F5A28"/>
    <w:rsid w:val="2A94196C"/>
    <w:rsid w:val="2F1031FD"/>
    <w:rsid w:val="2F7E39D5"/>
    <w:rsid w:val="353C6B8F"/>
    <w:rsid w:val="3776777C"/>
    <w:rsid w:val="39B0057A"/>
    <w:rsid w:val="3E7A71E5"/>
    <w:rsid w:val="409171A4"/>
    <w:rsid w:val="430C7019"/>
    <w:rsid w:val="466241AF"/>
    <w:rsid w:val="48BF71D5"/>
    <w:rsid w:val="49814E36"/>
    <w:rsid w:val="4D8E17E9"/>
    <w:rsid w:val="4EFF2822"/>
    <w:rsid w:val="51025EB1"/>
    <w:rsid w:val="52047D84"/>
    <w:rsid w:val="56B70B57"/>
    <w:rsid w:val="5B8A0B3C"/>
    <w:rsid w:val="5DE31A11"/>
    <w:rsid w:val="5FF85127"/>
    <w:rsid w:val="62481C53"/>
    <w:rsid w:val="66CE1137"/>
    <w:rsid w:val="670342D9"/>
    <w:rsid w:val="67977BB1"/>
    <w:rsid w:val="6F114ACE"/>
    <w:rsid w:val="71F4319C"/>
    <w:rsid w:val="72B04519"/>
    <w:rsid w:val="73463ECB"/>
    <w:rsid w:val="73A11102"/>
    <w:rsid w:val="740B1954"/>
    <w:rsid w:val="7517233D"/>
    <w:rsid w:val="76BD4232"/>
    <w:rsid w:val="786F5C73"/>
    <w:rsid w:val="7B010002"/>
    <w:rsid w:val="7F227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beforeLines="0" w:afterLines="0"/>
      <w:jc w:val="center"/>
    </w:pPr>
    <w:rPr>
      <w:rFonts w:hint="eastAsia" w:ascii="华文中宋" w:eastAsia="华文中宋"/>
      <w:b/>
      <w:sz w:val="44"/>
      <w:szCs w:val="36"/>
    </w:rPr>
  </w:style>
  <w:style w:type="paragraph" w:styleId="3">
    <w:name w:val="footer"/>
    <w:unhideWhenUsed/>
    <w:qFormat/>
    <w:uiPriority w:val="99"/>
    <w:pPr>
      <w:widowControl w:val="0"/>
      <w:tabs>
        <w:tab w:val="center" w:pos="4153"/>
        <w:tab w:val="right" w:pos="8306"/>
      </w:tabs>
      <w:snapToGrid w:val="0"/>
      <w:spacing w:beforeLines="0" w:afterLines="0"/>
    </w:pPr>
    <w:rPr>
      <w:rFonts w:hint="default" w:ascii="Times New Roman" w:hAnsi="Times New Roman" w:eastAsia="宋体" w:cs="Times New Roman"/>
      <w:kern w:val="2"/>
      <w:sz w:val="18"/>
      <w:szCs w:val="18"/>
      <w:lang w:val="en-US" w:eastAsia="zh-CN" w:bidi="ar-SA"/>
    </w:rPr>
  </w:style>
  <w:style w:type="paragraph" w:styleId="4">
    <w:name w:val="header"/>
    <w:unhideWhenUsed/>
    <w:qFormat/>
    <w:uiPriority w:val="0"/>
    <w:pPr>
      <w:widowControl w:val="0"/>
      <w:pBdr>
        <w:bottom w:val="single" w:color="auto" w:sz="6" w:space="1"/>
      </w:pBdr>
      <w:tabs>
        <w:tab w:val="center" w:pos="4153"/>
        <w:tab w:val="right" w:pos="8306"/>
      </w:tabs>
      <w:snapToGrid w:val="0"/>
      <w:spacing w:beforeLines="0" w:afterLines="0"/>
      <w:jc w:val="center"/>
    </w:pPr>
    <w:rPr>
      <w:rFonts w:hint="default" w:ascii="Times New Roman" w:hAnsi="Times New Roman" w:eastAsia="宋体" w:cs="Times New Roman"/>
      <w:kern w:val="2"/>
      <w:sz w:val="18"/>
      <w:szCs w:val="18"/>
      <w:lang w:val="en-US" w:eastAsia="zh-CN" w:bidi="ar-SA"/>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1947</Words>
  <Characters>2098</Characters>
  <Lines>0</Lines>
  <Paragraphs>0</Paragraphs>
  <TotalTime>4</TotalTime>
  <ScaleCrop>false</ScaleCrop>
  <LinksUpToDate>false</LinksUpToDate>
  <CharactersWithSpaces>2174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2025-08-19T00:42:00Z</dcterms:created>
  <dc:creator>幸好晴天</dc:creator>
  <cp:lastModifiedBy>幸好晴天</cp:lastModifiedBy>
  <dcterms:modified xsi:type="dcterms:W3CDTF">2025-12-31T02:53:45Z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C147486F47284F5184D5DFD71DB6ED51_13</vt:lpwstr>
  </property>
  <property fmtid="{D5CDD505-2E9C-101B-9397-08002B2CF9AE}" pid="4" name="KSOTemplateDocerSaveRecord">
    <vt:lpwstr>eyJoZGlkIjoiOTE2MWFhM2U5YmFhOGMzMDU2OTU0NGU5NWE0ZTcxZmQiLCJ1c2VySWQiOiIyNjkxMDgxNzcifQ==</vt:lpwstr>
  </property>
</Properties>
</file>