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1BFCC">
      <w:pPr>
        <w:keepNext w:val="0"/>
        <w:keepLines w:val="0"/>
        <w:pageBreakBefore w:val="0"/>
        <w:widowControl w:val="0"/>
        <w:kinsoku/>
        <w:wordWrap/>
        <w:overflowPunct/>
        <w:topLinePunct w:val="0"/>
        <w:autoSpaceDE/>
        <w:autoSpaceDN/>
        <w:bidi w:val="0"/>
        <w:spacing w:after="0" w:line="56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01285062">
      <w:pPr>
        <w:bidi w:val="0"/>
        <w:rPr>
          <w:rFonts w:hint="eastAsia"/>
          <w:lang w:val="en-US" w:eastAsia="zh-CN"/>
        </w:rPr>
      </w:pPr>
    </w:p>
    <w:p w14:paraId="74FEE3F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02EA0270">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158B92C8">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lang w:val="en-US" w:eastAsia="zh-CN"/>
        </w:rPr>
      </w:pPr>
      <w:r>
        <w:rPr>
          <w:rFonts w:hint="eastAsia" w:ascii="仿宋_GB2312" w:hAnsi="仿宋_GB2312" w:eastAsia="仿宋_GB2312" w:cs="仿宋_GB2312"/>
          <w:color w:val="auto"/>
          <w:sz w:val="32"/>
          <w:szCs w:val="32"/>
          <w:lang w:val="en-US" w:eastAsia="zh-CN"/>
        </w:rPr>
        <w:t>焦环</w:t>
      </w:r>
      <w:r>
        <w:rPr>
          <w:rFonts w:hint="eastAsia" w:ascii="仿宋_GB2312" w:hAnsi="仿宋_GB2312" w:cs="仿宋_GB2312"/>
          <w:color w:val="auto"/>
          <w:sz w:val="32"/>
          <w:szCs w:val="32"/>
          <w:lang w:val="en-US" w:eastAsia="zh-CN"/>
        </w:rPr>
        <w:t>罚</w:t>
      </w:r>
      <w:r>
        <w:rPr>
          <w:rFonts w:hint="eastAsia" w:ascii="Times New Roman" w:hAnsi="Times New Roman" w:eastAsia="仿宋_GB2312" w:cs="仿宋"/>
          <w:sz w:val="32"/>
          <w:szCs w:val="20"/>
          <w:lang w:val="en-US" w:eastAsia="zh-CN"/>
        </w:rPr>
        <w:t>〔2025〕</w:t>
      </w:r>
      <w:r>
        <w:rPr>
          <w:rFonts w:hint="eastAsia" w:cs="仿宋"/>
          <w:sz w:val="32"/>
          <w:szCs w:val="20"/>
          <w:lang w:val="en-US" w:eastAsia="zh-CN"/>
        </w:rPr>
        <w:t>446</w:t>
      </w:r>
      <w:bookmarkStart w:id="0" w:name="_GoBack"/>
      <w:bookmarkEnd w:id="0"/>
      <w:r>
        <w:rPr>
          <w:rFonts w:hint="eastAsia" w:ascii="仿宋_GB2312" w:hAnsi="仿宋_GB2312" w:eastAsia="仿宋_GB2312" w:cs="仿宋_GB2312"/>
          <w:color w:val="auto"/>
          <w:sz w:val="32"/>
          <w:szCs w:val="32"/>
          <w:lang w:val="en-US" w:eastAsia="zh-CN"/>
        </w:rPr>
        <w:t>号</w:t>
      </w:r>
    </w:p>
    <w:p w14:paraId="422109B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100" w:after="0" w:afterLines="0" w:line="570" w:lineRule="exact"/>
        <w:ind w:right="0" w:rightChars="0"/>
        <w:jc w:val="both"/>
        <w:textAlignment w:val="bottom"/>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温县中兴文化用品有限公司</w:t>
      </w:r>
    </w:p>
    <w:p w14:paraId="2E94150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统一社会信用代码：</w:t>
      </w:r>
      <w:r>
        <w:rPr>
          <w:rFonts w:hint="eastAsia" w:ascii="Times New Roman" w:hAnsi="Times New Roman" w:cs="Times New Roman"/>
          <w:sz w:val="32"/>
          <w:szCs w:val="32"/>
          <w:lang w:val="en-US" w:eastAsia="zh-CN"/>
        </w:rPr>
        <w:t>91410825053370101N</w:t>
      </w:r>
    </w:p>
    <w:p w14:paraId="4F3CCF5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地址：</w:t>
      </w:r>
      <w:r>
        <w:rPr>
          <w:rFonts w:hint="eastAsia" w:ascii="仿宋_GB2312" w:hAnsi="仿宋_GB2312" w:cs="仿宋_GB2312"/>
          <w:sz w:val="32"/>
          <w:szCs w:val="32"/>
          <w:lang w:val="en-US" w:eastAsia="zh-CN"/>
        </w:rPr>
        <w:t>温县岳村乡吕村工业区</w:t>
      </w:r>
    </w:p>
    <w:p w14:paraId="6999A01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法定代表人（负责人）：</w:t>
      </w:r>
      <w:r>
        <w:rPr>
          <w:rFonts w:hint="eastAsia" w:ascii="仿宋_GB2312" w:hAnsi="仿宋_GB2312" w:cs="仿宋_GB2312"/>
          <w:sz w:val="32"/>
          <w:szCs w:val="32"/>
          <w:lang w:val="en-US" w:eastAsia="zh-CN"/>
        </w:rPr>
        <w:t>郭希安</w:t>
      </w:r>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527E64E8">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cs="仿宋_GB2312"/>
          <w:sz w:val="32"/>
          <w:szCs w:val="32"/>
          <w:lang w:val="en-US" w:eastAsia="zh-CN"/>
        </w:rPr>
      </w:pPr>
      <w:r>
        <w:rPr>
          <w:rFonts w:hint="eastAsia" w:cs="仿宋"/>
          <w:sz w:val="32"/>
          <w:szCs w:val="20"/>
          <w:lang w:val="en-US" w:eastAsia="zh-CN"/>
        </w:rPr>
        <w:t>2025年10月31日，我局执法人员对你公司进行了现场检查，你公司项目名称为年产30万副春联项目，于2017年8月10日经原温县环境保护局审批，批复文号温环审[2017]106号。于2017年9月27日完成项目竣工验收，验收文号温环审[2017]253号。批复的环境影响报告表中要求使用的原辅材料为：铜版纸、年红纸、水性油墨、电化铝箔等，能源消耗主要为水、电。产生的主要污</w:t>
      </w:r>
      <w:r>
        <w:rPr>
          <w:rFonts w:hint="eastAsia" w:ascii="仿宋_GB2312" w:hAnsi="仿宋_GB2312" w:cs="仿宋_GB2312"/>
          <w:sz w:val="32"/>
          <w:szCs w:val="32"/>
          <w:lang w:val="en-US" w:eastAsia="zh-CN"/>
        </w:rPr>
        <w:t>染物为凹印印刷和生产过程产生的VOCs（挥发性有机物），环评要求配套的污染防治设施为UV光解废气处理装置。你企业已对有机废气配套的处理设施进行了提升改造，改造为RCO催化燃烧装置（干式过滤器+活性炭浓缩吸附+催化燃烧）。现场检查发现你公司更新一台凹印印刷机，你凹印印刷机未生产，油墨斗里有油墨，凹印印刷机上有正在印刷的春联，现场有油墨气味。你凹印印刷机产生的废气未配套安装集气罩和废气收集管道引至RCO催化燃烧装置进行处理，存在未按要求使用有机废气处理设施的行为。</w:t>
      </w:r>
    </w:p>
    <w:p w14:paraId="3B839B78">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你公司上述行为违反了《中华人民共和国大气污染防治法》第四十五条“产生含挥发性有机物废气的生产和服务活动，应当在密闭空间或设备中进行，并按照规定安装、使用污染防治设施； 无法密闭的，应当采取措施减少废气排放”的规定。</w:t>
      </w:r>
    </w:p>
    <w:p w14:paraId="6C7E0238">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72509721">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right="0" w:rightChars="0"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现场检查</w:t>
      </w:r>
      <w:r>
        <w:rPr>
          <w:rFonts w:hint="eastAsia" w:cs="仿宋"/>
          <w:sz w:val="32"/>
          <w:szCs w:val="20"/>
          <w:lang w:val="en-US" w:eastAsia="zh-CN"/>
        </w:rPr>
        <w:t>（勘察）笔录（2025年10月31日），证明你公司更新的一台凹印印刷机产生的废气未配套安装集气罩和废气收集管道引至RCO催化燃烧装置</w:t>
      </w:r>
      <w:r>
        <w:rPr>
          <w:rFonts w:hint="eastAsia" w:ascii="仿宋_GB2312" w:hAnsi="仿宋_GB2312" w:cs="仿宋_GB2312"/>
          <w:sz w:val="32"/>
          <w:szCs w:val="32"/>
          <w:lang w:val="en-US" w:eastAsia="zh-CN"/>
        </w:rPr>
        <w:t>进行处理，存在未按要求使用有机废气处理设施的行为</w:t>
      </w:r>
      <w:r>
        <w:rPr>
          <w:rFonts w:hint="eastAsia" w:ascii="仿宋_GB2312" w:hAnsi="仿宋_GB2312" w:cs="仿宋_GB2312"/>
          <w:sz w:val="32"/>
          <w:szCs w:val="32"/>
          <w:u w:val="none"/>
          <w:lang w:eastAsia="zh-CN"/>
        </w:rPr>
        <w:t>；</w:t>
      </w:r>
    </w:p>
    <w:p w14:paraId="2C7F1555">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调查询问笔录</w:t>
      </w:r>
      <w:r>
        <w:rPr>
          <w:rFonts w:hint="eastAsia" w:cs="仿宋"/>
          <w:sz w:val="32"/>
          <w:szCs w:val="20"/>
          <w:lang w:val="en-US" w:eastAsia="zh-CN"/>
        </w:rPr>
        <w:t>（2025年11月3日对你公司副总经理吉海斌的调查询问笔录），证明你公司更新的一台凹印印刷机产生的废气未配套安装集气罩和废气收集管道引至RCO催化燃烧装置进行处理，存在未按要求使用</w:t>
      </w:r>
      <w:r>
        <w:rPr>
          <w:rFonts w:hint="eastAsia" w:ascii="仿宋_GB2312" w:hAnsi="仿宋_GB2312" w:eastAsia="仿宋_GB2312" w:cs="仿宋_GB2312"/>
          <w:sz w:val="32"/>
          <w:szCs w:val="32"/>
        </w:rPr>
        <w:t>有机废气处理设施的</w:t>
      </w:r>
      <w:r>
        <w:rPr>
          <w:rFonts w:hint="eastAsia" w:ascii="仿宋_GB2312" w:hAnsi="仿宋_GB2312" w:cs="仿宋_GB2312"/>
          <w:sz w:val="32"/>
          <w:szCs w:val="32"/>
          <w:u w:val="none"/>
          <w:lang w:val="en-US" w:eastAsia="zh-CN"/>
        </w:rPr>
        <w:t>的事实</w:t>
      </w:r>
      <w:r>
        <w:rPr>
          <w:rFonts w:hint="eastAsia" w:ascii="仿宋_GB2312" w:hAnsi="仿宋_GB2312" w:eastAsia="仿宋_GB2312" w:cs="仿宋_GB2312"/>
          <w:sz w:val="32"/>
          <w:szCs w:val="32"/>
        </w:rPr>
        <w:t>；</w:t>
      </w:r>
    </w:p>
    <w:p w14:paraId="6C467486">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现场勘查示意图</w:t>
      </w:r>
      <w:r>
        <w:rPr>
          <w:rFonts w:hint="eastAsia" w:cs="仿宋"/>
          <w:sz w:val="32"/>
          <w:szCs w:val="20"/>
          <w:lang w:val="en-US" w:eastAsia="zh-CN"/>
        </w:rPr>
        <w:t>（2025年10月31日）</w:t>
      </w:r>
      <w:r>
        <w:rPr>
          <w:rFonts w:hint="eastAsia" w:ascii="仿宋_GB2312" w:hAnsi="仿宋_GB2312" w:eastAsia="仿宋_GB2312" w:cs="仿宋_GB2312"/>
          <w:sz w:val="32"/>
          <w:szCs w:val="32"/>
        </w:rPr>
        <w:t>；</w:t>
      </w:r>
    </w:p>
    <w:p w14:paraId="4F5CF86E">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营业执照复印件。证明你</w:t>
      </w:r>
      <w:r>
        <w:rPr>
          <w:rFonts w:hint="eastAsia" w:ascii="仿宋_GB2312" w:hAnsi="仿宋_GB2312" w:cs="仿宋_GB2312"/>
          <w:sz w:val="32"/>
          <w:szCs w:val="32"/>
          <w:lang w:eastAsia="zh-CN"/>
        </w:rPr>
        <w:t>公司</w:t>
      </w:r>
      <w:r>
        <w:rPr>
          <w:rFonts w:hint="eastAsia" w:ascii="仿宋_GB2312" w:hAnsi="仿宋_GB2312" w:eastAsia="仿宋_GB2312" w:cs="仿宋_GB2312"/>
          <w:sz w:val="32"/>
          <w:szCs w:val="32"/>
        </w:rPr>
        <w:t>法人主体资格；</w:t>
      </w:r>
    </w:p>
    <w:p w14:paraId="5860FCC2">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现场照片</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视频</w:t>
      </w:r>
      <w:r>
        <w:rPr>
          <w:rFonts w:hint="eastAsia" w:ascii="仿宋_GB2312" w:hAnsi="仿宋_GB2312" w:eastAsia="仿宋_GB2312" w:cs="仿宋_GB2312"/>
          <w:sz w:val="32"/>
          <w:szCs w:val="32"/>
        </w:rPr>
        <w:t>，证明执法过程现场情况</w:t>
      </w:r>
      <w:r>
        <w:rPr>
          <w:rFonts w:hint="eastAsia" w:ascii="仿宋_GB2312" w:hAnsi="仿宋_GB2312" w:cs="仿宋_GB2312"/>
          <w:sz w:val="32"/>
          <w:szCs w:val="32"/>
          <w:lang w:eastAsia="zh-CN"/>
        </w:rPr>
        <w:t>；</w:t>
      </w:r>
    </w:p>
    <w:p w14:paraId="5B82847A">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6.年产</w:t>
      </w:r>
      <w:r>
        <w:rPr>
          <w:rFonts w:hint="eastAsia" w:cs="仿宋"/>
          <w:sz w:val="32"/>
          <w:szCs w:val="20"/>
          <w:lang w:val="en-US" w:eastAsia="zh-CN"/>
        </w:rPr>
        <w:t>30</w:t>
      </w:r>
      <w:r>
        <w:rPr>
          <w:rFonts w:hint="eastAsia" w:ascii="仿宋_GB2312" w:hAnsi="仿宋_GB2312" w:cs="仿宋_GB2312"/>
          <w:sz w:val="32"/>
          <w:szCs w:val="32"/>
          <w:lang w:val="en-US" w:eastAsia="zh-CN"/>
        </w:rPr>
        <w:t>万副春联项目建设项目环境影响报告表</w:t>
      </w:r>
      <w:r>
        <w:rPr>
          <w:rFonts w:hint="eastAsia" w:ascii="仿宋_GB2312" w:hAnsi="仿宋_GB2312" w:cs="仿宋_GB2312"/>
          <w:b w:val="0"/>
          <w:bCs w:val="0"/>
          <w:sz w:val="32"/>
          <w:szCs w:val="32"/>
          <w:shd w:val="clear" w:color="auto" w:fill="FFFFFF"/>
          <w:lang w:val="en-US" w:eastAsia="zh-CN"/>
        </w:rPr>
        <w:t>（摘录）及批复文件</w:t>
      </w:r>
      <w:r>
        <w:rPr>
          <w:rFonts w:hint="eastAsia" w:ascii="仿宋_GB2312" w:hAnsi="仿宋_GB2312" w:cs="仿宋_GB2312"/>
          <w:sz w:val="32"/>
          <w:szCs w:val="32"/>
          <w:lang w:val="en-US" w:eastAsia="zh-CN"/>
        </w:rPr>
        <w:t>证明你公司主要生产设备、产污环节以及要求配套的污染防治设施；</w:t>
      </w:r>
    </w:p>
    <w:p w14:paraId="29F6E95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7.年产</w:t>
      </w:r>
      <w:r>
        <w:rPr>
          <w:rFonts w:hint="eastAsia" w:ascii="Times New Roman" w:hAnsi="Times New Roman" w:eastAsia="仿宋_GB2312" w:cs="仿宋"/>
          <w:sz w:val="32"/>
          <w:szCs w:val="20"/>
          <w:lang w:val="en-US" w:eastAsia="zh-CN"/>
        </w:rPr>
        <w:t>30</w:t>
      </w:r>
      <w:r>
        <w:rPr>
          <w:rFonts w:hint="eastAsia" w:ascii="仿宋_GB2312" w:hAnsi="仿宋_GB2312" w:cs="仿宋_GB2312"/>
          <w:sz w:val="32"/>
          <w:szCs w:val="32"/>
          <w:lang w:val="en-US" w:eastAsia="zh-CN"/>
        </w:rPr>
        <w:t>万副春联项目建设项目验收文件证明你公司主要生产设备、产污环节以及要求配套的污染防治设施建设情况；</w:t>
      </w:r>
    </w:p>
    <w:p w14:paraId="03C559B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8.固定污染源排污许可登记回执，证明你公司排污许可管理类别；</w:t>
      </w:r>
    </w:p>
    <w:p w14:paraId="59B0AD9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Times New Roman" w:hAnsi="Times New Roman" w:eastAsia="FangSong_GB2312" w:cs="Times New Roman"/>
          <w:sz w:val="32"/>
          <w:szCs w:val="32"/>
          <w:lang w:val="en-US" w:eastAsia="zh-CN"/>
        </w:rPr>
      </w:pPr>
      <w:r>
        <w:rPr>
          <w:rFonts w:hint="eastAsia" w:ascii="仿宋_GB2312" w:hAnsi="仿宋_GB2312" w:cs="仿宋_GB2312"/>
          <w:b w:val="0"/>
          <w:bCs w:val="0"/>
          <w:sz w:val="32"/>
          <w:szCs w:val="32"/>
          <w:shd w:val="clear" w:color="auto" w:fill="FFFFFF"/>
          <w:lang w:val="en-US" w:eastAsia="zh-CN"/>
        </w:rPr>
        <w:t>9</w:t>
      </w:r>
      <w:r>
        <w:rPr>
          <w:rFonts w:hint="eastAsia" w:ascii="仿宋_GB2312" w:hAnsi="仿宋_GB2312" w:cs="仿宋_GB2312"/>
          <w:sz w:val="32"/>
          <w:szCs w:val="32"/>
          <w:lang w:val="en-US" w:eastAsia="zh-CN"/>
        </w:rPr>
        <w:t xml:space="preserve">.其他证据材料。      </w:t>
      </w:r>
      <w:r>
        <w:rPr>
          <w:rFonts w:hint="eastAsia" w:ascii="Times New Roman" w:hAnsi="Times New Roman" w:eastAsia="FangSong_GB2312" w:cs="Times New Roman"/>
          <w:sz w:val="32"/>
          <w:szCs w:val="32"/>
          <w:lang w:val="en-US" w:eastAsia="zh-CN"/>
        </w:rPr>
        <w:t xml:space="preserve">           </w:t>
      </w:r>
    </w:p>
    <w:p w14:paraId="0199016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年</w:t>
      </w:r>
      <w:r>
        <w:rPr>
          <w:rFonts w:hint="eastAsia" w:eastAsia="仿宋_GB2312" w:cs="Times New Roman"/>
          <w:kern w:val="2"/>
          <w:sz w:val="32"/>
          <w:szCs w:val="32"/>
          <w:u w:val="none" w:color="auto"/>
          <w:lang w:val="en-US" w:eastAsia="zh-CN" w:bidi="ar-SA"/>
        </w:rPr>
        <w:t>11</w:t>
      </w:r>
      <w:r>
        <w:rPr>
          <w:rFonts w:hint="eastAsia" w:ascii="仿宋_GB2312" w:hAnsi="仿宋_GB2312" w:eastAsia="仿宋_GB2312" w:cs="仿宋_GB2312"/>
          <w:color w:val="000000"/>
          <w:kern w:val="0"/>
          <w:sz w:val="32"/>
          <w:szCs w:val="32"/>
          <w:lang w:val="en-US" w:eastAsia="zh-CN" w:bidi="ar"/>
        </w:rPr>
        <w:t>月</w:t>
      </w:r>
      <w:r>
        <w:rPr>
          <w:rFonts w:hint="eastAsia" w:eastAsia="仿宋_GB2312" w:cs="Times New Roman"/>
          <w:kern w:val="2"/>
          <w:sz w:val="32"/>
          <w:szCs w:val="32"/>
          <w:u w:val="none" w:color="auto"/>
          <w:lang w:val="en-US" w:eastAsia="zh-CN" w:bidi="ar-SA"/>
        </w:rPr>
        <w:t>20</w:t>
      </w:r>
      <w:r>
        <w:rPr>
          <w:rFonts w:hint="eastAsia" w:ascii="仿宋_GB2312" w:hAnsi="仿宋_GB2312" w:eastAsia="仿宋_GB2312" w:cs="仿宋_GB2312"/>
          <w:color w:val="000000"/>
          <w:kern w:val="0"/>
          <w:sz w:val="32"/>
          <w:szCs w:val="32"/>
          <w:lang w:val="en-US" w:eastAsia="zh-CN" w:bidi="ar"/>
        </w:rPr>
        <w:t>日我局向</w:t>
      </w:r>
      <w:r>
        <w:rPr>
          <w:rFonts w:hint="eastAsia" w:ascii="仿宋_GB2312" w:hAnsi="仿宋_GB2312" w:cs="仿宋_GB2312"/>
          <w:color w:val="000000"/>
          <w:kern w:val="0"/>
          <w:sz w:val="32"/>
          <w:szCs w:val="32"/>
          <w:lang w:val="en-US" w:eastAsia="zh-CN" w:bidi="ar"/>
        </w:rPr>
        <w:t>你公司</w:t>
      </w:r>
      <w:r>
        <w:rPr>
          <w:rFonts w:hint="eastAsia" w:ascii="仿宋_GB2312" w:hAnsi="仿宋_GB2312" w:eastAsia="仿宋_GB2312" w:cs="仿宋_GB2312"/>
          <w:color w:val="000000"/>
          <w:kern w:val="0"/>
          <w:sz w:val="32"/>
          <w:szCs w:val="32"/>
          <w:lang w:val="en-US" w:eastAsia="zh-CN" w:bidi="ar"/>
        </w:rPr>
        <w:t>送达了《行政处罚事先（听证）告知书》（焦温环先告〔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29</w:t>
      </w:r>
      <w:r>
        <w:rPr>
          <w:rFonts w:hint="eastAsia" w:ascii="仿宋_GB2312" w:hAnsi="仿宋_GB2312" w:eastAsia="仿宋_GB2312" w:cs="仿宋_GB2312"/>
          <w:color w:val="000000"/>
          <w:kern w:val="0"/>
          <w:sz w:val="32"/>
          <w:szCs w:val="32"/>
          <w:lang w:val="en-US" w:eastAsia="zh-CN" w:bidi="ar"/>
        </w:rPr>
        <w:t>号)，告知</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公司对我局拟作出的行政处罚有权进行陈述申辩。以上事实有《行政处罚事先（听证）告知书》（焦温环先告〔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29</w:t>
      </w:r>
      <w:r>
        <w:rPr>
          <w:rFonts w:hint="eastAsia" w:ascii="仿宋_GB2312" w:hAnsi="仿宋_GB2312" w:eastAsia="仿宋_GB2312" w:cs="仿宋_GB2312"/>
          <w:color w:val="000000"/>
          <w:kern w:val="0"/>
          <w:sz w:val="32"/>
          <w:szCs w:val="32"/>
          <w:lang w:val="en-US" w:eastAsia="zh-CN" w:bidi="ar"/>
        </w:rPr>
        <w:t>号)和《送达回执》等为证，</w:t>
      </w:r>
      <w:r>
        <w:rPr>
          <w:rFonts w:hint="eastAsia" w:ascii="仿宋_GB2312" w:hAnsi="仿宋_GB2312" w:eastAsia="仿宋_GB2312" w:cs="仿宋_GB2312"/>
          <w:sz w:val="32"/>
          <w:szCs w:val="32"/>
        </w:rPr>
        <w:t>你</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在规定的时间内未提出申诉、申辩。我局认为你</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45B2D7C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依据《中华人民共和国行政处罚法》第二十八条第一款和</w:t>
      </w:r>
      <w:r>
        <w:rPr>
          <w:rFonts w:hint="eastAsia" w:ascii="仿宋_GB2312" w:hAnsi="仿宋_GB2312" w:eastAsia="仿宋_GB2312" w:cs="仿宋_GB2312"/>
          <w:sz w:val="32"/>
          <w:szCs w:val="32"/>
          <w:lang w:val="en-US" w:eastAsia="zh-CN"/>
        </w:rPr>
        <w:t>《中</w:t>
      </w:r>
    </w:p>
    <w:p w14:paraId="1970462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华人民共和国大气污染防治法》第一百零八条第一项“违反本法</w:t>
      </w:r>
    </w:p>
    <w:p w14:paraId="0CB0C85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规定，有下列行为之一的，由县级以上人民政府生态环境主管部</w:t>
      </w:r>
    </w:p>
    <w:p w14:paraId="3F82885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门责令改正，处二万元以上二十万元以下的罚款；拒不改正的，</w:t>
      </w:r>
    </w:p>
    <w:p w14:paraId="55FE4F4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lang w:val="en-US" w:eastAsia="zh-CN"/>
        </w:rPr>
        <w:t>责令停产整治：（一）产生含挥发性有机物废气的生产和服务活动，未在密闭空间或者设备中进行，未按照规定安装、使用污染防治设施，或者未采取减少废气排放措施的；”的规定，</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〔2022〕72 号），结合当事人该违法行为事实，裁量内容如下：</w:t>
      </w:r>
    </w:p>
    <w:p w14:paraId="4AF5D2F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A.★违法事实判定标准：未按要求密闭/未规范使用污染防治设施，裁量等级为 1； </w:t>
      </w:r>
    </w:p>
    <w:p w14:paraId="694F994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B1.涉及行业：涂装、印刷、包装、粘合等含挥发性有机物的产品使用，基础化学原料制造、化学药品原料药制造等含挥发性有机物的产品生产，裁量等级为2；</w:t>
      </w:r>
    </w:p>
    <w:p w14:paraId="2A680EA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B2.生产和服务活动地点：符合环境功能区划，裁量等级为 1； </w:t>
      </w:r>
    </w:p>
    <w:p w14:paraId="68F94E8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B3.企业规模判定标准：</w:t>
      </w:r>
      <w:r>
        <w:rPr>
          <w:rFonts w:hint="eastAsia" w:ascii="仿宋_GB2312" w:hAnsi="仿宋_GB2312" w:cs="仿宋_GB2312"/>
          <w:sz w:val="32"/>
          <w:szCs w:val="32"/>
          <w:lang w:val="en-US" w:eastAsia="zh-CN"/>
        </w:rPr>
        <w:t>小</w:t>
      </w:r>
      <w:r>
        <w:rPr>
          <w:rFonts w:hint="eastAsia" w:ascii="仿宋_GB2312" w:hAnsi="仿宋_GB2312" w:eastAsia="仿宋_GB2312" w:cs="仿宋_GB2312"/>
          <w:sz w:val="32"/>
          <w:szCs w:val="32"/>
        </w:rPr>
        <w:t>型企业，裁量等级为</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 xml:space="preserve">； </w:t>
      </w:r>
    </w:p>
    <w:p w14:paraId="2F76824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B4.管理类别：</w:t>
      </w:r>
      <w:r>
        <w:rPr>
          <w:rFonts w:hint="eastAsia" w:ascii="仿宋_GB2312" w:hAnsi="仿宋_GB2312" w:cs="仿宋_GB2312"/>
          <w:sz w:val="32"/>
          <w:szCs w:val="32"/>
          <w:lang w:val="en-US" w:eastAsia="zh-CN"/>
        </w:rPr>
        <w:t>登记</w:t>
      </w:r>
      <w:r>
        <w:rPr>
          <w:rFonts w:hint="eastAsia" w:ascii="仿宋_GB2312" w:hAnsi="仿宋_GB2312" w:eastAsia="仿宋_GB2312" w:cs="仿宋_GB2312"/>
          <w:sz w:val="32"/>
          <w:szCs w:val="32"/>
        </w:rPr>
        <w:t>管理，裁量等级为</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 xml:space="preserve">； </w:t>
      </w:r>
    </w:p>
    <w:p w14:paraId="166EA3A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B5.违法行为持续时间：1个月以下，裁量等级为1； </w:t>
      </w:r>
    </w:p>
    <w:p w14:paraId="75B7E42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B6.超过限期改正时间：限期改正，裁量等级为1； </w:t>
      </w:r>
    </w:p>
    <w:p w14:paraId="53082B9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B7.受处罚次数：两年内未受到同类处罚，裁量等级为1； </w:t>
      </w:r>
    </w:p>
    <w:p w14:paraId="3A0C741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B8.是否配合执法检查：配合调查，裁量等级为1。 </w:t>
      </w:r>
    </w:p>
    <w:p w14:paraId="46F9917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处罚金额计算 结合本案案情，将各项裁量因素等级套入公式中进行计算得出：</w:t>
      </w:r>
    </w:p>
    <w:tbl>
      <w:tblPr>
        <w:tblStyle w:val="5"/>
        <w:tblW w:w="8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600"/>
        <w:gridCol w:w="615"/>
        <w:gridCol w:w="480"/>
        <w:gridCol w:w="561"/>
        <w:gridCol w:w="573"/>
        <w:gridCol w:w="615"/>
        <w:gridCol w:w="690"/>
        <w:gridCol w:w="675"/>
        <w:gridCol w:w="645"/>
        <w:gridCol w:w="609"/>
        <w:gridCol w:w="672"/>
        <w:gridCol w:w="687"/>
      </w:tblGrid>
      <w:tr w14:paraId="3845D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48" w:type="dxa"/>
            <w:noWrap w:val="0"/>
            <w:vAlign w:val="top"/>
          </w:tcPr>
          <w:p w14:paraId="2E84A501">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参数</w:t>
            </w:r>
          </w:p>
        </w:tc>
        <w:tc>
          <w:tcPr>
            <w:tcW w:w="600" w:type="dxa"/>
            <w:noWrap w:val="0"/>
            <w:vAlign w:val="top"/>
          </w:tcPr>
          <w:p w14:paraId="38E17F39">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615" w:type="dxa"/>
            <w:noWrap w:val="0"/>
            <w:vAlign w:val="top"/>
          </w:tcPr>
          <w:p w14:paraId="6AF743E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M</w:t>
            </w:r>
          </w:p>
        </w:tc>
        <w:tc>
          <w:tcPr>
            <w:tcW w:w="480" w:type="dxa"/>
            <w:noWrap w:val="0"/>
            <w:vAlign w:val="top"/>
          </w:tcPr>
          <w:p w14:paraId="0F6836AC">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A</w:t>
            </w:r>
          </w:p>
        </w:tc>
        <w:tc>
          <w:tcPr>
            <w:tcW w:w="561" w:type="dxa"/>
            <w:noWrap w:val="0"/>
            <w:vAlign w:val="top"/>
          </w:tcPr>
          <w:p w14:paraId="42EEB6D0">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n</w:t>
            </w:r>
          </w:p>
        </w:tc>
        <w:tc>
          <w:tcPr>
            <w:tcW w:w="573" w:type="dxa"/>
            <w:noWrap w:val="0"/>
            <w:vAlign w:val="top"/>
          </w:tcPr>
          <w:p w14:paraId="0812D6FF">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1</w:t>
            </w:r>
          </w:p>
        </w:tc>
        <w:tc>
          <w:tcPr>
            <w:tcW w:w="615" w:type="dxa"/>
            <w:noWrap w:val="0"/>
            <w:vAlign w:val="top"/>
          </w:tcPr>
          <w:p w14:paraId="43AA3EC9">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2</w:t>
            </w:r>
          </w:p>
        </w:tc>
        <w:tc>
          <w:tcPr>
            <w:tcW w:w="690" w:type="dxa"/>
            <w:noWrap w:val="0"/>
            <w:vAlign w:val="top"/>
          </w:tcPr>
          <w:p w14:paraId="248B085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rPr>
              <w:t>B</w:t>
            </w:r>
            <w:r>
              <w:rPr>
                <w:rFonts w:hint="eastAsia" w:ascii="仿宋_GB2312" w:hAnsi="仿宋_GB2312" w:eastAsia="仿宋_GB2312" w:cs="仿宋_GB2312"/>
                <w:color w:val="3E3E3E"/>
                <w:kern w:val="0"/>
                <w:sz w:val="32"/>
                <w:szCs w:val="32"/>
                <w:shd w:val="clear" w:color="auto" w:fill="FFFFFF"/>
                <w:lang w:val="en-US" w:eastAsia="zh-CN"/>
              </w:rPr>
              <w:t>3</w:t>
            </w:r>
          </w:p>
        </w:tc>
        <w:tc>
          <w:tcPr>
            <w:tcW w:w="675" w:type="dxa"/>
            <w:noWrap w:val="0"/>
            <w:vAlign w:val="top"/>
          </w:tcPr>
          <w:p w14:paraId="5239BDFB">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B4</w:t>
            </w:r>
          </w:p>
        </w:tc>
        <w:tc>
          <w:tcPr>
            <w:tcW w:w="645" w:type="dxa"/>
            <w:noWrap w:val="0"/>
            <w:vAlign w:val="top"/>
          </w:tcPr>
          <w:p w14:paraId="641E38FB">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B5</w:t>
            </w:r>
          </w:p>
        </w:tc>
        <w:tc>
          <w:tcPr>
            <w:tcW w:w="609" w:type="dxa"/>
            <w:noWrap w:val="0"/>
            <w:vAlign w:val="top"/>
          </w:tcPr>
          <w:p w14:paraId="1C98323F">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B6</w:t>
            </w:r>
          </w:p>
        </w:tc>
        <w:tc>
          <w:tcPr>
            <w:tcW w:w="672" w:type="dxa"/>
            <w:noWrap w:val="0"/>
            <w:vAlign w:val="top"/>
          </w:tcPr>
          <w:p w14:paraId="7316FC8C">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B7</w:t>
            </w:r>
          </w:p>
        </w:tc>
        <w:tc>
          <w:tcPr>
            <w:tcW w:w="687" w:type="dxa"/>
            <w:noWrap w:val="0"/>
            <w:vAlign w:val="top"/>
          </w:tcPr>
          <w:p w14:paraId="1B97CA77">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B8</w:t>
            </w:r>
          </w:p>
        </w:tc>
      </w:tr>
      <w:tr w14:paraId="49385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48" w:type="dxa"/>
            <w:noWrap w:val="0"/>
            <w:vAlign w:val="top"/>
          </w:tcPr>
          <w:p w14:paraId="2090DCA9">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both"/>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取值</w:t>
            </w:r>
          </w:p>
        </w:tc>
        <w:tc>
          <w:tcPr>
            <w:tcW w:w="600" w:type="dxa"/>
            <w:noWrap w:val="0"/>
            <w:vAlign w:val="top"/>
          </w:tcPr>
          <w:p w14:paraId="7B35FEF9">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1C83DCD8">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default"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20</w:t>
            </w:r>
          </w:p>
        </w:tc>
        <w:tc>
          <w:tcPr>
            <w:tcW w:w="480" w:type="dxa"/>
            <w:noWrap w:val="0"/>
            <w:vAlign w:val="top"/>
          </w:tcPr>
          <w:p w14:paraId="2B93AF2E">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561" w:type="dxa"/>
            <w:noWrap w:val="0"/>
            <w:vAlign w:val="top"/>
          </w:tcPr>
          <w:p w14:paraId="142AB6AB">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8</w:t>
            </w:r>
          </w:p>
        </w:tc>
        <w:tc>
          <w:tcPr>
            <w:tcW w:w="573" w:type="dxa"/>
            <w:noWrap w:val="0"/>
            <w:vAlign w:val="top"/>
          </w:tcPr>
          <w:p w14:paraId="1286739D">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eastAsia="仿宋_GB2312" w:cs="仿宋_GB2312"/>
                <w:color w:val="3E3E3E"/>
                <w:kern w:val="0"/>
                <w:sz w:val="32"/>
                <w:szCs w:val="32"/>
                <w:shd w:val="clear" w:color="auto" w:fill="FFFFFF"/>
                <w:lang w:val="en-US" w:eastAsia="zh-CN"/>
              </w:rPr>
              <w:t>2</w:t>
            </w:r>
          </w:p>
        </w:tc>
        <w:tc>
          <w:tcPr>
            <w:tcW w:w="615" w:type="dxa"/>
            <w:noWrap w:val="0"/>
            <w:vAlign w:val="top"/>
          </w:tcPr>
          <w:p w14:paraId="7199C3AD">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1</w:t>
            </w:r>
          </w:p>
        </w:tc>
        <w:tc>
          <w:tcPr>
            <w:tcW w:w="690" w:type="dxa"/>
            <w:noWrap w:val="0"/>
            <w:vAlign w:val="top"/>
          </w:tcPr>
          <w:p w14:paraId="18B76F47">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eastAsia="zh-CN"/>
              </w:rPr>
            </w:pPr>
            <w:r>
              <w:rPr>
                <w:rFonts w:hint="eastAsia" w:ascii="仿宋_GB2312" w:hAnsi="仿宋_GB2312" w:cs="仿宋_GB2312"/>
                <w:color w:val="3E3E3E"/>
                <w:kern w:val="0"/>
                <w:sz w:val="32"/>
                <w:szCs w:val="32"/>
                <w:shd w:val="clear" w:color="auto" w:fill="FFFFFF"/>
                <w:lang w:val="en-US" w:eastAsia="zh-CN"/>
              </w:rPr>
              <w:t>2</w:t>
            </w:r>
          </w:p>
        </w:tc>
        <w:tc>
          <w:tcPr>
            <w:tcW w:w="675" w:type="dxa"/>
            <w:noWrap w:val="0"/>
            <w:vAlign w:val="top"/>
          </w:tcPr>
          <w:p w14:paraId="7C063E12">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cs="仿宋_GB2312"/>
                <w:color w:val="3E3E3E"/>
                <w:kern w:val="0"/>
                <w:sz w:val="32"/>
                <w:szCs w:val="32"/>
                <w:shd w:val="clear" w:color="auto" w:fill="FFFFFF"/>
                <w:lang w:val="en-US" w:eastAsia="zh-CN"/>
              </w:rPr>
              <w:t>1</w:t>
            </w:r>
          </w:p>
        </w:tc>
        <w:tc>
          <w:tcPr>
            <w:tcW w:w="645" w:type="dxa"/>
            <w:noWrap w:val="0"/>
            <w:vAlign w:val="top"/>
          </w:tcPr>
          <w:p w14:paraId="427578F6">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09" w:type="dxa"/>
            <w:noWrap w:val="0"/>
            <w:vAlign w:val="top"/>
          </w:tcPr>
          <w:p w14:paraId="46347CC6">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72" w:type="dxa"/>
            <w:noWrap w:val="0"/>
            <w:vAlign w:val="top"/>
          </w:tcPr>
          <w:p w14:paraId="196D3194">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c>
          <w:tcPr>
            <w:tcW w:w="687" w:type="dxa"/>
            <w:noWrap w:val="0"/>
            <w:vAlign w:val="top"/>
          </w:tcPr>
          <w:p w14:paraId="26768B0E">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jc w:val="center"/>
              <w:textAlignment w:val="auto"/>
              <w:outlineLvl w:val="9"/>
              <w:rPr>
                <w:rFonts w:hint="eastAsia" w:ascii="仿宋_GB2312" w:hAnsi="仿宋_GB2312" w:eastAsia="仿宋_GB2312" w:cs="仿宋_GB2312"/>
                <w:color w:val="3E3E3E"/>
                <w:kern w:val="0"/>
                <w:sz w:val="32"/>
                <w:szCs w:val="32"/>
                <w:shd w:val="clear" w:color="auto" w:fill="FFFFFF"/>
                <w:lang w:val="en-US" w:eastAsia="zh-CN"/>
              </w:rPr>
            </w:pPr>
            <w:r>
              <w:rPr>
                <w:rFonts w:hint="eastAsia" w:ascii="仿宋_GB2312" w:hAnsi="仿宋_GB2312" w:eastAsia="仿宋_GB2312" w:cs="仿宋_GB2312"/>
                <w:color w:val="3E3E3E"/>
                <w:kern w:val="0"/>
                <w:sz w:val="32"/>
                <w:szCs w:val="32"/>
                <w:shd w:val="clear" w:color="auto" w:fill="FFFFFF"/>
                <w:lang w:val="en-US" w:eastAsia="zh-CN"/>
              </w:rPr>
              <w:t>1</w:t>
            </w:r>
          </w:p>
        </w:tc>
      </w:tr>
    </w:tbl>
    <w:p w14:paraId="1FEDF553">
      <w:pPr>
        <w:keepNext w:val="0"/>
        <w:keepLines w:val="0"/>
        <w:pageBreakBefore w:val="0"/>
        <w:widowControl w:val="0"/>
        <w:kinsoku/>
        <w:wordWrap/>
        <w:overflowPunct/>
        <w:topLinePunct w:val="0"/>
        <w:autoSpaceDE/>
        <w:autoSpaceDN/>
        <w:bidi w:val="0"/>
        <w:adjustRightInd w:val="0"/>
        <w:snapToGrid w:val="0"/>
        <w:spacing w:before="0" w:beforeLines="0" w:after="0" w:afterLines="0" w:line="570" w:lineRule="exact"/>
        <w:ind w:left="0" w:leftChars="0" w:right="0" w:rightChars="0" w:firstLine="0" w:firstLineChars="0"/>
        <w:jc w:val="left"/>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eastAsia="仿宋_GB2312" w:cs="仿宋_GB2312"/>
          <w:color w:val="3E3E3E"/>
          <w:kern w:val="0"/>
          <w:sz w:val="32"/>
          <w:szCs w:val="32"/>
          <w:shd w:val="clear" w:color="auto" w:fill="FFFFFF"/>
        </w:rPr>
        <w:t>X=</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20</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(1</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5</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eastAsia="zh-CN"/>
        </w:rPr>
        <w:t>（</w:t>
      </w:r>
      <w:r>
        <w:rPr>
          <w:rFonts w:hint="eastAsia" w:ascii="仿宋_GB2312" w:hAnsi="仿宋_GB2312" w:eastAsia="仿宋_GB2312" w:cs="仿宋_GB2312"/>
          <w:color w:val="3E3E3E"/>
          <w:kern w:val="0"/>
          <w:sz w:val="32"/>
          <w:szCs w:val="32"/>
          <w:shd w:val="clear" w:color="auto" w:fill="FFFFFF"/>
          <w:lang w:val="en-US" w:eastAsia="zh-CN"/>
        </w:rPr>
        <w:t>2</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lang w:val="en-US" w:eastAsia="zh-CN"/>
        </w:rPr>
        <w:t>+1+2</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lang w:val="en-US" w:eastAsia="zh-CN"/>
        </w:rPr>
        <w:t>+</w:t>
      </w:r>
      <w:r>
        <w:rPr>
          <w:rFonts w:hint="eastAsia" w:ascii="仿宋_GB2312" w:hAnsi="仿宋_GB2312" w:cs="仿宋_GB2312"/>
          <w:color w:val="3E3E3E"/>
          <w:kern w:val="0"/>
          <w:sz w:val="32"/>
          <w:szCs w:val="32"/>
          <w:shd w:val="clear" w:color="auto" w:fill="FFFFFF"/>
          <w:lang w:val="en-US" w:eastAsia="zh-CN"/>
        </w:rPr>
        <w:t>1</w:t>
      </w:r>
      <w:r>
        <w:rPr>
          <w:rFonts w:hint="eastAsia" w:ascii="仿宋_GB2312" w:hAnsi="仿宋_GB2312" w:eastAsia="仿宋_GB2312" w:cs="仿宋_GB2312"/>
          <w:color w:val="3E3E3E"/>
          <w:kern w:val="0"/>
          <w:sz w:val="32"/>
          <w:szCs w:val="32"/>
          <w:shd w:val="clear" w:color="auto" w:fill="FFFFFF"/>
          <w:lang w:val="en-US" w:eastAsia="zh-CN"/>
        </w:rPr>
        <w:t>+1+1+1+1</w:t>
      </w:r>
      <w:r>
        <w:rPr>
          <w:rFonts w:hint="eastAsia" w:ascii="仿宋_GB2312" w:hAnsi="仿宋_GB2312" w:eastAsia="仿宋_GB2312" w:cs="仿宋_GB2312"/>
          <w:color w:val="3E3E3E"/>
          <w:kern w:val="0"/>
          <w:sz w:val="32"/>
          <w:szCs w:val="32"/>
          <w:shd w:val="clear" w:color="auto" w:fill="FFFFFF"/>
          <w:lang w:eastAsia="zh-CN"/>
        </w:rPr>
        <w:t>）</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5</w:t>
      </w:r>
      <w:r>
        <w:rPr>
          <w:rFonts w:hint="eastAsia" w:ascii="仿宋_GB2312" w:hAnsi="仿宋_GB2312" w:eastAsia="仿宋_GB2312" w:cs="仿宋_GB2312"/>
          <w:color w:val="3E3E3E"/>
          <w:kern w:val="0"/>
          <w:sz w:val="32"/>
          <w:szCs w:val="32"/>
          <w:shd w:val="clear" w:color="auto" w:fill="FFFFFF"/>
          <w:vertAlign w:val="superscript"/>
          <w:lang w:val="en-US" w:eastAsia="zh-CN"/>
        </w:rPr>
        <w:t>2</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eastAsia="仿宋_GB2312" w:cs="仿宋_GB2312"/>
          <w:color w:val="3E3E3E"/>
          <w:kern w:val="0"/>
          <w:sz w:val="32"/>
          <w:szCs w:val="32"/>
          <w:shd w:val="clear" w:color="auto" w:fill="FFFFFF"/>
          <w:lang w:val="en-US" w:eastAsia="zh-CN"/>
        </w:rPr>
        <w:t>8</w:t>
      </w:r>
      <w:r>
        <w:rPr>
          <w:rFonts w:hint="eastAsia" w:ascii="仿宋_GB2312" w:hAnsi="仿宋_GB2312" w:eastAsia="仿宋_GB2312" w:cs="仿宋_GB2312"/>
          <w:color w:val="3E3E3E"/>
          <w:kern w:val="0"/>
          <w:sz w:val="32"/>
          <w:szCs w:val="32"/>
          <w:shd w:val="clear" w:color="auto" w:fill="FFFFFF"/>
        </w:rPr>
        <w:t>）]×50%</w:t>
      </w:r>
    </w:p>
    <w:p w14:paraId="1B8FA185">
      <w:pPr>
        <w:keepNext w:val="0"/>
        <w:keepLines w:val="0"/>
        <w:pageBreakBefore w:val="0"/>
        <w:widowControl w:val="0"/>
        <w:kinsoku/>
        <w:wordWrap/>
        <w:overflowPunct/>
        <w:topLinePunct w:val="0"/>
        <w:autoSpaceDE/>
        <w:autoSpaceDN/>
        <w:bidi w:val="0"/>
        <w:spacing w:before="0" w:beforeLines="0" w:after="0" w:afterLines="0" w:line="570" w:lineRule="exact"/>
        <w:ind w:left="0" w:leftChars="0" w:right="0" w:rightChars="0" w:firstLine="0" w:firstLineChars="0"/>
        <w:textAlignment w:val="auto"/>
        <w:outlineLvl w:val="9"/>
        <w:rPr>
          <w:rFonts w:hint="eastAsia" w:ascii="仿宋_GB2312" w:hAnsi="仿宋_GB2312" w:eastAsia="仿宋_GB2312" w:cs="仿宋_GB2312"/>
          <w:color w:val="3E3E3E"/>
          <w:kern w:val="0"/>
          <w:sz w:val="32"/>
          <w:szCs w:val="32"/>
          <w:shd w:val="clear" w:color="auto" w:fill="FFFFFF"/>
        </w:rPr>
      </w:pPr>
      <w:r>
        <w:rPr>
          <w:rFonts w:hint="eastAsia" w:ascii="仿宋_GB2312" w:hAnsi="仿宋_GB2312" w:cs="仿宋_GB2312"/>
          <w:color w:val="3E3E3E"/>
          <w:kern w:val="0"/>
          <w:sz w:val="32"/>
          <w:szCs w:val="32"/>
          <w:shd w:val="clear" w:color="auto" w:fill="FFFFFF"/>
          <w:lang w:val="en-US" w:eastAsia="zh-CN"/>
        </w:rPr>
        <w:t xml:space="preserve"> </w:t>
      </w:r>
      <w:r>
        <w:rPr>
          <w:rFonts w:hint="eastAsia" w:ascii="仿宋_GB2312" w:hAnsi="仿宋_GB2312" w:eastAsia="仿宋_GB2312" w:cs="仿宋_GB2312"/>
          <w:color w:val="3E3E3E"/>
          <w:kern w:val="0"/>
          <w:sz w:val="32"/>
          <w:szCs w:val="32"/>
          <w:shd w:val="clear" w:color="auto" w:fill="FFFFFF"/>
        </w:rPr>
        <w:t>=</w:t>
      </w:r>
      <w:r>
        <w:rPr>
          <w:rFonts w:hint="eastAsia" w:ascii="仿宋_GB2312" w:hAnsi="仿宋_GB2312" w:cs="仿宋_GB2312"/>
          <w:color w:val="3E3E3E"/>
          <w:kern w:val="0"/>
          <w:sz w:val="32"/>
          <w:szCs w:val="32"/>
          <w:shd w:val="clear" w:color="auto" w:fill="FFFFFF"/>
          <w:lang w:val="en-US" w:eastAsia="zh-CN"/>
        </w:rPr>
        <w:t>2.99</w:t>
      </w:r>
      <w:r>
        <w:rPr>
          <w:rFonts w:hint="eastAsia" w:ascii="仿宋_GB2312" w:hAnsi="仿宋_GB2312" w:eastAsia="仿宋_GB2312" w:cs="仿宋_GB2312"/>
          <w:color w:val="3E3E3E"/>
          <w:kern w:val="0"/>
          <w:sz w:val="32"/>
          <w:szCs w:val="32"/>
          <w:shd w:val="clear" w:color="auto" w:fill="FFFFFF"/>
        </w:rPr>
        <w:t>万元</w:t>
      </w:r>
    </w:p>
    <w:p w14:paraId="2444CC44">
      <w:pPr>
        <w:keepNext w:val="0"/>
        <w:keepLines w:val="0"/>
        <w:pageBreakBefore w:val="0"/>
        <w:widowControl w:val="0"/>
        <w:kinsoku/>
        <w:wordWrap/>
        <w:overflowPunct/>
        <w:topLinePunct w:val="0"/>
        <w:autoSpaceDE/>
        <w:autoSpaceDN/>
        <w:bidi w:val="0"/>
        <w:adjustRightInd w:val="0"/>
        <w:snapToGrid w:val="0"/>
        <w:spacing w:before="0" w:beforeLines="0" w:line="570" w:lineRule="exact"/>
        <w:ind w:firstLine="640" w:firstLineChars="200"/>
        <w:jc w:val="left"/>
        <w:rPr>
          <w:rFonts w:hint="default" w:ascii="Times New Roman" w:hAnsi="Times New Roman" w:eastAsia="仿宋_GB2312" w:cs="Times New Roman"/>
          <w:sz w:val="32"/>
          <w:szCs w:val="32"/>
        </w:rPr>
      </w:pPr>
      <w:r>
        <w:rPr>
          <w:rFonts w:hint="eastAsia" w:ascii="仿宋_GB2312" w:hAnsi="仿宋_GB2312" w:eastAsia="仿宋_GB2312" w:cs="仿宋_GB2312"/>
          <w:kern w:val="0"/>
          <w:sz w:val="32"/>
          <w:szCs w:val="32"/>
          <w:lang w:val="en-US" w:eastAsia="zh-CN"/>
        </w:rPr>
        <w:t>经局负责人集体讨论，对你单位未按要求使用有机废气处理设施的违法行为作出以下处理决定</w:t>
      </w:r>
      <w:r>
        <w:rPr>
          <w:rFonts w:hint="default" w:ascii="Times New Roman" w:hAnsi="Times New Roman" w:eastAsia="仿宋_GB2312" w:cs="Times New Roman"/>
          <w:sz w:val="32"/>
          <w:szCs w:val="32"/>
        </w:rPr>
        <w:t>：</w:t>
      </w:r>
    </w:p>
    <w:p w14:paraId="41A827A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firstLine="640" w:firstLineChars="200"/>
        <w:jc w:val="both"/>
        <w:textAlignment w:val="bottom"/>
        <w:rPr>
          <w:rFonts w:hint="eastAsia" w:ascii="Times New Roman" w:hAnsi="Times New Roman" w:cs="Times New Roman"/>
          <w:sz w:val="32"/>
          <w:szCs w:val="32"/>
          <w:lang w:val="en-US" w:eastAsia="zh-CN"/>
        </w:rPr>
      </w:pPr>
      <w:r>
        <w:rPr>
          <w:rFonts w:hint="eastAsia" w:ascii="仿宋_GB2312" w:hAnsi="仿宋_GB2312" w:eastAsia="仿宋_GB2312" w:cs="仿宋_GB2312"/>
          <w:sz w:val="32"/>
          <w:szCs w:val="32"/>
        </w:rPr>
        <w:t>处</w:t>
      </w:r>
      <w:r>
        <w:rPr>
          <w:rFonts w:hint="eastAsia" w:ascii="仿宋_GB2312" w:hAnsi="仿宋_GB2312" w:eastAsia="仿宋_GB2312" w:cs="仿宋_GB2312"/>
          <w:sz w:val="32"/>
          <w:szCs w:val="32"/>
          <w:lang w:val="en-US" w:eastAsia="zh-CN"/>
        </w:rPr>
        <w:t>贰万</w:t>
      </w:r>
      <w:r>
        <w:rPr>
          <w:rFonts w:hint="eastAsia" w:ascii="仿宋_GB2312" w:hAnsi="仿宋_GB2312" w:cs="仿宋_GB2312"/>
          <w:sz w:val="32"/>
          <w:szCs w:val="32"/>
          <w:lang w:val="en-US" w:eastAsia="zh-CN"/>
        </w:rPr>
        <w:t>玖</w:t>
      </w:r>
      <w:r>
        <w:rPr>
          <w:rFonts w:hint="eastAsia" w:ascii="仿宋_GB2312" w:hAnsi="仿宋_GB2312" w:eastAsia="仿宋_GB2312" w:cs="仿宋_GB2312"/>
          <w:sz w:val="32"/>
          <w:szCs w:val="32"/>
          <w:lang w:val="en-US" w:eastAsia="zh-CN"/>
        </w:rPr>
        <w:t>仟</w:t>
      </w:r>
      <w:r>
        <w:rPr>
          <w:rFonts w:hint="eastAsia" w:ascii="仿宋_GB2312" w:hAnsi="仿宋_GB2312" w:cs="仿宋_GB2312"/>
          <w:sz w:val="32"/>
          <w:szCs w:val="32"/>
          <w:lang w:val="en-US" w:eastAsia="zh-CN"/>
        </w:rPr>
        <w:t>玖佰</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罚款（</w:t>
      </w:r>
      <w:r>
        <w:rPr>
          <w:rFonts w:hint="eastAsia" w:ascii="仿宋_GB2312" w:hAnsi="仿宋_GB2312" w:eastAsia="仿宋_GB2312" w:cs="仿宋_GB2312"/>
          <w:sz w:val="32"/>
          <w:szCs w:val="32"/>
          <w:lang w:val="en-US" w:eastAsia="zh-CN"/>
        </w:rPr>
        <w:t>2.</w:t>
      </w:r>
      <w:r>
        <w:rPr>
          <w:rFonts w:hint="eastAsia" w:ascii="仿宋_GB2312" w:hAnsi="仿宋_GB2312" w:cs="仿宋_GB2312"/>
          <w:sz w:val="32"/>
          <w:szCs w:val="32"/>
          <w:lang w:val="en-US" w:eastAsia="zh-CN"/>
        </w:rPr>
        <w:t>99</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rPr>
        <w:t>）</w:t>
      </w:r>
      <w:r>
        <w:rPr>
          <w:rFonts w:hint="eastAsia" w:ascii="Times New Roman" w:hAnsi="Times New Roman" w:cs="Times New Roman"/>
          <w:sz w:val="32"/>
          <w:szCs w:val="32"/>
          <w:lang w:val="en-US" w:eastAsia="zh-CN"/>
        </w:rPr>
        <w:t>。</w:t>
      </w:r>
    </w:p>
    <w:p w14:paraId="4D1634AF">
      <w:pPr>
        <w:keepNext w:val="0"/>
        <w:keepLines w:val="0"/>
        <w:pageBreakBefore w:val="0"/>
        <w:widowControl/>
        <w:suppressLineNumbers w:val="0"/>
        <w:kinsoku/>
        <w:wordWrap/>
        <w:overflowPunct/>
        <w:topLinePunct w:val="0"/>
        <w:autoSpaceDE/>
        <w:bidi w:val="0"/>
        <w:spacing w:line="570" w:lineRule="exact"/>
        <w:ind w:firstLine="640" w:firstLineChars="200"/>
        <w:jc w:val="left"/>
      </w:pPr>
      <w:r>
        <w:rPr>
          <w:rFonts w:hint="eastAsia" w:ascii="方正小标宋简体" w:hAnsi="方正小标宋简体" w:eastAsia="方正小标宋简体" w:cs="方正小标宋简体"/>
          <w:color w:val="000000"/>
          <w:kern w:val="0"/>
          <w:sz w:val="32"/>
          <w:szCs w:val="32"/>
          <w:lang w:val="en-US" w:eastAsia="zh-CN" w:bidi="ar"/>
        </w:rPr>
        <w:t>三、行政处罚决定的履行方式和期限</w:t>
      </w:r>
      <w:r>
        <w:rPr>
          <w:rFonts w:ascii="FZHTK--GBK1-0" w:hAnsi="FZHTK--GBK1-0" w:eastAsia="FZHTK--GBK1-0" w:cs="FZHTK--GBK1-0"/>
          <w:color w:val="000000"/>
          <w:kern w:val="0"/>
          <w:sz w:val="32"/>
          <w:szCs w:val="32"/>
          <w:lang w:val="en-US" w:eastAsia="zh-CN" w:bidi="ar"/>
        </w:rPr>
        <w:t xml:space="preserve"> </w:t>
      </w:r>
    </w:p>
    <w:p w14:paraId="6D884D7E">
      <w:pPr>
        <w:keepNext w:val="0"/>
        <w:keepLines w:val="0"/>
        <w:pageBreakBefore w:val="0"/>
        <w:widowControl w:val="0"/>
        <w:suppressLineNumbers w:val="0"/>
        <w:kinsoku/>
        <w:wordWrap/>
        <w:overflowPunct/>
        <w:topLinePunct w:val="0"/>
        <w:autoSpaceDE/>
        <w:bidi w:val="0"/>
        <w:adjustRightInd/>
        <w:snapToGrid/>
        <w:spacing w:line="57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w:t>
      </w:r>
      <w:r>
        <w:rPr>
          <w:rFonts w:hint="eastAsia" w:eastAsia="仿宋_GB2312" w:cs="Times New Roman"/>
          <w:color w:val="000000"/>
          <w:kern w:val="0"/>
          <w:sz w:val="32"/>
          <w:szCs w:val="32"/>
          <w:lang w:val="en-US" w:eastAsia="zh-CN" w:bidi="ar"/>
        </w:rPr>
        <w:t>公司</w:t>
      </w:r>
      <w:r>
        <w:rPr>
          <w:rFonts w:hint="default" w:ascii="Times New Roman" w:hAnsi="Times New Roman" w:eastAsia="仿宋_GB2312" w:cs="Times New Roman"/>
          <w:color w:val="000000"/>
          <w:kern w:val="0"/>
          <w:sz w:val="32"/>
          <w:szCs w:val="32"/>
          <w:lang w:val="en-US" w:eastAsia="zh-CN" w:bidi="ar"/>
        </w:rPr>
        <w:t>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70"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70"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70" w:lineRule="exact"/>
        <w:ind w:left="0" w:leftChars="0" w:right="0" w:rightChars="0" w:firstLine="640" w:firstLineChars="200"/>
        <w:textAlignment w:val="auto"/>
        <w:outlineLvl w:val="9"/>
        <w:rPr>
          <w:rFonts w:hint="default" w:ascii="Times New Roman" w:hAnsi="Times New Roman" w:eastAsia="FangSong_GB2312" w:cs="Times New Roman"/>
          <w:sz w:val="32"/>
          <w:szCs w:val="32"/>
          <w:lang w:val="en-US" w:eastAsia="zh-CN"/>
        </w:rPr>
      </w:pPr>
      <w:r>
        <w:rPr>
          <w:rFonts w:hint="default" w:ascii="Times New Roman" w:hAnsi="Times New Roman" w:eastAsia="仿宋_GB2312" w:cs="Times New Roman"/>
          <w:sz w:val="32"/>
          <w:szCs w:val="32"/>
          <w:shd w:val="clear" w:color="auto" w:fill="FFFFFF"/>
        </w:rPr>
        <w:t>银行</w:t>
      </w:r>
      <w:r>
        <w:rPr>
          <w:rFonts w:hint="default" w:ascii="Times New Roman" w:hAnsi="Times New Roman" w:eastAsia="FangSong_GB2312" w:cs="Times New Roman"/>
          <w:sz w:val="32"/>
          <w:szCs w:val="32"/>
          <w:lang w:val="en-US" w:eastAsia="zh-CN"/>
        </w:rPr>
        <w:t>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70" w:lineRule="exac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FangSong_GB2312" w:cs="Times New Roman"/>
          <w:sz w:val="32"/>
          <w:szCs w:val="32"/>
          <w:lang w:val="en-US" w:eastAsia="zh-CN"/>
        </w:rPr>
        <w:t>缴纳罚款后，应将缴款凭</w:t>
      </w:r>
      <w:r>
        <w:rPr>
          <w:rFonts w:hint="default" w:ascii="Times New Roman" w:hAnsi="Times New Roman" w:eastAsia="仿宋_GB2312" w:cs="Times New Roman"/>
          <w:color w:val="000000"/>
          <w:sz w:val="32"/>
          <w:szCs w:val="32"/>
          <w:shd w:val="clear" w:color="auto" w:fill="FFFFFF"/>
        </w:rPr>
        <w:t>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70" w:lineRule="exact"/>
        <w:ind w:firstLine="640" w:firstLineChars="200"/>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70" w:lineRule="exact"/>
        <w:ind w:left="0" w:leftChars="0" w:right="0" w:rightChars="0" w:firstLine="640" w:firstLineChars="200"/>
        <w:jc w:val="left"/>
        <w:textAlignment w:val="auto"/>
        <w:outlineLvl w:val="9"/>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color w:val="000000"/>
          <w:sz w:val="32"/>
          <w:szCs w:val="32"/>
          <w:shd w:val="clear" w:color="auto" w:fill="FFFFFF"/>
          <w:lang w:eastAsia="zh-CN"/>
        </w:rPr>
        <w:t>你公司如不服本决定，可以自收到本决定书之日起六十日内向焦作市人民政府申请行政复议；也可以在接到本决定书之日起</w:t>
      </w:r>
      <w:r>
        <w:rPr>
          <w:rFonts w:hint="eastAsia" w:ascii="Times New Roman" w:hAnsi="Times New Roman" w:eastAsia="FangSong_GB2312" w:cs="Times New Roman"/>
          <w:sz w:val="32"/>
          <w:szCs w:val="32"/>
          <w:lang w:val="en-US" w:eastAsia="zh-CN"/>
        </w:rPr>
        <w:t>6个月内向郑州铁路运输法院提起行政诉讼。申请行政复议或者提起行政诉讼，不停止行政处罚决定的执行。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jc w:val="both"/>
        <w:textAlignment w:val="bottom"/>
        <w:rPr>
          <w:rFonts w:hint="eastAsia"/>
          <w:sz w:val="32"/>
          <w:lang w:val="en-US" w:eastAsia="zh-CN"/>
        </w:rPr>
      </w:pPr>
    </w:p>
    <w:p w14:paraId="7ECCB1C6">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firstLine="5120" w:firstLineChars="1600"/>
        <w:jc w:val="both"/>
        <w:textAlignment w:val="bottom"/>
        <w:rPr>
          <w:rFonts w:hint="eastAsia" w:ascii="Times New Roman" w:hAnsi="Times New Roman" w:eastAsia="仿宋_GB2312" w:cs="仿宋"/>
          <w:sz w:val="32"/>
          <w:szCs w:val="20"/>
          <w:lang w:val="en-US" w:eastAsia="zh-CN"/>
        </w:rPr>
      </w:pPr>
      <w:r>
        <w:rPr>
          <w:rFonts w:hint="eastAsia"/>
          <w:sz w:val="32"/>
          <w:lang w:val="en-US" w:eastAsia="zh-CN"/>
        </w:rPr>
        <w:t>2025年12月29日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154" w:right="1474" w:bottom="1644" w:left="1587" w:header="850" w:footer="992"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FZHTK--GBK1-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301E">
    <w:pPr>
      <w:spacing w:line="1" w:lineRule="atLeast"/>
    </w:pP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B6F37D1">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7B6F37D1">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D1EB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A856594">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A856594">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6DF88">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D7B37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D7B37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AFB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7B103D5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7B103D5A">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2B450C"/>
    <w:rsid w:val="009A6FAA"/>
    <w:rsid w:val="03056030"/>
    <w:rsid w:val="041039C3"/>
    <w:rsid w:val="04514AB6"/>
    <w:rsid w:val="05077C19"/>
    <w:rsid w:val="05CA048C"/>
    <w:rsid w:val="06DF5ACD"/>
    <w:rsid w:val="07013F3A"/>
    <w:rsid w:val="07A95C52"/>
    <w:rsid w:val="08183C31"/>
    <w:rsid w:val="08BD07F2"/>
    <w:rsid w:val="09176D56"/>
    <w:rsid w:val="0A6E634A"/>
    <w:rsid w:val="0B696D19"/>
    <w:rsid w:val="0CDC3D79"/>
    <w:rsid w:val="0D373E13"/>
    <w:rsid w:val="10125409"/>
    <w:rsid w:val="10C02BFC"/>
    <w:rsid w:val="121249FE"/>
    <w:rsid w:val="12A35A32"/>
    <w:rsid w:val="15771AFC"/>
    <w:rsid w:val="1864303E"/>
    <w:rsid w:val="19CD0264"/>
    <w:rsid w:val="1C1943F5"/>
    <w:rsid w:val="1E82375A"/>
    <w:rsid w:val="1F15650D"/>
    <w:rsid w:val="204E6E6E"/>
    <w:rsid w:val="20F3684E"/>
    <w:rsid w:val="2353510A"/>
    <w:rsid w:val="24162E02"/>
    <w:rsid w:val="256127FD"/>
    <w:rsid w:val="26E73909"/>
    <w:rsid w:val="26F543A3"/>
    <w:rsid w:val="29242DC7"/>
    <w:rsid w:val="2980344D"/>
    <w:rsid w:val="2B162E29"/>
    <w:rsid w:val="2BF8505C"/>
    <w:rsid w:val="2C1A3224"/>
    <w:rsid w:val="2FF918ED"/>
    <w:rsid w:val="31205564"/>
    <w:rsid w:val="31F97D80"/>
    <w:rsid w:val="32D968D7"/>
    <w:rsid w:val="332E1CAB"/>
    <w:rsid w:val="33726108"/>
    <w:rsid w:val="34E02B31"/>
    <w:rsid w:val="370E19C1"/>
    <w:rsid w:val="37F169BE"/>
    <w:rsid w:val="38A76271"/>
    <w:rsid w:val="3BE07D4F"/>
    <w:rsid w:val="3C8D0788"/>
    <w:rsid w:val="3D166461"/>
    <w:rsid w:val="3F762A0F"/>
    <w:rsid w:val="3F8A2D89"/>
    <w:rsid w:val="3FE16C80"/>
    <w:rsid w:val="4424559D"/>
    <w:rsid w:val="44DD3767"/>
    <w:rsid w:val="458F0387"/>
    <w:rsid w:val="475C7649"/>
    <w:rsid w:val="479C20ED"/>
    <w:rsid w:val="48BB3824"/>
    <w:rsid w:val="4BC24D76"/>
    <w:rsid w:val="4BFE6267"/>
    <w:rsid w:val="4EEF5D9A"/>
    <w:rsid w:val="4F6C3C69"/>
    <w:rsid w:val="4FA820B3"/>
    <w:rsid w:val="504C0E58"/>
    <w:rsid w:val="51286052"/>
    <w:rsid w:val="52344790"/>
    <w:rsid w:val="52E361B6"/>
    <w:rsid w:val="52E71DA7"/>
    <w:rsid w:val="532C785A"/>
    <w:rsid w:val="54496D13"/>
    <w:rsid w:val="54B24092"/>
    <w:rsid w:val="567F1D52"/>
    <w:rsid w:val="572E3365"/>
    <w:rsid w:val="59865899"/>
    <w:rsid w:val="5B527D19"/>
    <w:rsid w:val="5C6043D4"/>
    <w:rsid w:val="5D647EF4"/>
    <w:rsid w:val="5DE552CA"/>
    <w:rsid w:val="60236652"/>
    <w:rsid w:val="604907EE"/>
    <w:rsid w:val="64116420"/>
    <w:rsid w:val="68064081"/>
    <w:rsid w:val="680E2F36"/>
    <w:rsid w:val="68EE208A"/>
    <w:rsid w:val="696F345C"/>
    <w:rsid w:val="6AE82164"/>
    <w:rsid w:val="6B1A78B7"/>
    <w:rsid w:val="6B1C5D44"/>
    <w:rsid w:val="6F1277E6"/>
    <w:rsid w:val="70B76860"/>
    <w:rsid w:val="75AA4E2B"/>
    <w:rsid w:val="76191427"/>
    <w:rsid w:val="7B931E9F"/>
    <w:rsid w:val="7DC5315A"/>
    <w:rsid w:val="7FAD0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2215</Words>
  <Characters>2409</Characters>
  <Lines>0</Lines>
  <Paragraphs>0</Paragraphs>
  <TotalTime>36</TotalTime>
  <ScaleCrop>false</ScaleCrop>
  <LinksUpToDate>false</LinksUpToDate>
  <CharactersWithSpaces>2448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2025-12-12T09:24:00Z</cp:lastPrinted>
  <dcterms:modified xsi:type="dcterms:W3CDTF">2025-12-30T00:28:57Z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51F7B2F122C6415E81C18B2771C592D7_13</vt:lpwstr>
  </property>
  <property fmtid="{D5CDD505-2E9C-101B-9397-08002B2CF9AE}" pid="4" name="KSOTemplateDocerSaveRecord">
    <vt:lpwstr>eyJoZGlkIjoiZTQyN2M1M2U3YjFhNzg3ZTlhZGQwMGM5ODcyZDJlZWIiLCJ1c2VySWQiOiI0MTgxMzM4MDgifQ==</vt:lpwstr>
  </property>
</Properties>
</file>