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65B1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03CC2983">
      <w:pPr>
        <w:pStyle w:val="3"/>
        <w:rPr>
          <w:rFonts w:hint="eastAsia"/>
          <w:color w:val="000000" w:themeColor="text1"/>
          <w14:textFill>
            <w14:solidFill>
              <w14:schemeClr w14:val="tx1"/>
            </w14:solidFill>
          </w14:textFill>
        </w:rPr>
      </w:pPr>
    </w:p>
    <w:p w14:paraId="23FB178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25A8D4D8">
      <w:pPr>
        <w:keepNext w:val="0"/>
        <w:keepLines w:val="0"/>
        <w:pageBreakBefore w:val="0"/>
        <w:widowControl w:val="0"/>
        <w:kinsoku/>
        <w:wordWrap/>
        <w:overflowPunct/>
        <w:topLinePunct w:val="0"/>
        <w:autoSpaceDE/>
        <w:autoSpaceDN/>
        <w:bidi w:val="0"/>
        <w:adjustRightInd/>
        <w:spacing w:before="0" w:beforeLines="0" w:beforeAutospacing="0" w:line="70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7BFFB0AD">
      <w:pPr>
        <w:keepNext w:val="0"/>
        <w:keepLines w:val="0"/>
        <w:pageBreakBefore w:val="0"/>
        <w:widowControl w:val="0"/>
        <w:kinsoku/>
        <w:wordWrap/>
        <w:overflowPunct/>
        <w:topLinePunct w:val="0"/>
        <w:autoSpaceDE/>
        <w:autoSpaceDN/>
        <w:bidi w:val="0"/>
        <w:adjustRightInd/>
        <w:snapToGrid w:val="0"/>
        <w:spacing w:line="700" w:lineRule="exact"/>
        <w:ind w:right="0" w:firstLine="2976" w:firstLineChars="930"/>
        <w:jc w:val="both"/>
        <w:textAlignment w:val="auto"/>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2025</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443</w:t>
      </w:r>
      <w:r>
        <w:rPr>
          <w:rFonts w:hint="eastAsia" w:ascii="KaiTi_GB2312" w:hAnsi="KaiTi_GB2312" w:eastAsia="KaiTi_GB2312" w:cs="KaiTi_GB2312"/>
          <w:color w:val="000000" w:themeColor="text1"/>
          <w:sz w:val="32"/>
          <w:szCs w:val="32"/>
          <w14:textFill>
            <w14:solidFill>
              <w14:schemeClr w14:val="tx1"/>
            </w14:solidFill>
          </w14:textFill>
        </w:rPr>
        <w:t>号</w:t>
      </w:r>
    </w:p>
    <w:p w14:paraId="52B16AC6">
      <w:pPr>
        <w:keepNext w:val="0"/>
        <w:keepLines w:val="0"/>
        <w:pageBreakBefore w:val="0"/>
        <w:widowControl w:val="0"/>
        <w:kinsoku/>
        <w:wordWrap/>
        <w:overflowPunct/>
        <w:topLinePunct w:val="0"/>
        <w:autoSpaceDE/>
        <w:autoSpaceDN/>
        <w:bidi w:val="0"/>
        <w:adjustRightInd/>
        <w:snapToGrid/>
        <w:spacing w:line="700" w:lineRule="exact"/>
        <w:ind w:left="0" w:firstLine="0"/>
        <w:jc w:val="both"/>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黑体" w:hAnsi="宋体" w:eastAsia="黑体" w:cs="黑体"/>
          <w:color w:val="000000"/>
          <w:kern w:val="0"/>
          <w:sz w:val="32"/>
          <w:szCs w:val="32"/>
          <w:lang w:val="en-US" w:eastAsia="zh-CN" w:bidi="ar"/>
        </w:rPr>
        <w:t>单位名称：</w:t>
      </w:r>
      <w:r>
        <w:rPr>
          <w:rFonts w:hint="eastAsia" w:ascii="仿宋_GB2312" w:hAnsi="仿宋_GB2312" w:eastAsia="仿宋_GB2312" w:cs="仿宋_GB2312"/>
          <w:b w:val="0"/>
          <w:bCs w:val="0"/>
          <w:color w:val="auto"/>
          <w:kern w:val="2"/>
          <w:sz w:val="32"/>
          <w:szCs w:val="32"/>
          <w:u w:val="none"/>
          <w:lang w:val="en-US" w:eastAsia="zh-CN" w:bidi="ar-SA"/>
        </w:rPr>
        <w:t>温县凯龙砼业有限公司</w:t>
      </w:r>
    </w:p>
    <w:p w14:paraId="3A53046B">
      <w:pPr>
        <w:keepNext w:val="0"/>
        <w:keepLines w:val="0"/>
        <w:pageBreakBefore w:val="0"/>
        <w:widowControl w:val="0"/>
        <w:suppressLineNumbers w:val="0"/>
        <w:kinsoku/>
        <w:wordWrap/>
        <w:overflowPunct/>
        <w:topLinePunct w:val="0"/>
        <w:autoSpaceDE w:val="0"/>
        <w:autoSpaceDN/>
        <w:bidi w:val="0"/>
        <w:spacing w:before="0" w:beforeLines="0" w:beforeAutospacing="0" w:after="0" w:afterLines="0" w:afterAutospacing="0" w:line="560" w:lineRule="exact"/>
        <w:ind w:left="0" w:right="0" w:firstLine="0" w:firstLineChars="0"/>
        <w:jc w:val="both"/>
        <w:textAlignment w:val="bottom"/>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统一社会信用代码：</w:t>
      </w:r>
      <w:r>
        <w:rPr>
          <w:rFonts w:hint="eastAsia" w:ascii="仿宋_GB2312" w:hAnsi="仿宋_GB2312" w:eastAsia="仿宋_GB2312" w:cs="仿宋_GB2312"/>
          <w:b w:val="0"/>
          <w:bCs w:val="0"/>
          <w:color w:val="auto"/>
          <w:kern w:val="2"/>
          <w:sz w:val="32"/>
          <w:szCs w:val="32"/>
          <w:u w:val="none"/>
          <w:lang w:val="en-US" w:eastAsia="zh-CN" w:bidi="ar-SA"/>
        </w:rPr>
        <w:t>91410825MA40DF9P8K</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ascii="仿宋_GB2312" w:hAnsi="Times New Roman" w:eastAsia="仿宋_GB2312" w:cs="仿宋_GB2312"/>
          <w:color w:val="000000"/>
          <w:kern w:val="0"/>
          <w:sz w:val="32"/>
          <w:szCs w:val="32"/>
          <w:lang w:val="en-US" w:eastAsia="zh-CN" w:bidi="ar"/>
        </w:rPr>
        <w:t xml:space="preserve">            </w:t>
      </w:r>
      <w:bookmarkStart w:id="0" w:name="_GoBack"/>
      <w:bookmarkEnd w:id="0"/>
    </w:p>
    <w:p w14:paraId="185140C3">
      <w:pPr>
        <w:keepNext w:val="0"/>
        <w:keepLines w:val="0"/>
        <w:pageBreakBefore w:val="0"/>
        <w:widowControl w:val="0"/>
        <w:suppressLineNumbers w:val="0"/>
        <w:kinsoku/>
        <w:wordWrap/>
        <w:overflowPunct/>
        <w:topLinePunct w:val="0"/>
        <w:autoSpaceDE w:val="0"/>
        <w:autoSpaceDN/>
        <w:bidi w:val="0"/>
        <w:spacing w:before="0" w:beforeLines="0" w:beforeAutospacing="0" w:after="0" w:afterLines="0" w:afterAutospacing="0" w:line="560" w:lineRule="exact"/>
        <w:ind w:left="0" w:right="0" w:firstLine="0" w:firstLineChars="0"/>
        <w:jc w:val="both"/>
        <w:textAlignment w:val="bottom"/>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地址：</w:t>
      </w:r>
      <w:r>
        <w:rPr>
          <w:rFonts w:hint="eastAsia" w:ascii="仿宋_GB2312" w:hAnsi="仿宋_GB2312" w:eastAsia="仿宋_GB2312" w:cs="仿宋_GB2312"/>
          <w:b w:val="0"/>
          <w:bCs w:val="0"/>
          <w:color w:val="auto"/>
          <w:kern w:val="2"/>
          <w:sz w:val="32"/>
          <w:szCs w:val="32"/>
          <w:u w:val="none"/>
          <w:lang w:val="en-US" w:eastAsia="zh-CN" w:bidi="ar-SA"/>
        </w:rPr>
        <w:t>温县南张羌北渠河村</w:t>
      </w:r>
    </w:p>
    <w:p w14:paraId="00A5F6C9">
      <w:pPr>
        <w:keepNext w:val="0"/>
        <w:keepLines w:val="0"/>
        <w:pageBreakBefore w:val="0"/>
        <w:widowControl w:val="0"/>
        <w:suppressLineNumbers w:val="0"/>
        <w:kinsoku/>
        <w:wordWrap/>
        <w:overflowPunct/>
        <w:topLinePunct w:val="0"/>
        <w:autoSpaceDN/>
        <w:bidi w:val="0"/>
        <w:spacing w:before="0" w:beforeLines="0" w:beforeAutospacing="0" w:after="0" w:afterLines="0" w:afterAutospacing="0" w:line="560" w:lineRule="exact"/>
        <w:ind w:left="0" w:leftChars="0" w:right="0" w:firstLine="0" w:firstLineChars="0"/>
        <w:jc w:val="both"/>
        <w:textAlignment w:val="bottom"/>
        <w:rPr>
          <w:rFonts w:hint="eastAsia" w:ascii="FangSong_GB2312" w:hAnsi="FangSong_GB2312" w:eastAsia="FangSong_GB2312" w:cs="FangSong_GB2312"/>
          <w:color w:val="auto"/>
          <w:sz w:val="32"/>
          <w:szCs w:val="32"/>
          <w:lang w:val="en-US" w:eastAsia="zh-CN"/>
        </w:rPr>
      </w:pPr>
      <w:r>
        <w:rPr>
          <w:rFonts w:hint="eastAsia" w:ascii="黑体" w:hAnsi="宋体" w:eastAsia="黑体" w:cs="黑体"/>
          <w:color w:val="000000"/>
          <w:kern w:val="0"/>
          <w:sz w:val="32"/>
          <w:szCs w:val="32"/>
          <w:lang w:val="en-US" w:eastAsia="zh-CN" w:bidi="ar"/>
        </w:rPr>
        <w:t>法定代表人（负责人）：</w:t>
      </w:r>
      <w:r>
        <w:rPr>
          <w:rFonts w:hint="eastAsia" w:ascii="仿宋_GB2312" w:hAnsi="仿宋_GB2312" w:eastAsia="仿宋_GB2312" w:cs="仿宋_GB2312"/>
          <w:b w:val="0"/>
          <w:bCs w:val="0"/>
          <w:color w:val="auto"/>
          <w:kern w:val="2"/>
          <w:sz w:val="32"/>
          <w:szCs w:val="32"/>
          <w:u w:val="none"/>
          <w:lang w:val="en-US" w:eastAsia="zh-CN" w:bidi="ar-SA"/>
        </w:rPr>
        <w:t>张立斌</w:t>
      </w:r>
      <w:r>
        <w:rPr>
          <w:rFonts w:hint="eastAsia" w:ascii="仿宋_GB2312" w:hAnsi="Times New Roman" w:eastAsia="仿宋_GB2312" w:cs="仿宋_GB2312"/>
          <w:color w:val="000000"/>
          <w:kern w:val="0"/>
          <w:sz w:val="32"/>
          <w:szCs w:val="32"/>
          <w:lang w:val="en-US" w:eastAsia="zh-CN" w:bidi="ar"/>
        </w:rPr>
        <w:t xml:space="preserve">   </w:t>
      </w:r>
      <w:r>
        <w:rPr>
          <w:rFonts w:hint="eastAsia" w:ascii="仿宋_GB2312" w:hAnsi="仿宋_GB2312" w:eastAsia="仿宋_GB2312" w:cs="仿宋_GB2312"/>
          <w:color w:val="000000"/>
          <w:kern w:val="0"/>
          <w:sz w:val="32"/>
          <w:szCs w:val="32"/>
          <w:lang w:val="en-US" w:eastAsia="zh-CN" w:bidi="ar"/>
        </w:rPr>
        <w:t xml:space="preserve"> </w:t>
      </w:r>
    </w:p>
    <w:p w14:paraId="38BDB08D">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39A5FD6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2025年11月</w:t>
      </w:r>
      <w:r>
        <w:rPr>
          <w:rFonts w:hint="eastAsia" w:ascii="仿宋_GB2312" w:hAnsi="仿宋_GB2312" w:eastAsia="仿宋_GB2312" w:cs="仿宋_GB2312"/>
          <w:b w:val="0"/>
          <w:bCs w:val="0"/>
          <w:color w:val="auto"/>
          <w:kern w:val="2"/>
          <w:sz w:val="32"/>
          <w:szCs w:val="32"/>
          <w:u w:val="none"/>
          <w:lang w:val="en-US" w:eastAsia="zh" w:bidi="ar-SA"/>
        </w:rPr>
        <w:t>5</w:t>
      </w:r>
      <w:r>
        <w:rPr>
          <w:rFonts w:hint="eastAsia" w:ascii="仿宋_GB2312" w:hAnsi="仿宋_GB2312" w:eastAsia="仿宋_GB2312" w:cs="仿宋_GB2312"/>
          <w:b w:val="0"/>
          <w:bCs w:val="0"/>
          <w:color w:val="auto"/>
          <w:kern w:val="2"/>
          <w:sz w:val="32"/>
          <w:szCs w:val="32"/>
          <w:u w:val="none"/>
          <w:lang w:val="en-US" w:eastAsia="zh-CN" w:bidi="ar-SA"/>
        </w:rPr>
        <w:t>日，我局执法人员对你单位重污染天气管控措施落实情况进行了现场检查，2025年11月4日0时启动重污染天气橙色预警（Ⅱ级响应），你单位《2025年重污染天气应急减排“一厂一策”实施方案》中橙色预警期间应执行：搅拌、烘干、沥青加热等涉气工序停产，停止使用国四及以下重型载货汽车（含燃气）进行运输、国五及以下重型燃气货车进行运输，停止使用国三以下非道路移动机械作业。现场检查时你单位正在生产，搅拌罐正在运行，1辆商品混凝土车正在接料，传送带正在运行，1条（2号）生产线正在上料，料仓正在下料，袋式除尘器正在运行，1辆自卸车正在出厂。你单位负责人承认，从2025年11月4日0时启动重污染天气橙色预警管控期间未停止生产，未按照你单位《2025年重污染天气应急减排“一厂一策”实施方案》落实管控要求，存在未按要求启动应急响应操作方案的行为。</w:t>
      </w:r>
    </w:p>
    <w:p w14:paraId="5276F78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你</w:t>
      </w:r>
      <w:r>
        <w:rPr>
          <w:rFonts w:hint="eastAsia" w:ascii="仿宋_GB2312" w:hAnsi="仿宋_GB2312" w:eastAsia="仿宋_GB2312" w:cs="仿宋_GB2312"/>
          <w:color w:val="auto"/>
          <w:sz w:val="32"/>
          <w:szCs w:val="32"/>
          <w:u w:val="none"/>
        </w:rPr>
        <w:t>单位上述行为违反了《焦作市大气污染防治条例》第三十五条“纳入重</w:t>
      </w:r>
      <w:r>
        <w:rPr>
          <w:rFonts w:hint="eastAsia" w:ascii="仿宋_GB2312" w:hAnsi="仿宋_GB2312" w:eastAsia="仿宋_GB2312" w:cs="仿宋_GB2312"/>
          <w:b w:val="0"/>
          <w:bCs w:val="0"/>
          <w:color w:val="auto"/>
          <w:kern w:val="2"/>
          <w:sz w:val="32"/>
          <w:szCs w:val="32"/>
          <w:u w:val="none"/>
          <w:lang w:val="en-US" w:eastAsia="zh-CN" w:bidi="ar-SA"/>
        </w:rPr>
        <w:t>污染天气应急预案的企业应当根据市、县（市、区）人民政府制定的重污染天气应急预案，制定重污染天气应急响应操作方案，并按照规定备案和及时启动应急响应操作方案。”的规定。</w:t>
      </w:r>
    </w:p>
    <w:p w14:paraId="42390C6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以上事实有以下证据：</w:t>
      </w:r>
    </w:p>
    <w:p w14:paraId="26AAEF3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1.现场检查（勘察）笔录（2025年11月5日），证明你单位存在未按照制定的《2025年重污染天气应急减排“一厂一策”实施方案》落实管控要求，未启动应急响应操作方案的行为；</w:t>
      </w:r>
    </w:p>
    <w:p w14:paraId="6F4DE58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2.调查询问笔录（2025年11月7日对你单位总经理张立斌的调查询问笔录），证明你单位未按照制定的《2025年重污染天气应急减排“一厂一策”实施方案》落实管控要求，未启动应急响应操作方案的事实；</w:t>
      </w:r>
    </w:p>
    <w:p w14:paraId="69D66D6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3.现场勘查示意图（2025年11月5日）；</w:t>
      </w:r>
    </w:p>
    <w:p w14:paraId="4E9CB3A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4.营业执照复印件。证明</w:t>
      </w:r>
      <w:r>
        <w:rPr>
          <w:rFonts w:hint="eastAsia" w:ascii="仿宋_GB2312" w:hAnsi="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b w:val="0"/>
          <w:bCs w:val="0"/>
          <w:color w:val="auto"/>
          <w:kern w:val="2"/>
          <w:sz w:val="32"/>
          <w:szCs w:val="32"/>
          <w:u w:val="none"/>
          <w:lang w:val="en-US" w:eastAsia="zh-CN" w:bidi="ar-SA"/>
        </w:rPr>
        <w:t>单位法人主体资格；</w:t>
      </w:r>
    </w:p>
    <w:p w14:paraId="5F7ED9D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5.现场照片，证明执法过程现场情况；</w:t>
      </w:r>
    </w:p>
    <w:p w14:paraId="653C951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6.年产50万立方米商品混凝土搅拌站项目环境影响报告表证明你单位主要生产设备、产污环节以及要求配套的污染防治设施及建设情况；</w:t>
      </w:r>
    </w:p>
    <w:p w14:paraId="50FBD463">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7.固定污染源排污许可登记回执，证明</w:t>
      </w:r>
      <w:r>
        <w:rPr>
          <w:rFonts w:hint="eastAsia" w:ascii="仿宋_GB2312" w:hAnsi="仿宋_GB2312" w:cs="仿宋_GB2312"/>
          <w:b w:val="0"/>
          <w:bCs w:val="0"/>
          <w:color w:val="auto"/>
          <w:kern w:val="2"/>
          <w:sz w:val="32"/>
          <w:szCs w:val="32"/>
          <w:u w:val="none"/>
          <w:lang w:val="en-US" w:eastAsia="zh-CN" w:bidi="ar-SA"/>
        </w:rPr>
        <w:t>你单位</w:t>
      </w:r>
      <w:r>
        <w:rPr>
          <w:rFonts w:hint="eastAsia" w:ascii="仿宋_GB2312" w:hAnsi="仿宋_GB2312" w:eastAsia="仿宋_GB2312" w:cs="仿宋_GB2312"/>
          <w:b w:val="0"/>
          <w:bCs w:val="0"/>
          <w:color w:val="auto"/>
          <w:kern w:val="2"/>
          <w:sz w:val="32"/>
          <w:szCs w:val="32"/>
          <w:u w:val="none"/>
          <w:lang w:val="en-US" w:eastAsia="zh-CN" w:bidi="ar-SA"/>
        </w:rPr>
        <w:t>排污许可管理类别；</w:t>
      </w:r>
    </w:p>
    <w:p w14:paraId="464EA8E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8.重污染天气管控工业源清单和《2025年重污染天气应急减排“一厂一策”实施方案》；</w:t>
      </w:r>
    </w:p>
    <w:p w14:paraId="5B850C68">
      <w:pPr>
        <w:pStyle w:val="2"/>
        <w:keepNext w:val="0"/>
        <w:keepLines w:val="0"/>
        <w:pageBreakBefore w:val="0"/>
        <w:widowControl w:val="0"/>
        <w:kinsoku/>
        <w:wordWrap/>
        <w:overflowPunct/>
        <w:topLinePunct w:val="0"/>
        <w:autoSpaceDE/>
        <w:autoSpaceDN/>
        <w:bidi w:val="0"/>
        <w:spacing w:line="560" w:lineRule="exact"/>
        <w:jc w:val="both"/>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9.焦环委办〔2025〕33、34号文件，证明：启动和解除重污染天气橙色预警（Ⅱ级响应）的时间；</w:t>
      </w:r>
    </w:p>
    <w:p w14:paraId="2D58847E">
      <w:pPr>
        <w:pStyle w:val="2"/>
        <w:keepNext w:val="0"/>
        <w:keepLines w:val="0"/>
        <w:pageBreakBefore w:val="0"/>
        <w:widowControl w:val="0"/>
        <w:kinsoku/>
        <w:wordWrap/>
        <w:overflowPunct/>
        <w:topLinePunct w:val="0"/>
        <w:autoSpaceDE/>
        <w:autoSpaceDN/>
        <w:bidi w:val="0"/>
        <w:spacing w:line="560" w:lineRule="exact"/>
        <w:jc w:val="both"/>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10.温县2025年工业源清单(节选)，证明：你单位被列入2025-2026年秋冬季重污染天气应急减排清单名单中；</w:t>
      </w:r>
    </w:p>
    <w:p w14:paraId="06891F97">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val="0"/>
          <w:bCs w:val="0"/>
          <w:color w:val="auto"/>
          <w:kern w:val="2"/>
          <w:sz w:val="32"/>
          <w:szCs w:val="32"/>
          <w:u w:val="none"/>
          <w:lang w:val="en-US" w:eastAsia="zh-CN" w:bidi="ar-SA"/>
        </w:rPr>
        <w:t>11.其他证据材料。</w:t>
      </w:r>
      <w:r>
        <w:rPr>
          <w:rFonts w:hint="eastAsia" w:ascii="仿宋_GB2312" w:hAnsi="仿宋_GB2312" w:eastAsia="仿宋_GB2312" w:cs="仿宋_GB2312"/>
          <w:color w:val="auto"/>
          <w:sz w:val="32"/>
          <w:szCs w:val="32"/>
          <w:u w:val="none"/>
        </w:rPr>
        <w:t xml:space="preserve">     </w:t>
      </w:r>
    </w:p>
    <w:p w14:paraId="33B5C7E1">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FangSong_GB2312" w:hAnsi="FangSong_GB2312" w:eastAsia="FangSong_GB2312" w:cs="FangSong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sz w:val="32"/>
          <w:szCs w:val="32"/>
          <w:u w:val="none" w:color="auto"/>
          <w:lang w:val="en-US" w:eastAsia="zh-CN"/>
        </w:rPr>
        <w:t>我局于2025年11月14日向你单位送达《</w:t>
      </w: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r>
        <w:rPr>
          <w:rFonts w:hint="eastAsia" w:ascii="仿宋_GB2312" w:hAnsi="仿宋_GB2312" w:eastAsia="仿宋_GB2312" w:cs="仿宋_GB2312"/>
          <w:color w:val="000000"/>
          <w:sz w:val="32"/>
          <w:szCs w:val="32"/>
          <w:u w:val="none" w:color="auto"/>
          <w:lang w:val="en-US" w:eastAsia="zh-CN"/>
        </w:rPr>
        <w:t>行政处罚事先(听证)告知书》（焦温环先告</w:t>
      </w:r>
      <w:r>
        <w:rPr>
          <w:rFonts w:hint="eastAsia" w:ascii="仿宋_GB2312" w:hAnsi="仿宋_GB2312" w:eastAsia="仿宋_GB2312" w:cs="仿宋_GB2312"/>
          <w:sz w:val="32"/>
          <w:szCs w:val="32"/>
          <w:u w:val="none"/>
        </w:rPr>
        <w:t>〔</w:t>
      </w:r>
      <w:r>
        <w:rPr>
          <w:rFonts w:hint="eastAsia" w:ascii="仿宋_GB2312" w:hAnsi="仿宋_GB2312" w:eastAsia="仿宋_GB2312" w:cs="仿宋_GB2312"/>
          <w:color w:val="000000"/>
          <w:sz w:val="32"/>
          <w:szCs w:val="32"/>
          <w:u w:val="none" w:color="auto"/>
          <w:lang w:val="en-US" w:eastAsia="zh-CN"/>
        </w:rPr>
        <w:t>2025</w:t>
      </w:r>
      <w:r>
        <w:rPr>
          <w:rFonts w:hint="eastAsia" w:ascii="仿宋_GB2312" w:hAnsi="仿宋_GB2312" w:eastAsia="仿宋_GB2312" w:cs="仿宋_GB2312"/>
          <w:b w:val="0"/>
          <w:bCs w:val="0"/>
          <w:color w:val="auto"/>
          <w:kern w:val="2"/>
          <w:sz w:val="32"/>
          <w:szCs w:val="32"/>
          <w:u w:val="none"/>
          <w:lang w:val="en-US" w:eastAsia="zh-CN" w:bidi="ar-SA"/>
        </w:rPr>
        <w:t>〕</w:t>
      </w:r>
      <w:r>
        <w:rPr>
          <w:rFonts w:hint="eastAsia" w:ascii="仿宋_GB2312" w:hAnsi="仿宋_GB2312" w:eastAsia="仿宋_GB2312" w:cs="仿宋_GB2312"/>
          <w:color w:val="000000"/>
          <w:sz w:val="32"/>
          <w:szCs w:val="32"/>
          <w:u w:val="none" w:color="auto"/>
          <w:lang w:val="en-US" w:eastAsia="zh-CN"/>
        </w:rPr>
        <w:t>39号）文书后，在规定的时间内未进行陈述、申辨。</w:t>
      </w:r>
    </w:p>
    <w:p w14:paraId="56FB2CA9">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763E712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依据《中华人民共和国行政处罚法》第二十八条第一款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的规定，根据</w:t>
      </w:r>
      <w:r>
        <w:rPr>
          <w:rFonts w:hint="eastAsia" w:ascii="仿宋_GB2312" w:hAnsi="仿宋_GB2312" w:cs="仿宋_GB2312"/>
          <w:sz w:val="32"/>
          <w:szCs w:val="32"/>
          <w:u w:val="none"/>
          <w:lang w:eastAsia="zh-CN"/>
        </w:rPr>
        <w:t>你</w:t>
      </w:r>
      <w:r>
        <w:rPr>
          <w:rFonts w:hint="eastAsia" w:ascii="仿宋_GB2312" w:hAnsi="仿宋_GB2312" w:eastAsia="仿宋_GB2312" w:cs="仿宋_GB2312"/>
          <w:sz w:val="32"/>
          <w:szCs w:val="32"/>
          <w:u w:val="none"/>
        </w:rPr>
        <w:t>单位违法行为的事实、性质、情节、社会危害程度和相关证据，参照《</w:t>
      </w:r>
      <w:r>
        <w:rPr>
          <w:rFonts w:hint="eastAsia" w:ascii="仿宋_GB2312" w:hAnsi="仿宋_GB2312" w:cs="仿宋_GB2312"/>
          <w:sz w:val="32"/>
          <w:szCs w:val="32"/>
          <w:u w:val="none"/>
          <w:lang w:val="en-US" w:eastAsia="zh-CN"/>
        </w:rPr>
        <w:t>焦作市</w:t>
      </w:r>
      <w:r>
        <w:rPr>
          <w:rFonts w:hint="eastAsia" w:ascii="仿宋_GB2312" w:hAnsi="仿宋_GB2312" w:eastAsia="仿宋_GB2312" w:cs="仿宋_GB2312"/>
          <w:sz w:val="32"/>
          <w:szCs w:val="32"/>
          <w:u w:val="none"/>
        </w:rPr>
        <w:t>生态环境行政处罚裁量基准》（</w:t>
      </w:r>
      <w:r>
        <w:rPr>
          <w:rFonts w:hint="eastAsia" w:ascii="仿宋_GB2312" w:hAnsi="仿宋_GB2312" w:cs="仿宋_GB2312"/>
          <w:sz w:val="32"/>
          <w:szCs w:val="32"/>
          <w:u w:val="none"/>
          <w:lang w:val="en-US" w:eastAsia="zh-CN"/>
        </w:rPr>
        <w:t>焦</w:t>
      </w:r>
      <w:r>
        <w:rPr>
          <w:rFonts w:hint="eastAsia" w:ascii="仿宋_GB2312" w:hAnsi="仿宋_GB2312" w:eastAsia="仿宋_GB2312" w:cs="仿宋_GB2312"/>
          <w:sz w:val="32"/>
          <w:szCs w:val="32"/>
          <w:u w:val="none"/>
        </w:rPr>
        <w:t>环</w:t>
      </w:r>
      <w:r>
        <w:rPr>
          <w:rFonts w:hint="eastAsia" w:ascii="仿宋_GB2312" w:hAnsi="仿宋_GB2312" w:cs="仿宋_GB2312"/>
          <w:sz w:val="32"/>
          <w:szCs w:val="32"/>
          <w:u w:val="none"/>
          <w:lang w:val="en-US" w:eastAsia="zh-CN"/>
        </w:rPr>
        <w:t>文</w:t>
      </w:r>
      <w:r>
        <w:rPr>
          <w:rFonts w:hint="eastAsia" w:ascii="仿宋_GB2312" w:hAnsi="仿宋_GB2312" w:eastAsia="仿宋_GB2312" w:cs="仿宋_GB2312"/>
          <w:sz w:val="32"/>
          <w:szCs w:val="32"/>
          <w:u w:val="none"/>
        </w:rPr>
        <w:t xml:space="preserve"> 〔202</w:t>
      </w:r>
      <w:r>
        <w:rPr>
          <w:rFonts w:hint="eastAsia" w:ascii="仿宋_GB2312" w:hAnsi="仿宋_GB2312" w:cs="仿宋_GB2312"/>
          <w:sz w:val="32"/>
          <w:szCs w:val="32"/>
          <w:u w:val="none"/>
          <w:lang w:val="en-US" w:eastAsia="zh-CN"/>
        </w:rPr>
        <w:t>5</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31</w:t>
      </w:r>
      <w:r>
        <w:rPr>
          <w:rFonts w:hint="eastAsia" w:ascii="仿宋_GB2312" w:hAnsi="仿宋_GB2312" w:eastAsia="仿宋_GB2312" w:cs="仿宋_GB2312"/>
          <w:sz w:val="32"/>
          <w:szCs w:val="32"/>
          <w:u w:val="none"/>
        </w:rPr>
        <w:t>号），结合当事人违法行为事实，裁量内容如下：</w:t>
      </w:r>
    </w:p>
    <w:p w14:paraId="6BB18772">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cs="仿宋_GB2312"/>
          <w:sz w:val="32"/>
          <w:szCs w:val="32"/>
          <w:u w:val="none"/>
          <w:lang w:val="en-US" w:eastAsia="zh-CN"/>
        </w:rPr>
        <w:t xml:space="preserve">A.★违法行为发生时期敏感度：重污染天气橙色预警期间，裁量等级为3； </w:t>
      </w:r>
    </w:p>
    <w:p w14:paraId="6C02251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cs="仿宋_GB2312"/>
          <w:sz w:val="32"/>
          <w:szCs w:val="32"/>
          <w:u w:val="none"/>
          <w:lang w:val="en-US" w:eastAsia="zh-CN"/>
        </w:rPr>
        <w:t>B1.污染防治设施：按规定使用污染防治措施或无污染防治要求的，裁量等级为1；</w:t>
      </w:r>
    </w:p>
    <w:p w14:paraId="30D9A91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w:t>
      </w:r>
      <w:r>
        <w:rPr>
          <w:rFonts w:hint="eastAsia" w:ascii="仿宋_GB2312" w:hAnsi="仿宋_GB2312" w:cs="仿宋_GB2312"/>
          <w:sz w:val="32"/>
          <w:szCs w:val="32"/>
          <w:u w:val="none"/>
          <w:lang w:val="en-US" w:eastAsia="zh-CN"/>
        </w:rPr>
        <w:t>企业规模：微型企业</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6F0B207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B3.违法行为持续时间：</w:t>
      </w:r>
      <w:r>
        <w:rPr>
          <w:rFonts w:hint="eastAsia" w:ascii="仿宋_GB2312" w:hAnsi="仿宋_GB2312" w:cs="仿宋_GB2312"/>
          <w:sz w:val="32"/>
          <w:szCs w:val="32"/>
          <w:u w:val="none"/>
          <w:lang w:val="en-US" w:eastAsia="zh-CN"/>
        </w:rPr>
        <w:t>2</w:t>
      </w:r>
      <w:r>
        <w:rPr>
          <w:rFonts w:hint="eastAsia" w:ascii="仿宋_GB2312" w:hAnsi="仿宋_GB2312" w:cs="仿宋_GB2312"/>
          <w:sz w:val="32"/>
          <w:szCs w:val="32"/>
          <w:u w:val="none"/>
          <w:lang w:eastAsia="zh-CN"/>
        </w:rPr>
        <w:t>天</w:t>
      </w:r>
      <w:r>
        <w:rPr>
          <w:rFonts w:hint="eastAsia" w:ascii="仿宋_GB2312" w:hAnsi="仿宋_GB2312" w:eastAsia="仿宋_GB2312" w:cs="仿宋_GB2312"/>
          <w:sz w:val="32"/>
          <w:szCs w:val="32"/>
          <w:u w:val="none"/>
        </w:rPr>
        <w:t xml:space="preserve">以下，裁量等级为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66B08EB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u w:val="none"/>
          <w:lang w:val="en-US" w:eastAsia="zh-CN"/>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违法行为发生地：符合环境功能规划，裁量等级为1；</w:t>
      </w:r>
    </w:p>
    <w:p w14:paraId="39B0177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w:t>
      </w:r>
      <w:r>
        <w:rPr>
          <w:rFonts w:hint="eastAsia" w:ascii="仿宋_GB2312" w:hAnsi="仿宋_GB2312" w:cs="仿宋_GB2312"/>
          <w:sz w:val="32"/>
          <w:szCs w:val="32"/>
          <w:u w:val="none"/>
          <w:lang w:val="en-US" w:eastAsia="zh-CN"/>
        </w:rPr>
        <w:t>超过限期改正时间</w:t>
      </w:r>
      <w:r>
        <w:rPr>
          <w:rFonts w:hint="eastAsia" w:ascii="仿宋_GB2312" w:hAnsi="仿宋_GB2312" w:eastAsia="仿宋_GB2312" w:cs="仿宋_GB2312"/>
          <w:sz w:val="32"/>
          <w:szCs w:val="32"/>
          <w:u w:val="none"/>
        </w:rPr>
        <w:t>：</w:t>
      </w:r>
      <w:r>
        <w:rPr>
          <w:rFonts w:hint="eastAsia" w:ascii="仿宋_GB2312" w:hAnsi="仿宋_GB2312" w:cs="仿宋_GB2312"/>
          <w:color w:val="auto"/>
          <w:sz w:val="32"/>
          <w:szCs w:val="32"/>
          <w:u w:val="none"/>
          <w:shd w:val="clear" w:color="auto" w:fill="auto"/>
          <w:lang w:val="en-US" w:eastAsia="zh-CN"/>
        </w:rPr>
        <w:t>限期改正</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违法行为发生频次</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1次</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6F2F107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 xml:space="preserve">受处罚次数：两年内未受到同类处罚，裁量等级为 1； </w:t>
      </w:r>
    </w:p>
    <w:p w14:paraId="03980202">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7</w:t>
      </w:r>
      <w:r>
        <w:rPr>
          <w:rFonts w:hint="eastAsia" w:ascii="仿宋_GB2312" w:hAnsi="仿宋_GB2312" w:eastAsia="仿宋_GB2312" w:cs="仿宋_GB2312"/>
          <w:sz w:val="32"/>
          <w:szCs w:val="32"/>
          <w:u w:val="none"/>
        </w:rPr>
        <w:t xml:space="preserve">.是否配合执法检查：配合调查，裁量等级为 1。 </w:t>
      </w:r>
    </w:p>
    <w:p w14:paraId="4B0ABE6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7"/>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675"/>
        <w:gridCol w:w="615"/>
        <w:gridCol w:w="600"/>
      </w:tblGrid>
      <w:tr w14:paraId="37500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5" w:type="dxa"/>
            <w:noWrap w:val="0"/>
            <w:vAlign w:val="top"/>
          </w:tcPr>
          <w:p w14:paraId="0AADFF3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参数</w:t>
            </w:r>
          </w:p>
        </w:tc>
        <w:tc>
          <w:tcPr>
            <w:tcW w:w="555" w:type="dxa"/>
            <w:noWrap w:val="0"/>
            <w:vAlign w:val="top"/>
          </w:tcPr>
          <w:p w14:paraId="7F6603E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N</w:t>
            </w:r>
          </w:p>
        </w:tc>
        <w:tc>
          <w:tcPr>
            <w:tcW w:w="780" w:type="dxa"/>
            <w:noWrap w:val="0"/>
            <w:vAlign w:val="top"/>
          </w:tcPr>
          <w:p w14:paraId="25D29DF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M</w:t>
            </w:r>
          </w:p>
        </w:tc>
        <w:tc>
          <w:tcPr>
            <w:tcW w:w="510" w:type="dxa"/>
            <w:noWrap w:val="0"/>
            <w:vAlign w:val="top"/>
          </w:tcPr>
          <w:p w14:paraId="64200390">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A</w:t>
            </w:r>
          </w:p>
        </w:tc>
        <w:tc>
          <w:tcPr>
            <w:tcW w:w="540" w:type="dxa"/>
            <w:noWrap w:val="0"/>
            <w:vAlign w:val="top"/>
          </w:tcPr>
          <w:p w14:paraId="0C788C94">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n</w:t>
            </w:r>
          </w:p>
        </w:tc>
        <w:tc>
          <w:tcPr>
            <w:tcW w:w="555" w:type="dxa"/>
            <w:noWrap w:val="0"/>
            <w:vAlign w:val="top"/>
          </w:tcPr>
          <w:p w14:paraId="036961E0">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1</w:t>
            </w:r>
          </w:p>
        </w:tc>
        <w:tc>
          <w:tcPr>
            <w:tcW w:w="630" w:type="dxa"/>
            <w:noWrap w:val="0"/>
            <w:vAlign w:val="top"/>
          </w:tcPr>
          <w:p w14:paraId="3C0BC2E1">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2</w:t>
            </w:r>
          </w:p>
        </w:tc>
        <w:tc>
          <w:tcPr>
            <w:tcW w:w="633" w:type="dxa"/>
            <w:noWrap w:val="0"/>
            <w:vAlign w:val="top"/>
          </w:tcPr>
          <w:p w14:paraId="6B0A624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eastAsia="仿宋_GB2312" w:cs="仿宋_GB2312"/>
                <w:color w:val="3E3E3E"/>
                <w:kern w:val="0"/>
                <w:sz w:val="32"/>
                <w:szCs w:val="32"/>
                <w:u w:val="none"/>
                <w:shd w:val="clear" w:color="auto" w:fill="FFFFFF"/>
              </w:rPr>
              <w:t>B</w:t>
            </w:r>
            <w:r>
              <w:rPr>
                <w:rFonts w:hint="eastAsia" w:ascii="仿宋_GB2312" w:hAnsi="仿宋_GB2312" w:eastAsia="仿宋_GB2312" w:cs="仿宋_GB2312"/>
                <w:color w:val="3E3E3E"/>
                <w:kern w:val="0"/>
                <w:sz w:val="32"/>
                <w:szCs w:val="32"/>
                <w:u w:val="none"/>
                <w:shd w:val="clear" w:color="auto" w:fill="FFFFFF"/>
                <w:lang w:val="en-US" w:eastAsia="zh-CN"/>
              </w:rPr>
              <w:t>3</w:t>
            </w:r>
          </w:p>
        </w:tc>
        <w:tc>
          <w:tcPr>
            <w:tcW w:w="732" w:type="dxa"/>
            <w:noWrap w:val="0"/>
            <w:vAlign w:val="top"/>
          </w:tcPr>
          <w:p w14:paraId="30CB85AC">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B4</w:t>
            </w:r>
          </w:p>
        </w:tc>
        <w:tc>
          <w:tcPr>
            <w:tcW w:w="675" w:type="dxa"/>
            <w:noWrap w:val="0"/>
            <w:vAlign w:val="top"/>
          </w:tcPr>
          <w:p w14:paraId="3F47B4F5">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B5</w:t>
            </w:r>
          </w:p>
        </w:tc>
        <w:tc>
          <w:tcPr>
            <w:tcW w:w="615" w:type="dxa"/>
            <w:noWrap w:val="0"/>
            <w:vAlign w:val="top"/>
          </w:tcPr>
          <w:p w14:paraId="476837B2">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B6</w:t>
            </w:r>
          </w:p>
        </w:tc>
        <w:tc>
          <w:tcPr>
            <w:tcW w:w="600" w:type="dxa"/>
            <w:noWrap w:val="0"/>
            <w:vAlign w:val="top"/>
          </w:tcPr>
          <w:p w14:paraId="390280C3">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B7</w:t>
            </w:r>
          </w:p>
        </w:tc>
      </w:tr>
      <w:tr w14:paraId="60AB1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5" w:type="dxa"/>
            <w:noWrap w:val="0"/>
            <w:vAlign w:val="top"/>
          </w:tcPr>
          <w:p w14:paraId="7A50DCA0">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取值</w:t>
            </w:r>
          </w:p>
        </w:tc>
        <w:tc>
          <w:tcPr>
            <w:tcW w:w="555" w:type="dxa"/>
            <w:noWrap w:val="0"/>
            <w:vAlign w:val="top"/>
          </w:tcPr>
          <w:p w14:paraId="128AE2F3">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780" w:type="dxa"/>
            <w:noWrap w:val="0"/>
            <w:vAlign w:val="top"/>
          </w:tcPr>
          <w:p w14:paraId="25EFB1E0">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5</w:t>
            </w:r>
          </w:p>
        </w:tc>
        <w:tc>
          <w:tcPr>
            <w:tcW w:w="510" w:type="dxa"/>
            <w:noWrap w:val="0"/>
            <w:vAlign w:val="top"/>
          </w:tcPr>
          <w:p w14:paraId="09047762">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3</w:t>
            </w:r>
          </w:p>
        </w:tc>
        <w:tc>
          <w:tcPr>
            <w:tcW w:w="540" w:type="dxa"/>
            <w:noWrap w:val="0"/>
            <w:vAlign w:val="top"/>
          </w:tcPr>
          <w:p w14:paraId="48EAF790">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lang w:val="en-US" w:eastAsia="zh-CN"/>
              </w:rPr>
              <w:t>7</w:t>
            </w:r>
          </w:p>
        </w:tc>
        <w:tc>
          <w:tcPr>
            <w:tcW w:w="555" w:type="dxa"/>
            <w:noWrap w:val="0"/>
            <w:vAlign w:val="top"/>
          </w:tcPr>
          <w:p w14:paraId="13E3B4E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30" w:type="dxa"/>
            <w:noWrap w:val="0"/>
            <w:vAlign w:val="top"/>
          </w:tcPr>
          <w:p w14:paraId="3D07DFBF">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rPr>
            </w:pPr>
            <w:r>
              <w:rPr>
                <w:rFonts w:hint="eastAsia" w:ascii="仿宋_GB2312" w:hAnsi="仿宋_GB2312" w:eastAsia="仿宋_GB2312" w:cs="仿宋_GB2312"/>
                <w:color w:val="3E3E3E"/>
                <w:kern w:val="0"/>
                <w:sz w:val="32"/>
                <w:szCs w:val="32"/>
                <w:u w:val="none"/>
                <w:shd w:val="clear" w:color="auto" w:fill="FFFFFF"/>
              </w:rPr>
              <w:t>1</w:t>
            </w:r>
          </w:p>
        </w:tc>
        <w:tc>
          <w:tcPr>
            <w:tcW w:w="633" w:type="dxa"/>
            <w:noWrap w:val="0"/>
            <w:vAlign w:val="top"/>
          </w:tcPr>
          <w:p w14:paraId="7B18E29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732" w:type="dxa"/>
            <w:noWrap w:val="0"/>
            <w:vAlign w:val="top"/>
          </w:tcPr>
          <w:p w14:paraId="12E11F61">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75" w:type="dxa"/>
            <w:noWrap w:val="0"/>
            <w:vAlign w:val="top"/>
          </w:tcPr>
          <w:p w14:paraId="5CEB3681">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15" w:type="dxa"/>
            <w:noWrap w:val="0"/>
            <w:vAlign w:val="top"/>
          </w:tcPr>
          <w:p w14:paraId="5DD26D4D">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c>
          <w:tcPr>
            <w:tcW w:w="600" w:type="dxa"/>
            <w:noWrap w:val="0"/>
            <w:vAlign w:val="top"/>
          </w:tcPr>
          <w:p w14:paraId="7F1C2CF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cs="仿宋_GB2312"/>
                <w:color w:val="3E3E3E"/>
                <w:kern w:val="0"/>
                <w:sz w:val="32"/>
                <w:szCs w:val="32"/>
                <w:u w:val="none"/>
                <w:shd w:val="clear" w:color="auto" w:fill="FFFFFF"/>
                <w:lang w:val="en-US" w:eastAsia="zh-CN"/>
              </w:rPr>
              <w:t>1</w:t>
            </w:r>
          </w:p>
        </w:tc>
      </w:tr>
    </w:tbl>
    <w:p w14:paraId="06BD5FC2">
      <w:pPr>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left="0" w:leftChars="0" w:right="0" w:rightChars="0" w:firstLine="0" w:firstLineChars="0"/>
        <w:jc w:val="left"/>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color w:val="3E3E3E"/>
          <w:kern w:val="0"/>
          <w:sz w:val="32"/>
          <w:szCs w:val="32"/>
          <w:u w:val="none"/>
          <w:shd w:val="clear" w:color="auto" w:fill="FFFFFF"/>
        </w:rPr>
        <w:t>X=</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1</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cs="仿宋_GB2312"/>
          <w:color w:val="3E3E3E"/>
          <w:kern w:val="0"/>
          <w:sz w:val="32"/>
          <w:szCs w:val="32"/>
          <w:u w:val="none"/>
          <w:shd w:val="clear" w:color="auto" w:fill="FFFFFF"/>
          <w:lang w:val="en-US" w:eastAsia="zh-CN"/>
        </w:rPr>
        <w:t>3</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val="en-US" w:eastAsia="zh-CN"/>
        </w:rPr>
        <w:t>+1</w:t>
      </w:r>
      <w:r>
        <w:rPr>
          <w:rFonts w:hint="eastAsia" w:ascii="仿宋_GB2312" w:hAnsi="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lang w:eastAsia="zh-CN"/>
        </w:rPr>
        <w:t>）</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eastAsia="仿宋_GB2312" w:cs="仿宋_GB2312"/>
          <w:color w:val="3E3E3E"/>
          <w:kern w:val="0"/>
          <w:sz w:val="32"/>
          <w:szCs w:val="32"/>
          <w:u w:val="none"/>
          <w:shd w:val="clear" w:color="auto" w:fill="FFFFFF"/>
          <w:lang w:val="en-US" w:eastAsia="zh-CN"/>
        </w:rPr>
        <w:t>5</w:t>
      </w:r>
      <w:r>
        <w:rPr>
          <w:rFonts w:hint="eastAsia" w:ascii="仿宋_GB2312" w:hAnsi="仿宋_GB2312" w:eastAsia="仿宋_GB2312" w:cs="仿宋_GB2312"/>
          <w:color w:val="3E3E3E"/>
          <w:kern w:val="0"/>
          <w:sz w:val="32"/>
          <w:szCs w:val="32"/>
          <w:u w:val="none"/>
          <w:shd w:val="clear" w:color="auto" w:fill="FFFFFF"/>
          <w:vertAlign w:val="superscript"/>
          <w:lang w:val="en-US" w:eastAsia="zh-CN"/>
        </w:rPr>
        <w:t>2</w:t>
      </w:r>
      <w:r>
        <w:rPr>
          <w:rFonts w:hint="eastAsia" w:ascii="仿宋_GB2312" w:hAnsi="仿宋_GB2312" w:eastAsia="仿宋_GB2312" w:cs="仿宋_GB2312"/>
          <w:color w:val="3E3E3E"/>
          <w:kern w:val="0"/>
          <w:sz w:val="32"/>
          <w:szCs w:val="32"/>
          <w:u w:val="none"/>
          <w:shd w:val="clear" w:color="auto" w:fill="FFFFFF"/>
        </w:rPr>
        <w:t>×</w:t>
      </w:r>
      <w:r>
        <w:rPr>
          <w:rFonts w:hint="eastAsia" w:ascii="仿宋_GB2312" w:hAnsi="仿宋_GB2312" w:cs="仿宋_GB2312"/>
          <w:color w:val="3E3E3E"/>
          <w:kern w:val="0"/>
          <w:sz w:val="32"/>
          <w:szCs w:val="32"/>
          <w:u w:val="none"/>
          <w:shd w:val="clear" w:color="auto" w:fill="FFFFFF"/>
          <w:lang w:val="en-US" w:eastAsia="zh-CN"/>
        </w:rPr>
        <w:t>7</w:t>
      </w:r>
      <w:r>
        <w:rPr>
          <w:rFonts w:hint="eastAsia" w:ascii="仿宋_GB2312" w:hAnsi="仿宋_GB2312" w:eastAsia="仿宋_GB2312" w:cs="仿宋_GB2312"/>
          <w:color w:val="3E3E3E"/>
          <w:kern w:val="0"/>
          <w:sz w:val="32"/>
          <w:szCs w:val="32"/>
          <w:u w:val="none"/>
          <w:shd w:val="clear" w:color="auto" w:fill="FFFFFF"/>
        </w:rPr>
        <w:t>）]×50%=</w:t>
      </w:r>
      <w:r>
        <w:rPr>
          <w:rFonts w:hint="eastAsia" w:ascii="仿宋_GB2312" w:hAnsi="仿宋_GB2312" w:eastAsia="仿宋_GB2312" w:cs="仿宋_GB2312"/>
          <w:color w:val="3E3E3E"/>
          <w:kern w:val="0"/>
          <w:sz w:val="32"/>
          <w:szCs w:val="32"/>
          <w:u w:val="none"/>
          <w:shd w:val="clear" w:color="auto" w:fill="FFFFFF"/>
          <w:lang w:val="en-US" w:eastAsia="zh-CN"/>
        </w:rPr>
        <w:t>1.8万元</w:t>
      </w:r>
    </w:p>
    <w:p w14:paraId="064AC706">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default"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sz w:val="32"/>
          <w:szCs w:val="32"/>
          <w:u w:val="none"/>
        </w:rPr>
        <w:t>处</w:t>
      </w:r>
      <w:r>
        <w:rPr>
          <w:rFonts w:hint="eastAsia" w:ascii="仿宋_GB2312" w:hAnsi="仿宋_GB2312" w:eastAsia="仿宋_GB2312" w:cs="仿宋_GB2312"/>
          <w:color w:val="auto"/>
          <w:sz w:val="32"/>
          <w:szCs w:val="32"/>
          <w:u w:val="none"/>
          <w:lang w:val="en-US" w:eastAsia="zh-CN"/>
        </w:rPr>
        <w:t>壹万捌仟元</w:t>
      </w:r>
      <w:r>
        <w:rPr>
          <w:rFonts w:hint="eastAsia" w:ascii="仿宋_GB2312" w:hAnsi="仿宋_GB2312" w:eastAsia="仿宋_GB2312" w:cs="仿宋_GB2312"/>
          <w:color w:val="auto"/>
          <w:sz w:val="32"/>
          <w:szCs w:val="32"/>
          <w:u w:val="none"/>
        </w:rPr>
        <w:t>罚款（</w:t>
      </w:r>
      <w:r>
        <w:rPr>
          <w:rFonts w:hint="eastAsia" w:ascii="仿宋_GB2312" w:hAnsi="仿宋_GB2312" w:eastAsia="仿宋_GB2312" w:cs="仿宋_GB2312"/>
          <w:color w:val="auto"/>
          <w:sz w:val="32"/>
          <w:szCs w:val="32"/>
          <w:u w:val="none"/>
          <w:lang w:val="en-US" w:eastAsia="zh-CN"/>
        </w:rPr>
        <w:t>1.8</w:t>
      </w:r>
      <w:r>
        <w:rPr>
          <w:rFonts w:hint="eastAsia" w:ascii="仿宋_GB2312" w:hAnsi="仿宋_GB2312" w:eastAsia="仿宋_GB2312" w:cs="仿宋_GB2312"/>
          <w:color w:val="auto"/>
          <w:sz w:val="32"/>
          <w:szCs w:val="32"/>
          <w:u w:val="none"/>
        </w:rPr>
        <w:t>万元）</w:t>
      </w:r>
      <w:r>
        <w:rPr>
          <w:rFonts w:hint="eastAsia" w:ascii="仿宋_GB2312" w:hAnsi="仿宋_GB2312" w:cs="仿宋_GB2312"/>
          <w:color w:val="000000" w:themeColor="text1"/>
          <w:sz w:val="32"/>
          <w:szCs w:val="32"/>
          <w:u w:val="single" w:color="FFFFFF" w:themeColor="background1"/>
          <w:lang w:val="en-US" w:eastAsia="zh-CN"/>
          <w14:textFill>
            <w14:solidFill>
              <w14:schemeClr w14:val="tx1"/>
            </w14:solidFill>
          </w14:textFill>
        </w:rPr>
        <w:t>。</w:t>
      </w:r>
    </w:p>
    <w:p w14:paraId="79BD480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583B0B47">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4894F800">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3AD397F9">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19B826AB">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3FE927D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32F6E95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62BA675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4F9320B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5AF77AC1">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6B11A26E">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6B6785E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361F7277">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5120" w:firstLineChars="16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2025年12月29日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1984" w:left="1587"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03C38">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E8205">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6C6E8205">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1904220">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41904220">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F6BEF">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6B52D5A5">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6B52D5A5">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C54A1">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2858E293">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2858E293">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90307">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668F4B90">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668F4B90">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6935AE"/>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DBF0913"/>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4C6FFB"/>
    <w:rsid w:val="275B2D9A"/>
    <w:rsid w:val="27F3419F"/>
    <w:rsid w:val="28724840"/>
    <w:rsid w:val="28A349F9"/>
    <w:rsid w:val="28B41057"/>
    <w:rsid w:val="2922287F"/>
    <w:rsid w:val="294FB27F"/>
    <w:rsid w:val="296F6FD1"/>
    <w:rsid w:val="2A244EDE"/>
    <w:rsid w:val="2A666797"/>
    <w:rsid w:val="2A783C63"/>
    <w:rsid w:val="2A8B648F"/>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71422F1"/>
    <w:rsid w:val="37367E1B"/>
    <w:rsid w:val="38DB3D3B"/>
    <w:rsid w:val="390D66F3"/>
    <w:rsid w:val="395D0899"/>
    <w:rsid w:val="39DA600C"/>
    <w:rsid w:val="3A44036E"/>
    <w:rsid w:val="3B5B1ACD"/>
    <w:rsid w:val="3BC60A9D"/>
    <w:rsid w:val="3C1A7270"/>
    <w:rsid w:val="3C8F2D11"/>
    <w:rsid w:val="3CD6EEC9"/>
    <w:rsid w:val="3D375BF2"/>
    <w:rsid w:val="3E47FB1D"/>
    <w:rsid w:val="3E990920"/>
    <w:rsid w:val="3EB30AAA"/>
    <w:rsid w:val="3EB5188C"/>
    <w:rsid w:val="3F1A7BAE"/>
    <w:rsid w:val="3F237562"/>
    <w:rsid w:val="3F8E34A5"/>
    <w:rsid w:val="3FDE2B12"/>
    <w:rsid w:val="3FEB17F6"/>
    <w:rsid w:val="3FF53436"/>
    <w:rsid w:val="40177C2B"/>
    <w:rsid w:val="402A5650"/>
    <w:rsid w:val="42440BA3"/>
    <w:rsid w:val="429F792A"/>
    <w:rsid w:val="43754386"/>
    <w:rsid w:val="449A0075"/>
    <w:rsid w:val="44BF705C"/>
    <w:rsid w:val="44FD82B5"/>
    <w:rsid w:val="4588524B"/>
    <w:rsid w:val="47185DA2"/>
    <w:rsid w:val="476E14BB"/>
    <w:rsid w:val="47CA0235"/>
    <w:rsid w:val="47F5EBD9"/>
    <w:rsid w:val="485B747D"/>
    <w:rsid w:val="49311E92"/>
    <w:rsid w:val="493E1CA1"/>
    <w:rsid w:val="493E586F"/>
    <w:rsid w:val="49706E83"/>
    <w:rsid w:val="4AE20311"/>
    <w:rsid w:val="4B3FE7FD"/>
    <w:rsid w:val="4BB93BBC"/>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39C4FEA"/>
    <w:rsid w:val="53CE651E"/>
    <w:rsid w:val="53FB18C1"/>
    <w:rsid w:val="54502B4E"/>
    <w:rsid w:val="555E744F"/>
    <w:rsid w:val="55F840E4"/>
    <w:rsid w:val="565F3E59"/>
    <w:rsid w:val="569F41A2"/>
    <w:rsid w:val="56E75176"/>
    <w:rsid w:val="56FE009F"/>
    <w:rsid w:val="573963A5"/>
    <w:rsid w:val="57EC3417"/>
    <w:rsid w:val="57FDD9BA"/>
    <w:rsid w:val="585B62F1"/>
    <w:rsid w:val="596B0913"/>
    <w:rsid w:val="5A9B86DF"/>
    <w:rsid w:val="5ABF613D"/>
    <w:rsid w:val="5C5A1297"/>
    <w:rsid w:val="5CDFC78A"/>
    <w:rsid w:val="5DFB65D6"/>
    <w:rsid w:val="5F2E07B9"/>
    <w:rsid w:val="5F5F21FF"/>
    <w:rsid w:val="5F77BD67"/>
    <w:rsid w:val="5F7D704B"/>
    <w:rsid w:val="5FB3CDE1"/>
    <w:rsid w:val="5FE30CBD"/>
    <w:rsid w:val="5FF7F2A0"/>
    <w:rsid w:val="601B0D3D"/>
    <w:rsid w:val="623256AA"/>
    <w:rsid w:val="62BC0916"/>
    <w:rsid w:val="639B7BD6"/>
    <w:rsid w:val="63D71080"/>
    <w:rsid w:val="647E1E99"/>
    <w:rsid w:val="651B533C"/>
    <w:rsid w:val="665B420E"/>
    <w:rsid w:val="6674153C"/>
    <w:rsid w:val="677C7366"/>
    <w:rsid w:val="677F7E04"/>
    <w:rsid w:val="67FD2463"/>
    <w:rsid w:val="68FF0E6F"/>
    <w:rsid w:val="6A687275"/>
    <w:rsid w:val="6AFA5023"/>
    <w:rsid w:val="6B6F26A1"/>
    <w:rsid w:val="6BC75ACD"/>
    <w:rsid w:val="6BEE3329"/>
    <w:rsid w:val="6BFDF7D8"/>
    <w:rsid w:val="6C025952"/>
    <w:rsid w:val="6CEF0BB5"/>
    <w:rsid w:val="6D26144E"/>
    <w:rsid w:val="6D96418D"/>
    <w:rsid w:val="6DEFF66C"/>
    <w:rsid w:val="6EA16E48"/>
    <w:rsid w:val="6EF8049C"/>
    <w:rsid w:val="6F9FCCA2"/>
    <w:rsid w:val="6FBFB198"/>
    <w:rsid w:val="6FBFCF44"/>
    <w:rsid w:val="6FD37122"/>
    <w:rsid w:val="6FF9B198"/>
    <w:rsid w:val="71035A94"/>
    <w:rsid w:val="72F83160"/>
    <w:rsid w:val="733E0B1C"/>
    <w:rsid w:val="73FB8F7A"/>
    <w:rsid w:val="74962C31"/>
    <w:rsid w:val="757FF35B"/>
    <w:rsid w:val="758B689E"/>
    <w:rsid w:val="761402B1"/>
    <w:rsid w:val="76226B94"/>
    <w:rsid w:val="76BC6698"/>
    <w:rsid w:val="773F8DC5"/>
    <w:rsid w:val="775CD57C"/>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B730BA"/>
    <w:rsid w:val="7BF28304"/>
    <w:rsid w:val="7BFBD578"/>
    <w:rsid w:val="7BFD6D3F"/>
    <w:rsid w:val="7BFE514B"/>
    <w:rsid w:val="7BFFB4F9"/>
    <w:rsid w:val="7D3922CC"/>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AB95C0"/>
    <w:rsid w:val="7FAEB9F6"/>
    <w:rsid w:val="7FBF3861"/>
    <w:rsid w:val="7FBF96FE"/>
    <w:rsid w:val="7FC9A0F3"/>
    <w:rsid w:val="7FDF19E5"/>
    <w:rsid w:val="7FDF8641"/>
    <w:rsid w:val="7FEFAA2B"/>
    <w:rsid w:val="7FF81EDF"/>
    <w:rsid w:val="7FF86792"/>
    <w:rsid w:val="7FFB66CA"/>
    <w:rsid w:val="7FFD30B5"/>
    <w:rsid w:val="7FFF28E3"/>
    <w:rsid w:val="7FFF309E"/>
    <w:rsid w:val="7FFF50A8"/>
    <w:rsid w:val="7FFFAB99"/>
    <w:rsid w:val="7FFFD837"/>
    <w:rsid w:val="897B4B3D"/>
    <w:rsid w:val="8FBDB79B"/>
    <w:rsid w:val="93FF24CE"/>
    <w:rsid w:val="9A4848C3"/>
    <w:rsid w:val="9C3F5738"/>
    <w:rsid w:val="9DF12117"/>
    <w:rsid w:val="A12FBA0E"/>
    <w:rsid w:val="A5F7A9AE"/>
    <w:rsid w:val="A71F6580"/>
    <w:rsid w:val="ABEE5341"/>
    <w:rsid w:val="ABFFF7D5"/>
    <w:rsid w:val="AC3FA2BA"/>
    <w:rsid w:val="ADFFE666"/>
    <w:rsid w:val="AF0DE260"/>
    <w:rsid w:val="AF1F7F6E"/>
    <w:rsid w:val="AF3F0D63"/>
    <w:rsid w:val="B2FF9F0F"/>
    <w:rsid w:val="B6E75A35"/>
    <w:rsid w:val="B6FFB5B0"/>
    <w:rsid w:val="B7FD3370"/>
    <w:rsid w:val="BBBE4E94"/>
    <w:rsid w:val="BC9F4B72"/>
    <w:rsid w:val="BDFE6AB4"/>
    <w:rsid w:val="BF4C3C8D"/>
    <w:rsid w:val="BF7E25C2"/>
    <w:rsid w:val="BFB66ED3"/>
    <w:rsid w:val="BFDEE33C"/>
    <w:rsid w:val="BFFDCB4F"/>
    <w:rsid w:val="C56C77CB"/>
    <w:rsid w:val="C5F2F9BE"/>
    <w:rsid w:val="C6FC4CD0"/>
    <w:rsid w:val="C6FDB2D1"/>
    <w:rsid w:val="C77B31C3"/>
    <w:rsid w:val="CB5736E5"/>
    <w:rsid w:val="CBF35ACF"/>
    <w:rsid w:val="CDF786C6"/>
    <w:rsid w:val="CF9ACE2B"/>
    <w:rsid w:val="CFE72BC0"/>
    <w:rsid w:val="D3AB412E"/>
    <w:rsid w:val="D3FB8036"/>
    <w:rsid w:val="D53B4355"/>
    <w:rsid w:val="D7FF2EE5"/>
    <w:rsid w:val="DABEE28D"/>
    <w:rsid w:val="DBB7EC3C"/>
    <w:rsid w:val="DBCDDFC5"/>
    <w:rsid w:val="DBDEA60F"/>
    <w:rsid w:val="DBFF7843"/>
    <w:rsid w:val="DDFF5532"/>
    <w:rsid w:val="DEBD7787"/>
    <w:rsid w:val="DEBF4056"/>
    <w:rsid w:val="DEF50B7D"/>
    <w:rsid w:val="DEF6D8F4"/>
    <w:rsid w:val="DF6F9301"/>
    <w:rsid w:val="DF77640A"/>
    <w:rsid w:val="DF7797A7"/>
    <w:rsid w:val="DF7BB42C"/>
    <w:rsid w:val="DF8F2448"/>
    <w:rsid w:val="DFEF4B05"/>
    <w:rsid w:val="DFFAA832"/>
    <w:rsid w:val="E1BD40EC"/>
    <w:rsid w:val="E3FFEAD2"/>
    <w:rsid w:val="E76EE975"/>
    <w:rsid w:val="E77FB84E"/>
    <w:rsid w:val="E7B6D9B0"/>
    <w:rsid w:val="E7F3FB23"/>
    <w:rsid w:val="E9E780C0"/>
    <w:rsid w:val="EB331DEC"/>
    <w:rsid w:val="EBBB5C8B"/>
    <w:rsid w:val="EBDBC23C"/>
    <w:rsid w:val="EC6FFCE4"/>
    <w:rsid w:val="EDDF40AD"/>
    <w:rsid w:val="EEEF4FD2"/>
    <w:rsid w:val="EEF62AF2"/>
    <w:rsid w:val="EEFEA47F"/>
    <w:rsid w:val="EF57D666"/>
    <w:rsid w:val="EF6A62D1"/>
    <w:rsid w:val="EFE74D85"/>
    <w:rsid w:val="EFFA6C98"/>
    <w:rsid w:val="EFFBF659"/>
    <w:rsid w:val="EFFF4059"/>
    <w:rsid w:val="F1B66B73"/>
    <w:rsid w:val="F1DE0216"/>
    <w:rsid w:val="F27BB2DE"/>
    <w:rsid w:val="F2F6F815"/>
    <w:rsid w:val="F3DE72C6"/>
    <w:rsid w:val="F3FBBC3D"/>
    <w:rsid w:val="F5FB8B31"/>
    <w:rsid w:val="F77B0189"/>
    <w:rsid w:val="F77FDEC8"/>
    <w:rsid w:val="F79F4DF5"/>
    <w:rsid w:val="F7BDA03C"/>
    <w:rsid w:val="F7EF41E1"/>
    <w:rsid w:val="F7FC78B6"/>
    <w:rsid w:val="F7FF7323"/>
    <w:rsid w:val="F9B7A365"/>
    <w:rsid w:val="F9FDA610"/>
    <w:rsid w:val="FAFD258F"/>
    <w:rsid w:val="FB774621"/>
    <w:rsid w:val="FBBD7C70"/>
    <w:rsid w:val="FBDFDCD8"/>
    <w:rsid w:val="FBED9DB9"/>
    <w:rsid w:val="FBEE4562"/>
    <w:rsid w:val="FBFA8F1F"/>
    <w:rsid w:val="FBFD176F"/>
    <w:rsid w:val="FD77F19D"/>
    <w:rsid w:val="FD7D0B2C"/>
    <w:rsid w:val="FD8AB020"/>
    <w:rsid w:val="FDBFAAEB"/>
    <w:rsid w:val="FDF3430B"/>
    <w:rsid w:val="FDFACCB6"/>
    <w:rsid w:val="FDFFB57B"/>
    <w:rsid w:val="FDFFE89B"/>
    <w:rsid w:val="FE3E1D92"/>
    <w:rsid w:val="FE7ECFD2"/>
    <w:rsid w:val="FEBB9681"/>
    <w:rsid w:val="FEEB37BD"/>
    <w:rsid w:val="FEEFF743"/>
    <w:rsid w:val="FEF5A2DC"/>
    <w:rsid w:val="FEFE4C8E"/>
    <w:rsid w:val="FEFF7846"/>
    <w:rsid w:val="FF593415"/>
    <w:rsid w:val="FF5F2649"/>
    <w:rsid w:val="FF77193D"/>
    <w:rsid w:val="FF77C7F0"/>
    <w:rsid w:val="FF7E4B8A"/>
    <w:rsid w:val="FF7FB7F5"/>
    <w:rsid w:val="FFBAAAE0"/>
    <w:rsid w:val="FFBB529F"/>
    <w:rsid w:val="FFBC8D5E"/>
    <w:rsid w:val="FFBFB584"/>
    <w:rsid w:val="FFCF6008"/>
    <w:rsid w:val="FFCFAF0B"/>
    <w:rsid w:val="FFD77A67"/>
    <w:rsid w:val="FFE7140D"/>
    <w:rsid w:val="FFFA7DD3"/>
    <w:rsid w:val="FFFBA578"/>
    <w:rsid w:val="FFFF7781"/>
    <w:rsid w:val="FFFFB02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6">
    <w:name w:val="Normal (Web)"/>
    <w:basedOn w:val="1"/>
    <w:qFormat/>
    <w:uiPriority w:val="0"/>
    <w:rPr>
      <w:sz w:val="24"/>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2144</Words>
  <Characters>2330</Characters>
  <Lines>1</Lines>
  <Paragraphs>1</Paragraphs>
  <TotalTime>0</TotalTime>
  <ScaleCrop>false</ScaleCrop>
  <LinksUpToDate>false</LinksUpToDate>
  <CharactersWithSpaces>2411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2023-03-09T17:58:00Z</dcterms:created>
  <dc:creator>冯春有</dc:creator>
  <cp:lastModifiedBy>小可爱1999。</cp:lastModifiedBy>
  <cp:lastPrinted>2025-11-26T09:04:00Z</cp:lastPrinted>
  <dcterms:modified xsi:type="dcterms:W3CDTF">2025-12-30T00:26:36Z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C1757B04D41441ACBE5261B757625245_13</vt:lpwstr>
  </property>
  <property fmtid="{D5CDD505-2E9C-101B-9397-08002B2CF9AE}" pid="4" name="KSOTemplateDocerSaveRecord">
    <vt:lpwstr>eyJoZGlkIjoiZTQyN2M1M2U3YjFhNzg3ZTlhZGQwMGM5ODcyZDJlZWIiLCJ1c2VySWQiOiI0MTgxMzM4MDgifQ==</vt:lpwstr>
  </property>
</Properties>
</file>