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E9BF5D9">
      <w:pPr>
        <w:snapToGrid w:val="0"/>
        <w:spacing w:line="700" w:lineRule="exact"/>
        <w:jc w:val="both"/>
        <w:rPr>
          <w:rFonts w:hint="default" w:ascii="Times New Roman" w:hAnsi="Times New Roman" w:eastAsia="方正小标宋简体" w:cs="Times New Roman"/>
          <w:bCs/>
          <w:sz w:val="44"/>
          <w:szCs w:val="44"/>
        </w:rPr>
      </w:pPr>
      <w:bookmarkStart w:id="0" w:name="_Toc21336"/>
      <w:bookmarkStart w:id="1" w:name="_Toc24038"/>
      <w:bookmarkStart w:id="2" w:name="_Toc5085"/>
    </w:p>
    <w:p w14:paraId="519076C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lang w:val="en-US" w:eastAsia="zh-CN"/>
        </w:rPr>
        <w:t>焦作市生态环境局</w:t>
      </w:r>
    </w:p>
    <w:p w14:paraId="5B735F0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_GBK" w:cs="Times New Roman"/>
          <w:bCs/>
          <w:sz w:val="44"/>
          <w:szCs w:val="44"/>
        </w:rPr>
      </w:pPr>
      <w:r>
        <w:rPr>
          <w:rFonts w:hint="default" w:ascii="Times New Roman" w:hAnsi="Times New Roman" w:eastAsia="方正小标宋简体" w:cs="Times New Roman"/>
          <w:bCs/>
          <w:sz w:val="44"/>
          <w:szCs w:val="44"/>
        </w:rPr>
        <w:t>行政处罚决定书</w:t>
      </w:r>
      <w:bookmarkEnd w:id="0"/>
      <w:bookmarkEnd w:id="1"/>
      <w:bookmarkEnd w:id="2"/>
    </w:p>
    <w:p w14:paraId="0C4C5E98">
      <w:pPr>
        <w:snapToGrid w:val="0"/>
        <w:spacing w:line="700" w:lineRule="exact"/>
        <w:jc w:val="right"/>
        <w:rPr>
          <w:rFonts w:hint="default" w:ascii="Times New Roman" w:hAnsi="Times New Roman" w:eastAsia="仿宋" w:cs="Times New Roman"/>
          <w:szCs w:val="32"/>
        </w:rPr>
      </w:pPr>
      <w:r>
        <w:rPr>
          <w:rFonts w:hint="default" w:ascii="Times New Roman" w:hAnsi="Times New Roman" w:eastAsia="楷体" w:cs="Times New Roman"/>
          <w:color w:val="auto"/>
          <w:sz w:val="32"/>
          <w:szCs w:val="32"/>
        </w:rPr>
        <w:t>焦环罚〔</w:t>
      </w:r>
      <w:r>
        <w:rPr>
          <w:rFonts w:hint="default" w:ascii="Times New Roman" w:hAnsi="Times New Roman" w:eastAsia="楷体" w:cs="Times New Roman"/>
          <w:color w:val="auto"/>
          <w:sz w:val="32"/>
          <w:szCs w:val="32"/>
          <w:lang w:val="en-US" w:eastAsia="zh-CN"/>
        </w:rPr>
        <w:t>2025</w:t>
      </w:r>
      <w:r>
        <w:rPr>
          <w:rFonts w:hint="default" w:ascii="Times New Roman" w:hAnsi="Times New Roman" w:eastAsia="楷体" w:cs="Times New Roman"/>
          <w:color w:val="auto"/>
          <w:sz w:val="32"/>
          <w:szCs w:val="32"/>
        </w:rPr>
        <w:t>〕</w:t>
      </w:r>
      <w:r>
        <w:rPr>
          <w:rFonts w:hint="eastAsia" w:eastAsia="楷体" w:cs="Times New Roman"/>
          <w:color w:val="auto"/>
          <w:sz w:val="32"/>
          <w:szCs w:val="32"/>
          <w:lang w:val="en-US" w:eastAsia="zh"/>
        </w:rPr>
        <w:t>457</w:t>
      </w:r>
      <w:r>
        <w:rPr>
          <w:rFonts w:hint="default" w:ascii="Times New Roman" w:hAnsi="Times New Roman" w:eastAsia="楷体" w:cs="Times New Roman"/>
          <w:color w:val="auto"/>
          <w:sz w:val="32"/>
          <w:szCs w:val="32"/>
          <w:lang w:eastAsia="zh-CN"/>
        </w:rPr>
        <w:t>号</w:t>
      </w:r>
      <w:bookmarkStart w:id="3" w:name="_Toc29232"/>
      <w:r>
        <w:rPr>
          <w:rFonts w:hint="default" w:ascii="Times New Roman" w:hAnsi="Times New Roman" w:eastAsia="仿宋" w:cs="Times New Roman"/>
          <w:sz w:val="32"/>
          <w:szCs w:val="32"/>
          <w:lang w:bidi="ar"/>
        </w:rPr>
        <w:t xml:space="preserve">                                                                              </w:t>
      </w:r>
    </w:p>
    <w:p w14:paraId="2E8F4D01">
      <w:pPr>
        <w:keepNext w:val="0"/>
        <w:keepLines w:val="0"/>
        <w:pageBreakBefore w:val="0"/>
        <w:kinsoku/>
        <w:wordWrap/>
        <w:overflowPunct/>
        <w:topLinePunct w:val="0"/>
        <w:autoSpaceDE/>
        <w:autoSpaceDN/>
        <w:bidi w:val="0"/>
        <w:spacing w:line="500" w:lineRule="exact"/>
        <w:jc w:val="left"/>
        <w:textAlignment w:val="auto"/>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bidi="ar"/>
        </w:rPr>
        <w:t>个人姓名</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廖劲松</w:t>
      </w:r>
    </w:p>
    <w:p w14:paraId="1789C051">
      <w:pPr>
        <w:keepNext w:val="0"/>
        <w:keepLines w:val="0"/>
        <w:pageBreakBefore w:val="0"/>
        <w:kinsoku/>
        <w:wordWrap/>
        <w:overflowPunct/>
        <w:topLinePunct w:val="0"/>
        <w:autoSpaceDE/>
        <w:autoSpaceDN/>
        <w:bidi w:val="0"/>
        <w:adjustRightInd w:val="0"/>
        <w:snapToGrid w:val="0"/>
        <w:spacing w:line="500" w:lineRule="exact"/>
        <w:textAlignment w:val="auto"/>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bidi="ar"/>
        </w:rPr>
        <w:t>证件类型</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 xml:space="preserve">身份证     </w:t>
      </w:r>
    </w:p>
    <w:p w14:paraId="07DD287F">
      <w:pPr>
        <w:keepNext w:val="0"/>
        <w:keepLines w:val="0"/>
        <w:pageBreakBefore w:val="0"/>
        <w:kinsoku/>
        <w:wordWrap/>
        <w:overflowPunct/>
        <w:topLinePunct w:val="0"/>
        <w:autoSpaceDE/>
        <w:autoSpaceDN/>
        <w:bidi w:val="0"/>
        <w:adjustRightInd w:val="0"/>
        <w:snapToGrid w:val="0"/>
        <w:spacing w:line="500" w:lineRule="exact"/>
        <w:textAlignment w:val="auto"/>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bidi="ar"/>
        </w:rPr>
        <w:t>证件号码</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421000</w:t>
      </w:r>
      <w:r>
        <w:rPr>
          <w:rFonts w:hint="eastAsia" w:eastAsia="仿宋" w:cs="Times New Roman"/>
          <w:sz w:val="32"/>
          <w:szCs w:val="32"/>
          <w:lang w:val="en-US" w:eastAsia="zh-CN" w:bidi="ar"/>
        </w:rPr>
        <w:t>*******</w:t>
      </w:r>
      <w:bookmarkStart w:id="7" w:name="_GoBack"/>
      <w:bookmarkEnd w:id="7"/>
      <w:r>
        <w:rPr>
          <w:rFonts w:hint="default" w:ascii="Times New Roman" w:hAnsi="Times New Roman" w:eastAsia="仿宋" w:cs="Times New Roman"/>
          <w:sz w:val="32"/>
          <w:szCs w:val="32"/>
          <w:lang w:bidi="ar"/>
        </w:rPr>
        <w:t xml:space="preserve">3318                        </w:t>
      </w:r>
    </w:p>
    <w:p w14:paraId="4E7E1166">
      <w:pPr>
        <w:keepNext w:val="0"/>
        <w:keepLines w:val="0"/>
        <w:pageBreakBefore w:val="0"/>
        <w:widowControl/>
        <w:kinsoku/>
        <w:wordWrap/>
        <w:overflowPunct/>
        <w:topLinePunct w:val="0"/>
        <w:autoSpaceDE/>
        <w:autoSpaceDN/>
        <w:bidi w:val="0"/>
        <w:spacing w:line="500" w:lineRule="exact"/>
        <w:jc w:val="left"/>
        <w:textAlignment w:val="auto"/>
        <w:rPr>
          <w:rFonts w:hint="default" w:ascii="Times New Roman" w:hAnsi="Times New Roman" w:eastAsia="仿宋" w:cs="Times New Roman"/>
          <w:b/>
          <w:bCs/>
          <w:sz w:val="32"/>
          <w:szCs w:val="32"/>
        </w:rPr>
      </w:pPr>
      <w:r>
        <w:rPr>
          <w:rFonts w:hint="default" w:ascii="Times New Roman" w:hAnsi="Times New Roman" w:eastAsia="黑体" w:cs="Times New Roman"/>
          <w:b w:val="0"/>
          <w:bCs w:val="0"/>
          <w:sz w:val="32"/>
          <w:szCs w:val="32"/>
          <w:lang w:bidi="ar"/>
        </w:rPr>
        <w:t>住址</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湖北省沙洋县滨江新区马良特2号1区</w:t>
      </w:r>
      <w:r>
        <w:rPr>
          <w:rFonts w:hint="default" w:ascii="Times New Roman" w:hAnsi="Times New Roman" w:eastAsia="仿宋" w:cs="Times New Roman"/>
          <w:b/>
          <w:bCs/>
          <w:sz w:val="32"/>
          <w:szCs w:val="32"/>
          <w:lang w:bidi="ar"/>
        </w:rPr>
        <w:t xml:space="preserve">    </w:t>
      </w:r>
    </w:p>
    <w:p w14:paraId="4CEE4FD6">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一、环境违法事实和证据</w:t>
      </w:r>
      <w:bookmarkEnd w:id="3"/>
    </w:p>
    <w:p w14:paraId="4D4B6DCA">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我局于</w:t>
      </w:r>
      <w:r>
        <w:rPr>
          <w:rFonts w:hint="default" w:ascii="Times New Roman" w:hAnsi="Times New Roman" w:eastAsia="仿宋" w:cs="Times New Roman"/>
          <w:sz w:val="32"/>
          <w:szCs w:val="32"/>
          <w:lang w:bidi="ar"/>
        </w:rPr>
        <w:t>2025年</w:t>
      </w:r>
      <w:r>
        <w:rPr>
          <w:rFonts w:hint="eastAsia" w:ascii="Times New Roman" w:hAnsi="Times New Roman" w:eastAsia="仿宋" w:cs="Times New Roman"/>
          <w:sz w:val="32"/>
          <w:szCs w:val="32"/>
          <w:lang w:val="en-US" w:eastAsia="zh-CN" w:bidi="ar"/>
        </w:rPr>
        <w:t>9</w:t>
      </w:r>
      <w:r>
        <w:rPr>
          <w:rFonts w:hint="default" w:ascii="Times New Roman" w:hAnsi="Times New Roman" w:eastAsia="仿宋" w:cs="Times New Roman"/>
          <w:sz w:val="32"/>
          <w:szCs w:val="32"/>
          <w:lang w:bidi="ar"/>
        </w:rPr>
        <w:t>月2</w:t>
      </w:r>
      <w:r>
        <w:rPr>
          <w:rFonts w:hint="eastAsia" w:ascii="Times New Roman" w:hAnsi="Times New Roman" w:eastAsia="仿宋" w:cs="Times New Roman"/>
          <w:sz w:val="32"/>
          <w:szCs w:val="32"/>
          <w:lang w:val="en-US" w:eastAsia="zh-CN" w:bidi="ar"/>
        </w:rPr>
        <w:t>3</w:t>
      </w:r>
      <w:r>
        <w:rPr>
          <w:rFonts w:hint="default" w:ascii="Times New Roman" w:hAnsi="Times New Roman" w:eastAsia="仿宋" w:cs="Times New Roman"/>
          <w:sz w:val="32"/>
          <w:szCs w:val="32"/>
          <w:lang w:bidi="ar"/>
        </w:rPr>
        <w:t>日</w:t>
      </w:r>
      <w:r>
        <w:rPr>
          <w:rFonts w:hint="default" w:ascii="Times New Roman" w:hAnsi="Times New Roman" w:eastAsia="仿宋" w:cs="Times New Roman"/>
          <w:sz w:val="32"/>
          <w:szCs w:val="32"/>
        </w:rPr>
        <w:t>对</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进行了调查，发现</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实施了以下环境违法行为：</w:t>
      </w:r>
    </w:p>
    <w:p w14:paraId="54A0E51B">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bidi="ar"/>
        </w:rPr>
        <w:t>焦作市生态环境局孟州分局环境执法人员对荆门市祥展化工科技股份有限公司位于河南省康华药业股份有限公司车间内建设的一条TDF（富马酸替诺福韦酯）中试生产线进行执法检查，</w:t>
      </w:r>
      <w:r>
        <w:rPr>
          <w:rFonts w:hint="eastAsia" w:eastAsia="仿宋" w:cs="Times New Roman"/>
          <w:sz w:val="32"/>
          <w:szCs w:val="32"/>
          <w:lang w:eastAsia="zh-CN" w:bidi="ar"/>
        </w:rPr>
        <w:t>你</w:t>
      </w:r>
      <w:r>
        <w:rPr>
          <w:rFonts w:hint="default" w:ascii="Times New Roman" w:hAnsi="Times New Roman" w:eastAsia="仿宋" w:cs="Times New Roman"/>
          <w:sz w:val="32"/>
          <w:szCs w:val="32"/>
          <w:lang w:bidi="ar"/>
        </w:rPr>
        <w:t>公司法定代表人廖劲松。检查期间，</w:t>
      </w:r>
      <w:r>
        <w:rPr>
          <w:rFonts w:hint="eastAsia" w:eastAsia="仿宋" w:cs="Times New Roman"/>
          <w:sz w:val="32"/>
          <w:szCs w:val="32"/>
          <w:lang w:eastAsia="zh-CN" w:bidi="ar"/>
        </w:rPr>
        <w:t>你</w:t>
      </w:r>
      <w:r>
        <w:rPr>
          <w:rFonts w:hint="default" w:ascii="Times New Roman" w:hAnsi="Times New Roman" w:eastAsia="仿宋" w:cs="Times New Roman"/>
          <w:sz w:val="32"/>
          <w:szCs w:val="32"/>
          <w:lang w:bidi="ar"/>
        </w:rPr>
        <w:t>生产线处于临时停产状态。经查，</w:t>
      </w:r>
      <w:r>
        <w:rPr>
          <w:rFonts w:hint="eastAsia" w:eastAsia="仿宋" w:cs="Times New Roman"/>
          <w:sz w:val="32"/>
          <w:szCs w:val="32"/>
          <w:lang w:eastAsia="zh-CN" w:bidi="ar"/>
        </w:rPr>
        <w:t>你</w:t>
      </w:r>
      <w:r>
        <w:rPr>
          <w:rFonts w:hint="default" w:ascii="Times New Roman" w:hAnsi="Times New Roman" w:eastAsia="仿宋" w:cs="Times New Roman"/>
          <w:sz w:val="32"/>
          <w:szCs w:val="32"/>
          <w:lang w:bidi="ar"/>
        </w:rPr>
        <w:t>生产线2025年5月开始中试（生产运行）至9月，未办理环评手续，污染治理设施建设有一套尾气处理设施（喷淋塔），未经生态环境部门验收，主体工程即投入生产。</w:t>
      </w:r>
    </w:p>
    <w:p w14:paraId="1CD7A7E3">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的上述行为违反了</w:t>
      </w:r>
      <w:r>
        <w:rPr>
          <w:rFonts w:hint="default" w:ascii="Times New Roman" w:hAnsi="Times New Roman" w:eastAsia="仿宋" w:cs="Times New Roman"/>
          <w:sz w:val="32"/>
          <w:szCs w:val="32"/>
          <w:lang w:bidi="ar"/>
        </w:rPr>
        <w:t>《建设项目环境保护管理条例》第十九条第一款“编制环境影响报告书、环境影响报告表的建设项目，其配套建设的环境保护设施经验收合格，方可投入生产或者使用；未经验收或者验收不合格的，不得投入生产或者使用。”</w:t>
      </w:r>
      <w:r>
        <w:rPr>
          <w:rFonts w:hint="default" w:ascii="Times New Roman" w:hAnsi="Times New Roman" w:eastAsia="仿宋" w:cs="Times New Roman"/>
          <w:color w:val="000000"/>
          <w:spacing w:val="10"/>
          <w:sz w:val="32"/>
          <w:szCs w:val="32"/>
        </w:rPr>
        <w:t>的规定</w:t>
      </w:r>
      <w:r>
        <w:rPr>
          <w:rFonts w:hint="default" w:ascii="Times New Roman" w:hAnsi="Times New Roman" w:eastAsia="仿宋" w:cs="Times New Roman"/>
          <w:sz w:val="32"/>
          <w:szCs w:val="32"/>
        </w:rPr>
        <w:t>。</w:t>
      </w:r>
    </w:p>
    <w:p w14:paraId="0222B0BA">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以上事实及证据如下：</w:t>
      </w:r>
    </w:p>
    <w:p w14:paraId="4219FF5A">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1、《营业执照》复印件1份、《授权委托书》1份、法定代表人廖劲松、被询问人周志勇身份证复印件各1份，证明你公司的基本情况和被询问人员及法定</w:t>
      </w:r>
      <w:r>
        <w:rPr>
          <w:rFonts w:hint="eastAsia" w:eastAsia="仿宋" w:cs="Times New Roman"/>
          <w:sz w:val="32"/>
          <w:szCs w:val="32"/>
          <w:lang w:eastAsia="zh-CN"/>
        </w:rPr>
        <w:t>代表</w:t>
      </w:r>
      <w:r>
        <w:rPr>
          <w:rFonts w:hint="default" w:ascii="Times New Roman" w:hAnsi="Times New Roman" w:eastAsia="仿宋" w:cs="Times New Roman"/>
          <w:sz w:val="32"/>
          <w:szCs w:val="32"/>
        </w:rPr>
        <w:t>人的身份。</w:t>
      </w:r>
    </w:p>
    <w:p w14:paraId="5A4EF3A6">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2、2025年9月23日《焦作市生态环境局现场检查（勘察）笔录》1份共3页,证明对你公司生产线的现场检查勘察情况。</w:t>
      </w:r>
    </w:p>
    <w:p w14:paraId="4F5151D2">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3、2025年9月23日《焦作市生态环境局调查询问笔录》1份共6页及10月11日《焦作市生态环境局调查询问笔录》1份共4页，证明对你公司生产线的调查询问情况，你公司承认未验先投的事实。</w:t>
      </w:r>
    </w:p>
    <w:p w14:paraId="60C509D8">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4、2025年9月23日现场照片10张，证明你建设项目生产设备、原辅材料及产品情况。</w:t>
      </w:r>
    </w:p>
    <w:p w14:paraId="47EF3BA2">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5、租赁协议一份，证明你公司与河南沁华动物药业有限公司的关系。</w:t>
      </w:r>
    </w:p>
    <w:p w14:paraId="667BE899">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6、《建设项目环境影响评价分类管理名录》（2021年版）证明你建设项目环评类别。</w:t>
      </w:r>
    </w:p>
    <w:p w14:paraId="6322E3F6">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7、《焦作市生态环境局送达地址及方式确认书》1份，证明你公司确认接收法律文书的地址及联系方式。</w:t>
      </w:r>
    </w:p>
    <w:p w14:paraId="1FBF9267">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8、《焦作市生态环境局责令改正违法行为决定书》(焦孟环责改字〔2025〕351号）1份和《 焦作市生态环境局送达回证》1份，证明我局于2025年10月30日已经责令你公司生产线改正违法行为的情况。</w:t>
      </w:r>
    </w:p>
    <w:p w14:paraId="5B64D008">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9、2025年10月13日《 焦作市生态环境局整改复查意见书》(焦孟环整复字〔2025〕351号）1份和《焦作市生态环境局环境违法行为责令改正现场核查记录》1份及《 焦作市生态环境局送达回证》1份，通过现场复查，证明你公司生产线已经改正违法行为的情况。</w:t>
      </w:r>
    </w:p>
    <w:p w14:paraId="0D0E8386">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10、《焦作市生态环境局行政处罚事先（听证）告知书》(焦孟环罚告字〔2025〕351号）1份和《 焦作市生态环境局送达回证》1份，证明我局于2025年10月30日已经告知拟对你作出的行政处罚情况。</w:t>
      </w:r>
    </w:p>
    <w:p w14:paraId="49EB7AC9">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11、执法人员的执法证复印件1份，证明执法人员的身份和资格。</w:t>
      </w:r>
    </w:p>
    <w:p w14:paraId="3372EA46">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12、案件相关其他证据等。</w:t>
      </w:r>
    </w:p>
    <w:p w14:paraId="668D38AD">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我局于2025年10月3</w:t>
      </w:r>
      <w:r>
        <w:rPr>
          <w:rFonts w:hint="eastAsia" w:eastAsia="仿宋" w:cs="Times New Roman"/>
          <w:sz w:val="32"/>
          <w:szCs w:val="32"/>
          <w:lang w:val="en-US" w:eastAsia="zh-CN"/>
        </w:rPr>
        <w:t>0</w:t>
      </w:r>
      <w:r>
        <w:rPr>
          <w:rFonts w:hint="default" w:ascii="Times New Roman" w:hAnsi="Times New Roman" w:eastAsia="仿宋" w:cs="Times New Roman"/>
          <w:sz w:val="32"/>
          <w:szCs w:val="32"/>
        </w:rPr>
        <w:t>日送达了《行政处罚事先（听证）告知书》（焦孟环罚告字〔2025〕35</w:t>
      </w:r>
      <w:r>
        <w:rPr>
          <w:rFonts w:hint="eastAsia" w:eastAsia="仿宋" w:cs="Times New Roman"/>
          <w:sz w:val="32"/>
          <w:szCs w:val="32"/>
          <w:lang w:val="en-US" w:eastAsia="zh-CN"/>
        </w:rPr>
        <w:t>1</w:t>
      </w:r>
      <w:r>
        <w:rPr>
          <w:rFonts w:hint="default" w:ascii="Times New Roman" w:hAnsi="Times New Roman" w:eastAsia="仿宋" w:cs="Times New Roman"/>
          <w:sz w:val="32"/>
          <w:szCs w:val="32"/>
        </w:rPr>
        <w:t>号），告知书告知</w:t>
      </w:r>
      <w:r>
        <w:rPr>
          <w:rFonts w:hint="eastAsia" w:ascii="Times New Roman" w:hAnsi="Times New Roman" w:eastAsia="仿宋" w:cs="Times New Roman"/>
          <w:sz w:val="32"/>
          <w:szCs w:val="32"/>
          <w:lang w:eastAsia="zh-CN"/>
        </w:rPr>
        <w:t>你</w:t>
      </w:r>
      <w:r>
        <w:rPr>
          <w:rFonts w:hint="default" w:ascii="Times New Roman" w:hAnsi="Times New Roman" w:eastAsia="仿宋" w:cs="Times New Roman"/>
          <w:sz w:val="32"/>
          <w:szCs w:val="32"/>
        </w:rPr>
        <w:t>陈述申辩权</w:t>
      </w:r>
      <w:r>
        <w:rPr>
          <w:rFonts w:hint="eastAsia" w:ascii="Times New Roman" w:hAnsi="Times New Roman" w:eastAsia="仿宋" w:cs="Times New Roman"/>
          <w:sz w:val="32"/>
          <w:szCs w:val="32"/>
          <w:lang w:eastAsia="zh-CN"/>
        </w:rPr>
        <w:t>及</w:t>
      </w:r>
      <w:r>
        <w:rPr>
          <w:rFonts w:hint="default" w:ascii="Times New Roman" w:hAnsi="Times New Roman" w:eastAsia="仿宋" w:cs="Times New Roman"/>
          <w:sz w:val="32"/>
          <w:szCs w:val="32"/>
        </w:rPr>
        <w:t>听证申请权，</w:t>
      </w:r>
      <w:r>
        <w:rPr>
          <w:rFonts w:hint="eastAsia" w:ascii="Times New Roman" w:hAnsi="Times New Roman" w:eastAsia="仿宋" w:cs="Times New Roman"/>
          <w:sz w:val="32"/>
          <w:szCs w:val="32"/>
          <w:lang w:eastAsia="zh-CN"/>
        </w:rPr>
        <w:t>你</w:t>
      </w:r>
      <w:r>
        <w:rPr>
          <w:rFonts w:hint="default" w:ascii="Times New Roman" w:hAnsi="Times New Roman" w:eastAsia="仿宋" w:cs="Times New Roman"/>
          <w:sz w:val="32"/>
          <w:szCs w:val="32"/>
        </w:rPr>
        <w:t>在</w:t>
      </w:r>
      <w:r>
        <w:rPr>
          <w:rFonts w:hint="eastAsia" w:ascii="Times New Roman" w:hAnsi="Times New Roman" w:eastAsia="仿宋" w:cs="Times New Roman"/>
          <w:sz w:val="32"/>
          <w:szCs w:val="32"/>
          <w:lang w:val="en-US" w:eastAsia="zh-CN"/>
        </w:rPr>
        <w:t>规</w:t>
      </w:r>
      <w:r>
        <w:rPr>
          <w:rFonts w:hint="default" w:ascii="Times New Roman" w:hAnsi="Times New Roman" w:eastAsia="仿宋" w:cs="Times New Roman"/>
          <w:sz w:val="32"/>
          <w:szCs w:val="32"/>
          <w:lang w:val="en-US" w:eastAsia="zh-CN"/>
        </w:rPr>
        <w:t>定</w:t>
      </w:r>
      <w:r>
        <w:rPr>
          <w:rFonts w:hint="default" w:ascii="Times New Roman" w:hAnsi="Times New Roman" w:eastAsia="仿宋" w:cs="Times New Roman"/>
          <w:sz w:val="32"/>
          <w:szCs w:val="32"/>
        </w:rPr>
        <w:t>的时间内提出听证</w:t>
      </w:r>
      <w:r>
        <w:rPr>
          <w:rFonts w:hint="default" w:ascii="Times New Roman" w:hAnsi="Times New Roman" w:eastAsia="仿宋" w:cs="Times New Roman"/>
          <w:sz w:val="32"/>
          <w:szCs w:val="32"/>
          <w:lang w:eastAsia="zh-CN"/>
        </w:rPr>
        <w:t>。</w:t>
      </w:r>
    </w:p>
    <w:p w14:paraId="0F1438E8">
      <w:pPr>
        <w:keepNext w:val="0"/>
        <w:keepLines w:val="0"/>
        <w:pageBreakBefore w:val="0"/>
        <w:kinsoku/>
        <w:wordWrap/>
        <w:overflowPunct/>
        <w:topLinePunct w:val="0"/>
        <w:autoSpaceDE/>
        <w:autoSpaceDN/>
        <w:bidi w:val="0"/>
        <w:snapToGrid w:val="0"/>
        <w:spacing w:line="50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b/>
          <w:bCs/>
          <w:sz w:val="32"/>
          <w:szCs w:val="32"/>
        </w:rPr>
        <w:t>听证情况</w:t>
      </w:r>
      <w:r>
        <w:rPr>
          <w:rFonts w:hint="default" w:ascii="Times New Roman" w:hAnsi="Times New Roman" w:eastAsia="仿宋" w:cs="Times New Roman"/>
          <w:sz w:val="32"/>
          <w:szCs w:val="32"/>
        </w:rPr>
        <w:t>：当事人于2025年11月3日提交</w:t>
      </w:r>
      <w:r>
        <w:rPr>
          <w:rFonts w:hint="eastAsia" w:eastAsia="仿宋" w:cs="Times New Roman"/>
          <w:sz w:val="32"/>
          <w:szCs w:val="32"/>
          <w:lang w:eastAsia="zh-CN"/>
        </w:rPr>
        <w:t>听证申请</w:t>
      </w:r>
      <w:r>
        <w:rPr>
          <w:rFonts w:hint="default" w:ascii="Times New Roman" w:hAnsi="Times New Roman" w:eastAsia="仿宋" w:cs="Times New Roman"/>
          <w:sz w:val="32"/>
          <w:szCs w:val="32"/>
        </w:rPr>
        <w:t>。内容如下：一、违法行为发生后积极配合整改，主动消除不良影响。1、立即停止生产，2、主动拆除设备3、积极配合调查。二、违法行为情节轻微，社会危害性较小。1、未造成实际污染后果，无证据表明该行为已造成环境污染或生态破坏后果。 2、违法行为持续时间较短:生产线于2025年6月投入中试至9月被查处，实际运行时间约3个月。3、初犯且无主观恶意,且违法行为主要因对环评验收程序理解不足所致，非故意规避监管。三、行政处罚裁量基准适用建议，根据《河南省生态环境行政处罚裁量基准》，贵局已综合考虑各项裁量因素，但鉴于以下情节，建议对罚款金额予以酌情降低。四、其他需要说明的情况。1、本人作为企业法定代表人，已深刻认识到未验先投行为的违法性，将组织员工加强环保法律法规学习，确保未来依法经营；2、目前生产线已拆除，企业面临较大经济损失，若处以较高罚款恐影响企业生存及员工生计，恳请贵局综合考虑社会效果。五、结语。本人对违法行为深感歉意，并承诺绝不再犯。恳请贵局结合上述申辩意见，依法减轻行政处罚，给予企业继续发展的机会。</w:t>
      </w:r>
    </w:p>
    <w:p w14:paraId="62607909">
      <w:pPr>
        <w:keepNext w:val="0"/>
        <w:keepLines w:val="0"/>
        <w:pageBreakBefore w:val="0"/>
        <w:kinsoku/>
        <w:wordWrap/>
        <w:overflowPunct/>
        <w:topLinePunct w:val="0"/>
        <w:autoSpaceDE/>
        <w:autoSpaceDN/>
        <w:bidi w:val="0"/>
        <w:snapToGrid w:val="0"/>
        <w:spacing w:line="50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b/>
          <w:bCs/>
          <w:sz w:val="32"/>
          <w:szCs w:val="32"/>
        </w:rPr>
        <w:t>执法人员采纳情况</w:t>
      </w:r>
      <w:r>
        <w:rPr>
          <w:rFonts w:hint="default" w:ascii="Times New Roman" w:hAnsi="Times New Roman" w:eastAsia="仿宋" w:cs="Times New Roman"/>
          <w:sz w:val="32"/>
          <w:szCs w:val="32"/>
        </w:rPr>
        <w:t>：我局于2025年11月26日15时在焦作市生态环境局孟州分局四楼会议室公开听证方式举行听证会。（一）当事人提供的违法行为发生后积极配合整改，主动消除不良影响（包括1、立即停止生产；2、主动拆除设备；3、积极配合调查）等减轻处罚理由不成立，上述行为均为企业对自身违法行为的改正行为，不符合减轻处罚情节。（二）当事人提供的违法行为情节轻微，社会危害性较小（1、未造成实际污染后果；2、违法行为持续时间较短；3、初犯且无主观恶意）的免罚理由不成立，法律规定的“验收后方可投入生产”制度，保障的是国家对于建设项目完成所有设施建设行为后，对其最终排放污染物是否符合环评中预设的治理效果的监管秩序，防止企业存在虽然设施建设到位，但是排放结果并不达标的“表里不一”现象。因此，该法律规定的处罚对象是“未验先投”的行为本身，即使“未造成实际污染后果”、“违法行为持续时间较短”，也依然构成违法。（三）当事人提供的行政处罚裁量基准适用建议等其他从轻处罚证据和理由，需经过领导上会讨论后综合认定。</w:t>
      </w:r>
    </w:p>
    <w:p w14:paraId="4B66213C">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cs="Times New Roman"/>
        </w:rPr>
      </w:pPr>
      <w:r>
        <w:rPr>
          <w:rFonts w:hint="default" w:ascii="Times New Roman" w:hAnsi="Times New Roman" w:eastAsia="仿宋" w:cs="Times New Roman"/>
          <w:sz w:val="32"/>
          <w:szCs w:val="32"/>
        </w:rPr>
        <w:t>综上，建议对该案件按照原告知书中载明的内容继续下达对其个人的处罚决定书。</w:t>
      </w:r>
    </w:p>
    <w:p w14:paraId="2DA2E715">
      <w:pPr>
        <w:keepNext w:val="0"/>
        <w:keepLines w:val="0"/>
        <w:pageBreakBefore w:val="0"/>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黑体" w:cs="Times New Roman"/>
          <w:b w:val="0"/>
          <w:bCs w:val="0"/>
          <w:sz w:val="32"/>
          <w:szCs w:val="32"/>
        </w:rPr>
      </w:pPr>
      <w:bookmarkStart w:id="4" w:name="_Toc7667"/>
      <w:r>
        <w:rPr>
          <w:rFonts w:hint="default" w:ascii="Times New Roman" w:hAnsi="Times New Roman" w:eastAsia="黑体" w:cs="Times New Roman"/>
          <w:b w:val="0"/>
          <w:bCs w:val="0"/>
          <w:sz w:val="32"/>
          <w:szCs w:val="32"/>
        </w:rPr>
        <w:t>二、行政处罚的依据、种类</w:t>
      </w:r>
      <w:bookmarkEnd w:id="4"/>
    </w:p>
    <w:p w14:paraId="70380EE9">
      <w:pPr>
        <w:keepNext w:val="0"/>
        <w:keepLines w:val="0"/>
        <w:pageBreakBefore w:val="0"/>
        <w:widowControl/>
        <w:kinsoku/>
        <w:wordWrap/>
        <w:overflowPunct/>
        <w:topLinePunct w:val="0"/>
        <w:autoSpaceDE/>
        <w:autoSpaceDN/>
        <w:bidi w:val="0"/>
        <w:snapToGrid w:val="0"/>
        <w:spacing w:line="500" w:lineRule="exact"/>
        <w:ind w:firstLine="640" w:firstLineChars="2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根据</w:t>
      </w:r>
      <w:r>
        <w:rPr>
          <w:rFonts w:hint="default" w:ascii="Times New Roman" w:hAnsi="Times New Roman" w:eastAsia="仿宋" w:cs="Times New Roman"/>
          <w:color w:val="000000"/>
          <w:sz w:val="32"/>
          <w:szCs w:val="32"/>
          <w:lang w:eastAsia="zh-CN"/>
        </w:rPr>
        <w:t>你</w:t>
      </w:r>
      <w:r>
        <w:rPr>
          <w:rFonts w:hint="eastAsia" w:ascii="Times New Roman" w:hAnsi="Times New Roman" w:eastAsia="仿宋" w:cs="Times New Roman"/>
          <w:color w:val="000000"/>
          <w:sz w:val="32"/>
          <w:szCs w:val="32"/>
          <w:lang w:eastAsia="zh-CN"/>
        </w:rPr>
        <w:t>公司</w:t>
      </w:r>
      <w:r>
        <w:rPr>
          <w:rFonts w:hint="default" w:ascii="Times New Roman" w:hAnsi="Times New Roman" w:eastAsia="仿宋" w:cs="Times New Roman"/>
          <w:color w:val="000000"/>
          <w:sz w:val="32"/>
          <w:szCs w:val="32"/>
        </w:rPr>
        <w:t>违法行为的事实、性质、情节、社会危害程度和相关证据，参照《河南省生态环境行政处罚裁量基准适用规则（修订）》《河南省生态环境行政处罚裁量基准》（豫环办〔2022〕72号），</w:t>
      </w:r>
      <w:r>
        <w:rPr>
          <w:rFonts w:hint="default" w:ascii="Times New Roman" w:hAnsi="Times New Roman" w:eastAsia="仿宋" w:cs="Times New Roman"/>
          <w:sz w:val="32"/>
          <w:szCs w:val="32"/>
          <w:lang w:bidi="ar"/>
        </w:rPr>
        <w:t>建设项目管理类</w:t>
      </w:r>
      <w:r>
        <w:rPr>
          <w:rFonts w:hint="default" w:ascii="Times New Roman" w:hAnsi="Times New Roman" w:eastAsia="仿宋" w:cs="Times New Roman"/>
          <w:color w:val="000000"/>
          <w:sz w:val="32"/>
          <w:szCs w:val="32"/>
        </w:rPr>
        <w:t>。</w:t>
      </w:r>
    </w:p>
    <w:p w14:paraId="1D762BA5">
      <w:pPr>
        <w:keepNext w:val="0"/>
        <w:keepLines w:val="0"/>
        <w:pageBreakBefore w:val="0"/>
        <w:kinsoku/>
        <w:wordWrap/>
        <w:overflowPunct/>
        <w:topLinePunct w:val="0"/>
        <w:autoSpaceDE/>
        <w:autoSpaceDN/>
        <w:bidi w:val="0"/>
        <w:snapToGrid w:val="0"/>
        <w:spacing w:line="500" w:lineRule="exact"/>
        <w:ind w:firstLine="643" w:firstLineChars="200"/>
        <w:textAlignment w:val="auto"/>
        <w:rPr>
          <w:rFonts w:hint="default" w:ascii="Times New Roman" w:hAnsi="Times New Roman" w:eastAsia="楷体" w:cs="Times New Roman"/>
          <w:color w:val="000000"/>
          <w:sz w:val="32"/>
          <w:szCs w:val="32"/>
        </w:rPr>
      </w:pPr>
      <w:r>
        <w:rPr>
          <w:rFonts w:hint="default" w:ascii="Times New Roman" w:hAnsi="Times New Roman" w:eastAsia="楷体" w:cs="Times New Roman"/>
          <w:b/>
          <w:bCs/>
          <w:sz w:val="32"/>
          <w:szCs w:val="32"/>
        </w:rPr>
        <w:t>裁量因素：</w:t>
      </w:r>
    </w:p>
    <w:p w14:paraId="766908BF">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1、违法事实判定标准：污染防治设施已建成未经验收，主体工程投入生产或者使用的。裁量等级：3；</w:t>
      </w:r>
    </w:p>
    <w:p w14:paraId="1E186B4D">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2、排放污染物类别判定标准：一般工业废气/含恶臭污染物的废气/医疗废气/实验室废气/一般工业废水/Ⅱ类一般工业固体废物。裁量等级：3；</w:t>
      </w:r>
    </w:p>
    <w:p w14:paraId="14F224D1">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3、项目应报批的环评文件类别判定标准：报告书（重点管理）。裁量等级：5；</w:t>
      </w:r>
    </w:p>
    <w:p w14:paraId="7CCCBE66">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4、项目建设地点：符合环境功能区划。裁量等级：1；</w:t>
      </w:r>
    </w:p>
    <w:p w14:paraId="1393DAC8">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5、违法行为持续时间判定标准：3个月以上6个月以下。裁量等级：3；</w:t>
      </w:r>
    </w:p>
    <w:p w14:paraId="12BA8C1A">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6、受处罚次数判定标准：两年内未受到过同类处罚。裁量等级：1；</w:t>
      </w:r>
    </w:p>
    <w:p w14:paraId="4948460C">
      <w:pPr>
        <w:keepNext w:val="0"/>
        <w:keepLines w:val="0"/>
        <w:pageBreakBefore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7、是否配合执法检查判定标准：配合检查。裁量等级：1。</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9"/>
        <w:gridCol w:w="916"/>
        <w:gridCol w:w="1056"/>
        <w:gridCol w:w="419"/>
        <w:gridCol w:w="356"/>
        <w:gridCol w:w="494"/>
        <w:gridCol w:w="494"/>
        <w:gridCol w:w="494"/>
        <w:gridCol w:w="494"/>
        <w:gridCol w:w="494"/>
        <w:gridCol w:w="494"/>
      </w:tblGrid>
      <w:tr w14:paraId="674A5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9" w:type="dxa"/>
            <w:tcBorders>
              <w:top w:val="single" w:color="auto" w:sz="4" w:space="0"/>
              <w:left w:val="single" w:color="auto" w:sz="4" w:space="0"/>
              <w:bottom w:val="single" w:color="auto" w:sz="4" w:space="0"/>
              <w:right w:val="single" w:color="auto" w:sz="4" w:space="0"/>
            </w:tcBorders>
            <w:shd w:val="clear" w:color="auto" w:fill="auto"/>
            <w:vAlign w:val="center"/>
          </w:tcPr>
          <w:p w14:paraId="369DB1F6">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参数</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6D455E17">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14:paraId="76E16E32">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M</w:t>
            </w:r>
          </w:p>
        </w:tc>
        <w:tc>
          <w:tcPr>
            <w:tcW w:w="419" w:type="dxa"/>
            <w:tcBorders>
              <w:top w:val="single" w:color="auto" w:sz="4" w:space="0"/>
              <w:left w:val="single" w:color="auto" w:sz="4" w:space="0"/>
              <w:bottom w:val="single" w:color="auto" w:sz="4" w:space="0"/>
              <w:right w:val="single" w:color="auto" w:sz="4" w:space="0"/>
            </w:tcBorders>
            <w:shd w:val="clear" w:color="auto" w:fill="auto"/>
            <w:vAlign w:val="center"/>
          </w:tcPr>
          <w:p w14:paraId="7976E60F">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A</w:t>
            </w:r>
          </w:p>
        </w:tc>
        <w:tc>
          <w:tcPr>
            <w:tcW w:w="356" w:type="dxa"/>
            <w:tcBorders>
              <w:top w:val="single" w:color="auto" w:sz="4" w:space="0"/>
              <w:left w:val="single" w:color="auto" w:sz="4" w:space="0"/>
              <w:bottom w:val="single" w:color="auto" w:sz="4" w:space="0"/>
              <w:right w:val="single" w:color="auto" w:sz="4" w:space="0"/>
            </w:tcBorders>
            <w:shd w:val="clear" w:color="auto" w:fill="auto"/>
            <w:vAlign w:val="center"/>
          </w:tcPr>
          <w:p w14:paraId="5D7D13F1">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6F8A00F6">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1</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29013D0E">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2</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4FBF9612">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3</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734D00C1">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4</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6F93A654">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5</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46472D83">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6</w:t>
            </w:r>
          </w:p>
        </w:tc>
      </w:tr>
      <w:tr w14:paraId="01775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9" w:type="dxa"/>
            <w:tcBorders>
              <w:top w:val="single" w:color="auto" w:sz="4" w:space="0"/>
              <w:left w:val="single" w:color="auto" w:sz="4" w:space="0"/>
              <w:bottom w:val="single" w:color="auto" w:sz="4" w:space="0"/>
              <w:right w:val="single" w:color="auto" w:sz="4" w:space="0"/>
            </w:tcBorders>
            <w:shd w:val="clear" w:color="auto" w:fill="auto"/>
            <w:vAlign w:val="center"/>
          </w:tcPr>
          <w:p w14:paraId="493B1031">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取值</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3592258D">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50000</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14:paraId="110BA888">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200000</w:t>
            </w:r>
          </w:p>
        </w:tc>
        <w:tc>
          <w:tcPr>
            <w:tcW w:w="419" w:type="dxa"/>
            <w:tcBorders>
              <w:top w:val="single" w:color="auto" w:sz="4" w:space="0"/>
              <w:left w:val="single" w:color="auto" w:sz="4" w:space="0"/>
              <w:bottom w:val="single" w:color="auto" w:sz="4" w:space="0"/>
              <w:right w:val="single" w:color="auto" w:sz="4" w:space="0"/>
            </w:tcBorders>
            <w:shd w:val="clear" w:color="auto" w:fill="auto"/>
            <w:vAlign w:val="center"/>
          </w:tcPr>
          <w:p w14:paraId="01653BFD">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3</w:t>
            </w:r>
          </w:p>
        </w:tc>
        <w:tc>
          <w:tcPr>
            <w:tcW w:w="356" w:type="dxa"/>
            <w:tcBorders>
              <w:top w:val="single" w:color="auto" w:sz="4" w:space="0"/>
              <w:left w:val="single" w:color="auto" w:sz="4" w:space="0"/>
              <w:bottom w:val="single" w:color="auto" w:sz="4" w:space="0"/>
              <w:right w:val="single" w:color="auto" w:sz="4" w:space="0"/>
            </w:tcBorders>
            <w:shd w:val="clear" w:color="auto" w:fill="auto"/>
            <w:vAlign w:val="center"/>
          </w:tcPr>
          <w:p w14:paraId="5197C49D">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6</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2EE4142C">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3</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55384703">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5</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09FEF604">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7961C94D">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3</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285F1318">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26E2F132">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r>
    </w:tbl>
    <w:p w14:paraId="5B6B448F">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X=</w:t>
      </w:r>
      <w:r>
        <w:rPr>
          <w:rFonts w:hint="default" w:ascii="Times New Roman" w:hAnsi="Times New Roman" w:eastAsia="仿宋" w:cs="Times New Roman"/>
          <w:sz w:val="28"/>
          <w:szCs w:val="28"/>
          <w:lang w:bidi="ar"/>
        </w:rPr>
        <w:t>50000+(200000-50000)×[(3/5)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+(3</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+3</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×6)] ×50%=</w:t>
      </w:r>
      <w:r>
        <w:rPr>
          <w:rFonts w:hint="default" w:ascii="Times New Roman" w:hAnsi="Times New Roman" w:eastAsia="仿宋" w:cs="Times New Roman"/>
          <w:sz w:val="32"/>
          <w:szCs w:val="32"/>
          <w:lang w:bidi="ar"/>
        </w:rPr>
        <w:t>100000</w:t>
      </w:r>
    </w:p>
    <w:p w14:paraId="4F36AA48">
      <w:pPr>
        <w:keepNext w:val="0"/>
        <w:keepLines w:val="0"/>
        <w:pageBreakBefore w:val="0"/>
        <w:widowControl/>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color w:val="000000"/>
          <w:sz w:val="32"/>
          <w:szCs w:val="32"/>
        </w:rPr>
        <w:t>根据《建设项目环境保护管理条例》第二十三条第一款“违反本条例规定，需要配套建设的环境保护设施未建成、未经验收或者验收不合格，建设项目即投入生产或者使用，或者在环境保护设施验收中弄虚作假的，由县级以上环境保护行政主管部门责令限期改正，处20万元以上100万元以下的罚款；逾期不改正的，处100万元以上200万元以下的罚款；对直接负责的主管人员和其他责任人员，处5万元以上20万元以下的罚款；造成重大环境污染或者生态破坏的，责令停止生产或者使用，或者报经有批准权的人民政府批准，责令关闭。”</w:t>
      </w:r>
      <w:r>
        <w:rPr>
          <w:rFonts w:hint="default" w:ascii="Times New Roman" w:hAnsi="Times New Roman" w:eastAsia="仿宋" w:cs="Times New Roman"/>
          <w:sz w:val="32"/>
          <w:szCs w:val="32"/>
        </w:rPr>
        <w:t>的规定，经集体研究，我局对</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需要配套建设的环境保护设施未经验收，建设项目即投入生产或使用的违法行为作出以下处理决定：</w:t>
      </w:r>
    </w:p>
    <w:p w14:paraId="2E0222AD">
      <w:pPr>
        <w:keepNext w:val="0"/>
        <w:keepLines w:val="0"/>
        <w:pageBreakBefore w:val="0"/>
        <w:numPr>
          <w:ilvl w:val="0"/>
          <w:numId w:val="0"/>
        </w:numPr>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罚款拾万元整</w:t>
      </w:r>
      <w:r>
        <w:rPr>
          <w:rFonts w:hint="eastAsia" w:eastAsia="仿宋" w:cs="Times New Roman"/>
          <w:sz w:val="32"/>
          <w:szCs w:val="32"/>
          <w:lang w:eastAsia="zh-CN"/>
        </w:rPr>
        <w:t>。（</w:t>
      </w:r>
      <w:r>
        <w:rPr>
          <w:rFonts w:hint="eastAsia" w:eastAsia="仿宋" w:cs="Times New Roman"/>
          <w:sz w:val="32"/>
          <w:szCs w:val="32"/>
          <w:lang w:val="en-US" w:eastAsia="zh-CN"/>
        </w:rPr>
        <w:t>100000</w:t>
      </w:r>
      <w:r>
        <w:rPr>
          <w:rFonts w:hint="eastAsia" w:eastAsia="仿宋" w:cs="Times New Roman"/>
          <w:sz w:val="32"/>
          <w:szCs w:val="32"/>
          <w:lang w:eastAsia="zh-CN"/>
        </w:rPr>
        <w:t>）</w:t>
      </w:r>
    </w:p>
    <w:p w14:paraId="75FDFA8B">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黑体" w:cs="Times New Roman"/>
          <w:b w:val="0"/>
          <w:bCs w:val="0"/>
          <w:sz w:val="32"/>
          <w:szCs w:val="32"/>
        </w:rPr>
      </w:pPr>
      <w:bookmarkStart w:id="5" w:name="_Toc421"/>
      <w:r>
        <w:rPr>
          <w:rFonts w:hint="default" w:ascii="Times New Roman" w:hAnsi="Times New Roman" w:eastAsia="黑体" w:cs="Times New Roman"/>
          <w:b w:val="0"/>
          <w:bCs w:val="0"/>
          <w:sz w:val="32"/>
          <w:szCs w:val="32"/>
        </w:rPr>
        <w:t>三、行政处罚决定的履行方式和期限</w:t>
      </w:r>
      <w:bookmarkEnd w:id="5"/>
    </w:p>
    <w:p w14:paraId="1930C946">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根据《中华人民共和国行政处罚法》和《罚款决定与罚款收缴分离实施办法》的规定，</w:t>
      </w:r>
      <w:r>
        <w:rPr>
          <w:rFonts w:hint="default" w:ascii="Times New Roman" w:hAnsi="Times New Roman" w:eastAsia="仿宋" w:cs="Times New Roman"/>
          <w:sz w:val="32"/>
          <w:szCs w:val="32"/>
          <w:lang w:eastAsia="zh-CN"/>
        </w:rPr>
        <w:t>你</w:t>
      </w:r>
      <w:r>
        <w:rPr>
          <w:rFonts w:hint="default" w:ascii="Times New Roman" w:hAnsi="Times New Roman" w:eastAsia="仿宋" w:cs="Times New Roman"/>
          <w:sz w:val="32"/>
          <w:szCs w:val="32"/>
        </w:rPr>
        <w:t>应当自收到本处罚决定书之日起15日内将罚款缴至我局指定的银行及账户：</w:t>
      </w:r>
    </w:p>
    <w:p w14:paraId="4852CE3E">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bookmarkStart w:id="6" w:name="_Toc9167"/>
      <w:r>
        <w:rPr>
          <w:rFonts w:hint="default" w:ascii="Times New Roman" w:hAnsi="Times New Roman" w:eastAsia="仿宋" w:cs="Times New Roman"/>
          <w:sz w:val="32"/>
          <w:szCs w:val="32"/>
        </w:rPr>
        <w:t>开户</w:t>
      </w:r>
      <w:r>
        <w:rPr>
          <w:rFonts w:hint="eastAsia" w:eastAsia="仿宋" w:cs="Times New Roman"/>
          <w:sz w:val="32"/>
          <w:szCs w:val="32"/>
          <w:lang w:eastAsia="zh-CN"/>
        </w:rPr>
        <w:t>行</w:t>
      </w:r>
      <w:r>
        <w:rPr>
          <w:rFonts w:hint="default" w:ascii="Times New Roman" w:hAnsi="Times New Roman" w:eastAsia="仿宋" w:cs="Times New Roman"/>
          <w:sz w:val="32"/>
          <w:szCs w:val="32"/>
        </w:rPr>
        <w:t>：邮政储蓄银行民主南路支行</w:t>
      </w:r>
    </w:p>
    <w:p w14:paraId="5E5F7CED">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开户名称：焦作市财政局非税收入财政专户</w:t>
      </w:r>
    </w:p>
    <w:p w14:paraId="60F6410A">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eastAsia" w:eastAsia="仿宋" w:cs="Times New Roman"/>
          <w:sz w:val="32"/>
          <w:szCs w:val="32"/>
          <w:lang w:eastAsia="zh-CN"/>
        </w:rPr>
        <w:t>银行账号</w:t>
      </w:r>
      <w:r>
        <w:rPr>
          <w:rFonts w:hint="default" w:ascii="Times New Roman" w:hAnsi="Times New Roman" w:eastAsia="仿宋" w:cs="Times New Roman"/>
          <w:sz w:val="32"/>
          <w:szCs w:val="32"/>
        </w:rPr>
        <w:t>：100195545980010001</w:t>
      </w:r>
    </w:p>
    <w:p w14:paraId="32AEC596">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缴款时，需在缴款备注栏注明“生态环境行政处罚款”及具体的处罚决定书编号等信息。</w:t>
      </w:r>
    </w:p>
    <w:p w14:paraId="4E2677C2">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四、申请行政复议或提起行政诉讼的途径和期限</w:t>
      </w:r>
      <w:bookmarkEnd w:id="6"/>
    </w:p>
    <w:p w14:paraId="62E94839">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195DBFFF">
      <w:pPr>
        <w:keepNext w:val="0"/>
        <w:keepLines w:val="0"/>
        <w:pageBreakBefore w:val="0"/>
        <w:kinsoku/>
        <w:wordWrap/>
        <w:overflowPunct/>
        <w:topLinePunct w:val="0"/>
        <w:autoSpaceDE/>
        <w:autoSpaceDN/>
        <w:bidi w:val="0"/>
        <w:adjustRightInd/>
        <w:snapToGrid w:val="0"/>
        <w:spacing w:line="500" w:lineRule="exact"/>
        <w:ind w:right="420" w:firstLine="4480" w:firstLineChars="1400"/>
        <w:textAlignment w:val="auto"/>
        <w:rPr>
          <w:rFonts w:hint="default" w:ascii="Times New Roman" w:hAnsi="Times New Roman" w:eastAsia="仿宋" w:cs="Times New Roman"/>
          <w:sz w:val="32"/>
          <w:szCs w:val="32"/>
          <w:lang w:eastAsia="zh-CN"/>
        </w:rPr>
      </w:pPr>
    </w:p>
    <w:p w14:paraId="4FE9709E">
      <w:pPr>
        <w:keepNext w:val="0"/>
        <w:keepLines w:val="0"/>
        <w:pageBreakBefore w:val="0"/>
        <w:kinsoku/>
        <w:wordWrap/>
        <w:overflowPunct/>
        <w:topLinePunct w:val="0"/>
        <w:autoSpaceDE/>
        <w:autoSpaceDN/>
        <w:bidi w:val="0"/>
        <w:adjustRightInd/>
        <w:snapToGrid w:val="0"/>
        <w:spacing w:line="500" w:lineRule="exact"/>
        <w:ind w:right="420" w:firstLine="4480" w:firstLineChars="1400"/>
        <w:textAlignment w:val="auto"/>
        <w:rPr>
          <w:rFonts w:hint="default" w:ascii="Times New Roman" w:hAnsi="Times New Roman" w:eastAsia="仿宋" w:cs="Times New Roman"/>
          <w:sz w:val="32"/>
          <w:szCs w:val="32"/>
          <w:lang w:eastAsia="zh-CN"/>
        </w:rPr>
      </w:pPr>
    </w:p>
    <w:p w14:paraId="0C9462EF">
      <w:pPr>
        <w:keepNext w:val="0"/>
        <w:keepLines w:val="0"/>
        <w:pageBreakBefore w:val="0"/>
        <w:kinsoku/>
        <w:wordWrap/>
        <w:overflowPunct/>
        <w:topLinePunct w:val="0"/>
        <w:autoSpaceDE/>
        <w:autoSpaceDN/>
        <w:bidi w:val="0"/>
        <w:adjustRightInd/>
        <w:snapToGrid w:val="0"/>
        <w:spacing w:line="500" w:lineRule="exact"/>
        <w:ind w:right="420" w:firstLine="4480" w:firstLineChars="1400"/>
        <w:textAlignment w:val="auto"/>
        <w:rPr>
          <w:rFonts w:hint="eastAsia" w:ascii="Times New Roman" w:hAnsi="Times New Roman" w:eastAsia="仿宋" w:cs="Times New Roman"/>
          <w:sz w:val="32"/>
          <w:szCs w:val="32"/>
          <w:lang w:eastAsia="zh-CN"/>
        </w:rPr>
      </w:pPr>
      <w:r>
        <w:rPr>
          <w:rFonts w:hint="default" w:ascii="Times New Roman" w:hAnsi="Times New Roman" w:eastAsia="仿宋" w:cs="Times New Roman"/>
          <w:sz w:val="32"/>
          <w:szCs w:val="32"/>
        </w:rPr>
        <w:t>焦作市生态环境局</w:t>
      </w:r>
      <w:r>
        <w:rPr>
          <w:rFonts w:hint="eastAsia" w:ascii="Times New Roman" w:hAnsi="Times New Roman" w:eastAsia="仿宋" w:cs="Times New Roman"/>
          <w:sz w:val="32"/>
          <w:szCs w:val="32"/>
          <w:lang w:val="en-US" w:eastAsia="zh-CN"/>
        </w:rPr>
        <w:t xml:space="preserve"> </w:t>
      </w:r>
    </w:p>
    <w:p w14:paraId="07137050">
      <w:pPr>
        <w:keepNext w:val="0"/>
        <w:keepLines w:val="0"/>
        <w:pageBreakBefore w:val="0"/>
        <w:kinsoku/>
        <w:wordWrap/>
        <w:overflowPunct/>
        <w:topLinePunct w:val="0"/>
        <w:autoSpaceDE/>
        <w:autoSpaceDN/>
        <w:bidi w:val="0"/>
        <w:adjustRightInd/>
        <w:spacing w:line="500" w:lineRule="exact"/>
        <w:jc w:val="center"/>
        <w:textAlignment w:val="auto"/>
        <w:rPr>
          <w:rFonts w:hint="default" w:ascii="Times New Roman" w:hAnsi="Times New Roman" w:eastAsia="方正小标宋_GBK" w:cs="Times New Roman"/>
          <w:bCs/>
          <w:sz w:val="44"/>
          <w:szCs w:val="44"/>
        </w:rPr>
      </w:pPr>
      <w:r>
        <w:rPr>
          <w:rFonts w:hint="default" w:ascii="Times New Roman" w:hAnsi="Times New Roman" w:eastAsia="仿宋" w:cs="Times New Roman"/>
          <w:sz w:val="32"/>
          <w:szCs w:val="32"/>
        </w:rPr>
        <w:t xml:space="preserve">                                </w:t>
      </w:r>
      <w:r>
        <w:rPr>
          <w:rFonts w:hint="eastAsia" w:ascii="Times New Roman" w:hAnsi="Times New Roman" w:eastAsia="仿宋" w:cs="Times New Roman"/>
          <w:sz w:val="32"/>
          <w:szCs w:val="32"/>
          <w:lang w:val="en-US" w:eastAsia="zh-CN"/>
        </w:rPr>
        <w:t>2025年12月</w:t>
      </w:r>
      <w:r>
        <w:rPr>
          <w:rFonts w:hint="eastAsia" w:eastAsia="仿宋" w:cs="Times New Roman"/>
          <w:sz w:val="32"/>
          <w:szCs w:val="32"/>
          <w:lang w:val="en-US" w:eastAsia="zh-CN"/>
        </w:rPr>
        <w:t>30日</w:t>
      </w:r>
    </w:p>
    <w:p w14:paraId="179AC7DD">
      <w:pPr>
        <w:keepNext w:val="0"/>
        <w:keepLines w:val="0"/>
        <w:pageBreakBefore w:val="0"/>
        <w:kinsoku/>
        <w:wordWrap/>
        <w:overflowPunct/>
        <w:topLinePunct w:val="0"/>
        <w:autoSpaceDE/>
        <w:autoSpaceDN/>
        <w:bidi w:val="0"/>
        <w:adjustRightInd/>
        <w:spacing w:line="500" w:lineRule="exact"/>
        <w:textAlignment w:val="auto"/>
        <w:rPr>
          <w:rFonts w:hint="default" w:ascii="Times New Roman" w:hAnsi="Times New Roman" w:cs="Times New Roman"/>
        </w:rPr>
      </w:pPr>
    </w:p>
    <w:sectPr>
      <w:footerReference r:id="rId3" w:type="default"/>
      <w:pgSz w:w="11906" w:h="16838"/>
      <w:pgMar w:top="2154" w:right="141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BC7210C-C9EB-48D3-9C27-2C0BC42115D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2" w:fontKey="{F05714ED-12FB-41A2-810E-30C73DE11BDC}"/>
  </w:font>
  <w:font w:name="方正小标宋简体">
    <w:panose1 w:val="02000000000000000000"/>
    <w:charset w:val="86"/>
    <w:family w:val="script"/>
    <w:pitch w:val="default"/>
    <w:sig w:usb0="00000001" w:usb1="08000000" w:usb2="00000000" w:usb3="00000000" w:csb0="00040000" w:csb1="00000000"/>
    <w:embedRegular r:id="rId3" w:fontKey="{B838446C-22CA-45A6-8F22-114A508BC13B}"/>
  </w:font>
  <w:font w:name="方正小标宋_GBK">
    <w:altName w:val="仿宋"/>
    <w:panose1 w:val="03000509000000000000"/>
    <w:charset w:val="86"/>
    <w:family w:val="auto"/>
    <w:pitch w:val="default"/>
    <w:sig w:usb0="00000000" w:usb1="00000000" w:usb2="00000000" w:usb3="00000000" w:csb0="00040000" w:csb1="00000000"/>
    <w:embedRegular r:id="rId4" w:fontKey="{A0DE5026-40EF-4983-BBFD-774B29302095}"/>
  </w:font>
  <w:font w:name="楷体">
    <w:panose1 w:val="02010609060101010101"/>
    <w:charset w:val="86"/>
    <w:family w:val="modern"/>
    <w:pitch w:val="default"/>
    <w:sig w:usb0="800002BF" w:usb1="38CF7CFA" w:usb2="00000016" w:usb3="00000000" w:csb0="00040001" w:csb1="00000000"/>
    <w:embedRegular r:id="rId5" w:fontKey="{86914D9D-BE88-4128-A46A-B0122554C49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AD9310">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5113020</wp:posOffset>
              </wp:positionH>
              <wp:positionV relativeFrom="paragraph">
                <wp:posOffset>-111760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A0BFA6">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2.6pt;margin-top:-8.8pt;height:144pt;width:144pt;mso-position-horizontal-relative:margin;mso-wrap-style:none;z-index:251659264;mso-width-relative:page;mso-height-relative:page;" filled="f" stroked="f" coordsize="21600,21600" o:gfxdata="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0ENubZAAAADAEAAA8AAAAAAAAAAQAgAAAAIgAAAGRycy9kb3ducmV2Lnht&#10;bFBLAQIUABQAAAAIAIdO4kBrhfn7MQIAAGEEAAAOAAAAAAAAAAEAIAAAACgBAABkcnMvZTJvRG9j&#10;LnhtbFBLBQYAAAAABgAGAFkBAADLBQAAAAA=&#10;">
              <v:fill on="f" focussize="0,0"/>
              <v:stroke on="f" weight="0.5pt"/>
              <v:imagedata o:title=""/>
              <o:lock v:ext="edit" aspectratio="f"/>
              <v:textbox inset="0mm,0mm,0mm,0mm" style="mso-fit-shape-to-text:t;">
                <w:txbxContent>
                  <w:p w14:paraId="2AA0BFA6">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YTA1OWNlNDdmMDlhNjNmMDRjYjJjODM0ZGE3ZDEifQ=="/>
  </w:docVars>
  <w:rsids>
    <w:rsidRoot w:val="00172A27"/>
    <w:rsid w:val="00054CD2"/>
    <w:rsid w:val="00172A27"/>
    <w:rsid w:val="001D066A"/>
    <w:rsid w:val="00321CEE"/>
    <w:rsid w:val="00DE7F24"/>
    <w:rsid w:val="02086F62"/>
    <w:rsid w:val="057124C1"/>
    <w:rsid w:val="091C2D7B"/>
    <w:rsid w:val="0C400DA6"/>
    <w:rsid w:val="0D740DA9"/>
    <w:rsid w:val="0F501A48"/>
    <w:rsid w:val="0FAA77A9"/>
    <w:rsid w:val="10F06ACC"/>
    <w:rsid w:val="13972D20"/>
    <w:rsid w:val="14570C7E"/>
    <w:rsid w:val="158A4102"/>
    <w:rsid w:val="184B770B"/>
    <w:rsid w:val="186C0720"/>
    <w:rsid w:val="19E276DA"/>
    <w:rsid w:val="1E0D5BD6"/>
    <w:rsid w:val="1F6B1798"/>
    <w:rsid w:val="204574BA"/>
    <w:rsid w:val="21036B88"/>
    <w:rsid w:val="218A7321"/>
    <w:rsid w:val="21D61BE3"/>
    <w:rsid w:val="23900338"/>
    <w:rsid w:val="27CE16AB"/>
    <w:rsid w:val="2B12441C"/>
    <w:rsid w:val="31604A69"/>
    <w:rsid w:val="327F3545"/>
    <w:rsid w:val="32E016EB"/>
    <w:rsid w:val="3326095F"/>
    <w:rsid w:val="33581F25"/>
    <w:rsid w:val="3DA17A5C"/>
    <w:rsid w:val="3E6C384F"/>
    <w:rsid w:val="418E546C"/>
    <w:rsid w:val="467B090B"/>
    <w:rsid w:val="4AB42918"/>
    <w:rsid w:val="4CC31089"/>
    <w:rsid w:val="4DDF21FE"/>
    <w:rsid w:val="4F9842DC"/>
    <w:rsid w:val="50C25AB5"/>
    <w:rsid w:val="51A05077"/>
    <w:rsid w:val="53B4466B"/>
    <w:rsid w:val="53CA39FE"/>
    <w:rsid w:val="53CF1DDE"/>
    <w:rsid w:val="557823C9"/>
    <w:rsid w:val="57536CD1"/>
    <w:rsid w:val="60F3752A"/>
    <w:rsid w:val="610F0176"/>
    <w:rsid w:val="615A5895"/>
    <w:rsid w:val="64560BB2"/>
    <w:rsid w:val="64743067"/>
    <w:rsid w:val="66A03D4A"/>
    <w:rsid w:val="6DE725E5"/>
    <w:rsid w:val="6E885987"/>
    <w:rsid w:val="702F1229"/>
    <w:rsid w:val="709B46C8"/>
    <w:rsid w:val="71211EAE"/>
    <w:rsid w:val="716B3240"/>
    <w:rsid w:val="77112281"/>
    <w:rsid w:val="7C394C3D"/>
    <w:rsid w:val="7FD6AA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unhideWhenUsed/>
    <w:qFormat/>
    <w:uiPriority w:val="99"/>
    <w:pPr>
      <w:jc w:val="center"/>
    </w:pPr>
    <w:rPr>
      <w:rFonts w:ascii="华文中宋" w:eastAsia="华文中宋"/>
      <w:b/>
      <w:bCs/>
      <w:sz w:val="44"/>
      <w:szCs w:val="36"/>
    </w:rPr>
  </w:style>
  <w:style w:type="paragraph" w:styleId="3">
    <w:name w:val="footer"/>
    <w:basedOn w:val="1"/>
    <w:unhideWhenUsed/>
    <w:qFormat/>
    <w:uiPriority w:val="0"/>
    <w:pPr>
      <w:tabs>
        <w:tab w:val="center" w:pos="4153"/>
        <w:tab w:val="right" w:pos="8306"/>
      </w:tabs>
      <w:snapToGrid w:val="0"/>
      <w:jc w:val="left"/>
    </w:pPr>
    <w:rPr>
      <w:sz w:val="18"/>
    </w:rPr>
  </w:style>
  <w:style w:type="paragraph" w:styleId="4">
    <w:name w:val="header"/>
    <w:basedOn w:val="1"/>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正文文本 字符"/>
    <w:basedOn w:val="7"/>
    <w:link w:val="2"/>
    <w:qFormat/>
    <w:uiPriority w:val="0"/>
    <w:rPr>
      <w:rFonts w:hint="eastAsia" w:ascii="仿宋" w:hAnsi="仿宋" w:eastAsia="仿宋" w:cs="仿宋"/>
      <w:kern w:val="2"/>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3196</Words>
  <Characters>3424</Characters>
  <Lines>10</Lines>
  <Paragraphs>2</Paragraphs>
  <TotalTime>14</TotalTime>
  <ScaleCrop>false</ScaleCrop>
  <LinksUpToDate>false</LinksUpToDate>
  <CharactersWithSpaces>3574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2008-12-26T16:45:00Z</dcterms:created>
  <dc:creator>Administrator</dc:creator>
  <cp:lastModifiedBy>WPS_1684208417</cp:lastModifiedBy>
  <cp:lastPrinted>2025-12-30T16:50:00Z</cp:lastPrinted>
  <dcterms:modified xsi:type="dcterms:W3CDTF">2026-01-09T01:17:21Z</dcterms:modified>
  <dc:title>焦作市生态环境局行政处罚决定书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1B67D8C72219437EBD815D586769981E_13</vt:lpwstr>
  </property>
  <property fmtid="{D5CDD505-2E9C-101B-9397-08002B2CF9AE}" pid="4" name="KSOTemplateDocerSaveRecord">
    <vt:lpwstr>eyJoZGlkIjoiY2Y0ZjQ5NTU4ZjU0MzQxMDRkODU5NDczZmZhMWFjYTciLCJ1c2VySWQiOiIxNDk0MjY4MzA4In0=</vt:lpwstr>
  </property>
</Properties>
</file>