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13</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6</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1</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13</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13</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7"/>
        <w:tblW w:w="14337" w:type="dxa"/>
        <w:tblInd w:w="0" w:type="dxa"/>
        <w:tblLayout w:type="fixed"/>
        <w:tblCellMar>
          <w:top w:w="0" w:type="dxa"/>
          <w:left w:w="108" w:type="dxa"/>
          <w:bottom w:w="0" w:type="dxa"/>
          <w:right w:w="108" w:type="dxa"/>
        </w:tblCellMar>
      </w:tblPr>
      <w:tblGrid>
        <w:gridCol w:w="524"/>
        <w:gridCol w:w="1015"/>
        <w:gridCol w:w="1183"/>
        <w:gridCol w:w="930"/>
        <w:gridCol w:w="885"/>
        <w:gridCol w:w="2585"/>
        <w:gridCol w:w="7215"/>
      </w:tblGrid>
      <w:tr>
        <w:tblPrEx>
          <w:tblLayout w:type="fixed"/>
          <w:tblCellMar>
            <w:top w:w="0" w:type="dxa"/>
            <w:left w:w="108" w:type="dxa"/>
            <w:bottom w:w="0" w:type="dxa"/>
            <w:right w:w="108" w:type="dxa"/>
          </w:tblCellMar>
        </w:tblPrEx>
        <w:trPr>
          <w:trHeight w:val="1121"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5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72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Layout w:type="fixed"/>
          <w:tblCellMar>
            <w:top w:w="0" w:type="dxa"/>
            <w:left w:w="108" w:type="dxa"/>
            <w:bottom w:w="0" w:type="dxa"/>
            <w:right w:w="108" w:type="dxa"/>
          </w:tblCellMar>
        </w:tblPrEx>
        <w:trPr>
          <w:trHeight w:val="1973"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河南焦作修武城南110千伏输变电工程</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焦作市修武县</w:t>
            </w:r>
            <w:r>
              <w:rPr>
                <w:rFonts w:hint="eastAsia" w:ascii="仿宋" w:hAnsi="仿宋" w:eastAsia="仿宋" w:cs="仿宋"/>
                <w:color w:val="000000"/>
                <w:sz w:val="24"/>
                <w:szCs w:val="24"/>
                <w:lang w:val="en-US" w:eastAsia="zh-CN"/>
              </w:rPr>
              <w:t>境内</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国网河南省电力公司焦作供电公司</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河南莱嘉环境技术有限公司</w:t>
            </w:r>
          </w:p>
        </w:tc>
        <w:tc>
          <w:tcPr>
            <w:tcW w:w="25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 xml:space="preserve">项目位于焦作市修武县境内，建设性质为新建，总投资7154万元。建设内容包括：①城南110kV变电站新建工程；②刘庄110千伏变电站间隔扩建工程；③田庄110千伏变电站1号主变更换工程；④刘庄-城南110千伏线路工程；⑤绿鑫电厂-田庄π入城南变110千伏线路工程。辅助工程包括：城南110kV变电站、刘庄110kV变电站、田庄110kV变电站站内均配套建设配电综合楼、辅助用房、进站道路等。    </w:t>
            </w:r>
          </w:p>
        </w:tc>
        <w:tc>
          <w:tcPr>
            <w:tcW w:w="72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both"/>
              <w:rPr>
                <w:rFonts w:hint="default" w:ascii="仿宋" w:hAnsi="仿宋" w:eastAsia="仿宋"/>
                <w:sz w:val="24"/>
                <w:szCs w:val="24"/>
                <w:lang w:val="en-US" w:eastAsia="zh-CN"/>
              </w:rPr>
            </w:pPr>
            <w:r>
              <w:rPr>
                <w:rFonts w:hint="default" w:ascii="仿宋" w:hAnsi="仿宋" w:eastAsia="仿宋"/>
                <w:sz w:val="24"/>
                <w:szCs w:val="24"/>
                <w:lang w:val="en-US" w:eastAsia="zh-CN"/>
              </w:rPr>
              <w:t>1.施工期，加强对施工现场和物料运输的管理，合理设置抑尘措施，防治扬尘污染。</w:t>
            </w:r>
          </w:p>
          <w:p>
            <w:pPr>
              <w:autoSpaceDN w:val="0"/>
              <w:spacing w:line="300" w:lineRule="exact"/>
              <w:jc w:val="both"/>
              <w:rPr>
                <w:rFonts w:hint="default" w:ascii="仿宋" w:hAnsi="仿宋" w:eastAsia="仿宋"/>
                <w:sz w:val="24"/>
                <w:szCs w:val="24"/>
                <w:lang w:val="en-US" w:eastAsia="zh-CN"/>
              </w:rPr>
            </w:pPr>
            <w:r>
              <w:rPr>
                <w:rFonts w:hint="eastAsia" w:ascii="仿宋" w:hAnsi="仿宋" w:eastAsia="仿宋"/>
                <w:sz w:val="24"/>
                <w:szCs w:val="24"/>
                <w:lang w:val="en-US" w:eastAsia="zh-CN"/>
              </w:rPr>
              <w:t>2.</w:t>
            </w:r>
            <w:r>
              <w:rPr>
                <w:rFonts w:hint="default" w:ascii="仿宋" w:hAnsi="仿宋" w:eastAsia="仿宋"/>
                <w:sz w:val="24"/>
                <w:szCs w:val="24"/>
                <w:lang w:val="en-US" w:eastAsia="zh-CN"/>
              </w:rPr>
              <w:t>新建变电站在施工场地修建临时沉砂池，施工废水经收集、沉砂、澄清处理后回用，不外排；新建线路在塔基施工场地内应设置泥浆池，泥浆经沉淀后上清液回用于施工区域洒水降尘，多余的泥浆渣应回填于塔基施工范围内，施工结束后泥浆池应回填平整，并进行迹地恢复。运营期，变电站临时检修人员产生生活污水经站内化粪池处理后定期清理，不外排。</w:t>
            </w:r>
          </w:p>
          <w:p>
            <w:pPr>
              <w:autoSpaceDN w:val="0"/>
              <w:spacing w:line="300" w:lineRule="exact"/>
              <w:jc w:val="both"/>
              <w:rPr>
                <w:rFonts w:hint="default" w:ascii="仿宋" w:hAnsi="仿宋" w:eastAsia="仿宋"/>
                <w:sz w:val="24"/>
                <w:szCs w:val="24"/>
                <w:lang w:val="en-US" w:eastAsia="zh-CN"/>
              </w:rPr>
            </w:pPr>
            <w:r>
              <w:rPr>
                <w:rFonts w:hint="eastAsia" w:ascii="仿宋" w:hAnsi="仿宋" w:eastAsia="仿宋"/>
                <w:sz w:val="24"/>
                <w:szCs w:val="24"/>
                <w:lang w:val="en-US" w:eastAsia="zh-CN"/>
              </w:rPr>
              <w:t>3.</w:t>
            </w:r>
            <w:r>
              <w:rPr>
                <w:rFonts w:hint="default" w:ascii="仿宋" w:hAnsi="仿宋" w:eastAsia="仿宋"/>
                <w:sz w:val="24"/>
                <w:szCs w:val="24"/>
                <w:lang w:val="en-US" w:eastAsia="zh-CN"/>
              </w:rPr>
              <w:t>合理安排施工时间，使用低噪声施工设备，施工场地设置围挡或围墙，场界噪声满足《建筑施工噪声排放标准》(GB12523-2025)中相应标准限值要求。运营期，主变之间安装防火隔声墙，厂界噪声满足《工业企业厂界环境噪声排放标准》（GB12348-2008）中相应排放标准；线路沿线声环境满足《声环境质量标准》（GB3096-2008）中相应标准限值要求。</w:t>
            </w:r>
          </w:p>
          <w:p>
            <w:pPr>
              <w:autoSpaceDN w:val="0"/>
              <w:spacing w:line="300" w:lineRule="exact"/>
              <w:jc w:val="both"/>
              <w:rPr>
                <w:rFonts w:hint="default" w:ascii="仿宋" w:hAnsi="仿宋" w:eastAsia="仿宋"/>
                <w:sz w:val="24"/>
                <w:szCs w:val="24"/>
                <w:lang w:val="en-US" w:eastAsia="zh-CN"/>
              </w:rPr>
            </w:pPr>
            <w:r>
              <w:rPr>
                <w:rFonts w:hint="eastAsia" w:ascii="仿宋" w:hAnsi="仿宋" w:eastAsia="仿宋"/>
                <w:sz w:val="24"/>
                <w:szCs w:val="24"/>
                <w:lang w:val="en-US" w:eastAsia="zh-CN"/>
              </w:rPr>
              <w:t>4.</w:t>
            </w:r>
            <w:r>
              <w:rPr>
                <w:rFonts w:hint="default" w:ascii="仿宋" w:hAnsi="仿宋" w:eastAsia="仿宋"/>
                <w:sz w:val="24"/>
                <w:szCs w:val="24"/>
                <w:lang w:val="en-US" w:eastAsia="zh-CN"/>
              </w:rPr>
              <w:t>施工过程产生的弃土弃渣、施工废物料、生活垃圾妥善处理和处置，施工完成后及时做好迹地清理工作。运营期，生活垃圾分类集中存放，定期清运；变电站内产生的废铅蓄电池及主变在事故、检修过程中产生的废矿物油等危险废物，由有资质的单位进行安全处置；设置事故油池，防渗效果满足满足《危险废物贮存污染控制标准》（GB18597-2001）有关要求，危险废物的转运严格执行《危险废物转移联单管理办法》相关规定。</w:t>
            </w:r>
          </w:p>
          <w:p>
            <w:pPr>
              <w:autoSpaceDN w:val="0"/>
              <w:spacing w:line="300" w:lineRule="exact"/>
              <w:jc w:val="both"/>
              <w:rPr>
                <w:rFonts w:hint="default" w:ascii="仿宋" w:hAnsi="仿宋" w:eastAsia="仿宋"/>
                <w:sz w:val="24"/>
                <w:szCs w:val="24"/>
                <w:lang w:val="en-US" w:eastAsia="zh-CN"/>
              </w:rPr>
            </w:pPr>
            <w:r>
              <w:rPr>
                <w:rFonts w:hint="default" w:ascii="仿宋" w:hAnsi="仿宋" w:eastAsia="仿宋"/>
                <w:sz w:val="24"/>
                <w:szCs w:val="24"/>
                <w:lang w:val="en-US" w:eastAsia="zh-CN"/>
              </w:rPr>
              <w:t>5.合理规划牵张场、跨越场、塔基施工场地、施工道路等临时场地，减少农田植被破坏及水土流失，保护沿线生态环境。施工结束后临时占地应及时进行清理、松土、覆盖表层土，并开展植被恢复工作。</w:t>
            </w:r>
          </w:p>
          <w:p>
            <w:pPr>
              <w:autoSpaceDN w:val="0"/>
              <w:spacing w:line="300" w:lineRule="exact"/>
              <w:jc w:val="both"/>
              <w:rPr>
                <w:rFonts w:ascii="仿宋" w:hAnsi="仿宋" w:eastAsia="仿宋"/>
                <w:sz w:val="24"/>
                <w:szCs w:val="24"/>
              </w:rPr>
            </w:pPr>
            <w:r>
              <w:rPr>
                <w:rFonts w:hint="default" w:ascii="仿宋" w:hAnsi="仿宋" w:eastAsia="仿宋"/>
                <w:sz w:val="24"/>
                <w:szCs w:val="24"/>
                <w:lang w:val="en-US" w:eastAsia="zh-CN"/>
              </w:rPr>
              <w:t>6.项目运行后，工频电场强度、工频磁感应强度满足《电磁环境控制限值》（GB8702-2014）4000V/m和100μT公众曝露控制限值要求。</w:t>
            </w:r>
          </w:p>
        </w:tc>
      </w:tr>
    </w:tbl>
    <w:p>
      <w:pPr>
        <w:keepNext w:val="0"/>
        <w:keepLines w:val="0"/>
        <w:pageBreakBefore w:val="0"/>
        <w:widowControl w:val="0"/>
        <w:kinsoku/>
        <w:wordWrap/>
        <w:overflowPunct/>
        <w:topLinePunct w:val="0"/>
        <w:autoSpaceDE/>
        <w:autoSpaceDN w:val="0"/>
        <w:bidi w:val="0"/>
        <w:spacing w:line="460" w:lineRule="exact"/>
        <w:ind w:firstLine="643" w:firstLineChars="200"/>
        <w:textAlignment w:val="auto"/>
        <w:rPr>
          <w:rFonts w:ascii="仿宋_GB2312" w:hAnsi="仿宋_GB2312" w:eastAsia="仿宋_GB2312"/>
          <w:b/>
          <w:color w:val="auto"/>
          <w:sz w:val="32"/>
          <w:szCs w:val="22"/>
        </w:rPr>
      </w:pPr>
    </w:p>
    <w:p>
      <w:pPr>
        <w:keepNext w:val="0"/>
        <w:keepLines w:val="0"/>
        <w:pageBreakBefore w:val="0"/>
        <w:widowControl w:val="0"/>
        <w:kinsoku/>
        <w:wordWrap/>
        <w:overflowPunct/>
        <w:topLinePunct w:val="0"/>
        <w:autoSpaceDE/>
        <w:autoSpaceDN w:val="0"/>
        <w:bidi w:val="0"/>
        <w:spacing w:line="460" w:lineRule="exact"/>
        <w:ind w:firstLine="643"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国网河南省电力公司焦作供电公司河南焦作修武城南110千伏输变电工程</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2"/>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 xml:space="preserve">项目位于焦作市修武县境内，建设性质为新建，总投资7154万元。主体工程包括：①城南110kV变电站新建工程；②刘庄110千伏变电站间隔扩建工程；③田庄110千伏变电站1号主变更换工程；④刘庄-城南110千伏线路工程；⑤绿鑫电厂-田庄π入城南变110千伏线路工程。辅助工程包括：城南110kV变电站、刘庄110kV变电站、田庄110kV变电站站内均配套建设配电综合楼、辅助用房、进站道路等。   </w:t>
      </w:r>
    </w:p>
    <w:p>
      <w:pPr>
        <w:keepNext w:val="0"/>
        <w:keepLines w:val="0"/>
        <w:pageBreakBefore w:val="0"/>
        <w:widowControl w:val="0"/>
        <w:numPr>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1.施工期，加强对施工现场和物料运输的管理，合理设置抑尘措施，防治扬尘污染。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新建变电站在施工场地修建临时沉砂池，施工废水经收集、沉砂、澄清处理后回用，不外排；新建线路在塔基施工场地内应设置泥浆池，泥浆经沉淀后上清液回用于施工区域洒水降尘，多余的泥浆渣应回填于塔基施工范围内，施工结束后泥浆池应回填平整，并进行迹地恢复。运营期，变电站临时检修人员产生生活污水经站内化粪池处理后定期清理，不外排。</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3.合理安排施工时间，使用低噪声施工设备，施工场地设置围挡或围墙，场界噪声满足《建筑施工噪声排放标准》(GB12523-2025)中相应标准限值要求。运营期，主变之间安装防火隔声墙，厂界噪声满足《工业企业厂界环境噪声排放标准》（GB12348-2008）中相应排放标准；线路沿线声环境满足《声环境质量标准》（GB3096-2008）中相应标准限值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4.施工过程产生的弃土弃渣、施工废物料、生活垃圾妥善处理和处置，施工完成后及时做好迹地清理工作。运营期，生活垃圾分类集中存放，定期清运；变电站内产生的废铅蓄电池及主变在事故、检修过程中产生的废矿物油等危险废物，由有资质的单位进行安全处置；设置事故油池，防渗效果满足满足《危险废物贮存污染控制标准》（GB18597-2001）有关要求，危险废物的转运严格执行《危险废物转移联单管理办法》相关规定。</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5.合理规划牵张场、跨越场、塔基施工场地、施工道路等临时场地，减少农田植被破坏及水土流失，保护沿线生态环境。施工结束后临时占地应及时进行清理、松土、覆盖表层土，并开展植被恢复工作。</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6.项目运行后，工频电场强度、工频磁感应强度满足《电磁环境控制限值》（GB8702-2014）4000V/m和100μT公众曝露控制限值要求。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五、你公司应建立环保管理和监测制度，确保各项污染因子达到环保标准要求；制定突发环境事件应急预案，确保发生事故时可及时得到妥善处理。</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六、如果今后国家或我省、市颁布新的标准和管理要求，届时你公司应按新标准和管理要求执行。</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七、工程竣工后要按照规定进行自主验收，验收合格后方可投入运行。</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八、该项目自批复之日起五年后开工建设的，应重新报我局审核。本批复生效后，项目性质、规模、地点、采用的生产工艺或者防治污染、防止生态破坏的措施发生重大变动的，应当重新报批项目的环境影响评价文件。</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九</w:t>
      </w:r>
      <w:bookmarkStart w:id="0" w:name="_GoBack"/>
      <w:bookmarkEnd w:id="0"/>
      <w:r>
        <w:rPr>
          <w:rFonts w:hint="eastAsia" w:ascii="仿宋" w:hAnsi="仿宋" w:eastAsia="仿宋"/>
          <w:sz w:val="32"/>
          <w:lang w:val="en-US" w:eastAsia="zh-CN"/>
        </w:rPr>
        <w:t xml:space="preserve">、土地、规划等要求以有关部门意见为准。 </w:t>
      </w:r>
      <w:r>
        <w:rPr>
          <w:rFonts w:hint="eastAsia" w:ascii="仿宋" w:hAnsi="仿宋" w:eastAsia="仿宋"/>
          <w:sz w:val="32"/>
        </w:rPr>
        <w:t xml:space="preserve"> </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p>
    <w:p>
      <w:pPr>
        <w:pStyle w:val="2"/>
        <w:rPr>
          <w:rFonts w:hint="eastAsia"/>
        </w:rPr>
      </w:pP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EE"/>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43" w:usb2="00000009" w:usb3="00000000" w:csb0="400001FF" w:csb1="FFFF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Impact">
    <w:panose1 w:val="020B0806030902050204"/>
    <w:charset w:val="00"/>
    <w:family w:val="swiss"/>
    <w:pitch w:val="default"/>
    <w:sig w:usb0="00000287" w:usb1="00000000" w:usb2="00000000" w:usb3="00000000" w:csb0="2000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Wingdings 2">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Yu Gothic UI">
    <w:panose1 w:val="020B0500000000000000"/>
    <w:charset w:val="80"/>
    <w:family w:val="auto"/>
    <w:pitch w:val="default"/>
    <w:sig w:usb0="E00002FF" w:usb1="2AC7FDFF" w:usb2="00000016" w:usb3="00000000" w:csb0="2002009F"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0002AFF" w:usb1="C000247B" w:usb2="00000009" w:usb3="00000000" w:csb0="200001FF" w:csb1="00000000"/>
  </w:font>
  <w:font w:name="CIDFont">
    <w:altName w:val="Segoe Print"/>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E25302"/>
    <w:multiLevelType w:val="multilevel"/>
    <w:tmpl w:val="2EE25302"/>
    <w:lvl w:ilvl="0" w:tentative="0">
      <w:start w:val="2"/>
      <w:numFmt w:val="japaneseCounting"/>
      <w:pStyle w:val="3"/>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69646464"/>
    <w:multiLevelType w:val="singleLevel"/>
    <w:tmpl w:val="69646464"/>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31876EE"/>
    <w:rsid w:val="035F182D"/>
    <w:rsid w:val="037D2D94"/>
    <w:rsid w:val="03BE3B52"/>
    <w:rsid w:val="04190476"/>
    <w:rsid w:val="04526978"/>
    <w:rsid w:val="04B92A3C"/>
    <w:rsid w:val="04BD7506"/>
    <w:rsid w:val="04CD5020"/>
    <w:rsid w:val="05502AD1"/>
    <w:rsid w:val="056F6F00"/>
    <w:rsid w:val="05C669DE"/>
    <w:rsid w:val="06D0475B"/>
    <w:rsid w:val="071E6B17"/>
    <w:rsid w:val="07CC0190"/>
    <w:rsid w:val="086A54C9"/>
    <w:rsid w:val="08E51BC3"/>
    <w:rsid w:val="0A0E6974"/>
    <w:rsid w:val="0B7D7413"/>
    <w:rsid w:val="0F4F5509"/>
    <w:rsid w:val="0F911044"/>
    <w:rsid w:val="10486BCC"/>
    <w:rsid w:val="10665A8F"/>
    <w:rsid w:val="10AF71CF"/>
    <w:rsid w:val="10C36A15"/>
    <w:rsid w:val="11BD491D"/>
    <w:rsid w:val="12B929BE"/>
    <w:rsid w:val="13361200"/>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1606F74"/>
    <w:rsid w:val="22173DF2"/>
    <w:rsid w:val="2352501A"/>
    <w:rsid w:val="24517BC7"/>
    <w:rsid w:val="27562D2E"/>
    <w:rsid w:val="291F7E5A"/>
    <w:rsid w:val="29250D5D"/>
    <w:rsid w:val="29657727"/>
    <w:rsid w:val="298E37DF"/>
    <w:rsid w:val="29D36658"/>
    <w:rsid w:val="29FA6796"/>
    <w:rsid w:val="2A2E63F8"/>
    <w:rsid w:val="2CA2642C"/>
    <w:rsid w:val="2CD640B0"/>
    <w:rsid w:val="2DDD490C"/>
    <w:rsid w:val="2E731311"/>
    <w:rsid w:val="2EA72220"/>
    <w:rsid w:val="2EAB7659"/>
    <w:rsid w:val="2F035829"/>
    <w:rsid w:val="2FC23563"/>
    <w:rsid w:val="2FEF7FAE"/>
    <w:rsid w:val="30463F89"/>
    <w:rsid w:val="30C41F26"/>
    <w:rsid w:val="310D5873"/>
    <w:rsid w:val="315D3740"/>
    <w:rsid w:val="320E5ED2"/>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6D4062"/>
    <w:rsid w:val="3F983332"/>
    <w:rsid w:val="40186409"/>
    <w:rsid w:val="40DB4443"/>
    <w:rsid w:val="41BE2E83"/>
    <w:rsid w:val="43BB6DDF"/>
    <w:rsid w:val="44E010D8"/>
    <w:rsid w:val="46027F62"/>
    <w:rsid w:val="465A6194"/>
    <w:rsid w:val="4672380C"/>
    <w:rsid w:val="47663361"/>
    <w:rsid w:val="48974239"/>
    <w:rsid w:val="48A10C68"/>
    <w:rsid w:val="490315D5"/>
    <w:rsid w:val="4A8C5C0A"/>
    <w:rsid w:val="4C6D6A6A"/>
    <w:rsid w:val="4C6F6401"/>
    <w:rsid w:val="4E17678F"/>
    <w:rsid w:val="4E6857AA"/>
    <w:rsid w:val="4F5A626A"/>
    <w:rsid w:val="514D43BD"/>
    <w:rsid w:val="5218516A"/>
    <w:rsid w:val="528B7562"/>
    <w:rsid w:val="52CE0438"/>
    <w:rsid w:val="52FF4DE6"/>
    <w:rsid w:val="54521413"/>
    <w:rsid w:val="54A55EF8"/>
    <w:rsid w:val="54FE711A"/>
    <w:rsid w:val="56052975"/>
    <w:rsid w:val="578552FC"/>
    <w:rsid w:val="5792036A"/>
    <w:rsid w:val="57A16045"/>
    <w:rsid w:val="58EE2B34"/>
    <w:rsid w:val="598E1342"/>
    <w:rsid w:val="5A5771F3"/>
    <w:rsid w:val="5A5A2831"/>
    <w:rsid w:val="5AE77C67"/>
    <w:rsid w:val="5B163FAC"/>
    <w:rsid w:val="5BA871B9"/>
    <w:rsid w:val="5BC5494C"/>
    <w:rsid w:val="5BFB3F1E"/>
    <w:rsid w:val="5CAC586B"/>
    <w:rsid w:val="5ED729FF"/>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8332962"/>
    <w:rsid w:val="683A3F7B"/>
    <w:rsid w:val="683F728B"/>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6647A3"/>
    <w:rsid w:val="6EF42770"/>
    <w:rsid w:val="70170261"/>
    <w:rsid w:val="708D2BAE"/>
    <w:rsid w:val="71045729"/>
    <w:rsid w:val="71F10796"/>
    <w:rsid w:val="728B530B"/>
    <w:rsid w:val="754937FF"/>
    <w:rsid w:val="755C5264"/>
    <w:rsid w:val="756605B9"/>
    <w:rsid w:val="75B81421"/>
    <w:rsid w:val="75F24811"/>
    <w:rsid w:val="75FFE778"/>
    <w:rsid w:val="765421B1"/>
    <w:rsid w:val="766A7AA1"/>
    <w:rsid w:val="769D7D4B"/>
    <w:rsid w:val="772F26E2"/>
    <w:rsid w:val="77640984"/>
    <w:rsid w:val="777C7A1C"/>
    <w:rsid w:val="7811546E"/>
    <w:rsid w:val="782C4C49"/>
    <w:rsid w:val="783B3C00"/>
    <w:rsid w:val="78F1288B"/>
    <w:rsid w:val="7900580B"/>
    <w:rsid w:val="79680A3E"/>
    <w:rsid w:val="7A516152"/>
    <w:rsid w:val="7AF112B3"/>
    <w:rsid w:val="7AFE4466"/>
    <w:rsid w:val="7B852066"/>
    <w:rsid w:val="7BC3D60C"/>
    <w:rsid w:val="7DA44071"/>
    <w:rsid w:val="7DB801AC"/>
    <w:rsid w:val="7E487708"/>
    <w:rsid w:val="7E6F2A98"/>
    <w:rsid w:val="7EAC6151"/>
    <w:rsid w:val="7ED6300D"/>
    <w:rsid w:val="7F491443"/>
    <w:rsid w:val="7F8E40FE"/>
    <w:rsid w:val="7FE4A6A6"/>
    <w:rsid w:val="7FF77BF9"/>
    <w:rsid w:val="93FE2B1B"/>
    <w:rsid w:val="ADFB5EEB"/>
    <w:rsid w:val="BBF5C754"/>
    <w:rsid w:val="BEEF260C"/>
    <w:rsid w:val="BFFCBE14"/>
    <w:rsid w:val="D7F7057B"/>
    <w:rsid w:val="D93D45F6"/>
    <w:rsid w:val="DA6F2D7C"/>
    <w:rsid w:val="DF7BDFD2"/>
    <w:rsid w:val="DFDF21B1"/>
    <w:rsid w:val="DFFB65C7"/>
    <w:rsid w:val="F1BF67B3"/>
    <w:rsid w:val="F5FB8A7E"/>
    <w:rsid w:val="FEFE9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1"/>
    <w:next w:val="1"/>
    <w:uiPriority w:val="0"/>
    <w:pPr>
      <w:spacing w:after="120"/>
      <w:ind w:left="420" w:leftChars="200" w:firstLine="420" w:firstLineChars="200"/>
    </w:pPr>
  </w:style>
  <w:style w:type="paragraph" w:styleId="4">
    <w:name w:val="Normal Indent"/>
    <w:basedOn w:val="1"/>
    <w:qFormat/>
    <w:uiPriority w:val="0"/>
    <w:pPr>
      <w:snapToGrid w:val="0"/>
      <w:spacing w:line="560" w:lineRule="exact"/>
      <w:ind w:firstLine="567"/>
    </w:pPr>
    <w:rPr>
      <w:rFonts w:ascii="宋体" w:hAnsi="Arial"/>
      <w:kern w:val="0"/>
      <w:sz w:val="28"/>
      <w:szCs w:val="20"/>
    </w:rPr>
  </w:style>
  <w:style w:type="paragraph" w:styleId="5">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font11"/>
    <w:basedOn w:val="6"/>
    <w:qFormat/>
    <w:uiPriority w:val="0"/>
    <w:rPr>
      <w:rFonts w:hint="eastAsia" w:ascii="宋体" w:hAnsi="宋体" w:eastAsia="宋体" w:cs="宋体"/>
      <w:color w:val="000000"/>
      <w:sz w:val="22"/>
      <w:szCs w:val="22"/>
      <w:u w:val="none"/>
    </w:rPr>
  </w:style>
  <w:style w:type="character" w:customStyle="1" w:styleId="10">
    <w:name w:val="font01"/>
    <w:basedOn w:val="6"/>
    <w:qFormat/>
    <w:uiPriority w:val="0"/>
    <w:rPr>
      <w:rFonts w:hint="eastAsia" w:ascii="宋体" w:hAnsi="宋体" w:eastAsia="宋体" w:cs="宋体"/>
      <w:color w:val="000000"/>
      <w:sz w:val="22"/>
      <w:szCs w:val="22"/>
      <w:u w:val="none"/>
      <w:vertAlign w:val="superscript"/>
    </w:rPr>
  </w:style>
  <w:style w:type="paragraph" w:customStyle="1" w:styleId="11">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ScaleCrop>false</ScaleCrop>
  <LinksUpToDate>false</LinksUpToDate>
  <CharactersWithSpaces>214</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2020-03-24T08:55:00Z</dcterms:created>
  <dc:creator>Administrator</dc:creator>
  <cp:lastModifiedBy>未定义</cp:lastModifiedBy>
  <cp:lastPrinted>2025-10-21T16:45:00Z</cp:lastPrinted>
  <dcterms:modified xsi:type="dcterms:W3CDTF">2026-01-12T03:19:39Z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BA666442DB59428E9867F06FA53CC74D</vt:lpwstr>
  </property>
</Properties>
</file>