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285062">
      <w:pPr>
        <w:keepNext w:val="0"/>
        <w:keepLines w:val="0"/>
        <w:pageBreakBefore w:val="0"/>
        <w:widowControl w:val="0"/>
        <w:kinsoku/>
        <w:wordWrap/>
        <w:overflowPunct/>
        <w:topLinePunct w:val="0"/>
        <w:autoSpaceDE/>
        <w:autoSpaceDN/>
        <w:bidi w:val="0"/>
        <w:adjustRightInd/>
        <w:snapToGrid/>
        <w:spacing w:after="0" w:afterLines="150" w:line="346" w:lineRule="auto"/>
        <w:ind w:left="0" w:leftChars="0" w:firstLine="0" w:firstLineChars="0"/>
        <w:textAlignment w:val="bottom"/>
        <w:rPr>
          <w:rFonts w:hint="eastAsia"/>
          <w:lang w:val="en-US" w:eastAsia="zh-CN"/>
        </w:rPr>
      </w:pPr>
    </w:p>
    <w:p w14:paraId="74FEE3F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600" w:lineRule="exact"/>
        <w:ind w:right="0" w:right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02EA0270">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70E633A3">
      <w:pPr>
        <w:pStyle w:val="2"/>
        <w:keepNext w:val="0"/>
        <w:keepLines w:val="0"/>
        <w:pageBreakBefore w:val="0"/>
        <w:widowControl w:val="0"/>
        <w:kinsoku/>
        <w:wordWrap/>
        <w:overflowPunct/>
        <w:topLinePunct w:val="0"/>
        <w:autoSpaceDE/>
        <w:autoSpaceDN/>
        <w:bidi w:val="0"/>
        <w:spacing w:line="560" w:lineRule="exact"/>
        <w:ind w:left="0" w:leftChars="0" w:firstLine="0" w:firstLineChars="0"/>
        <w:jc w:val="center"/>
        <w:rPr>
          <w:rFonts w:hint="eastAsia" w:ascii="仿宋_GB2312" w:hAnsi="仿宋_GB2312" w:cs="仿宋_GB2312"/>
          <w:sz w:val="32"/>
          <w:szCs w:val="32"/>
          <w:lang w:val="en-US" w:eastAsia="zh-CN"/>
        </w:rPr>
      </w:pPr>
      <w:r>
        <w:rPr>
          <w:rFonts w:hint="eastAsia" w:ascii="仿宋_GB2312" w:hAnsi="仿宋_GB2312" w:eastAsia="仿宋_GB2312" w:cs="仿宋_GB2312"/>
          <w:color w:val="auto"/>
          <w:sz w:val="32"/>
          <w:szCs w:val="32"/>
          <w:lang w:val="en-US" w:eastAsia="zh-CN"/>
        </w:rPr>
        <w:t>焦环</w:t>
      </w:r>
      <w:r>
        <w:rPr>
          <w:rFonts w:hint="eastAsia" w:ascii="仿宋_GB2312" w:hAnsi="仿宋_GB2312" w:cs="仿宋_GB2312"/>
          <w:color w:val="auto"/>
          <w:sz w:val="32"/>
          <w:szCs w:val="32"/>
          <w:lang w:val="en-US" w:eastAsia="zh-CN"/>
        </w:rPr>
        <w:t>罚</w:t>
      </w: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w:t>
      </w:r>
      <w:r>
        <w:rPr>
          <w:rFonts w:hint="eastAsia" w:cs="仿宋"/>
          <w:sz w:val="32"/>
          <w:szCs w:val="20"/>
          <w:lang w:val="en-US" w:eastAsia="zh-CN"/>
        </w:rPr>
        <w:t>41</w:t>
      </w:r>
      <w:bookmarkStart w:id="0" w:name="_GoBack"/>
      <w:bookmarkEnd w:id="0"/>
      <w:r>
        <w:rPr>
          <w:rFonts w:hint="eastAsia" w:ascii="仿宋_GB2312" w:hAnsi="仿宋_GB2312" w:eastAsia="仿宋_GB2312" w:cs="仿宋_GB2312"/>
          <w:color w:val="auto"/>
          <w:sz w:val="32"/>
          <w:szCs w:val="32"/>
          <w:lang w:val="en-US" w:eastAsia="zh-CN"/>
        </w:rPr>
        <w:t>号</w:t>
      </w:r>
    </w:p>
    <w:p w14:paraId="66DB6C2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200" w:after="0" w:afterLines="0" w:line="55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河南明程科霖防水科技有限公司</w:t>
      </w:r>
    </w:p>
    <w:p w14:paraId="46E2AC7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jc w:val="both"/>
        <w:textAlignment w:val="bottom"/>
        <w:rPr>
          <w:rFonts w:hint="default" w:ascii="Times New Roman" w:hAnsi="Times New Roman" w:eastAsia="仿宋_GB2312" w:cs="Times New Roman"/>
          <w:sz w:val="32"/>
          <w:szCs w:val="20"/>
          <w:lang w:val="en-US" w:eastAsia="zh-CN"/>
        </w:rPr>
      </w:pPr>
      <w:r>
        <w:rPr>
          <w:rFonts w:hint="eastAsia" w:ascii="仿宋_GB2312" w:hAnsi="仿宋_GB2312" w:eastAsia="仿宋_GB2312" w:cs="仿宋_GB2312"/>
          <w:sz w:val="32"/>
          <w:szCs w:val="32"/>
        </w:rPr>
        <w:t>统一社会信用代码：</w:t>
      </w:r>
      <w:r>
        <w:rPr>
          <w:rFonts w:hint="eastAsia" w:ascii="Times New Roman" w:hAnsi="Times New Roman" w:eastAsia="仿宋_GB2312" w:cs="Times New Roman"/>
          <w:sz w:val="32"/>
          <w:szCs w:val="20"/>
          <w:lang w:val="en-US" w:eastAsia="zh-CN"/>
        </w:rPr>
        <w:t>91410825MA45TC7K80</w:t>
      </w:r>
    </w:p>
    <w:p w14:paraId="1590B0D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jc w:val="both"/>
        <w:textAlignment w:val="bottom"/>
        <w:rPr>
          <w:rFonts w:hint="eastAsia" w:ascii="Times New Roman" w:hAnsi="Times New Roman" w:eastAsia="仿宋_GB2312" w:cs="Times New Roman"/>
          <w:sz w:val="32"/>
          <w:szCs w:val="20"/>
          <w:lang w:val="en-US" w:eastAsia="zh-CN"/>
        </w:rPr>
      </w:pPr>
      <w:r>
        <w:rPr>
          <w:rFonts w:hint="eastAsia" w:ascii="Times New Roman" w:hAnsi="Times New Roman" w:eastAsia="仿宋_GB2312" w:cs="Times New Roman"/>
          <w:sz w:val="32"/>
          <w:szCs w:val="20"/>
          <w:lang w:val="en-US" w:eastAsia="zh-CN"/>
        </w:rPr>
        <w:t>地址：温县黄河街道产业集聚区中福路69号</w:t>
      </w:r>
    </w:p>
    <w:p w14:paraId="5626DF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eastAsia="仿宋_GB2312" w:cs="仿宋_GB2312"/>
          <w:sz w:val="32"/>
          <w:szCs w:val="32"/>
        </w:rPr>
        <w:t>法定代表人（负责人）：李小明</w:t>
      </w:r>
    </w:p>
    <w:p w14:paraId="39799CF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一、违法事实和证据</w:t>
      </w:r>
    </w:p>
    <w:p w14:paraId="7F84106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2025年11月10日，</w:t>
      </w:r>
      <w:r>
        <w:rPr>
          <w:rFonts w:hint="eastAsia" w:cs="仿宋"/>
          <w:sz w:val="32"/>
          <w:szCs w:val="20"/>
          <w:lang w:val="en-US" w:eastAsia="zh-CN"/>
        </w:rPr>
        <w:t>我局</w:t>
      </w:r>
      <w:r>
        <w:rPr>
          <w:rFonts w:hint="eastAsia" w:ascii="Times New Roman" w:hAnsi="Times New Roman" w:eastAsia="仿宋_GB2312" w:cs="仿宋"/>
          <w:sz w:val="32"/>
          <w:szCs w:val="20"/>
          <w:lang w:val="en-US" w:eastAsia="zh-CN"/>
        </w:rPr>
        <w:t>执法人员对你公司进行了现场检查。你公司项目名称为年产3000万平方米高分子防水材料项目，项目环境影响报告表于2019年5月15日由温县环境保护局审批，批复文号：温环审〔2019〕52号。2020年6月29日对该项目一期（</w:t>
      </w:r>
      <w:r>
        <w:rPr>
          <w:rFonts w:hint="eastAsia" w:cs="仿宋"/>
          <w:sz w:val="32"/>
          <w:szCs w:val="20"/>
          <w:lang w:val="en-US" w:eastAsia="zh-CN"/>
        </w:rPr>
        <w:t>年</w:t>
      </w:r>
      <w:r>
        <w:rPr>
          <w:rFonts w:hint="eastAsia" w:ascii="Times New Roman" w:hAnsi="Times New Roman" w:eastAsia="仿宋_GB2312" w:cs="仿宋"/>
          <w:sz w:val="32"/>
          <w:szCs w:val="20"/>
          <w:lang w:val="en-US" w:eastAsia="zh-CN"/>
        </w:rPr>
        <w:t>产1500万平方米高分子防水材料项目）进行自主验收。你公司主要产品是高分子防水材料。主要生产设备有：密闭式沥青储罐2个、保温配料罐6个、石粉罐1台、机油罐1台、导热油炉1台、自动化生产线1条（胎基搭接机、胎基展开架、存布架、浸油池、成品覆膜架、冷却架、收卷机）等。生产工艺为：配料、保温--胎布烘干、浸涂--覆膜--冷却--压延、成型。主要产污环节及配套环保设施为配料加料过程中加料斗处产生的颗粒物，配套建设一套袋式除尘器+15m排气筒；沥青储罐、保温配料罐、浸油池产生的沥青烟（VOCs），配套建设一套“水喷淋塔+电捕集器+碱液喷淋+活性炭吸附装置+不低于15m排气筒”</w:t>
      </w:r>
    </w:p>
    <w:p w14:paraId="1DBB377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现场检查时发现，你公司配料搅拌车间的保温配料罐加热、搅拌工段正在生产。共有6台保温配料罐，1号、2号、6号保温配料罐未生产，3、4、5号保温配料罐正在生产，数显温度分别为257℃、241℃、257℃，配套的污染防治设施风机正在运行，电捕集器控制柜电压表和电流表显示为0，电捕集器未开启，存在未按要求对产生的废气进行收集处理的行为。</w:t>
      </w:r>
    </w:p>
    <w:p w14:paraId="3D510C7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你单位上述行为违反了</w:t>
      </w:r>
      <w:r>
        <w:rPr>
          <w:rFonts w:hint="eastAsia" w:ascii="仿宋_GB2312" w:hAnsi="仿宋_GB2312" w:eastAsia="仿宋_GB2312" w:cs="仿宋_GB2312"/>
          <w:sz w:val="32"/>
          <w:szCs w:val="32"/>
          <w:lang w:val="en-US" w:eastAsia="zh-CN"/>
        </w:rPr>
        <w:t>《中华人民共和国大气污染防治法》第四十八条“钢铁、建材、有色金属、石油、化工、制药、矿产开采等企业，应当加强精细化管理，采取集中收集处理等措施，严格控制粉尘和气态污染物的排放。工业生产企业应当采取密闭、围挡、遮盖、清扫、洒水等措施，减少内部物料的堆存、传输、装卸等环节产生的粉尘和气态污染物的排放。”的规定</w:t>
      </w:r>
      <w:r>
        <w:rPr>
          <w:rFonts w:hint="eastAsia" w:ascii="Times New Roman" w:hAnsi="Times New Roman" w:eastAsia="仿宋_GB2312" w:cs="仿宋"/>
          <w:sz w:val="32"/>
          <w:szCs w:val="20"/>
          <w:lang w:val="en-US" w:eastAsia="zh-CN"/>
        </w:rPr>
        <w:t>。</w:t>
      </w:r>
    </w:p>
    <w:p w14:paraId="651CFD1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以上事实有以下证据：</w:t>
      </w:r>
    </w:p>
    <w:p w14:paraId="13A9B150">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atLeas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1.现场检查（勘察）笔</w:t>
      </w:r>
      <w:r>
        <w:rPr>
          <w:rFonts w:hint="eastAsia" w:ascii="Times New Roman" w:hAnsi="Times New Roman" w:eastAsia="仿宋_GB2312" w:cs="Times New Roman"/>
          <w:sz w:val="32"/>
          <w:szCs w:val="20"/>
          <w:lang w:val="en-US" w:eastAsia="zh-CN"/>
        </w:rPr>
        <w:t>录（2025年11月10日），证明你单位配料罐配套的水喷淋塔+电捕集器+碱液喷淋+活性</w:t>
      </w:r>
      <w:r>
        <w:rPr>
          <w:rFonts w:hint="eastAsia" w:cs="仿宋"/>
          <w:sz w:val="32"/>
          <w:szCs w:val="20"/>
          <w:lang w:val="en-US" w:eastAsia="zh-CN"/>
        </w:rPr>
        <w:t>炭吸附装置中碱液喷淋塔未见加碱记录，电捕集器控制柜电压表和电流表显示为0，电捕集器未开启，无活性炭更换记录，存在未按要求对产生的废气进行收集处理的行为</w:t>
      </w:r>
      <w:r>
        <w:rPr>
          <w:rFonts w:hint="eastAsia" w:ascii="仿宋_GB2312" w:hAnsi="仿宋_GB2312" w:cs="仿宋_GB2312"/>
          <w:sz w:val="32"/>
          <w:szCs w:val="32"/>
          <w:lang w:eastAsia="zh-CN"/>
        </w:rPr>
        <w:t>；</w:t>
      </w:r>
    </w:p>
    <w:p w14:paraId="1F49F1A4">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调查询问笔录</w:t>
      </w:r>
      <w:r>
        <w:rPr>
          <w:rFonts w:hint="eastAsia" w:ascii="Times New Roman" w:hAnsi="Times New Roman" w:eastAsia="仿宋_GB2312" w:cs="Times New Roman"/>
          <w:sz w:val="32"/>
          <w:szCs w:val="20"/>
          <w:lang w:val="en-US" w:eastAsia="zh-CN"/>
        </w:rPr>
        <w:t>（2025年</w:t>
      </w:r>
      <w:r>
        <w:rPr>
          <w:rFonts w:hint="eastAsia" w:cs="Times New Roman"/>
          <w:sz w:val="32"/>
          <w:szCs w:val="20"/>
          <w:lang w:val="en-US" w:eastAsia="zh-CN"/>
        </w:rPr>
        <w:t>11</w:t>
      </w:r>
      <w:r>
        <w:rPr>
          <w:rFonts w:hint="eastAsia" w:ascii="Times New Roman" w:hAnsi="Times New Roman" w:eastAsia="仿宋_GB2312" w:cs="Times New Roman"/>
          <w:sz w:val="32"/>
          <w:szCs w:val="20"/>
          <w:lang w:val="en-US" w:eastAsia="zh-CN"/>
        </w:rPr>
        <w:t>月</w:t>
      </w:r>
      <w:r>
        <w:rPr>
          <w:rFonts w:hint="eastAsia" w:cs="Times New Roman"/>
          <w:sz w:val="32"/>
          <w:szCs w:val="20"/>
          <w:lang w:val="en-US" w:eastAsia="zh-CN"/>
        </w:rPr>
        <w:t>10</w:t>
      </w:r>
      <w:r>
        <w:rPr>
          <w:rFonts w:hint="eastAsia" w:ascii="Times New Roman" w:hAnsi="Times New Roman" w:eastAsia="仿宋_GB2312" w:cs="Times New Roman"/>
          <w:sz w:val="32"/>
          <w:szCs w:val="20"/>
          <w:lang w:val="en-US" w:eastAsia="zh-CN"/>
        </w:rPr>
        <w:t>日对你单位员工翟亮普的调查询问笔录）证明你单位配料罐配套的水喷</w:t>
      </w:r>
      <w:r>
        <w:rPr>
          <w:rFonts w:hint="eastAsia" w:cs="仿宋"/>
          <w:sz w:val="32"/>
          <w:szCs w:val="20"/>
          <w:lang w:val="en-US" w:eastAsia="zh-CN"/>
        </w:rPr>
        <w:t>淋塔+电捕集器+碱液喷淋+活性炭吸附装置中碱液喷淋塔未见加碱记录，电捕集器控制柜电压表和电流表显示为0，电捕集器未开启，无活性炭更换记录，存在未按要求对产生的废气进行收集处理</w:t>
      </w:r>
      <w:r>
        <w:rPr>
          <w:rFonts w:hint="eastAsia" w:ascii="仿宋_GB2312" w:hAnsi="仿宋_GB2312" w:cs="仿宋_GB2312"/>
          <w:sz w:val="32"/>
          <w:szCs w:val="32"/>
          <w:lang w:val="en-US" w:eastAsia="zh-CN"/>
        </w:rPr>
        <w:t>的事实</w:t>
      </w:r>
      <w:r>
        <w:rPr>
          <w:rFonts w:hint="eastAsia" w:ascii="仿宋_GB2312" w:hAnsi="仿宋_GB2312" w:eastAsia="仿宋_GB2312" w:cs="仿宋_GB2312"/>
          <w:sz w:val="32"/>
          <w:szCs w:val="32"/>
        </w:rPr>
        <w:t>；</w:t>
      </w:r>
    </w:p>
    <w:p w14:paraId="68B0A0BC">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现场勘查示意</w:t>
      </w:r>
      <w:r>
        <w:rPr>
          <w:rFonts w:hint="eastAsia" w:ascii="Times New Roman" w:hAnsi="Times New Roman" w:eastAsia="仿宋_GB2312" w:cs="Times New Roman"/>
          <w:sz w:val="32"/>
          <w:szCs w:val="20"/>
          <w:lang w:val="en-US" w:eastAsia="zh-CN"/>
        </w:rPr>
        <w:t>图（2025年11月10日）</w:t>
      </w:r>
      <w:r>
        <w:rPr>
          <w:rFonts w:hint="eastAsia" w:ascii="仿宋_GB2312" w:hAnsi="仿宋_GB2312" w:eastAsia="仿宋_GB2312" w:cs="仿宋_GB2312"/>
          <w:sz w:val="32"/>
          <w:szCs w:val="32"/>
        </w:rPr>
        <w:t>；</w:t>
      </w:r>
    </w:p>
    <w:p w14:paraId="315CBF98">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营业执照复印件</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证明你单位法人主体资格；</w:t>
      </w:r>
    </w:p>
    <w:p w14:paraId="667DFCED">
      <w:pPr>
        <w:keepNext w:val="0"/>
        <w:keepLines w:val="0"/>
        <w:pageBreakBefore w:val="0"/>
        <w:widowControl w:val="0"/>
        <w:numPr>
          <w:ilvl w:val="0"/>
          <w:numId w:val="0"/>
        </w:numPr>
        <w:kinsoku/>
        <w:wordWrap/>
        <w:overflowPunct/>
        <w:topLinePunct w:val="0"/>
        <w:autoSpaceDE/>
        <w:autoSpaceDN/>
        <w:bidi w:val="0"/>
        <w:adjustRightInd w:val="0"/>
        <w:snapToGrid w:val="0"/>
        <w:spacing w:line="570" w:lineRule="atLeas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现场照片，证明执法过程现场情况</w:t>
      </w:r>
      <w:r>
        <w:rPr>
          <w:rFonts w:hint="eastAsia" w:ascii="仿宋_GB2312" w:hAnsi="仿宋_GB2312" w:cs="仿宋_GB2312"/>
          <w:sz w:val="32"/>
          <w:szCs w:val="32"/>
          <w:lang w:eastAsia="zh-CN"/>
        </w:rPr>
        <w:t>；</w:t>
      </w:r>
    </w:p>
    <w:p w14:paraId="5E9FA19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6.建设项目环境影响报告表</w:t>
      </w:r>
      <w:r>
        <w:rPr>
          <w:rFonts w:hint="eastAsia" w:ascii="仿宋_GB2312" w:hAnsi="仿宋_GB2312" w:cs="仿宋_GB2312"/>
          <w:b w:val="0"/>
          <w:bCs w:val="0"/>
          <w:sz w:val="32"/>
          <w:szCs w:val="32"/>
          <w:shd w:val="clear" w:color="auto" w:fill="FFFFFF"/>
          <w:lang w:val="en-US" w:eastAsia="zh-CN"/>
        </w:rPr>
        <w:t>（摘录），及批复文件</w:t>
      </w:r>
      <w:r>
        <w:rPr>
          <w:rFonts w:hint="eastAsia" w:ascii="仿宋_GB2312" w:hAnsi="仿宋_GB2312" w:cs="仿宋_GB2312"/>
          <w:sz w:val="32"/>
          <w:szCs w:val="32"/>
          <w:lang w:val="en-US" w:eastAsia="zh-CN"/>
        </w:rPr>
        <w:t>证明你单位的污染防治设施建设要求；</w:t>
      </w:r>
    </w:p>
    <w:p w14:paraId="014B0DC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7.建设项目环境影响报告表验收文件</w:t>
      </w:r>
      <w:r>
        <w:rPr>
          <w:rFonts w:hint="eastAsia" w:ascii="仿宋_GB2312" w:hAnsi="仿宋_GB2312" w:cs="仿宋_GB2312"/>
          <w:b w:val="0"/>
          <w:bCs w:val="0"/>
          <w:sz w:val="32"/>
          <w:szCs w:val="32"/>
          <w:shd w:val="clear" w:color="auto" w:fill="FFFFFF"/>
          <w:lang w:val="en-US" w:eastAsia="zh-CN"/>
        </w:rPr>
        <w:t>（摘录），</w:t>
      </w:r>
      <w:r>
        <w:rPr>
          <w:rFonts w:hint="eastAsia" w:ascii="仿宋_GB2312" w:hAnsi="仿宋_GB2312" w:cs="仿宋_GB2312"/>
          <w:sz w:val="32"/>
          <w:szCs w:val="32"/>
          <w:lang w:val="en-US" w:eastAsia="zh-CN"/>
        </w:rPr>
        <w:t>证明你单位实际的污染防治设施建设情况；</w:t>
      </w:r>
    </w:p>
    <w:p w14:paraId="1AA8496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8.排污许可证（摘录）证明你单位排污许可要求的污染防治设施建设情况；</w:t>
      </w:r>
    </w:p>
    <w:p w14:paraId="26B7062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9.其他证据材料。 </w:t>
      </w:r>
      <w:r>
        <w:rPr>
          <w:rFonts w:hint="eastAsia" w:ascii="Times New Roman" w:hAnsi="Times New Roman" w:eastAsia="仿宋_GB2312" w:cs="仿宋"/>
          <w:sz w:val="32"/>
          <w:szCs w:val="20"/>
          <w:lang w:val="en-US" w:eastAsia="zh-CN"/>
        </w:rPr>
        <w:t xml:space="preserve">         </w:t>
      </w:r>
      <w:r>
        <w:rPr>
          <w:rFonts w:hint="eastAsia" w:ascii="仿宋_GB2312" w:hAnsi="仿宋_GB2312" w:cs="仿宋_GB2312"/>
          <w:sz w:val="32"/>
          <w:szCs w:val="32"/>
          <w:lang w:val="en-US" w:eastAsia="zh-CN"/>
        </w:rPr>
        <w:t xml:space="preserve">                             </w:t>
      </w:r>
    </w:p>
    <w:p w14:paraId="04D03A6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color="auto"/>
          <w:lang w:val="en-US" w:eastAsia="zh-CN"/>
        </w:rPr>
      </w:pPr>
      <w:r>
        <w:rPr>
          <w:rFonts w:hint="eastAsia" w:ascii="Times New Roman" w:hAnsi="Times New Roman" w:eastAsia="仿宋_GB2312" w:cs="仿宋"/>
          <w:sz w:val="32"/>
          <w:szCs w:val="20"/>
          <w:lang w:val="en-US" w:eastAsia="zh-CN"/>
        </w:rPr>
        <w:t>2025年10月</w:t>
      </w:r>
      <w:r>
        <w:rPr>
          <w:rFonts w:hint="eastAsia" w:cs="仿宋"/>
          <w:sz w:val="32"/>
          <w:szCs w:val="20"/>
          <w:lang w:val="en-US" w:eastAsia="zh-CN"/>
        </w:rPr>
        <w:t>9</w:t>
      </w:r>
      <w:r>
        <w:rPr>
          <w:rFonts w:hint="eastAsia" w:ascii="Times New Roman" w:hAnsi="Times New Roman" w:eastAsia="仿宋_GB2312" w:cs="仿宋"/>
          <w:sz w:val="32"/>
          <w:szCs w:val="20"/>
          <w:lang w:val="en-US" w:eastAsia="zh-CN"/>
        </w:rPr>
        <w:t>日我局向你单位送达了《行政处罚事先（听证）告知书》（焦温环先告〔2025〕</w:t>
      </w:r>
      <w:r>
        <w:rPr>
          <w:rFonts w:hint="eastAsia" w:cs="仿宋"/>
          <w:sz w:val="32"/>
          <w:szCs w:val="20"/>
          <w:lang w:val="en-US" w:eastAsia="zh-CN"/>
        </w:rPr>
        <w:t>10</w:t>
      </w:r>
      <w:r>
        <w:rPr>
          <w:rFonts w:hint="eastAsia" w:ascii="Times New Roman" w:hAnsi="Times New Roman" w:eastAsia="仿宋_GB2312" w:cs="仿宋"/>
          <w:sz w:val="32"/>
          <w:szCs w:val="20"/>
          <w:lang w:val="en-US" w:eastAsia="zh-CN"/>
        </w:rPr>
        <w:t>号)，告</w:t>
      </w:r>
      <w:r>
        <w:rPr>
          <w:rFonts w:hint="eastAsia" w:ascii="仿宋_GB2312" w:hAnsi="仿宋_GB2312" w:cs="仿宋_GB2312"/>
          <w:sz w:val="32"/>
          <w:szCs w:val="32"/>
          <w:lang w:val="en-US" w:eastAsia="zh-CN"/>
        </w:rPr>
        <w:t>知你单位对我局拟作出的行政处罚有权进行陈述申辩。以上事实有《行政处罚事先（听证）告</w:t>
      </w:r>
      <w:r>
        <w:rPr>
          <w:rFonts w:hint="eastAsia" w:ascii="Times New Roman" w:hAnsi="Times New Roman" w:eastAsia="仿宋_GB2312" w:cs="仿宋"/>
          <w:sz w:val="32"/>
          <w:szCs w:val="20"/>
          <w:lang w:val="en-US" w:eastAsia="zh-CN"/>
        </w:rPr>
        <w:t>知书》（焦温环先告〔2025〕</w:t>
      </w:r>
      <w:r>
        <w:rPr>
          <w:rFonts w:hint="eastAsia" w:cs="仿宋"/>
          <w:sz w:val="32"/>
          <w:szCs w:val="20"/>
          <w:lang w:val="en-US" w:eastAsia="zh-CN"/>
        </w:rPr>
        <w:t>10</w:t>
      </w:r>
      <w:r>
        <w:rPr>
          <w:rFonts w:hint="eastAsia" w:ascii="Times New Roman" w:hAnsi="Times New Roman" w:eastAsia="仿宋_GB2312" w:cs="仿宋"/>
          <w:sz w:val="32"/>
          <w:szCs w:val="20"/>
          <w:lang w:val="en-US" w:eastAsia="zh-CN"/>
        </w:rPr>
        <w:t>号)和《送达回执》等为证，</w:t>
      </w:r>
      <w:r>
        <w:rPr>
          <w:rFonts w:hint="eastAsia" w:ascii="仿宋_GB2312" w:hAnsi="仿宋_GB2312" w:eastAsia="仿宋_GB2312" w:cs="仿宋_GB2312"/>
          <w:sz w:val="32"/>
          <w:szCs w:val="32"/>
        </w:rPr>
        <w:t>你</w:t>
      </w:r>
      <w:r>
        <w:rPr>
          <w:rFonts w:hint="eastAsia" w:ascii="仿宋_GB2312" w:hAnsi="仿宋_GB2312" w:cs="仿宋_GB2312"/>
          <w:sz w:val="32"/>
          <w:szCs w:val="32"/>
          <w:lang w:val="en-US" w:eastAsia="zh-CN"/>
        </w:rPr>
        <w:t>单位</w:t>
      </w:r>
      <w:r>
        <w:rPr>
          <w:rFonts w:hint="eastAsia" w:ascii="仿宋_GB2312" w:hAnsi="仿宋_GB2312" w:eastAsia="仿宋_GB2312" w:cs="仿宋_GB2312"/>
          <w:sz w:val="32"/>
          <w:szCs w:val="32"/>
        </w:rPr>
        <w:t>在规定的时间内未提出申诉、申辩。我局认为你</w:t>
      </w:r>
      <w:r>
        <w:rPr>
          <w:rFonts w:hint="eastAsia" w:ascii="仿宋_GB2312" w:hAnsi="仿宋_GB2312" w:cs="仿宋_GB2312"/>
          <w:sz w:val="32"/>
          <w:szCs w:val="32"/>
          <w:lang w:val="en-US" w:eastAsia="zh-CN"/>
        </w:rPr>
        <w:t>单位</w:t>
      </w:r>
      <w:r>
        <w:rPr>
          <w:rFonts w:hint="eastAsia" w:ascii="仿宋_GB2312" w:hAnsi="仿宋_GB2312" w:eastAsia="仿宋_GB2312" w:cs="仿宋_GB2312"/>
          <w:sz w:val="32"/>
          <w:szCs w:val="32"/>
        </w:rPr>
        <w:t>放弃了这些权利</w:t>
      </w:r>
      <w:r>
        <w:rPr>
          <w:rFonts w:hint="eastAsia" w:ascii="仿宋_GB2312" w:hAnsi="仿宋_GB2312" w:eastAsia="仿宋_GB2312" w:cs="仿宋_GB2312"/>
          <w:sz w:val="32"/>
          <w:szCs w:val="32"/>
          <w:u w:val="none" w:color="auto"/>
          <w:lang w:val="en-US" w:eastAsia="zh-CN"/>
        </w:rPr>
        <w:t>。</w:t>
      </w:r>
    </w:p>
    <w:p w14:paraId="2439091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 xml:space="preserve">二、行政处罚的依据、种类 </w:t>
      </w:r>
    </w:p>
    <w:p w14:paraId="2790A0E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lang w:val="en-US" w:eastAsia="zh-CN"/>
        </w:rPr>
        <w:t>依据《中华人民共和国行政处罚法》第二十八条第一款和《中华人民共和国大气污染防治法》第一百零八条第（五）项“违反本法规定，有下列行为之一的，由县级以上人民政府生态环境主管部门责令改正，处二万元以上二十万元以下的罚款；拒不改正的，责令停产整治：（五）钢铁、建材、有色金属、石油、化工、制药、矿产开采等企业，未采取集中收集处理、密闭、围挡、遮盖、清扫、洒水等措施，控制、减少粉尘和气态污染物排放的。”的规定</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该</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〔2022〕72 号），结合当事人该违法行为事实，裁量内容如下：</w:t>
      </w:r>
    </w:p>
    <w:p w14:paraId="0E923BB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A.★</w:t>
      </w:r>
      <w:r>
        <w:rPr>
          <w:rFonts w:hint="eastAsia" w:ascii="仿宋_GB2312" w:hAnsi="仿宋_GB2312" w:cs="仿宋_GB2312"/>
          <w:sz w:val="32"/>
          <w:szCs w:val="32"/>
          <w:u w:val="none"/>
          <w:lang w:val="en-US" w:eastAsia="zh-CN"/>
        </w:rPr>
        <w:t>违法事实</w:t>
      </w:r>
      <w:r>
        <w:rPr>
          <w:rFonts w:hint="eastAsia" w:ascii="仿宋_GB2312" w:hAnsi="仿宋_GB2312" w:eastAsia="仿宋_GB2312" w:cs="仿宋_GB2312"/>
          <w:sz w:val="32"/>
          <w:szCs w:val="32"/>
          <w:u w:val="none"/>
        </w:rPr>
        <w:t>：已落实集中收集处理、密闭、围挡、遮盖、清扫、洒水等措施，但未按规定使用或管理，造成少量抛洒，泄露，裁量等级为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3F1D248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B1.</w:t>
      </w:r>
      <w:r>
        <w:rPr>
          <w:rFonts w:hint="eastAsia" w:ascii="仿宋_GB2312" w:hAnsi="仿宋_GB2312" w:cs="仿宋_GB2312"/>
          <w:sz w:val="32"/>
          <w:szCs w:val="32"/>
          <w:u w:val="none"/>
          <w:lang w:val="en-US" w:eastAsia="zh-CN"/>
        </w:rPr>
        <w:t>项目建设地点</w:t>
      </w:r>
      <w:r>
        <w:rPr>
          <w:rFonts w:hint="eastAsia" w:ascii="仿宋_GB2312" w:hAnsi="仿宋_GB2312" w:eastAsia="仿宋_GB2312" w:cs="仿宋_GB2312"/>
          <w:sz w:val="32"/>
          <w:szCs w:val="32"/>
          <w:u w:val="none"/>
        </w:rPr>
        <w:t>：符合环境功能区划，裁量等级为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012EB4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B2.违法行为持续时间：1个月以下，裁量等级为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4F838DE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B3.企业规模</w:t>
      </w:r>
      <w:r>
        <w:rPr>
          <w:rFonts w:hint="eastAsia" w:ascii="仿宋_GB2312" w:hAnsi="仿宋_GB2312" w:cs="仿宋_GB2312"/>
          <w:sz w:val="32"/>
          <w:szCs w:val="32"/>
          <w:u w:val="none"/>
          <w:lang w:eastAsia="zh-CN"/>
        </w:rPr>
        <w:t>：微型企业，</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226A684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B4.</w:t>
      </w:r>
      <w:r>
        <w:rPr>
          <w:rFonts w:hint="eastAsia" w:ascii="仿宋_GB2312" w:hAnsi="仿宋_GB2312" w:cs="仿宋_GB2312"/>
          <w:sz w:val="32"/>
          <w:szCs w:val="32"/>
          <w:u w:val="none"/>
          <w:lang w:val="en-US" w:eastAsia="zh-CN"/>
        </w:rPr>
        <w:t>超过限期改正时间</w:t>
      </w:r>
      <w:r>
        <w:rPr>
          <w:rFonts w:hint="eastAsia" w:ascii="仿宋_GB2312" w:hAnsi="仿宋_GB2312" w:eastAsia="仿宋_GB2312" w:cs="仿宋_GB2312"/>
          <w:sz w:val="32"/>
          <w:szCs w:val="32"/>
          <w:u w:val="none"/>
        </w:rPr>
        <w:t>：</w:t>
      </w:r>
      <w:r>
        <w:rPr>
          <w:rFonts w:hint="eastAsia" w:ascii="仿宋_GB2312" w:hAnsi="仿宋_GB2312" w:cs="仿宋_GB2312"/>
          <w:color w:val="auto"/>
          <w:sz w:val="32"/>
          <w:szCs w:val="32"/>
          <w:u w:val="none"/>
          <w:shd w:val="clear" w:color="auto" w:fill="auto"/>
          <w:lang w:val="en-US" w:eastAsia="zh-CN"/>
        </w:rPr>
        <w:t>限期改正</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24B8A35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B5.违法行为发生时期</w:t>
      </w:r>
      <w:r>
        <w:rPr>
          <w:rFonts w:hint="eastAsia" w:ascii="仿宋_GB2312" w:hAnsi="仿宋_GB2312" w:cs="仿宋_GB2312"/>
          <w:sz w:val="32"/>
          <w:szCs w:val="32"/>
          <w:u w:val="none"/>
          <w:lang w:eastAsia="zh-CN"/>
        </w:rPr>
        <w:t>：一般期间</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1A22A4F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cs="仿宋_GB2312"/>
          <w:sz w:val="32"/>
          <w:szCs w:val="32"/>
          <w:u w:val="none"/>
          <w:lang w:val="en-US" w:eastAsia="zh-CN"/>
        </w:rPr>
        <w:t>B6.</w:t>
      </w:r>
      <w:r>
        <w:rPr>
          <w:rFonts w:hint="eastAsia" w:ascii="仿宋_GB2312" w:hAnsi="仿宋_GB2312" w:eastAsia="仿宋_GB2312" w:cs="仿宋_GB2312"/>
          <w:sz w:val="32"/>
          <w:szCs w:val="32"/>
          <w:u w:val="none"/>
        </w:rPr>
        <w:t xml:space="preserve">受处罚次数：两年内受到同类处罚1次，裁量等级为 </w:t>
      </w:r>
      <w:r>
        <w:rPr>
          <w:rFonts w:hint="eastAsia" w:ascii="仿宋_GB2312" w:hAnsi="仿宋_GB2312" w:cs="仿宋_GB2312"/>
          <w:sz w:val="32"/>
          <w:szCs w:val="32"/>
          <w:u w:val="none"/>
          <w:lang w:val="en-US" w:eastAsia="zh-CN"/>
        </w:rPr>
        <w:t>3</w:t>
      </w:r>
      <w:r>
        <w:rPr>
          <w:rFonts w:hint="eastAsia" w:ascii="仿宋_GB2312" w:hAnsi="仿宋_GB2312" w:eastAsia="仿宋_GB2312" w:cs="仿宋_GB2312"/>
          <w:sz w:val="32"/>
          <w:szCs w:val="32"/>
          <w:u w:val="none"/>
        </w:rPr>
        <w:t xml:space="preserve">； </w:t>
      </w:r>
    </w:p>
    <w:p w14:paraId="0F7CE07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7</w:t>
      </w:r>
      <w:r>
        <w:rPr>
          <w:rFonts w:hint="eastAsia" w:ascii="仿宋_GB2312" w:hAnsi="仿宋_GB2312" w:eastAsia="仿宋_GB2312" w:cs="仿宋_GB2312"/>
          <w:sz w:val="32"/>
          <w:szCs w:val="32"/>
          <w:u w:val="none"/>
        </w:rPr>
        <w:t xml:space="preserve">.是否配合执法检查：配合调查，裁量等级为 1。 </w:t>
      </w:r>
    </w:p>
    <w:p w14:paraId="416E1F6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5"/>
        <w:tblW w:w="7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5"/>
        <w:gridCol w:w="555"/>
        <w:gridCol w:w="780"/>
        <w:gridCol w:w="510"/>
        <w:gridCol w:w="540"/>
        <w:gridCol w:w="555"/>
        <w:gridCol w:w="630"/>
        <w:gridCol w:w="633"/>
        <w:gridCol w:w="732"/>
        <w:gridCol w:w="675"/>
        <w:gridCol w:w="615"/>
        <w:gridCol w:w="600"/>
      </w:tblGrid>
      <w:tr w14:paraId="49BF5C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5" w:type="dxa"/>
            <w:noWrap w:val="0"/>
            <w:vAlign w:val="top"/>
          </w:tcPr>
          <w:p w14:paraId="4CCB21FB">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参数</w:t>
            </w:r>
          </w:p>
        </w:tc>
        <w:tc>
          <w:tcPr>
            <w:tcW w:w="555" w:type="dxa"/>
            <w:noWrap w:val="0"/>
            <w:vAlign w:val="top"/>
          </w:tcPr>
          <w:p w14:paraId="7CA567A8">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780" w:type="dxa"/>
            <w:noWrap w:val="0"/>
            <w:vAlign w:val="top"/>
          </w:tcPr>
          <w:p w14:paraId="621DE6CD">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M</w:t>
            </w:r>
          </w:p>
        </w:tc>
        <w:tc>
          <w:tcPr>
            <w:tcW w:w="510" w:type="dxa"/>
            <w:noWrap w:val="0"/>
            <w:vAlign w:val="top"/>
          </w:tcPr>
          <w:p w14:paraId="1B1AB865">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A</w:t>
            </w:r>
          </w:p>
        </w:tc>
        <w:tc>
          <w:tcPr>
            <w:tcW w:w="540" w:type="dxa"/>
            <w:noWrap w:val="0"/>
            <w:vAlign w:val="top"/>
          </w:tcPr>
          <w:p w14:paraId="2B8DE7FE">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555" w:type="dxa"/>
            <w:noWrap w:val="0"/>
            <w:vAlign w:val="top"/>
          </w:tcPr>
          <w:p w14:paraId="0E55988B">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0" w:type="dxa"/>
            <w:noWrap w:val="0"/>
            <w:vAlign w:val="top"/>
          </w:tcPr>
          <w:p w14:paraId="069327F6">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2</w:t>
            </w:r>
          </w:p>
        </w:tc>
        <w:tc>
          <w:tcPr>
            <w:tcW w:w="633" w:type="dxa"/>
            <w:noWrap w:val="0"/>
            <w:vAlign w:val="top"/>
          </w:tcPr>
          <w:p w14:paraId="36AA270B">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732" w:type="dxa"/>
            <w:noWrap w:val="0"/>
            <w:vAlign w:val="top"/>
          </w:tcPr>
          <w:p w14:paraId="42DEAD17">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B4</w:t>
            </w:r>
          </w:p>
        </w:tc>
        <w:tc>
          <w:tcPr>
            <w:tcW w:w="675" w:type="dxa"/>
            <w:noWrap w:val="0"/>
            <w:vAlign w:val="top"/>
          </w:tcPr>
          <w:p w14:paraId="4F7EEE63">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B5</w:t>
            </w:r>
          </w:p>
        </w:tc>
        <w:tc>
          <w:tcPr>
            <w:tcW w:w="615" w:type="dxa"/>
            <w:noWrap w:val="0"/>
            <w:vAlign w:val="top"/>
          </w:tcPr>
          <w:p w14:paraId="6030F5E2">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B6</w:t>
            </w:r>
          </w:p>
        </w:tc>
        <w:tc>
          <w:tcPr>
            <w:tcW w:w="600" w:type="dxa"/>
            <w:noWrap w:val="0"/>
            <w:vAlign w:val="top"/>
          </w:tcPr>
          <w:p w14:paraId="00FED0D8">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B7</w:t>
            </w:r>
          </w:p>
        </w:tc>
      </w:tr>
      <w:tr w14:paraId="77602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35" w:type="dxa"/>
            <w:noWrap w:val="0"/>
            <w:vAlign w:val="top"/>
          </w:tcPr>
          <w:p w14:paraId="23934404">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取值</w:t>
            </w:r>
          </w:p>
        </w:tc>
        <w:tc>
          <w:tcPr>
            <w:tcW w:w="555" w:type="dxa"/>
            <w:noWrap w:val="0"/>
            <w:vAlign w:val="top"/>
          </w:tcPr>
          <w:p w14:paraId="11A45CD7">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780" w:type="dxa"/>
            <w:noWrap w:val="0"/>
            <w:vAlign w:val="top"/>
          </w:tcPr>
          <w:p w14:paraId="2628BC75">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20</w:t>
            </w:r>
          </w:p>
        </w:tc>
        <w:tc>
          <w:tcPr>
            <w:tcW w:w="510" w:type="dxa"/>
            <w:noWrap w:val="0"/>
            <w:vAlign w:val="top"/>
          </w:tcPr>
          <w:p w14:paraId="553A4E4B">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540" w:type="dxa"/>
            <w:noWrap w:val="0"/>
            <w:vAlign w:val="top"/>
          </w:tcPr>
          <w:p w14:paraId="1E5F8770">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7</w:t>
            </w:r>
          </w:p>
        </w:tc>
        <w:tc>
          <w:tcPr>
            <w:tcW w:w="555" w:type="dxa"/>
            <w:noWrap w:val="0"/>
            <w:vAlign w:val="top"/>
          </w:tcPr>
          <w:p w14:paraId="4AB5CFBE">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30" w:type="dxa"/>
            <w:noWrap w:val="0"/>
            <w:vAlign w:val="top"/>
          </w:tcPr>
          <w:p w14:paraId="6B26AC48">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1</w:t>
            </w:r>
          </w:p>
        </w:tc>
        <w:tc>
          <w:tcPr>
            <w:tcW w:w="633" w:type="dxa"/>
            <w:noWrap w:val="0"/>
            <w:vAlign w:val="top"/>
          </w:tcPr>
          <w:p w14:paraId="0DDE3DBC">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732" w:type="dxa"/>
            <w:noWrap w:val="0"/>
            <w:vAlign w:val="top"/>
          </w:tcPr>
          <w:p w14:paraId="33B29E7B">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75" w:type="dxa"/>
            <w:noWrap w:val="0"/>
            <w:vAlign w:val="top"/>
          </w:tcPr>
          <w:p w14:paraId="53B41E48">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15" w:type="dxa"/>
            <w:noWrap w:val="0"/>
            <w:vAlign w:val="top"/>
          </w:tcPr>
          <w:p w14:paraId="26293D2A">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3</w:t>
            </w:r>
          </w:p>
        </w:tc>
        <w:tc>
          <w:tcPr>
            <w:tcW w:w="600" w:type="dxa"/>
            <w:noWrap w:val="0"/>
            <w:vAlign w:val="top"/>
          </w:tcPr>
          <w:p w14:paraId="645B6588">
            <w:pPr>
              <w:keepNext w:val="0"/>
              <w:keepLines w:val="0"/>
              <w:pageBreakBefore w:val="0"/>
              <w:widowControl w:val="0"/>
              <w:kinsoku/>
              <w:wordWrap/>
              <w:overflowPunct/>
              <w:topLinePunct w:val="0"/>
              <w:autoSpaceDE/>
              <w:autoSpaceDN/>
              <w:bidi w:val="0"/>
              <w:spacing w:before="0" w:beforeLines="0" w:after="0" w:afterLines="0" w:line="570" w:lineRule="atLeas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r>
    </w:tbl>
    <w:p w14:paraId="22DA7CE9">
      <w:pPr>
        <w:keepNext w:val="0"/>
        <w:keepLines w:val="0"/>
        <w:pageBreakBefore w:val="0"/>
        <w:widowControl w:val="0"/>
        <w:kinsoku/>
        <w:wordWrap/>
        <w:overflowPunct/>
        <w:topLinePunct w:val="0"/>
        <w:autoSpaceDE/>
        <w:autoSpaceDN/>
        <w:bidi w:val="0"/>
        <w:adjustRightInd w:val="0"/>
        <w:snapToGrid w:val="0"/>
        <w:spacing w:before="0" w:beforeLines="0" w:after="0" w:afterLines="0" w:line="570" w:lineRule="atLeast"/>
        <w:ind w:right="0" w:rightChars="0"/>
        <w:jc w:val="left"/>
        <w:textAlignment w:val="auto"/>
        <w:outlineLvl w:val="9"/>
        <w:rPr>
          <w:rFonts w:hint="default" w:ascii="仿宋_GB2312" w:hAnsi="仿宋_GB2312" w:eastAsia="仿宋_GB2312" w:cs="仿宋_GB2312"/>
          <w:color w:val="3E3E3E"/>
          <w:kern w:val="0"/>
          <w:sz w:val="32"/>
          <w:szCs w:val="32"/>
          <w:u w:val="none"/>
          <w:shd w:val="clear" w:color="auto" w:fill="FFFFFF"/>
          <w:lang w:val="en-US" w:eastAsia="zh-CN"/>
        </w:rPr>
      </w:pPr>
      <w:r>
        <w:rPr>
          <w:rFonts w:hint="eastAsia" w:ascii="仿宋_GB2312" w:hAnsi="仿宋_GB2312" w:eastAsia="仿宋_GB2312" w:cs="仿宋_GB2312"/>
          <w:kern w:val="2"/>
          <w:sz w:val="32"/>
          <w:szCs w:val="32"/>
          <w:u w:val="none"/>
          <w:lang w:val="en-US" w:eastAsia="en-US" w:bidi="ar-SA"/>
        </w:rPr>
        <w:t>X=</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20</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（1+1+1+1+1+3</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zh-CN" w:bidi="ar-SA"/>
        </w:rPr>
        <w:t>+1）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7</w:t>
      </w:r>
      <w:r>
        <w:rPr>
          <w:rFonts w:hint="eastAsia" w:ascii="仿宋_GB2312" w:hAnsi="仿宋_GB2312" w:eastAsia="仿宋_GB2312" w:cs="仿宋_GB2312"/>
          <w:kern w:val="2"/>
          <w:sz w:val="32"/>
          <w:szCs w:val="32"/>
          <w:u w:val="none"/>
          <w:lang w:val="en-US" w:eastAsia="en-US" w:bidi="ar-SA"/>
        </w:rPr>
        <w:t>）]×50%=</w:t>
      </w:r>
      <w:r>
        <w:rPr>
          <w:rFonts w:hint="eastAsia" w:ascii="仿宋_GB2312" w:hAnsi="仿宋_GB2312" w:eastAsia="仿宋_GB2312" w:cs="仿宋_GB2312"/>
          <w:kern w:val="2"/>
          <w:sz w:val="32"/>
          <w:szCs w:val="32"/>
          <w:u w:val="none"/>
          <w:lang w:val="en-US" w:eastAsia="zh-CN" w:bidi="ar-SA"/>
        </w:rPr>
        <w:t>3.1314万元</w:t>
      </w:r>
    </w:p>
    <w:p w14:paraId="7CE21B2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经裁量计算及讨论研究，我局决定对你单位未</w:t>
      </w:r>
      <w:r>
        <w:rPr>
          <w:rFonts w:hint="eastAsia" w:ascii="仿宋_GB2312" w:hAnsi="仿宋" w:eastAsia="仿宋_GB2312" w:cs="仿宋_GB2312"/>
          <w:bCs/>
          <w:color w:val="000000"/>
          <w:sz w:val="32"/>
          <w:szCs w:val="32"/>
          <w:shd w:val="clear" w:color="auto" w:fill="FFFFFF"/>
          <w:lang w:eastAsia="zh-CN"/>
        </w:rPr>
        <w:t>加强精细化管理，采取集中收集处理措施</w:t>
      </w:r>
      <w:r>
        <w:rPr>
          <w:rFonts w:hint="eastAsia" w:ascii="仿宋_GB2312" w:hAnsi="仿宋_GB2312" w:cs="仿宋_GB2312"/>
          <w:sz w:val="32"/>
          <w:szCs w:val="32"/>
          <w:lang w:val="en-US" w:eastAsia="zh-CN"/>
        </w:rPr>
        <w:t>的违法行为作出以下处理决定：</w:t>
      </w:r>
    </w:p>
    <w:p w14:paraId="698680E4">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Times New Roman" w:hAnsi="Times New Roman" w:eastAsia="仿宋_GB2312" w:cs="仿宋"/>
          <w:sz w:val="32"/>
          <w:szCs w:val="20"/>
          <w:lang w:val="en-US" w:eastAsia="zh-CN"/>
        </w:rPr>
      </w:pPr>
      <w:r>
        <w:rPr>
          <w:rFonts w:hint="eastAsia" w:ascii="仿宋_GB2312" w:hAnsi="仿宋_GB2312" w:eastAsia="仿宋_GB2312" w:cs="仿宋_GB2312"/>
          <w:color w:val="auto"/>
          <w:sz w:val="32"/>
          <w:szCs w:val="32"/>
          <w:u w:val="none"/>
        </w:rPr>
        <w:t>处叁万壹仟叁佰壹拾肆元罚款（3.1314万元）</w:t>
      </w:r>
      <w:r>
        <w:rPr>
          <w:rFonts w:hint="eastAsia" w:ascii="Times New Roman" w:hAnsi="Times New Roman" w:eastAsia="仿宋_GB2312" w:cs="仿宋"/>
          <w:sz w:val="32"/>
          <w:szCs w:val="20"/>
          <w:lang w:val="en-US" w:eastAsia="zh-CN"/>
        </w:rPr>
        <w:t>。</w:t>
      </w:r>
    </w:p>
    <w:p w14:paraId="6CDB08B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黑体" w:hAnsi="黑体" w:eastAsia="黑体" w:cs="黑体"/>
          <w:sz w:val="32"/>
          <w:szCs w:val="32"/>
          <w:lang w:val="en-US" w:eastAsia="zh-CN"/>
        </w:rPr>
        <w:t>三、行政处罚决定的履行方式和期限</w:t>
      </w:r>
      <w:r>
        <w:rPr>
          <w:rFonts w:hint="eastAsia" w:ascii="仿宋_GB2312" w:hAnsi="仿宋_GB2312" w:cs="仿宋_GB2312"/>
          <w:sz w:val="32"/>
          <w:szCs w:val="32"/>
          <w:lang w:val="en-US" w:eastAsia="zh-CN"/>
        </w:rPr>
        <w:t xml:space="preserve"> </w:t>
      </w:r>
    </w:p>
    <w:p w14:paraId="2A48FCB2">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根据《中华人民共和国行政处罚法》和《罚款决定与罚款收缴分离实施办法》的规定，你单位应当自收到本决定书之日起</w:t>
      </w:r>
      <w:r>
        <w:rPr>
          <w:rFonts w:hint="eastAsia" w:ascii="Times New Roman" w:hAnsi="Times New Roman" w:eastAsia="仿宋_GB2312" w:cs="仿宋"/>
          <w:sz w:val="32"/>
          <w:szCs w:val="20"/>
          <w:lang w:val="en-US" w:eastAsia="zh-CN"/>
        </w:rPr>
        <w:t>15日内将罚款缴至指定银行和账号： </w:t>
      </w:r>
    </w:p>
    <w:p w14:paraId="2429B4E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户  名：焦作市财政局非税收入财政专户。</w:t>
      </w:r>
    </w:p>
    <w:p w14:paraId="65BB391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开户行：邮政储蓄银行民主南路支行；</w:t>
      </w:r>
    </w:p>
    <w:p w14:paraId="0D1D327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Times New Roman" w:hAnsi="Times New Roman" w:eastAsia="仿宋_GB2312" w:cs="仿宋"/>
          <w:sz w:val="32"/>
          <w:szCs w:val="20"/>
          <w:lang w:val="en-US" w:eastAsia="zh-CN"/>
        </w:rPr>
      </w:pPr>
      <w:r>
        <w:rPr>
          <w:rFonts w:hint="eastAsia" w:ascii="仿宋_GB2312" w:hAnsi="仿宋_GB2312" w:cs="仿宋_GB2312"/>
          <w:sz w:val="32"/>
          <w:szCs w:val="32"/>
          <w:lang w:val="en-US" w:eastAsia="zh-CN"/>
        </w:rPr>
        <w:t>银行账号：</w:t>
      </w:r>
      <w:r>
        <w:rPr>
          <w:rFonts w:hint="eastAsia" w:ascii="Times New Roman" w:hAnsi="Times New Roman" w:eastAsia="仿宋_GB2312" w:cs="仿宋"/>
          <w:sz w:val="32"/>
          <w:szCs w:val="20"/>
          <w:lang w:val="en-US" w:eastAsia="zh-CN"/>
        </w:rPr>
        <w:t>100195545980010001</w:t>
      </w:r>
    </w:p>
    <w:p w14:paraId="0AAA4A3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缴纳罚款后，应将缴款凭据报送我局备案。逾期不缴纳罚款的，我局将依法采取行政强制措施。 </w:t>
      </w:r>
    </w:p>
    <w:p w14:paraId="00C35C5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四、申请行政复议或提起行政诉讼的途径和期限</w:t>
      </w:r>
    </w:p>
    <w:p w14:paraId="69FC940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你单位如不服本决定，可以自收到本决定书之日起六十日内向焦作市人民政府申请行政复议；也可以在接到本决定书之日起6个月内向郑州铁路运输法院提起行政诉讼。申请行政复议或者提起行政诉讼，不停止行政处罚决定的执行。</w:t>
      </w:r>
    </w:p>
    <w:p w14:paraId="1DE13A4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12C6ED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3D53DE1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52E016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jc w:val="both"/>
        <w:textAlignment w:val="bottom"/>
        <w:rPr>
          <w:rFonts w:hint="eastAsia" w:ascii="仿宋_GB2312" w:hAnsi="仿宋_GB2312" w:cs="仿宋_GB2312"/>
          <w:sz w:val="32"/>
          <w:szCs w:val="32"/>
          <w:lang w:val="en-US" w:eastAsia="zh-CN"/>
        </w:rPr>
      </w:pPr>
    </w:p>
    <w:p w14:paraId="3A6ADC3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atLeast"/>
        <w:ind w:right="0" w:rightChars="0" w:firstLine="4800" w:firstLineChars="1500"/>
        <w:jc w:val="both"/>
        <w:textAlignment w:val="bottom"/>
        <w:rPr>
          <w:rFonts w:hint="eastAsia" w:ascii="Times New Roman" w:hAnsi="Times New Roman" w:eastAsia="仿宋_GB2312" w:cs="仿宋"/>
          <w:sz w:val="32"/>
          <w:szCs w:val="20"/>
          <w:lang w:val="en-US" w:eastAsia="zh-CN"/>
        </w:rPr>
      </w:pPr>
      <w:r>
        <w:rPr>
          <w:rFonts w:hint="eastAsia" w:ascii="Times New Roman" w:hAnsi="Times New Roman" w:eastAsia="仿宋_GB2312" w:cs="仿宋"/>
          <w:sz w:val="32"/>
          <w:szCs w:val="20"/>
          <w:lang w:val="en-US" w:eastAsia="zh-CN"/>
        </w:rPr>
        <w:t>202</w:t>
      </w:r>
      <w:r>
        <w:rPr>
          <w:rFonts w:hint="eastAsia" w:cs="仿宋"/>
          <w:sz w:val="32"/>
          <w:szCs w:val="20"/>
          <w:lang w:val="en-US" w:eastAsia="zh-CN"/>
        </w:rPr>
        <w:t>6</w:t>
      </w:r>
      <w:r>
        <w:rPr>
          <w:rFonts w:hint="eastAsia" w:ascii="Times New Roman" w:hAnsi="Times New Roman" w:eastAsia="仿宋_GB2312" w:cs="仿宋"/>
          <w:sz w:val="32"/>
          <w:szCs w:val="20"/>
          <w:lang w:val="en-US" w:eastAsia="zh-CN"/>
        </w:rPr>
        <w:t>年</w:t>
      </w:r>
      <w:r>
        <w:rPr>
          <w:rFonts w:hint="eastAsia" w:cs="仿宋"/>
          <w:sz w:val="32"/>
          <w:szCs w:val="20"/>
          <w:lang w:val="en-US" w:eastAsia="zh-CN"/>
        </w:rPr>
        <w:t>1</w:t>
      </w:r>
      <w:r>
        <w:rPr>
          <w:rFonts w:hint="eastAsia" w:ascii="Times New Roman" w:hAnsi="Times New Roman" w:eastAsia="仿宋_GB2312" w:cs="仿宋"/>
          <w:sz w:val="32"/>
          <w:szCs w:val="20"/>
          <w:lang w:val="en-US" w:eastAsia="zh-CN"/>
        </w:rPr>
        <w:t>月2</w:t>
      </w:r>
      <w:r>
        <w:rPr>
          <w:rFonts w:hint="eastAsia" w:cs="仿宋"/>
          <w:sz w:val="32"/>
          <w:szCs w:val="20"/>
          <w:lang w:val="en-US" w:eastAsia="zh-CN"/>
        </w:rPr>
        <w:t>7</w:t>
      </w:r>
      <w:r>
        <w:rPr>
          <w:rFonts w:hint="eastAsia" w:ascii="Times New Roman" w:hAnsi="Times New Roman" w:eastAsia="仿宋_GB2312" w:cs="仿宋"/>
          <w:sz w:val="32"/>
          <w:szCs w:val="20"/>
          <w:lang w:val="en-US" w:eastAsia="zh-CN"/>
        </w:rPr>
        <w:t>日</w:t>
      </w:r>
    </w:p>
    <w:sectPr>
      <w:headerReference r:id="rId5" w:type="default"/>
      <w:footerReference r:id="rId7" w:type="default"/>
      <w:headerReference r:id="rId6" w:type="even"/>
      <w:footerReference r:id="rId8" w:type="even"/>
      <w:footnotePr>
        <w:numFmt w:val="decimalHalfWidth"/>
      </w:footnotePr>
      <w:endnotePr>
        <w:numFmt w:val="chineseCounting"/>
      </w:endnotePr>
      <w:pgSz w:w="11905" w:h="16837"/>
      <w:pgMar w:top="2154" w:right="1474" w:bottom="1644" w:left="1587" w:header="850" w:footer="992" w:gutter="0"/>
      <w:pgNumType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FangSong_GB2312">
    <w:altName w:val="仿宋_GB2312"/>
    <w:panose1 w:val="02010609030101010101"/>
    <w:charset w:val="86"/>
    <w:family w:val="auto"/>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75301E">
    <w:pPr>
      <w:spacing w:line="1" w:lineRule="atLeast"/>
    </w:pPr>
    <w:r>
      <mc:AlternateContent>
        <mc:Choice Requires="wps">
          <w:drawing>
            <wp:anchor distT="0" distB="0" distL="114300" distR="114300" simplePos="0" relativeHeight="251663360" behindDoc="0" locked="1" layoutInCell="1" allowOverlap="1">
              <wp:simplePos x="0" y="0"/>
              <wp:positionH relativeFrom="column">
                <wp:posOffset>0</wp:posOffset>
              </wp:positionH>
              <wp:positionV relativeFrom="paragraph">
                <wp:posOffset>0</wp:posOffset>
              </wp:positionV>
              <wp:extent cx="5471795"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7B6F37D1">
                          <w:pPr>
                            <w:widowControl w:val="0"/>
                            <w:spacing w:line="439" w:lineRule="atLeast"/>
                            <w:jc w:val="right"/>
                            <w:rPr>
                              <w:rFonts w:hint="eastAsia"/>
                              <w:sz w:val="28"/>
                            </w:rPr>
                          </w:pP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3360;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OUI+SnWAAAABAEAAA8AAAAAAAAAAQAgAAAAIgAAAGRycy9kb3ducmV2&#10;LnhtbFBLAQIUABQAAAAIAIdO4kAFhM7NxQEAAHsDAAAOAAAAAAAAAAEAIAAAACUBAABkcnMvZTJv&#10;RG9jLnhtbFBLBQYAAAAABgAGAFkBAABcBQAAAAA=&#10;">
              <v:fill on="f" focussize="0,0"/>
              <v:stroke on="f" weight="0.566929133858268pt"/>
              <v:imagedata o:title=""/>
              <o:lock v:ext="edit" aspectratio="f"/>
              <v:textbox inset="0mm,0mm,0mm,0mm">
                <w:txbxContent>
                  <w:p w14:paraId="7B6F37D1">
                    <w:pPr>
                      <w:widowControl w:val="0"/>
                      <w:spacing w:line="439" w:lineRule="atLeast"/>
                      <w:jc w:val="right"/>
                      <w:rPr>
                        <w:rFonts w:hint="eastAsia"/>
                        <w:sz w:val="28"/>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2D1EB4">
    <w:pPr>
      <w:spacing w:line="1" w:lineRule="atLeast"/>
    </w:pPr>
    <w:r>
      <mc:AlternateContent>
        <mc:Choice Requires="wps">
          <w:drawing>
            <wp:anchor distT="0" distB="0" distL="114300" distR="114300" simplePos="0" relativeHeight="251662336" behindDoc="0" locked="1" layoutInCell="1" allowOverlap="1">
              <wp:simplePos x="0" y="0"/>
              <wp:positionH relativeFrom="column">
                <wp:posOffset>0</wp:posOffset>
              </wp:positionH>
              <wp:positionV relativeFrom="paragraph">
                <wp:posOffset>0</wp:posOffset>
              </wp:positionV>
              <wp:extent cx="5471795" cy="251460"/>
              <wp:effectExtent l="0" t="0" r="0" b="0"/>
              <wp:wrapNone/>
              <wp:docPr id="7" name="文本框 7"/>
              <wp:cNvGraphicFramePr/>
              <a:graphic xmlns:a="http://schemas.openxmlformats.org/drawingml/2006/main">
                <a:graphicData uri="http://schemas.microsoft.com/office/word/2010/wordprocessingShape">
                  <wps:wsp>
                    <wps:cNvSpPr txBox="1"/>
                    <wps:spPr>
                      <a:xfrm>
                        <a:off x="0" y="0"/>
                        <a:ext cx="5471795" cy="251460"/>
                      </a:xfrm>
                      <a:prstGeom prst="rect">
                        <a:avLst/>
                      </a:prstGeom>
                      <a:noFill/>
                      <a:ln w="7200">
                        <a:noFill/>
                      </a:ln>
                    </wps:spPr>
                    <wps:txbx>
                      <w:txbxContent>
                        <w:p w14:paraId="4A856594">
                          <w:pPr>
                            <w:widowControl w:val="0"/>
                            <w:spacing w:line="439" w:lineRule="atLeast"/>
                            <w:ind w:firstLine="0" w:firstLineChars="0"/>
                            <w:rPr>
                              <w:rFonts w:hint="eastAsia"/>
                              <w:sz w:val="28"/>
                            </w:rPr>
                          </w:pPr>
                          <w:r>
                            <w:rPr>
                              <w:rFonts w:hint="eastAsia"/>
                              <w:sz w:val="28"/>
                            </w:rPr>
                            <w:t>　</w:t>
                          </w:r>
                        </w:p>
                      </w:txbxContent>
                    </wps:txbx>
                    <wps:bodyPr lIns="0" tIns="0" rIns="0" bIns="0" upright="1"/>
                  </wps:wsp>
                </a:graphicData>
              </a:graphic>
            </wp:anchor>
          </w:drawing>
        </mc:Choice>
        <mc:Fallback>
          <w:pict>
            <v:shape id="_x0000_s1026" o:spid="_x0000_s1026" o:spt="202" type="#_x0000_t202" style="position:absolute;left:0pt;margin-left:0pt;margin-top:0pt;height:19.8pt;width:430.85pt;z-index:251662336;mso-width-relative:page;mso-height-relative:page;" filled="f" stroked="f" coordsize="21600,21600" o:gfxdata="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lCPkp1gAAAAQBAAAPAAAAAAAAAAEAIAAAACIAAABkcnMvZG93bnJldi54&#10;bWxQSwECFAAUAAAACACHTuJArwpk5cMBAAB7AwAADgAAAAAAAAABACAAAAAlAQAAZHJzL2Uyb0Rv&#10;Yy54bWxQSwUGAAAAAAYABgBZAQAAWgUAAAAA&#10;">
              <v:fill on="f" focussize="0,0"/>
              <v:stroke on="f" weight="0.566929133858268pt"/>
              <v:imagedata o:title=""/>
              <o:lock v:ext="edit" aspectratio="f"/>
              <v:textbox inset="0mm,0mm,0mm,0mm">
                <w:txbxContent>
                  <w:p w14:paraId="4A856594">
                    <w:pPr>
                      <w:widowControl w:val="0"/>
                      <w:spacing w:line="439" w:lineRule="atLeast"/>
                      <w:ind w:firstLine="0" w:firstLineChars="0"/>
                      <w:rPr>
                        <w:rFonts w:hint="eastAsia"/>
                        <w:sz w:val="28"/>
                      </w:rPr>
                    </w:pPr>
                    <w:r>
                      <w:rPr>
                        <w:rFonts w:hint="eastAsia"/>
                        <w:sz w:val="28"/>
                      </w:rPr>
                      <w:t>　</w:t>
                    </w:r>
                  </w:p>
                </w:txbxContent>
              </v:textbox>
              <w10:anchorlock/>
            </v:shape>
          </w:pict>
        </mc:Fallback>
      </mc:AlternateContent>
    </w:r>
    <w:r>
      <mc:AlternateContent>
        <mc:Choice Requires="wps">
          <w:drawing>
            <wp:inline distT="0" distB="0" distL="114300" distR="114300">
              <wp:extent cx="5471795" cy="251460"/>
              <wp:effectExtent l="0" t="0" r="0" b="0"/>
              <wp:docPr id="8" name="矩形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UPMBh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A6DF88">
    <w:pPr>
      <w:spacing w:line="1" w:lineRule="atLeast"/>
    </w:pPr>
    <w:r>
      <mc:AlternateContent>
        <mc:Choice Requires="wps">
          <w:drawing>
            <wp:anchor distT="0" distB="0" distL="114300" distR="114300" simplePos="0" relativeHeight="251661312"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3FD7B375">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1312;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3FD7B375">
                    <w:pPr>
                      <w:widowControl w:val="0"/>
                      <w:spacing w:line="272" w:lineRule="atLeast"/>
                      <w:rPr>
                        <w:rFonts w:hint="eastAsia"/>
                      </w:rPr>
                    </w:pPr>
                  </w:p>
                </w:txbxContent>
              </v:textbox>
              <w10:anchorlock/>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65AFBD">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0</wp:posOffset>
              </wp:positionH>
              <wp:positionV relativeFrom="paragraph">
                <wp:posOffset>0</wp:posOffset>
              </wp:positionV>
              <wp:extent cx="5471795" cy="1043940"/>
              <wp:effectExtent l="0" t="0" r="0" b="0"/>
              <wp:wrapNone/>
              <wp:docPr id="5" name="文本框 5"/>
              <wp:cNvGraphicFramePr/>
              <a:graphic xmlns:a="http://schemas.openxmlformats.org/drawingml/2006/main">
                <a:graphicData uri="http://schemas.microsoft.com/office/word/2010/wordprocessingShape">
                  <wps:wsp>
                    <wps:cNvSpPr txBox="1"/>
                    <wps:spPr>
                      <a:xfrm>
                        <a:off x="0" y="0"/>
                        <a:ext cx="5471795" cy="1043940"/>
                      </a:xfrm>
                      <a:prstGeom prst="rect">
                        <a:avLst/>
                      </a:prstGeom>
                      <a:noFill/>
                      <a:ln w="7200">
                        <a:noFill/>
                      </a:ln>
                    </wps:spPr>
                    <wps:txbx>
                      <w:txbxContent>
                        <w:p w14:paraId="7B103D5A">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0pt;margin-top:0pt;height:82.2pt;width:430.85pt;z-index:251660288;mso-width-relative:page;mso-height-relative:page;" filled="f" stroked="f" coordsize="21600,21600" o:gfxdata="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L0g9YnWAAAABQEAAA8AAAAAAAAAAQAgAAAAIgAAAGRycy9kb3ducmV2&#10;LnhtbFBLAQIUABQAAAAIAIdO4kAxXpcMxQEAAHwDAAAOAAAAAAAAAAEAIAAAACUBAABkcnMvZTJv&#10;RG9jLnhtbFBLBQYAAAAABgAGAFkBAABcBQAAAAA=&#10;">
              <v:fill on="f" focussize="0,0"/>
              <v:stroke on="f" weight="0.566929133858268pt"/>
              <v:imagedata o:title=""/>
              <o:lock v:ext="edit" aspectratio="f"/>
              <v:textbox inset="0mm,0mm,0mm,0mm">
                <w:txbxContent>
                  <w:p w14:paraId="7B103D5A">
                    <w:pPr>
                      <w:widowControl w:val="0"/>
                      <w:spacing w:line="272" w:lineRule="atLeast"/>
                      <w:rPr>
                        <w:rFonts w:hint="eastAsia"/>
                      </w:rPr>
                    </w:pPr>
                  </w:p>
                </w:txbxContent>
              </v:textbox>
              <w10:anchorlock/>
            </v:shape>
          </w:pict>
        </mc:Fallback>
      </mc:AlternateContent>
    </w:r>
    <w:r>
      <mc:AlternateContent>
        <mc:Choice Requires="wps">
          <w:drawing>
            <wp:inline distT="0" distB="0" distL="114300" distR="114300">
              <wp:extent cx="5471795" cy="1043940"/>
              <wp:effectExtent l="0" t="0" r="0" b="0"/>
              <wp:docPr id="6" name="矩形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1043940"/>
                      </a:xfrm>
                      <a:prstGeom prst="rect">
                        <a:avLst/>
                      </a:prstGeom>
                      <a:noFill/>
                      <a:ln>
                        <a:noFill/>
                      </a:ln>
                    </wps:spPr>
                    <wps:bodyPr upright="1"/>
                  </wps:wsp>
                </a:graphicData>
              </a:graphic>
            </wp:inline>
          </w:drawing>
        </mc:Choice>
        <mc:Fallback>
          <w:pict>
            <v:rect id="_x0000_s1026" o:spid="_x0000_s1026" o:spt="1" style="height:82.2pt;width:430.85pt;" filled="f" stroked="f" coordsize="21600,21600" o:gfxdata="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O97MMbXAAAABQEAAA8AAAAAAAAAAQAgAAAAIgAAAGRycy9kb3ducmV2LnhtbFBLAQIUABQAAAAI&#10;AIdO4kAdOaeAtQEAAGMDAAAOAAAAAAAAAAEAIAAAACYBAABkcnMvZTJvRG9jLnhtbFBLBQYAAAAA&#10;BgAGAFkBAABNBQAAAAA=&#10;">
              <v:fill on="f" focussize="0,0"/>
              <v:stroke on="f"/>
              <v:imagedata o:title=""/>
              <o:lock v:ext="edit" aspectratio="t"/>
              <w10:wrap type="none"/>
              <w10:anchorlock/>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02B450C"/>
    <w:rsid w:val="009A6FAA"/>
    <w:rsid w:val="03056030"/>
    <w:rsid w:val="04514AB6"/>
    <w:rsid w:val="05077C19"/>
    <w:rsid w:val="05CA048C"/>
    <w:rsid w:val="06DF5ACD"/>
    <w:rsid w:val="07013F3A"/>
    <w:rsid w:val="07A95C52"/>
    <w:rsid w:val="08BD07F2"/>
    <w:rsid w:val="09176D56"/>
    <w:rsid w:val="0A6E634A"/>
    <w:rsid w:val="0B696D19"/>
    <w:rsid w:val="0CDC3D79"/>
    <w:rsid w:val="0D373E13"/>
    <w:rsid w:val="10125409"/>
    <w:rsid w:val="10C02BFC"/>
    <w:rsid w:val="121249FE"/>
    <w:rsid w:val="12A35A32"/>
    <w:rsid w:val="15771AFC"/>
    <w:rsid w:val="19CD0264"/>
    <w:rsid w:val="1C1943F5"/>
    <w:rsid w:val="1E82375A"/>
    <w:rsid w:val="1F15650D"/>
    <w:rsid w:val="20F3684E"/>
    <w:rsid w:val="24162E02"/>
    <w:rsid w:val="256127FD"/>
    <w:rsid w:val="26F543A3"/>
    <w:rsid w:val="29242DC7"/>
    <w:rsid w:val="2980344D"/>
    <w:rsid w:val="2B162E29"/>
    <w:rsid w:val="2BF8505C"/>
    <w:rsid w:val="2C1A3224"/>
    <w:rsid w:val="2FF918ED"/>
    <w:rsid w:val="31205564"/>
    <w:rsid w:val="31F97D80"/>
    <w:rsid w:val="32D968D7"/>
    <w:rsid w:val="332E1CAB"/>
    <w:rsid w:val="33726108"/>
    <w:rsid w:val="34E02B31"/>
    <w:rsid w:val="34FF5A72"/>
    <w:rsid w:val="37F169BE"/>
    <w:rsid w:val="38A76271"/>
    <w:rsid w:val="3BE07D4F"/>
    <w:rsid w:val="3C8D0788"/>
    <w:rsid w:val="3F762A0F"/>
    <w:rsid w:val="3FE16C80"/>
    <w:rsid w:val="4424559D"/>
    <w:rsid w:val="44DD3767"/>
    <w:rsid w:val="458F0387"/>
    <w:rsid w:val="479C20ED"/>
    <w:rsid w:val="48BB3824"/>
    <w:rsid w:val="4BC24D76"/>
    <w:rsid w:val="4EEF5D9A"/>
    <w:rsid w:val="4FA820B3"/>
    <w:rsid w:val="504C0E58"/>
    <w:rsid w:val="51286052"/>
    <w:rsid w:val="52344790"/>
    <w:rsid w:val="52E361B6"/>
    <w:rsid w:val="52E71DA7"/>
    <w:rsid w:val="532C785A"/>
    <w:rsid w:val="54496D13"/>
    <w:rsid w:val="54B24092"/>
    <w:rsid w:val="567F1D52"/>
    <w:rsid w:val="572E3365"/>
    <w:rsid w:val="59865899"/>
    <w:rsid w:val="5B527D19"/>
    <w:rsid w:val="5BF550BC"/>
    <w:rsid w:val="5C6043D4"/>
    <w:rsid w:val="5D647EF4"/>
    <w:rsid w:val="5DE552CA"/>
    <w:rsid w:val="60236652"/>
    <w:rsid w:val="604907EE"/>
    <w:rsid w:val="64116420"/>
    <w:rsid w:val="65FD392A"/>
    <w:rsid w:val="68064081"/>
    <w:rsid w:val="696F345C"/>
    <w:rsid w:val="6AE82164"/>
    <w:rsid w:val="6B1A78B7"/>
    <w:rsid w:val="6B1C5D44"/>
    <w:rsid w:val="6E295249"/>
    <w:rsid w:val="70B76860"/>
    <w:rsid w:val="75AA4E2B"/>
    <w:rsid w:val="7DC5315A"/>
    <w:rsid w:val="7E906D63"/>
    <w:rsid w:val="7FAD00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仿宋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仿宋_GB2312" w:cs="仿宋"/>
      <w:szCs w:val="20"/>
      <w:lang w:eastAsia="en-US"/>
    </w:rPr>
  </w:style>
  <w:style w:type="paragraph" w:styleId="4">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kern w:val="0"/>
      <w:sz w:val="24"/>
      <w:szCs w:val="24"/>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2441</Words>
  <Characters>2630</Characters>
  <Lines>0</Lines>
  <Paragraphs>0</Paragraphs>
  <TotalTime>0</TotalTime>
  <ScaleCrop>false</ScaleCrop>
  <LinksUpToDate>false</LinksUpToDate>
  <CharactersWithSpaces>2690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2025-11-16T02:09:00Z</cp:lastPrinted>
  <dcterms:modified xsi:type="dcterms:W3CDTF">2026-01-27T06:44:40Z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FD3B72F8784440A58F71ED3822C5D20F_13</vt:lpwstr>
  </property>
  <property fmtid="{D5CDD505-2E9C-101B-9397-08002B2CF9AE}" pid="4" name="KSOTemplateDocerSaveRecord">
    <vt:lpwstr>eyJoZGlkIjoiZTQyN2M1M2U3YjFhNzg3ZTlhZGQwMGM5ODcyZDJlZWIiLCJ1c2VySWQiOiI0MTgxMzM4MDgifQ==</vt:lpwstr>
  </property>
</Properties>
</file>