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75AA7">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19A01C14">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0D9FB418">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75603EF7">
      <w:pPr>
        <w:pStyle w:val="5"/>
        <w:keepNext w:val="0"/>
        <w:keepLines w:val="0"/>
        <w:pageBreakBefore w:val="0"/>
        <w:widowControl w:val="0"/>
        <w:kinsoku/>
        <w:wordWrap w:val="0"/>
        <w:overflowPunct/>
        <w:topLinePunct w:val="0"/>
        <w:autoSpaceDN w:val="0"/>
        <w:bidi w:val="0"/>
        <w:adjustRightInd/>
        <w:snapToGrid/>
        <w:spacing w:before="0" w:beforeAutospacing="0" w:after="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441CA81">
      <w:pPr>
        <w:keepNext w:val="0"/>
        <w:keepLines w:val="0"/>
        <w:pageBreakBefore w:val="0"/>
        <w:widowControl w:val="0"/>
        <w:kinsoku/>
        <w:wordWrap w:val="0"/>
        <w:overflowPunct/>
        <w:topLinePunct w:val="0"/>
        <w:autoSpaceDE/>
        <w:autoSpaceDN/>
        <w:bidi w:val="0"/>
        <w:adjustRightInd/>
        <w:snapToGrid w:val="0"/>
        <w:spacing w:line="560" w:lineRule="exact"/>
        <w:ind w:left="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2026</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59</w:t>
      </w:r>
      <w:r>
        <w:rPr>
          <w:rFonts w:hint="eastAsia" w:ascii="CESI仿宋-GB2312" w:hAnsi="CESI仿宋-GB2312" w:eastAsia="CESI仿宋-GB2312" w:cs="CESI仿宋-GB2312"/>
          <w:color w:val="auto"/>
          <w:sz w:val="32"/>
          <w:szCs w:val="32"/>
        </w:rPr>
        <w:t>号</w:t>
      </w:r>
    </w:p>
    <w:p w14:paraId="6DBFC2C5">
      <w:pPr>
        <w:keepNext w:val="0"/>
        <w:keepLines w:val="0"/>
        <w:pageBreakBefore w:val="0"/>
        <w:widowControl w:val="0"/>
        <w:kinsoku/>
        <w:wordWrap w:val="0"/>
        <w:overflowPunct/>
        <w:topLinePunct w:val="0"/>
        <w:bidi w:val="0"/>
        <w:spacing w:line="560" w:lineRule="exact"/>
        <w:ind w:left="0"/>
        <w:rPr>
          <w:rFonts w:hint="eastAsia" w:ascii="CESI仿宋-GB2312" w:hAnsi="CESI仿宋-GB2312" w:eastAsia="CESI仿宋-GB2312" w:cs="CESI仿宋-GB2312"/>
          <w:sz w:val="32"/>
          <w:szCs w:val="32"/>
        </w:rPr>
      </w:pPr>
    </w:p>
    <w:p w14:paraId="4CE208C5">
      <w:pPr>
        <w:pStyle w:val="5"/>
        <w:keepNext w:val="0"/>
        <w:keepLines w:val="0"/>
        <w:pageBreakBefore w:val="0"/>
        <w:widowControl w:val="0"/>
        <w:suppressLineNumbers w:val="0"/>
        <w:kinsoku/>
        <w:wordWrap w:val="0"/>
        <w:overflowPunct/>
        <w:topLinePunct w:val="0"/>
        <w:autoSpaceDE/>
        <w:bidi w:val="0"/>
        <w:adjustRightInd/>
        <w:snapToGrid/>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bCs/>
          <w:color w:val="auto"/>
          <w:kern w:val="2"/>
          <w:sz w:val="32"/>
          <w:szCs w:val="32"/>
          <w:u w:val="none" w:color="auto"/>
          <w:lang w:val="en-US" w:eastAsia="zh-CN" w:bidi="ar-SA"/>
        </w:rPr>
      </w:pPr>
      <w:r>
        <w:rPr>
          <w:rFonts w:hint="eastAsia" w:ascii="CESI仿宋-GB2312" w:hAnsi="CESI仿宋-GB2312" w:eastAsia="CESI仿宋-GB2312" w:cs="CESI仿宋-GB2312"/>
          <w:color w:val="000000"/>
          <w:sz w:val="32"/>
          <w:szCs w:val="32"/>
          <w:lang w:eastAsia="zh-CN"/>
        </w:rPr>
        <w:t>当事人姓名</w:t>
      </w:r>
      <w:r>
        <w:rPr>
          <w:rFonts w:hint="eastAsia" w:ascii="CESI仿宋-GB2312" w:hAnsi="CESI仿宋-GB2312" w:eastAsia="CESI仿宋-GB2312" w:cs="CESI仿宋-GB2312"/>
          <w:bCs/>
          <w:color w:val="auto"/>
          <w:kern w:val="2"/>
          <w:sz w:val="32"/>
          <w:szCs w:val="32"/>
          <w:u w:val="none" w:color="auto"/>
          <w:lang w:val="en-US" w:eastAsia="zh-CN" w:bidi="ar-SA"/>
        </w:rPr>
        <w:t>：王鹤虎</w:t>
      </w:r>
    </w:p>
    <w:p w14:paraId="64FA7354">
      <w:pPr>
        <w:keepNext w:val="0"/>
        <w:keepLines w:val="0"/>
        <w:pageBreakBefore w:val="0"/>
        <w:widowControl w:val="0"/>
        <w:kinsoku/>
        <w:wordWrap w:val="0"/>
        <w:overflowPunct/>
        <w:topLinePunct w:val="0"/>
        <w:autoSpaceDE/>
        <w:autoSpaceDN/>
        <w:bidi w:val="0"/>
        <w:adjustRightInd w:val="0"/>
        <w:snapToGrid w:val="0"/>
        <w:spacing w:line="560" w:lineRule="exact"/>
        <w:ind w:left="0" w:leftChars="0" w:right="0" w:rightChars="0"/>
        <w:textAlignment w:val="auto"/>
        <w:outlineLvl w:val="9"/>
        <w:rPr>
          <w:rFonts w:hint="default" w:ascii="CESI仿宋-GB2312" w:hAnsi="CESI仿宋-GB2312" w:eastAsia="CESI仿宋-GB2312" w:cs="CESI仿宋-GB2312"/>
          <w:bCs/>
          <w:color w:val="auto"/>
          <w:sz w:val="32"/>
          <w:szCs w:val="32"/>
          <w:u w:val="none" w:color="auto"/>
          <w:lang w:val="en-US" w:eastAsia="zh-CN"/>
        </w:rPr>
      </w:pPr>
      <w:r>
        <w:rPr>
          <w:rFonts w:hint="eastAsia" w:ascii="CESI仿宋-GB2312" w:hAnsi="CESI仿宋-GB2312" w:eastAsia="CESI仿宋-GB2312" w:cs="CESI仿宋-GB2312"/>
          <w:bCs/>
          <w:color w:val="auto"/>
          <w:sz w:val="32"/>
          <w:szCs w:val="32"/>
          <w:u w:val="none" w:color="auto"/>
          <w:lang w:val="en-US" w:eastAsia="zh-CN"/>
        </w:rPr>
        <w:t>身份证号码：</w:t>
      </w:r>
      <w:r>
        <w:rPr>
          <w:rFonts w:hint="eastAsia" w:ascii="CESI仿宋-GB2312" w:hAnsi="CESI仿宋-GB2312" w:eastAsia="CESI仿宋-GB2312" w:cs="CESI仿宋-GB2312"/>
          <w:bCs/>
          <w:color w:val="auto"/>
          <w:kern w:val="2"/>
          <w:sz w:val="32"/>
          <w:szCs w:val="32"/>
          <w:u w:val="none" w:color="auto"/>
          <w:lang w:val="en-US" w:eastAsia="zh-CN" w:bidi="ar-SA"/>
        </w:rPr>
        <w:t>4108*****1070*****</w:t>
      </w:r>
    </w:p>
    <w:p w14:paraId="6FFC923E">
      <w:pPr>
        <w:pStyle w:val="5"/>
        <w:keepNext w:val="0"/>
        <w:keepLines w:val="0"/>
        <w:pageBreakBefore w:val="0"/>
        <w:widowControl w:val="0"/>
        <w:suppressLineNumbers w:val="0"/>
        <w:kinsoku/>
        <w:wordWrap w:val="0"/>
        <w:overflowPunct/>
        <w:topLinePunct w:val="0"/>
        <w:autoSpaceDE/>
        <w:bidi w:val="0"/>
        <w:adjustRightInd/>
        <w:snapToGrid/>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bCs/>
          <w:color w:val="auto"/>
          <w:kern w:val="2"/>
          <w:sz w:val="32"/>
          <w:szCs w:val="32"/>
          <w:u w:val="none" w:color="auto"/>
          <w:lang w:val="en-US" w:eastAsia="zh-CN" w:bidi="ar-SA"/>
        </w:rPr>
      </w:pPr>
      <w:r>
        <w:rPr>
          <w:rFonts w:hint="eastAsia" w:ascii="CESI仿宋-GB2312" w:hAnsi="CESI仿宋-GB2312" w:eastAsia="CESI仿宋-GB2312" w:cs="CESI仿宋-GB2312"/>
          <w:bCs/>
          <w:color w:val="auto"/>
          <w:sz w:val="32"/>
          <w:szCs w:val="32"/>
          <w:u w:val="none" w:color="auto"/>
          <w:lang w:val="en-US" w:eastAsia="zh-CN"/>
        </w:rPr>
        <w:t>住址：</w:t>
      </w:r>
      <w:r>
        <w:rPr>
          <w:rFonts w:hint="eastAsia" w:ascii="CESI仿宋-GB2312" w:hAnsi="CESI仿宋-GB2312" w:eastAsia="CESI仿宋-GB2312" w:cs="CESI仿宋-GB2312"/>
          <w:bCs/>
          <w:color w:val="auto"/>
          <w:kern w:val="2"/>
          <w:sz w:val="32"/>
          <w:szCs w:val="32"/>
          <w:u w:val="none" w:color="auto"/>
          <w:lang w:val="en-US" w:eastAsia="zh-CN" w:bidi="ar-SA"/>
        </w:rPr>
        <w:t>河南省沁阳市*****</w:t>
      </w:r>
      <w:bookmarkStart w:id="0" w:name="_GoBack"/>
      <w:bookmarkEnd w:id="0"/>
    </w:p>
    <w:p w14:paraId="206E63FB">
      <w:pPr>
        <w:keepNext w:val="0"/>
        <w:keepLines w:val="0"/>
        <w:pageBreakBefore w:val="0"/>
        <w:widowControl w:val="0"/>
        <w:kinsoku/>
        <w:wordWrap w:val="0"/>
        <w:overflowPunct/>
        <w:topLinePunct w:val="0"/>
        <w:bidi w:val="0"/>
        <w:spacing w:line="560" w:lineRule="exact"/>
        <w:ind w:left="0" w:firstLine="624" w:firstLineChars="200"/>
        <w:rPr>
          <w:rFonts w:hint="eastAsia" w:ascii="仿宋_GB2312" w:hAnsi="仿宋_GB2312" w:eastAsia="仿宋_GB2312" w:cs="仿宋_GB2312"/>
          <w:sz w:val="32"/>
          <w:szCs w:val="32"/>
        </w:rPr>
      </w:pPr>
      <w:r>
        <w:rPr>
          <w:rFonts w:hint="eastAsia" w:ascii="黑体" w:hAnsi="黑体" w:eastAsia="黑体" w:cs="黑体"/>
          <w:spacing w:val="-4"/>
          <w:sz w:val="32"/>
          <w:szCs w:val="32"/>
        </w:rPr>
        <w:t>一、环境违法事实和证据</w:t>
      </w:r>
    </w:p>
    <w:p w14:paraId="65D3BDD9">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right="0" w:firstLine="640" w:firstLineChars="200"/>
        <w:jc w:val="both"/>
        <w:textAlignment w:val="auto"/>
        <w:rPr>
          <w:rFonts w:hint="eastAsia" w:ascii="CESI仿宋-GB2312" w:hAnsi="CESI仿宋-GB2312" w:eastAsia="CESI仿宋-GB2312" w:cs="CESI仿宋-GB2312"/>
          <w:b w:val="0"/>
          <w:snapToGrid/>
          <w:color w:val="auto"/>
          <w:kern w:val="2"/>
          <w:sz w:val="32"/>
          <w:szCs w:val="32"/>
          <w:lang w:val="en-US" w:eastAsia="zh-CN"/>
        </w:rPr>
      </w:pPr>
      <w:r>
        <w:rPr>
          <w:rFonts w:hint="eastAsia" w:ascii="CESI仿宋-GB2312" w:hAnsi="CESI仿宋-GB2312" w:eastAsia="CESI仿宋-GB2312" w:cs="CESI仿宋-GB2312"/>
          <w:b w:val="0"/>
          <w:snapToGrid/>
          <w:color w:val="auto"/>
          <w:kern w:val="2"/>
          <w:sz w:val="32"/>
          <w:szCs w:val="32"/>
          <w:lang w:val="en-US" w:eastAsia="zh-CN"/>
        </w:rPr>
        <w:t>2025年11月17日，焦作市生态环境局执法人员现场检查时，发现王鹤虎正在使用合力牌叉车在河南省宏宇玻璃钢有限公司院内进行作业。机械型号：CPC35-Q3Z，产品识别码：020352U0715，机械环保代码：L86110355K32U0715，发动机型号：4C2-50V32，生产商：安徽合力股份有限公司宝鸡合力叉车厂，排放阶段Ⅲ。经调查，王鹤虎是该叉车的所有人，王鹤虎与河南省宏宇玻璃钢有限公司签订有《劳务外包合同》，合同中规定王鹤虎在河南省宏宇玻璃钢有限公司承揽的业务需自带叉车，并且“在工作过程中涉及的一切违法违规行为，包括但不限于违反安全生产法规、环保相关的法律法规及要求、治安管理处罚法等，均由乙方自行承担相应的法律责任、行政责任和经济赔偿责任，与甲方无关。”。发动机型为4C2-50V32的叉车正在作业的地点位于沁阳市非道路移动机械禁用区。焦作市生态环境局现场委托河南兴鹏检测服务中心对</w:t>
      </w:r>
      <w:r>
        <w:rPr>
          <w:rFonts w:hint="eastAsia" w:ascii="CESI仿宋-GB2312" w:hAnsi="CESI仿宋-GB2312" w:eastAsia="CESI仿宋-GB2312" w:cs="CESI仿宋-GB2312"/>
          <w:snapToGrid/>
          <w:color w:val="auto"/>
          <w:kern w:val="0"/>
          <w:sz w:val="32"/>
          <w:szCs w:val="32"/>
          <w:u w:val="none"/>
          <w:lang w:val="en-US" w:eastAsia="zh-CN" w:bidi="ar"/>
        </w:rPr>
        <w:t>王鹤虎</w:t>
      </w:r>
      <w:r>
        <w:rPr>
          <w:rFonts w:hint="eastAsia" w:ascii="CESI仿宋-GB2312" w:hAnsi="CESI仿宋-GB2312" w:eastAsia="CESI仿宋-GB2312" w:cs="CESI仿宋-GB2312"/>
          <w:b w:val="0"/>
          <w:snapToGrid/>
          <w:color w:val="auto"/>
          <w:kern w:val="2"/>
          <w:sz w:val="32"/>
          <w:szCs w:val="32"/>
          <w:lang w:val="en-US" w:eastAsia="zh-CN"/>
        </w:rPr>
        <w:t>正在使用的发动机型为4C2-50V32的叉车的尾气排放情况进行检测。检测完成后，结果显示该叉车在自由加载情况下，三次检验排放的尾气排放值分别为：第一次0.75m</w:t>
      </w:r>
      <w:r>
        <w:rPr>
          <w:rFonts w:hint="eastAsia" w:ascii="CESI仿宋-GB2312" w:hAnsi="CESI仿宋-GB2312" w:eastAsia="CESI仿宋-GB2312" w:cs="CESI仿宋-GB2312"/>
          <w:b w:val="0"/>
          <w:snapToGrid/>
          <w:color w:val="auto"/>
          <w:kern w:val="2"/>
          <w:sz w:val="32"/>
          <w:szCs w:val="32"/>
          <w:vertAlign w:val="superscript"/>
          <w:lang w:val="en-US" w:eastAsia="zh-CN"/>
        </w:rPr>
        <w:t>-1</w:t>
      </w:r>
      <w:r>
        <w:rPr>
          <w:rFonts w:hint="eastAsia" w:ascii="CESI仿宋-GB2312" w:hAnsi="CESI仿宋-GB2312" w:eastAsia="CESI仿宋-GB2312" w:cs="CESI仿宋-GB2312"/>
          <w:b w:val="0"/>
          <w:snapToGrid/>
          <w:color w:val="auto"/>
          <w:kern w:val="2"/>
          <w:sz w:val="32"/>
          <w:szCs w:val="32"/>
          <w:lang w:val="en-US" w:eastAsia="zh-CN"/>
        </w:rPr>
        <w:t>，第二次1.55m</w:t>
      </w:r>
      <w:r>
        <w:rPr>
          <w:rFonts w:hint="eastAsia" w:ascii="CESI仿宋-GB2312" w:hAnsi="CESI仿宋-GB2312" w:eastAsia="CESI仿宋-GB2312" w:cs="CESI仿宋-GB2312"/>
          <w:b w:val="0"/>
          <w:snapToGrid/>
          <w:color w:val="auto"/>
          <w:kern w:val="2"/>
          <w:sz w:val="32"/>
          <w:szCs w:val="32"/>
          <w:vertAlign w:val="superscript"/>
          <w:lang w:val="en-US" w:eastAsia="zh-CN"/>
        </w:rPr>
        <w:t>-1</w:t>
      </w:r>
      <w:r>
        <w:rPr>
          <w:rFonts w:hint="eastAsia" w:ascii="CESI仿宋-GB2312" w:hAnsi="CESI仿宋-GB2312" w:eastAsia="CESI仿宋-GB2312" w:cs="CESI仿宋-GB2312"/>
          <w:b w:val="0"/>
          <w:snapToGrid/>
          <w:color w:val="auto"/>
          <w:kern w:val="2"/>
          <w:sz w:val="32"/>
          <w:szCs w:val="32"/>
          <w:lang w:val="en-US" w:eastAsia="zh-CN"/>
        </w:rPr>
        <w:t>，第三次0.09m</w:t>
      </w:r>
      <w:r>
        <w:rPr>
          <w:rFonts w:hint="eastAsia" w:ascii="CESI仿宋-GB2312" w:hAnsi="CESI仿宋-GB2312" w:eastAsia="CESI仿宋-GB2312" w:cs="CESI仿宋-GB2312"/>
          <w:b w:val="0"/>
          <w:snapToGrid/>
          <w:color w:val="auto"/>
          <w:kern w:val="2"/>
          <w:sz w:val="32"/>
          <w:szCs w:val="32"/>
          <w:vertAlign w:val="superscript"/>
          <w:lang w:val="en-US" w:eastAsia="zh-CN"/>
        </w:rPr>
        <w:t>-1</w:t>
      </w:r>
      <w:r>
        <w:rPr>
          <w:rFonts w:hint="eastAsia" w:ascii="CESI仿宋-GB2312" w:hAnsi="CESI仿宋-GB2312" w:eastAsia="CESI仿宋-GB2312" w:cs="CESI仿宋-GB2312"/>
          <w:b w:val="0"/>
          <w:snapToGrid/>
          <w:color w:val="auto"/>
          <w:kern w:val="2"/>
          <w:sz w:val="32"/>
          <w:szCs w:val="32"/>
          <w:lang w:val="en-US" w:eastAsia="zh-CN"/>
        </w:rPr>
        <w:t>，排放限值是：0.80m</w:t>
      </w:r>
      <w:r>
        <w:rPr>
          <w:rFonts w:hint="eastAsia" w:ascii="CESI仿宋-GB2312" w:hAnsi="CESI仿宋-GB2312" w:eastAsia="CESI仿宋-GB2312" w:cs="CESI仿宋-GB2312"/>
          <w:b w:val="0"/>
          <w:snapToGrid/>
          <w:color w:val="auto"/>
          <w:kern w:val="2"/>
          <w:sz w:val="32"/>
          <w:szCs w:val="32"/>
          <w:vertAlign w:val="superscript"/>
          <w:lang w:val="en-US" w:eastAsia="zh-CN"/>
        </w:rPr>
        <w:t>-1</w:t>
      </w:r>
      <w:r>
        <w:rPr>
          <w:rFonts w:hint="eastAsia" w:ascii="CESI仿宋-GB2312" w:hAnsi="CESI仿宋-GB2312" w:eastAsia="CESI仿宋-GB2312" w:cs="CESI仿宋-GB2312"/>
          <w:b w:val="0"/>
          <w:snapToGrid/>
          <w:color w:val="auto"/>
          <w:kern w:val="2"/>
          <w:sz w:val="32"/>
          <w:szCs w:val="32"/>
          <w:lang w:val="en-US" w:eastAsia="zh-CN"/>
        </w:rPr>
        <w:t>，自由加载三次结果最大值1.55m</w:t>
      </w:r>
      <w:r>
        <w:rPr>
          <w:rFonts w:hint="eastAsia" w:ascii="CESI仿宋-GB2312" w:hAnsi="CESI仿宋-GB2312" w:eastAsia="CESI仿宋-GB2312" w:cs="CESI仿宋-GB2312"/>
          <w:b w:val="0"/>
          <w:snapToGrid/>
          <w:color w:val="auto"/>
          <w:kern w:val="2"/>
          <w:sz w:val="32"/>
          <w:szCs w:val="32"/>
          <w:vertAlign w:val="superscript"/>
          <w:lang w:val="en-US" w:eastAsia="zh-CN"/>
        </w:rPr>
        <w:t>-1</w:t>
      </w:r>
      <w:r>
        <w:rPr>
          <w:rFonts w:hint="eastAsia" w:ascii="CESI仿宋-GB2312" w:hAnsi="CESI仿宋-GB2312" w:eastAsia="CESI仿宋-GB2312" w:cs="CESI仿宋-GB2312"/>
          <w:b w:val="0"/>
          <w:snapToGrid/>
          <w:color w:val="auto"/>
          <w:kern w:val="2"/>
          <w:sz w:val="32"/>
          <w:szCs w:val="32"/>
          <w:lang w:val="en-US" w:eastAsia="zh-CN"/>
        </w:rPr>
        <w:t>，结果判定为：不合格。</w:t>
      </w:r>
    </w:p>
    <w:p w14:paraId="747661FB">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你</w:t>
      </w:r>
      <w:r>
        <w:rPr>
          <w:rFonts w:hint="eastAsia" w:ascii="CESI仿宋-GB2312" w:hAnsi="CESI仿宋-GB2312" w:eastAsia="CESI仿宋-GB2312" w:cs="CESI仿宋-GB2312"/>
          <w:snapToGrid w:val="0"/>
          <w:color w:val="000000"/>
          <w:kern w:val="0"/>
          <w:sz w:val="32"/>
          <w:szCs w:val="32"/>
          <w:u w:val="none"/>
          <w:lang w:val="en-US" w:eastAsia="en-US" w:bidi="ar"/>
        </w:rPr>
        <w:t>的</w:t>
      </w:r>
      <w:r>
        <w:rPr>
          <w:rFonts w:hint="eastAsia" w:ascii="CESI仿宋-GB2312" w:hAnsi="CESI仿宋-GB2312" w:eastAsia="CESI仿宋-GB2312" w:cs="CESI仿宋-GB2312"/>
          <w:snapToGrid w:val="0"/>
          <w:color w:val="000000"/>
          <w:kern w:val="0"/>
          <w:sz w:val="32"/>
          <w:szCs w:val="32"/>
          <w:u w:val="none"/>
          <w:lang w:val="en-US" w:eastAsia="zh-CN" w:bidi="ar"/>
        </w:rPr>
        <w:t>上述行为违反了</w:t>
      </w:r>
      <w:r>
        <w:rPr>
          <w:rFonts w:hint="eastAsia" w:ascii="CESI仿宋-GB2312" w:hAnsi="CESI仿宋-GB2312" w:eastAsia="CESI仿宋-GB2312" w:cs="CESI仿宋-GB2312"/>
          <w:color w:val="000000"/>
          <w:sz w:val="32"/>
          <w:szCs w:val="32"/>
          <w:lang w:val="en-US" w:eastAsia="zh-CN"/>
        </w:rPr>
        <w:t>《河南省大气污染防治条例》第四十三条第四款：“城市人民政府可以根据大气环境质量状况，划定并公布禁止使用高排放非道路移动机械的区域”的规定。</w:t>
      </w:r>
    </w:p>
    <w:p w14:paraId="4EDE1F9F">
      <w:pPr>
        <w:keepNext w:val="0"/>
        <w:keepLines w:val="0"/>
        <w:pageBreakBefore w:val="0"/>
        <w:widowControl w:val="0"/>
        <w:suppressLineNumbers w:val="0"/>
        <w:kinsoku/>
        <w:wordWrap w:val="0"/>
        <w:overflowPunct/>
        <w:topLinePunct w:val="0"/>
        <w:autoSpaceDE/>
        <w:autoSpaceDN w:val="0"/>
        <w:bidi w:val="0"/>
        <w:adjustRightInd/>
        <w:snapToGrid/>
        <w:spacing w:beforeAutospacing="0" w:afterAutospacing="0" w:line="560" w:lineRule="exact"/>
        <w:ind w:left="0" w:right="0" w:rightChars="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以上事实，主要有以下证据证明：</w:t>
      </w:r>
    </w:p>
    <w:p w14:paraId="6354DCC3">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1.现场检查（勘察）笔录，证明你2025年11月17日在沁阳市高排放非道路移动机械禁用区内使用使用尾气排放不合格的非道路移动机械（叉车）作业的事实；</w:t>
      </w:r>
    </w:p>
    <w:p w14:paraId="7F8A284D">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2.调查询问笔录，证明你承认2025年11月17日在沁阳市高排放非道路移动机械禁用区内使用尾气排放不合格的非道路移动机械（叉车）作业的事实；</w:t>
      </w:r>
    </w:p>
    <w:p w14:paraId="7E2EA592">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3.身份证复印件，证明你个人信息；</w:t>
      </w:r>
    </w:p>
    <w:p w14:paraId="7A358E91">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 xml:space="preserve">4.《非道路移动柴油机械排气烟度限值及测量方法》(GB </w:t>
      </w:r>
    </w:p>
    <w:p w14:paraId="540B66EB">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36886—2018)和河南兴鹏检测服务中心出具的非道路移动柴油机械排气烟度检验报告（编号8820550001251117003）证明你在禁用区使用尾气排放不合格的高排放非道路移动机械（叉车）；</w:t>
      </w:r>
    </w:p>
    <w:p w14:paraId="26982053">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5.《劳务外包合同》证明你与河南省宏宇玻璃钢有限公司之间的关系及应承担的责任与义务;</w:t>
      </w:r>
    </w:p>
    <w:p w14:paraId="653A65E3">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6.执法人员的执法证复印件，证明执法人员的身份和资格；</w:t>
      </w:r>
    </w:p>
    <w:p w14:paraId="6ED0E2B4">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7.《沁阳市人民政府关于调整高排放非道路移动机械禁用区的通告》证明你2025年11月17日作业的地点位于沁阳市政府划定的高排放非道路移动机械禁用区；</w:t>
      </w:r>
    </w:p>
    <w:p w14:paraId="5BF781D4">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8.其它证据等。</w:t>
      </w:r>
    </w:p>
    <w:p w14:paraId="7A89E8AD">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5</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12</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30</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向你直接送达《行政处罚事先（听证）告知书》（</w:t>
      </w:r>
      <w:r>
        <w:rPr>
          <w:rFonts w:hint="eastAsia" w:ascii="CESI仿宋-GB2312" w:hAnsi="CESI仿宋-GB2312" w:eastAsia="CESI仿宋-GB2312" w:cs="CESI仿宋-GB2312"/>
          <w:kern w:val="2"/>
          <w:sz w:val="32"/>
          <w:szCs w:val="32"/>
          <w:lang w:val="en-US" w:eastAsia="zh-CN" w:bidi="ar-SA"/>
        </w:rPr>
        <w:t>焦沁环先告字〔2025〕61</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w:t>
      </w:r>
      <w:r>
        <w:rPr>
          <w:rFonts w:hint="eastAsia" w:ascii="CESI仿宋-GB2312" w:hAnsi="CESI仿宋-GB2312" w:eastAsia="CESI仿宋-GB2312" w:cs="CESI仿宋-GB2312"/>
          <w:b w:val="0"/>
          <w:color w:val="auto"/>
          <w:kern w:val="2"/>
          <w:sz w:val="32"/>
          <w:szCs w:val="32"/>
          <w:lang w:val="en-US" w:eastAsia="en-US" w:bidi="ar-SA"/>
        </w:rPr>
        <w:t>陈述申辩</w:t>
      </w:r>
      <w:r>
        <w:rPr>
          <w:rFonts w:hint="eastAsia" w:ascii="CESI仿宋-GB2312" w:hAnsi="CESI仿宋-GB2312" w:eastAsia="CESI仿宋-GB2312" w:cs="CESI仿宋-GB2312"/>
          <w:b w:val="0"/>
          <w:color w:val="auto"/>
          <w:kern w:val="2"/>
          <w:sz w:val="32"/>
          <w:szCs w:val="32"/>
          <w:lang w:val="en-US" w:eastAsia="zh-CN" w:bidi="ar-SA"/>
        </w:rPr>
        <w:t>权（听证申请权）</w:t>
      </w:r>
      <w:r>
        <w:rPr>
          <w:rFonts w:hint="eastAsia" w:ascii="CESI仿宋-GB2312" w:hAnsi="CESI仿宋-GB2312" w:eastAsia="CESI仿宋-GB2312" w:cs="CESI仿宋-GB2312"/>
          <w:snapToGrid w:val="0"/>
          <w:color w:val="000000"/>
          <w:kern w:val="0"/>
          <w:sz w:val="32"/>
          <w:szCs w:val="32"/>
          <w:lang w:val="en-US" w:eastAsia="zh-CN"/>
        </w:rPr>
        <w:t>。你在法定期限内未提出陈述申辩意见，也未要求举行听证，视为你放弃陈述申辩和听证权利。</w:t>
      </w:r>
    </w:p>
    <w:p w14:paraId="6FA65507">
      <w:pPr>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624" w:firstLineChars="200"/>
        <w:textAlignment w:val="baseline"/>
        <w:rPr>
          <w:rFonts w:hint="eastAsia" w:ascii="黑体" w:hAnsi="黑体" w:eastAsia="黑体" w:cs="黑体"/>
          <w:spacing w:val="-4"/>
          <w:sz w:val="32"/>
          <w:szCs w:val="32"/>
        </w:rPr>
      </w:pPr>
      <w:r>
        <w:rPr>
          <w:rFonts w:hint="eastAsia" w:ascii="黑体" w:hAnsi="黑体" w:eastAsia="黑体" w:cs="黑体"/>
          <w:spacing w:val="-4"/>
          <w:sz w:val="32"/>
          <w:szCs w:val="32"/>
        </w:rPr>
        <w:t>二、行政处罚的依据、种类</w:t>
      </w:r>
    </w:p>
    <w:p w14:paraId="0557D5D5">
      <w:pPr>
        <w:keepNext w:val="0"/>
        <w:keepLines w:val="0"/>
        <w:pageBreakBefore w:val="0"/>
        <w:widowControl w:val="0"/>
        <w:numPr>
          <w:ilvl w:val="0"/>
          <w:numId w:val="0"/>
        </w:numPr>
        <w:kinsoku/>
        <w:wordWrap w:val="0"/>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en-US" w:bidi="ar"/>
        </w:rPr>
        <w:t>根据</w:t>
      </w:r>
      <w:r>
        <w:rPr>
          <w:rFonts w:hint="eastAsia" w:ascii="CESI仿宋-GB2312" w:hAnsi="CESI仿宋-GB2312" w:eastAsia="CESI仿宋-GB2312" w:cs="CESI仿宋-GB2312"/>
          <w:color w:val="auto"/>
          <w:kern w:val="0"/>
          <w:sz w:val="32"/>
          <w:szCs w:val="32"/>
          <w:lang w:val="en-US" w:eastAsia="zh-CN" w:bidi="ar"/>
        </w:rPr>
        <w:t>你单位</w:t>
      </w:r>
      <w:r>
        <w:rPr>
          <w:rFonts w:hint="eastAsia" w:ascii="CESI仿宋-GB2312" w:hAnsi="CESI仿宋-GB2312" w:eastAsia="CESI仿宋-GB2312" w:cs="CESI仿宋-GB2312"/>
          <w:color w:val="auto"/>
          <w:kern w:val="0"/>
          <w:sz w:val="32"/>
          <w:szCs w:val="32"/>
          <w:lang w:val="en-US" w:eastAsia="en-US" w:bidi="ar"/>
        </w:rPr>
        <w:t>违法行为的事实、性质、情节、社会危害程度和相关证据，参照《河南省生态环境行政处罚裁量基准》</w:t>
      </w:r>
      <w:r>
        <w:rPr>
          <w:rFonts w:hint="eastAsia" w:ascii="CESI仿宋-GB2312" w:hAnsi="CESI仿宋-GB2312" w:eastAsia="CESI仿宋-GB2312" w:cs="CESI仿宋-GB2312"/>
          <w:color w:val="auto"/>
          <w:kern w:val="0"/>
          <w:sz w:val="32"/>
          <w:szCs w:val="32"/>
          <w:lang w:val="en-US" w:eastAsia="zh-CN" w:bidi="ar"/>
        </w:rPr>
        <w:t>的</w:t>
      </w:r>
      <w:r>
        <w:rPr>
          <w:rFonts w:hint="eastAsia" w:ascii="CESI仿宋-GB2312" w:hAnsi="CESI仿宋-GB2312" w:eastAsia="CESI仿宋-GB2312" w:cs="CESI仿宋-GB2312"/>
          <w:color w:val="auto"/>
          <w:kern w:val="0"/>
          <w:sz w:val="32"/>
          <w:szCs w:val="32"/>
          <w:lang w:val="en-US" w:eastAsia="en-US" w:bidi="ar"/>
        </w:rPr>
        <w:t>裁量</w:t>
      </w:r>
      <w:r>
        <w:rPr>
          <w:rFonts w:hint="eastAsia" w:ascii="CESI仿宋-GB2312" w:hAnsi="CESI仿宋-GB2312" w:eastAsia="CESI仿宋-GB2312" w:cs="CESI仿宋-GB2312"/>
          <w:color w:val="auto"/>
          <w:kern w:val="0"/>
          <w:sz w:val="32"/>
          <w:szCs w:val="32"/>
          <w:lang w:val="en-US" w:eastAsia="zh-CN" w:bidi="ar"/>
        </w:rPr>
        <w:t>规定，处罚</w:t>
      </w:r>
      <w:r>
        <w:rPr>
          <w:rFonts w:hint="eastAsia" w:ascii="CESI仿宋-GB2312" w:hAnsi="CESI仿宋-GB2312" w:eastAsia="CESI仿宋-GB2312" w:cs="CESI仿宋-GB2312"/>
          <w:color w:val="auto"/>
          <w:kern w:val="0"/>
          <w:sz w:val="32"/>
          <w:szCs w:val="32"/>
          <w:lang w:val="en-US" w:eastAsia="en-US" w:bidi="ar"/>
        </w:rPr>
        <w:t>裁量</w:t>
      </w:r>
      <w:r>
        <w:rPr>
          <w:rFonts w:hint="eastAsia" w:ascii="CESI仿宋-GB2312" w:hAnsi="CESI仿宋-GB2312" w:eastAsia="CESI仿宋-GB2312" w:cs="CESI仿宋-GB2312"/>
          <w:color w:val="auto"/>
          <w:kern w:val="0"/>
          <w:sz w:val="32"/>
          <w:szCs w:val="32"/>
          <w:lang w:val="en-US" w:eastAsia="zh-CN" w:bidi="ar"/>
        </w:rPr>
        <w:t>内容如下：</w:t>
      </w:r>
    </w:p>
    <w:p w14:paraId="220686DC">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1.违法事实：非道路移动机械数量，1台，裁量等级：1。</w:t>
      </w:r>
    </w:p>
    <w:p w14:paraId="34AA398E">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2.违法行为发生时期环境敏感度：一般期间，裁量等级：1</w:t>
      </w:r>
      <w:r>
        <w:rPr>
          <w:rFonts w:hint="eastAsia" w:ascii="CESI仿宋-GB2312" w:hAnsi="CESI仿宋-GB2312" w:eastAsia="CESI仿宋-GB2312" w:cs="CESI仿宋-GB2312"/>
          <w:color w:val="000000" w:themeColor="text1"/>
          <w:kern w:val="0"/>
          <w:sz w:val="32"/>
          <w:szCs w:val="32"/>
          <w:lang w:val="en-US" w:eastAsia="en-US" w:bidi="ar"/>
        </w:rPr>
        <w:t>；</w:t>
      </w:r>
    </w:p>
    <w:p w14:paraId="414A94E4">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3.企业规模：是个人非企业</w:t>
      </w:r>
      <w:r>
        <w:rPr>
          <w:rFonts w:hint="eastAsia" w:ascii="CESI仿宋-GB2312" w:hAnsi="CESI仿宋-GB2312" w:eastAsia="CESI仿宋-GB2312" w:cs="CESI仿宋-GB2312"/>
          <w:color w:val="000000" w:themeColor="text1"/>
          <w:kern w:val="0"/>
          <w:sz w:val="32"/>
          <w:szCs w:val="32"/>
          <w:lang w:val="en-US" w:eastAsia="en-US" w:bidi="ar"/>
        </w:rPr>
        <w:t>，</w:t>
      </w:r>
      <w:r>
        <w:rPr>
          <w:rFonts w:hint="eastAsia" w:ascii="CESI仿宋-GB2312" w:hAnsi="CESI仿宋-GB2312" w:eastAsia="CESI仿宋-GB2312" w:cs="CESI仿宋-GB2312"/>
          <w:color w:val="000000" w:themeColor="text1"/>
          <w:kern w:val="0"/>
          <w:sz w:val="32"/>
          <w:szCs w:val="32"/>
          <w:lang w:val="en-US" w:eastAsia="zh-CN" w:bidi="ar"/>
        </w:rPr>
        <w:t>此项不涉及</w:t>
      </w:r>
      <w:r>
        <w:rPr>
          <w:rFonts w:hint="eastAsia" w:ascii="CESI仿宋-GB2312" w:hAnsi="CESI仿宋-GB2312" w:eastAsia="CESI仿宋-GB2312" w:cs="CESI仿宋-GB2312"/>
          <w:color w:val="000000" w:themeColor="text1"/>
          <w:kern w:val="0"/>
          <w:sz w:val="32"/>
          <w:szCs w:val="32"/>
          <w:lang w:val="en-US" w:eastAsia="en-US" w:bidi="ar"/>
        </w:rPr>
        <w:t>；</w:t>
      </w:r>
    </w:p>
    <w:p w14:paraId="7F52EC01">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US" w:eastAsia="en-US" w:bidi="ar"/>
        </w:rPr>
        <w:t>管理类别：</w:t>
      </w:r>
      <w:r>
        <w:rPr>
          <w:rFonts w:hint="eastAsia" w:ascii="CESI仿宋-GB2312" w:hAnsi="CESI仿宋-GB2312" w:eastAsia="CESI仿宋-GB2312" w:cs="CESI仿宋-GB2312"/>
          <w:color w:val="000000" w:themeColor="text1"/>
          <w:kern w:val="0"/>
          <w:sz w:val="32"/>
          <w:szCs w:val="32"/>
          <w:lang w:val="en-US" w:eastAsia="zh-CN" w:bidi="ar"/>
        </w:rPr>
        <w:t>个人不涉及此项</w:t>
      </w:r>
      <w:r>
        <w:rPr>
          <w:rFonts w:hint="eastAsia" w:ascii="CESI仿宋-GB2312" w:hAnsi="CESI仿宋-GB2312" w:eastAsia="CESI仿宋-GB2312" w:cs="CESI仿宋-GB2312"/>
          <w:color w:val="000000" w:themeColor="text1"/>
          <w:kern w:val="0"/>
          <w:sz w:val="32"/>
          <w:szCs w:val="32"/>
          <w:lang w:val="en-US" w:eastAsia="en-US" w:bidi="ar"/>
        </w:rPr>
        <w:t>；</w:t>
      </w:r>
    </w:p>
    <w:p w14:paraId="46482139">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lang w:val="en-US" w:eastAsia="en-US" w:bidi="ar"/>
        </w:rPr>
        <w:t>超过限期改正时间：限期改正,裁量等级:1；</w:t>
      </w:r>
    </w:p>
    <w:p w14:paraId="0670190D">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6.</w:t>
      </w:r>
      <w:r>
        <w:rPr>
          <w:rFonts w:hint="eastAsia" w:ascii="CESI仿宋-GB2312" w:hAnsi="CESI仿宋-GB2312" w:eastAsia="CESI仿宋-GB2312" w:cs="CESI仿宋-GB2312"/>
          <w:color w:val="000000" w:themeColor="text1"/>
          <w:kern w:val="0"/>
          <w:sz w:val="32"/>
          <w:szCs w:val="32"/>
          <w:lang w:val="en-US" w:eastAsia="en-US" w:bidi="ar"/>
        </w:rPr>
        <w:t>受处罚次数次数:两年内未受到过同类处罚，裁量等级：1；</w:t>
      </w:r>
    </w:p>
    <w:p w14:paraId="54CDFB2E">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7.</w:t>
      </w:r>
      <w:r>
        <w:rPr>
          <w:rFonts w:hint="eastAsia" w:ascii="CESI仿宋-GB2312" w:hAnsi="CESI仿宋-GB2312" w:eastAsia="CESI仿宋-GB2312" w:cs="CESI仿宋-GB2312"/>
          <w:color w:val="000000" w:themeColor="text1"/>
          <w:kern w:val="0"/>
          <w:sz w:val="32"/>
          <w:szCs w:val="32"/>
          <w:lang w:val="en-US" w:eastAsia="en-US" w:bidi="ar"/>
        </w:rPr>
        <w:t>是否配合执法检查,内容：配合调查,裁量等级：1</w:t>
      </w:r>
      <w:r>
        <w:rPr>
          <w:rFonts w:hint="eastAsia" w:ascii="CESI仿宋-GB2312" w:hAnsi="CESI仿宋-GB2312" w:eastAsia="CESI仿宋-GB2312" w:cs="CESI仿宋-GB2312"/>
          <w:color w:val="000000" w:themeColor="text1"/>
          <w:kern w:val="0"/>
          <w:sz w:val="32"/>
          <w:szCs w:val="32"/>
          <w:lang w:val="en-US" w:eastAsia="zh-CN" w:bidi="ar"/>
        </w:rPr>
        <w:t>。</w:t>
      </w:r>
    </w:p>
    <w:p w14:paraId="0FC71B4E">
      <w:pPr>
        <w:keepNext w:val="0"/>
        <w:keepLines w:val="0"/>
        <w:pageBreakBefore w:val="0"/>
        <w:widowControl w:val="0"/>
        <w:kinsoku/>
        <w:wordWrap w:val="0"/>
        <w:overflowPunct/>
        <w:topLinePunct w:val="0"/>
        <w:autoSpaceDE/>
        <w:autoSpaceDN/>
        <w:bidi w:val="0"/>
        <w:spacing w:line="56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pict>
          <v:shape id="_x0000_s1026" o:spid="_x0000_s1026" o:spt="75" type="#_x0000_t75" style="position:absolute;left:0pt;margin-left:8.8pt;margin-top:-3.95pt;height:65.3pt;width:470.65pt;z-index:251659264;mso-width-relative:page;mso-height-relative:page;" filled="f" o:preferrelative="t" stroked="f" coordsize="21600,21600">
            <v:path/>
            <v:fill on="f" focussize="0,0"/>
            <v:stroke on="f"/>
            <v:imagedata r:id="rId7" blacklevel="0f" o:title=""/>
            <o:lock v:ext="edit" aspectratio="t"/>
          </v:shape>
        </w:pict>
      </w:r>
    </w:p>
    <w:p w14:paraId="1126F5E6">
      <w:pPr>
        <w:keepNext w:val="0"/>
        <w:keepLines w:val="0"/>
        <w:pageBreakBefore w:val="0"/>
        <w:widowControl w:val="0"/>
        <w:kinsoku/>
        <w:wordWrap w:val="0"/>
        <w:overflowPunct/>
        <w:topLinePunct w:val="0"/>
        <w:autoSpaceDE/>
        <w:autoSpaceDN/>
        <w:bidi w:val="0"/>
        <w:spacing w:line="560" w:lineRule="exact"/>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7A7AD03B">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X：处罚金额；</w:t>
      </w:r>
    </w:p>
    <w:p w14:paraId="0F0FD0F3">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M：法定处罚金额上限；</w:t>
      </w:r>
    </w:p>
    <w:p w14:paraId="7D5C6631">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N：法定处罚金额下限，下限可以为零；</w:t>
      </w:r>
    </w:p>
    <w:p w14:paraId="4149301C">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A：首要裁量因素裁量等级；</w:t>
      </w:r>
    </w:p>
    <w:p w14:paraId="3A01603F">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n：其余裁量因素个数；</w:t>
      </w:r>
    </w:p>
    <w:p w14:paraId="5C396DF2">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B：其余裁量因素的裁量等级。</w:t>
      </w:r>
    </w:p>
    <w:p w14:paraId="0FB9AB7C">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将裁量等级代入上述公式，进行计算：</w:t>
      </w:r>
    </w:p>
    <w:p w14:paraId="750F3B48">
      <w:pPr>
        <w:pStyle w:val="5"/>
        <w:keepNext w:val="0"/>
        <w:keepLines w:val="0"/>
        <w:pageBreakBefore w:val="0"/>
        <w:widowControl w:val="0"/>
        <w:kinsoku/>
        <w:wordWrap w:val="0"/>
        <w:overflowPunct/>
        <w:topLinePunct w:val="0"/>
        <w:autoSpaceDE/>
        <w:autoSpaceDN/>
        <w:bidi w:val="0"/>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themeColor="text1"/>
          <w:kern w:val="0"/>
          <w:sz w:val="32"/>
          <w:szCs w:val="32"/>
          <w:lang w:val="en-US" w:eastAsia="zh-CN" w:bidi="ar"/>
        </w:rPr>
        <w:t>X=5000+（20000-5000）×</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（1/5）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×50%=5600（元）。</w:t>
      </w:r>
    </w:p>
    <w:p w14:paraId="2C1C60A6">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right="0" w:rightChars="0" w:firstLine="596"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pacing w:val="-11"/>
          <w:sz w:val="32"/>
          <w:szCs w:val="32"/>
          <w:lang w:val="en-US" w:eastAsia="zh-CN"/>
        </w:rPr>
        <w:t>根据</w:t>
      </w:r>
      <w:r>
        <w:rPr>
          <w:rFonts w:hint="eastAsia" w:ascii="CESI仿宋-GB2312" w:hAnsi="CESI仿宋-GB2312" w:eastAsia="CESI仿宋-GB2312" w:cs="CESI仿宋-GB2312"/>
          <w:color w:val="000000"/>
          <w:sz w:val="32"/>
          <w:szCs w:val="32"/>
          <w:lang w:val="en-US" w:eastAsia="zh-CN"/>
        </w:rPr>
        <w:t>《河南省大气污染防治条例》第七十四条第二款：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的规定，我局对你在禁用区使用高排放非道路移动机械的违法行为作出以下处理决定：</w:t>
      </w:r>
    </w:p>
    <w:p w14:paraId="775BBF5F">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给予罚款伍仟陆佰元（5600元）的行政处罚。</w:t>
      </w:r>
    </w:p>
    <w:p w14:paraId="0EC6117A">
      <w:pPr>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624" w:firstLineChars="200"/>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pacing w:val="-4"/>
          <w:sz w:val="32"/>
          <w:szCs w:val="32"/>
          <w:lang w:val="en-US" w:eastAsia="zh-CN"/>
        </w:rPr>
        <w:t>三、行政处罚决定的履行方式和期限</w:t>
      </w:r>
    </w:p>
    <w:p w14:paraId="1BED8ACA">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640" w:firstLineChars="200"/>
        <w:jc w:val="both"/>
        <w:textAlignment w:val="baseline"/>
        <w:rPr>
          <w:rFonts w:hint="eastAsia" w:ascii="CESI黑体-GB2312" w:hAnsi="CESI黑体-GB2312" w:eastAsia="CESI黑体-GB2312" w:cs="CESI黑体-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14:paraId="2205854E">
      <w:pPr>
        <w:keepNext w:val="0"/>
        <w:keepLines w:val="0"/>
        <w:pageBreakBefore w:val="0"/>
        <w:widowControl w:val="0"/>
        <w:kinsoku/>
        <w:wordWrap w:val="0"/>
        <w:overflowPunct/>
        <w:topLinePunct w:val="0"/>
        <w:autoSpaceDE w:val="0"/>
        <w:autoSpaceDN w:val="0"/>
        <w:bidi w:val="0"/>
        <w:adjustRightInd w:val="0"/>
        <w:snapToGrid w:val="0"/>
        <w:spacing w:line="560" w:lineRule="exact"/>
        <w:ind w:firstLine="640" w:firstLineChars="200"/>
        <w:textAlignment w:val="baseline"/>
        <w:rPr>
          <w:rFonts w:hint="eastAsia" w:ascii="CESI黑体-GB2312" w:hAnsi="CESI黑体-GB2312" w:eastAsia="CESI黑体-GB2312" w:cs="CESI黑体-GB2312"/>
          <w:snapToGrid w:val="0"/>
          <w:color w:val="000000"/>
          <w:kern w:val="0"/>
          <w:sz w:val="32"/>
          <w:szCs w:val="32"/>
          <w:lang w:val="en-US" w:eastAsia="zh-CN"/>
        </w:rPr>
      </w:pPr>
    </w:p>
    <w:p w14:paraId="3E2483A0">
      <w:pPr>
        <w:keepNext w:val="0"/>
        <w:keepLines w:val="0"/>
        <w:pageBreakBefore w:val="0"/>
        <w:widowControl w:val="0"/>
        <w:kinsoku/>
        <w:wordWrap w:val="0"/>
        <w:overflowPunct/>
        <w:topLinePunct w:val="0"/>
        <w:autoSpaceDE w:val="0"/>
        <w:autoSpaceDN w:val="0"/>
        <w:bidi w:val="0"/>
        <w:adjustRightInd w:val="0"/>
        <w:snapToGrid w:val="0"/>
        <w:spacing w:line="560" w:lineRule="exact"/>
        <w:ind w:firstLine="640" w:firstLineChars="200"/>
        <w:textAlignment w:val="baseline"/>
        <w:rPr>
          <w:rFonts w:hint="eastAsia" w:ascii="CESI黑体-GB2312" w:hAnsi="CESI黑体-GB2312" w:eastAsia="CESI黑体-GB2312" w:cs="CESI黑体-GB2312"/>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申请行政复议或提起行政诉讼的途径和期限</w:t>
      </w:r>
    </w:p>
    <w:p w14:paraId="7A29A64B">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0BE5B14C">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196745FF">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1280" w:firstLineChars="400"/>
        <w:textAlignment w:val="baseline"/>
        <w:rPr>
          <w:rFonts w:hint="eastAsia" w:ascii="CESI仿宋-GB2312" w:hAnsi="CESI仿宋-GB2312" w:eastAsia="CESI仿宋-GB2312" w:cs="CESI仿宋-GB2312"/>
          <w:snapToGrid w:val="0"/>
          <w:color w:val="000000"/>
          <w:kern w:val="0"/>
          <w:sz w:val="32"/>
          <w:szCs w:val="32"/>
          <w:lang w:val="en-US" w:eastAsia="zh-CN"/>
        </w:rPr>
      </w:pPr>
    </w:p>
    <w:p w14:paraId="74D3D58B">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587A40A6">
      <w:pPr>
        <w:pStyle w:val="2"/>
        <w:keepNext w:val="0"/>
        <w:keepLines w:val="0"/>
        <w:pageBreakBefore w:val="0"/>
        <w:widowControl w:val="0"/>
        <w:kinsoku/>
        <w:wordWrap w:val="0"/>
        <w:overflowPunct/>
        <w:topLinePunct w:val="0"/>
        <w:autoSpaceDE w:val="0"/>
        <w:autoSpaceDN w:val="0"/>
        <w:bidi w:val="0"/>
        <w:adjustRightInd w:val="0"/>
        <w:snapToGrid w:val="0"/>
        <w:spacing w:line="560" w:lineRule="exact"/>
        <w:ind w:left="0" w:firstLine="5760" w:firstLineChars="1800"/>
        <w:jc w:val="both"/>
        <w:textAlignment w:val="baseline"/>
        <w:rPr>
          <w:rFonts w:hint="eastAsia" w:ascii="CESI仿宋-GB2312" w:hAnsi="CESI仿宋-GB2312" w:eastAsia="CESI仿宋-GB2312" w:cs="CESI仿宋-GB2312"/>
        </w:rPr>
      </w:pPr>
      <w:r>
        <w:rPr>
          <w:rFonts w:hint="eastAsia" w:ascii="CESI仿宋-GB2312" w:hAnsi="CESI仿宋-GB2312" w:eastAsia="CESI仿宋-GB2312" w:cs="CESI仿宋-GB2312"/>
          <w:snapToGrid w:val="0"/>
          <w:color w:val="000000"/>
          <w:kern w:val="0"/>
          <w:sz w:val="32"/>
          <w:szCs w:val="32"/>
          <w:lang w:val="en-US" w:eastAsia="zh-CN"/>
        </w:rPr>
        <w:t>2026年2月11日</w:t>
      </w:r>
    </w:p>
    <w:sectPr>
      <w:footerReference r:id="rId5" w:type="default"/>
      <w:pgSz w:w="11900" w:h="16840"/>
      <w:pgMar w:top="1814" w:right="1474" w:bottom="147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EF6C37-789F-456B-ABE1-11C0C30DBD5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5C479B4C-C543-494D-B837-8AEF38D26512}"/>
  </w:font>
  <w:font w:name="CESI仿宋-GB2312">
    <w:altName w:val="仿宋"/>
    <w:panose1 w:val="02000500000000000000"/>
    <w:charset w:val="86"/>
    <w:family w:val="auto"/>
    <w:pitch w:val="default"/>
    <w:sig w:usb0="00000000" w:usb1="00000000" w:usb2="00000010" w:usb3="00000000" w:csb0="0004000F" w:csb1="00000000"/>
    <w:embedRegular r:id="rId3" w:fontKey="{B2D802EB-2AA9-419C-9901-D02B2ABAB87B}"/>
  </w:font>
  <w:font w:name="仿宋_GB2312">
    <w:altName w:val="仿宋"/>
    <w:panose1 w:val="02010609030101010101"/>
    <w:charset w:val="86"/>
    <w:family w:val="auto"/>
    <w:pitch w:val="default"/>
    <w:sig w:usb0="00000000" w:usb1="00000000" w:usb2="00000000" w:usb3="00000000" w:csb0="00040000" w:csb1="00000000"/>
    <w:embedRegular r:id="rId4" w:fontKey="{68373D04-92ED-49E4-9E97-D1F0FBBC2BB9}"/>
  </w:font>
  <w:font w:name="方正仿宋_GBK">
    <w:panose1 w:val="02000000000000000000"/>
    <w:charset w:val="86"/>
    <w:family w:val="auto"/>
    <w:pitch w:val="default"/>
    <w:sig w:usb0="A00002BF" w:usb1="38CF7CFA" w:usb2="00082016" w:usb3="00000000" w:csb0="00040001" w:csb1="00000000"/>
  </w:font>
  <w:font w:name="CESI黑体-GB2312">
    <w:altName w:val="黑体"/>
    <w:panose1 w:val="02000500000000000000"/>
    <w:charset w:val="86"/>
    <w:family w:val="auto"/>
    <w:pitch w:val="default"/>
    <w:sig w:usb0="00000000" w:usb1="00000000" w:usb2="00000012" w:usb3="00000000" w:csb0="0004000F" w:csb1="00000000"/>
    <w:embedRegular r:id="rId5" w:fontKey="{0E321EB4-488B-4C07-A12C-E2BA9F678F90}"/>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720B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12E0EA9"/>
    <w:rsid w:val="02482C72"/>
    <w:rsid w:val="03467F5D"/>
    <w:rsid w:val="04B40D96"/>
    <w:rsid w:val="05232B7D"/>
    <w:rsid w:val="066E4650"/>
    <w:rsid w:val="07D44B6B"/>
    <w:rsid w:val="08166449"/>
    <w:rsid w:val="08BB1EDD"/>
    <w:rsid w:val="0D5A3D8E"/>
    <w:rsid w:val="12E77CE9"/>
    <w:rsid w:val="13DA5287"/>
    <w:rsid w:val="15BF3075"/>
    <w:rsid w:val="178F1270"/>
    <w:rsid w:val="17A15CAE"/>
    <w:rsid w:val="17DD317C"/>
    <w:rsid w:val="180D5FC2"/>
    <w:rsid w:val="18D529C2"/>
    <w:rsid w:val="197A658F"/>
    <w:rsid w:val="1C974401"/>
    <w:rsid w:val="1CB426EF"/>
    <w:rsid w:val="1F76A69C"/>
    <w:rsid w:val="20C01175"/>
    <w:rsid w:val="20D83107"/>
    <w:rsid w:val="21380846"/>
    <w:rsid w:val="2A0A1EDB"/>
    <w:rsid w:val="2B25193C"/>
    <w:rsid w:val="2CCF094B"/>
    <w:rsid w:val="2DA35B7D"/>
    <w:rsid w:val="2E741332"/>
    <w:rsid w:val="31880F61"/>
    <w:rsid w:val="31987678"/>
    <w:rsid w:val="31CB584C"/>
    <w:rsid w:val="325E01D9"/>
    <w:rsid w:val="340A4581"/>
    <w:rsid w:val="34D60720"/>
    <w:rsid w:val="3573473C"/>
    <w:rsid w:val="35E635D4"/>
    <w:rsid w:val="37AE7EAD"/>
    <w:rsid w:val="37ED6F14"/>
    <w:rsid w:val="39007190"/>
    <w:rsid w:val="39824EBC"/>
    <w:rsid w:val="39BB0EB7"/>
    <w:rsid w:val="3AB363CC"/>
    <w:rsid w:val="3C5A35AD"/>
    <w:rsid w:val="3DDD4D8D"/>
    <w:rsid w:val="3EB32C61"/>
    <w:rsid w:val="3EBACEB1"/>
    <w:rsid w:val="3EED5E18"/>
    <w:rsid w:val="3F3A9DC5"/>
    <w:rsid w:val="3F92B072"/>
    <w:rsid w:val="3F994477"/>
    <w:rsid w:val="3FFD7227"/>
    <w:rsid w:val="3FFDAAC5"/>
    <w:rsid w:val="40E77310"/>
    <w:rsid w:val="42A21725"/>
    <w:rsid w:val="44B6985C"/>
    <w:rsid w:val="451C0E3E"/>
    <w:rsid w:val="45995D94"/>
    <w:rsid w:val="47A21485"/>
    <w:rsid w:val="4849049D"/>
    <w:rsid w:val="48DD1D3C"/>
    <w:rsid w:val="497E4185"/>
    <w:rsid w:val="4E0262D2"/>
    <w:rsid w:val="4E7A6ED0"/>
    <w:rsid w:val="4EED594C"/>
    <w:rsid w:val="4FE63094"/>
    <w:rsid w:val="502504D5"/>
    <w:rsid w:val="53091808"/>
    <w:rsid w:val="542B110D"/>
    <w:rsid w:val="56598F63"/>
    <w:rsid w:val="569679B5"/>
    <w:rsid w:val="571B4105"/>
    <w:rsid w:val="57FBA4F7"/>
    <w:rsid w:val="597C2192"/>
    <w:rsid w:val="5A4F5EDF"/>
    <w:rsid w:val="5BBD75FB"/>
    <w:rsid w:val="5CBAC6E6"/>
    <w:rsid w:val="5D640D4D"/>
    <w:rsid w:val="5DBE09B3"/>
    <w:rsid w:val="5E9E78BD"/>
    <w:rsid w:val="5EED3B4F"/>
    <w:rsid w:val="5F8BF77E"/>
    <w:rsid w:val="602F79B8"/>
    <w:rsid w:val="651545F5"/>
    <w:rsid w:val="66B75E58"/>
    <w:rsid w:val="67AB7B8B"/>
    <w:rsid w:val="67DFE4E1"/>
    <w:rsid w:val="68D43FF7"/>
    <w:rsid w:val="6B0764F0"/>
    <w:rsid w:val="6B3A53AA"/>
    <w:rsid w:val="6BF174C3"/>
    <w:rsid w:val="6BFDD516"/>
    <w:rsid w:val="6C9527DF"/>
    <w:rsid w:val="6D380097"/>
    <w:rsid w:val="6FAF6ED4"/>
    <w:rsid w:val="70801CA8"/>
    <w:rsid w:val="70AD7621"/>
    <w:rsid w:val="70CB4B54"/>
    <w:rsid w:val="70F603C0"/>
    <w:rsid w:val="70FC6DDB"/>
    <w:rsid w:val="726F0A11"/>
    <w:rsid w:val="729143FC"/>
    <w:rsid w:val="73FF24E2"/>
    <w:rsid w:val="745853DE"/>
    <w:rsid w:val="750A7C9E"/>
    <w:rsid w:val="75695BE3"/>
    <w:rsid w:val="76060F04"/>
    <w:rsid w:val="762B2520"/>
    <w:rsid w:val="765FAFBA"/>
    <w:rsid w:val="769E4F9A"/>
    <w:rsid w:val="77B05BF5"/>
    <w:rsid w:val="7BC7E627"/>
    <w:rsid w:val="7D1A0892"/>
    <w:rsid w:val="7DD92005"/>
    <w:rsid w:val="7E97208C"/>
    <w:rsid w:val="7F2551E8"/>
    <w:rsid w:val="7F3C4F87"/>
    <w:rsid w:val="7F9B0A6E"/>
    <w:rsid w:val="7FF21C79"/>
    <w:rsid w:val="7FFD6BE1"/>
    <w:rsid w:val="87722CBB"/>
    <w:rsid w:val="ABE44F8D"/>
    <w:rsid w:val="ACFF4D55"/>
    <w:rsid w:val="AE4149CE"/>
    <w:rsid w:val="B7FFAED6"/>
    <w:rsid w:val="BB7B54E1"/>
    <w:rsid w:val="BDF7B303"/>
    <w:rsid w:val="C3BF6500"/>
    <w:rsid w:val="CF8B0891"/>
    <w:rsid w:val="CFE7C440"/>
    <w:rsid w:val="CFFB5A7D"/>
    <w:rsid w:val="D2CF6F4E"/>
    <w:rsid w:val="DF2F678A"/>
    <w:rsid w:val="DF9E3D6F"/>
    <w:rsid w:val="DFBA6DC5"/>
    <w:rsid w:val="DFBF0717"/>
    <w:rsid w:val="E33F72A5"/>
    <w:rsid w:val="EB8330F2"/>
    <w:rsid w:val="ECF75C2B"/>
    <w:rsid w:val="EF9FE89B"/>
    <w:rsid w:val="F1CFEC05"/>
    <w:rsid w:val="F3EE1E7C"/>
    <w:rsid w:val="F65B2A12"/>
    <w:rsid w:val="F73FF781"/>
    <w:rsid w:val="F7F59836"/>
    <w:rsid w:val="F9F73219"/>
    <w:rsid w:val="FB778E95"/>
    <w:rsid w:val="FBF3274F"/>
    <w:rsid w:val="FEFDBC35"/>
    <w:rsid w:val="FEFF855D"/>
    <w:rsid w:val="FFFE2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2"/>
      <w:szCs w:val="32"/>
      <w:lang w:val="en-US" w:eastAsia="en-US" w:bidi="ar-SA"/>
    </w:rPr>
  </w:style>
  <w:style w:type="paragraph" w:styleId="4">
    <w:name w:val="Body Text Indent"/>
    <w:basedOn w:val="1"/>
    <w:qFormat/>
    <w:uiPriority w:val="99"/>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4"/>
    <w:qFormat/>
    <w:uiPriority w:val="99"/>
    <w:pPr>
      <w:ind w:firstLine="420" w:firstLineChars="200"/>
    </w:pPr>
  </w:style>
  <w:style w:type="paragraph" w:customStyle="1" w:styleId="9">
    <w:name w:val="Table Text"/>
    <w:basedOn w:val="1"/>
    <w:semiHidden/>
    <w:qFormat/>
    <w:uiPriority w:val="0"/>
    <w:rPr>
      <w:rFonts w:ascii="微软雅黑" w:hAnsi="微软雅黑" w:eastAsia="微软雅黑" w:cs="微软雅黑"/>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1988</Words>
  <Characters>2233</Characters>
  <Lines>0</Lines>
  <Paragraphs>0</Paragraphs>
  <TotalTime>0</TotalTime>
  <ScaleCrop>false</ScaleCrop>
  <LinksUpToDate>false</LinksUpToDate>
  <CharactersWithSpaces>2234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2022-12-17T02:45:00Z</dcterms:created>
  <dc:creator>梦亮 牛</dc:creator>
  <cp:lastModifiedBy>吴嘉嘉</cp:lastModifiedBy>
  <cp:lastPrinted>2026-02-11T17:51:00Z</cp:lastPrinted>
  <dcterms:modified xsi:type="dcterms:W3CDTF">2026-02-11T07:55:34Z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2052-12.1.0.25225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