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2</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11</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6</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2</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11</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2</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11</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4"/>
        <w:tblW w:w="14337" w:type="dxa"/>
        <w:tblInd w:w="0" w:type="dxa"/>
        <w:tblLayout w:type="fixed"/>
        <w:tblCellMar>
          <w:top w:w="0" w:type="dxa"/>
          <w:left w:w="108" w:type="dxa"/>
          <w:bottom w:w="0" w:type="dxa"/>
          <w:right w:w="108" w:type="dxa"/>
        </w:tblCellMar>
      </w:tblPr>
      <w:tblGrid>
        <w:gridCol w:w="524"/>
        <w:gridCol w:w="1015"/>
        <w:gridCol w:w="1183"/>
        <w:gridCol w:w="930"/>
        <w:gridCol w:w="885"/>
        <w:gridCol w:w="2970"/>
        <w:gridCol w:w="6830"/>
      </w:tblGrid>
      <w:tr>
        <w:tblPrEx>
          <w:tblCellMar>
            <w:top w:w="0" w:type="dxa"/>
            <w:left w:w="108" w:type="dxa"/>
            <w:bottom w:w="0" w:type="dxa"/>
            <w:right w:w="108" w:type="dxa"/>
          </w:tblCellMar>
        </w:tblPrEx>
        <w:trPr>
          <w:trHeight w:val="1121"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97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6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CellMar>
            <w:top w:w="0" w:type="dxa"/>
            <w:left w:w="108" w:type="dxa"/>
            <w:bottom w:w="0" w:type="dxa"/>
            <w:right w:w="108" w:type="dxa"/>
          </w:tblCellMar>
        </w:tblPrEx>
        <w:trPr>
          <w:trHeight w:val="1628"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年产20000套电炉隔热配件项目</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焦作市修武经济技术开发区西区（铝精深加工产业园）纬三路北侧1号（郑州博纳热窑炉有限公司厂区内）</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河南晶拓新材料有限公司</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河南省绿禾环保科技有限公司</w:t>
            </w:r>
          </w:p>
        </w:tc>
        <w:tc>
          <w:tcPr>
            <w:tcW w:w="297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新建，总投资12000万元。产品为电炉隔热配件，生产规模为20000套/a，生产工艺包括外购原材料、投料搅拌、压滤成型、烘干、砂磨、分割、雕刻、组装等。生产设备主要包括真空上料机、混料机、液压机、烘房、砂光机、切割机、雕刻机等。</w:t>
            </w:r>
          </w:p>
        </w:tc>
        <w:tc>
          <w:tcPr>
            <w:tcW w:w="6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both"/>
              <w:rPr>
                <w:rFonts w:hint="eastAsia" w:ascii="仿宋" w:hAnsi="仿宋" w:eastAsia="仿宋"/>
                <w:sz w:val="24"/>
                <w:szCs w:val="24"/>
              </w:rPr>
            </w:pPr>
            <w:r>
              <w:rPr>
                <w:rFonts w:hint="eastAsia" w:ascii="仿宋" w:hAnsi="仿宋" w:eastAsia="仿宋"/>
                <w:sz w:val="24"/>
                <w:szCs w:val="24"/>
                <w:lang w:val="en-US" w:eastAsia="zh-CN"/>
              </w:rPr>
              <w:t>1.废气。砂磨、切割、雕刻废气经各自集气系统收集后，引入1套“覆膜脉冲袋式除尘器+15m高排气筒（DA001）”达标排放。天然气燃烧废气经“低氮燃烧器+15m高排气筒</w:t>
            </w:r>
            <w:r>
              <w:rPr>
                <w:rFonts w:hint="eastAsia" w:ascii="仿宋" w:hAnsi="仿宋" w:eastAsia="仿宋"/>
                <w:sz w:val="24"/>
                <w:szCs w:val="24"/>
              </w:rPr>
              <w:t>（DA00</w:t>
            </w:r>
            <w:r>
              <w:rPr>
                <w:rFonts w:hint="eastAsia" w:ascii="仿宋" w:hAnsi="仿宋" w:eastAsia="仿宋"/>
                <w:sz w:val="24"/>
                <w:szCs w:val="24"/>
                <w:lang w:val="en-US" w:eastAsia="zh-CN"/>
              </w:rPr>
              <w:t>2</w:t>
            </w:r>
            <w:r>
              <w:rPr>
                <w:rFonts w:hint="eastAsia" w:ascii="仿宋" w:hAnsi="仿宋" w:eastAsia="仿宋"/>
                <w:sz w:val="24"/>
                <w:szCs w:val="24"/>
              </w:rPr>
              <w:t>）</w:t>
            </w:r>
            <w:r>
              <w:rPr>
                <w:rFonts w:hint="eastAsia" w:ascii="仿宋" w:hAnsi="仿宋" w:eastAsia="仿宋"/>
                <w:sz w:val="24"/>
                <w:szCs w:val="24"/>
                <w:lang w:eastAsia="zh-CN"/>
              </w:rPr>
              <w:t>”</w:t>
            </w:r>
            <w:r>
              <w:rPr>
                <w:rFonts w:hint="eastAsia" w:ascii="仿宋" w:hAnsi="仿宋" w:eastAsia="仿宋"/>
                <w:sz w:val="24"/>
                <w:szCs w:val="24"/>
                <w:lang w:val="en-US" w:eastAsia="zh-CN"/>
              </w:rPr>
              <w:t>达标排放。  集气系统未收集到的废气，采取加强调车间密闭和集气设施的维护，提高集气效率，安装视频监控，建立管理台账等措施，降低对周围环境的影响。</w:t>
            </w:r>
            <w:r>
              <w:rPr>
                <w:rFonts w:hint="eastAsia" w:ascii="仿宋" w:hAnsi="仿宋" w:eastAsia="仿宋"/>
                <w:sz w:val="24"/>
                <w:szCs w:val="24"/>
              </w:rPr>
              <w:t>废气经相应污染治理措施处理后</w:t>
            </w:r>
            <w:r>
              <w:rPr>
                <w:rFonts w:hint="eastAsia" w:ascii="仿宋" w:hAnsi="仿宋" w:eastAsia="仿宋"/>
                <w:sz w:val="24"/>
                <w:szCs w:val="24"/>
                <w:lang w:eastAsia="zh-CN"/>
              </w:rPr>
              <w:t>达标</w:t>
            </w:r>
            <w:r>
              <w:rPr>
                <w:rFonts w:hint="eastAsia" w:ascii="仿宋" w:hAnsi="仿宋" w:eastAsia="仿宋"/>
                <w:sz w:val="24"/>
                <w:szCs w:val="24"/>
              </w:rPr>
              <w:t>排放，应满足</w:t>
            </w:r>
            <w:r>
              <w:rPr>
                <w:rFonts w:hint="eastAsia" w:ascii="仿宋" w:hAnsi="仿宋" w:eastAsia="仿宋"/>
                <w:sz w:val="24"/>
                <w:szCs w:val="24"/>
                <w:lang w:val="en-US" w:eastAsia="zh-CN"/>
              </w:rPr>
              <w:t>《耐火材料工业大气污染物排放标准》（DB2166-2021）、《焦作市2025年蓝天保卫战实施方案》（焦环委办〔2025〕11号）、《大气污染物综合排放标准》（GB16297-1996）等</w:t>
            </w:r>
            <w:r>
              <w:rPr>
                <w:rFonts w:hint="eastAsia" w:ascii="仿宋" w:hAnsi="仿宋" w:eastAsia="仿宋"/>
                <w:sz w:val="24"/>
                <w:szCs w:val="24"/>
              </w:rPr>
              <w:t>相关污染因子控制排放要求。</w:t>
            </w:r>
          </w:p>
          <w:p>
            <w:pPr>
              <w:autoSpaceDN w:val="0"/>
              <w:spacing w:line="300" w:lineRule="exact"/>
              <w:jc w:val="both"/>
              <w:rPr>
                <w:rFonts w:hint="eastAsia" w:ascii="仿宋" w:hAnsi="仿宋" w:eastAsia="仿宋"/>
                <w:sz w:val="24"/>
                <w:szCs w:val="24"/>
                <w:lang w:val="en-US" w:eastAsia="zh-CN"/>
              </w:rPr>
            </w:pPr>
            <w:r>
              <w:rPr>
                <w:rFonts w:hint="eastAsia" w:ascii="仿宋" w:hAnsi="仿宋" w:eastAsia="仿宋"/>
                <w:sz w:val="24"/>
                <w:szCs w:val="24"/>
                <w:lang w:val="en-US" w:eastAsia="zh-CN"/>
              </w:rPr>
              <w:t>2.废水。压滤废水，经沉淀池处理后回用于物料混合，不外排。生活污水经化粪池处理后，通过郑州博纳热窑炉有限公司修武分公司厂区总排口进入康达水务环保有限公司修武分公司（万方污水处理厂）进一步处理达标后排入大沙河。</w:t>
            </w:r>
          </w:p>
          <w:p>
            <w:pPr>
              <w:autoSpaceDN w:val="0"/>
              <w:spacing w:line="300" w:lineRule="exact"/>
              <w:jc w:val="both"/>
              <w:rPr>
                <w:rFonts w:hint="eastAsia"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噪声。采取设备室内布置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w:t>
            </w:r>
            <w:r>
              <w:rPr>
                <w:rFonts w:hint="eastAsia" w:ascii="仿宋" w:hAnsi="仿宋" w:eastAsia="仿宋"/>
                <w:sz w:val="24"/>
                <w:szCs w:val="24"/>
              </w:rPr>
              <w:t>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3</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河南晶拓新材料有限公司年产20000套电炉隔热配件项目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1"/>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经济技术开发区西区（铝精深加工产业园）纬三路北侧1号（郑州博纳热窑炉有限公司厂区内），建设性质为新建，总投资12000万元。产品为电炉隔热配件，生产规模为20000套/a，生产工艺包括外购原材料、投料搅拌、压滤成型、烘干、砂磨、分割、雕刻、组装等。生产设备主要包括真空上料机、混料机、液压机、烘房、砂光机、切割机、雕刻机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1.废气。砂磨、切割、雕刻废气经各自集气系统收集后，引入1套“覆膜脉冲袋式除尘器+15m高排气筒（DA001）”达标排放。天然气燃烧废气经“低氮燃烧器+15m高排气筒（DA002）”达标排放。  集气系统未收集到的废气，采取加强调车间密闭和集气设施的维护，提高集气效率，安装视频监控，建立管理台账等措施，降低对周围环境的影响。废气经相应污染治理措施处理后达标排放，应满足《耐火材料工业大气污染物排放标准》（DB2166-2021）、《焦作市2025年蓝天保卫战实施方案》（焦环委办〔2025〕11号）、《大气污染物综合排放标准》（GB16297-1996）等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压滤废水，经沉淀池处理后回用于物料混合，不外排。生活污水经化粪池处理后，通过郑州博纳热窑炉有限公司修武分公司厂区总排口进入康达水务环保有限公司修武分公司（万方污水处理厂）进一步处理达标后排入大沙河。</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3.噪声。采取设备室内布置，加装减振基础等降噪措施，厂界环境噪声应满足《工业企业厂界环境噪声排放标准》（GB12348-2008）3类标准要求。</w:t>
      </w:r>
      <w:bookmarkStart w:id="0" w:name="_GoBack"/>
      <w:bookmarkEnd w:id="0"/>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4.固废。固体废物全部妥善和安全处置，各类固体废物贮存、处置应满足《危险废物贮存污染控制标准》（GB18597-2023）、《一般工业固体废物贮存和填埋污染控制标准》（GB18599-2020）相关要求。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40" w:lineRule="exact"/>
        <w:ind w:left="0" w:leftChars="0" w:firstLine="640" w:firstLineChars="200"/>
        <w:textAlignment w:val="auto"/>
        <w:rPr>
          <w:color w:val="auto"/>
        </w:rPr>
      </w:pPr>
      <w:r>
        <w:rPr>
          <w:rFonts w:hint="eastAsia" w:ascii="仿宋" w:hAnsi="仿宋" w:eastAsia="仿宋"/>
          <w:sz w:val="32"/>
          <w:lang w:val="en-US" w:eastAsia="zh-CN"/>
        </w:rPr>
        <w:t>（六）</w:t>
      </w:r>
      <w:r>
        <w:rPr>
          <w:rFonts w:hint="default" w:ascii="Times New Roman" w:hAnsi="Times New Roman" w:eastAsia="仿宋" w:cs="Times New Roman"/>
          <w:color w:val="auto"/>
          <w:sz w:val="32"/>
          <w:szCs w:val="32"/>
          <w:lang w:val="en-US" w:eastAsia="zh-CN"/>
        </w:rPr>
        <w:t>该项目污染物总量控制指标为</w:t>
      </w:r>
      <w:r>
        <w:rPr>
          <w:rFonts w:hint="eastAsia" w:eastAsia="仿宋" w:cs="Times New Roman"/>
          <w:color w:val="auto"/>
          <w:sz w:val="32"/>
          <w:szCs w:val="32"/>
          <w:lang w:val="en-US" w:eastAsia="zh-CN"/>
        </w:rPr>
        <w:t>废气</w:t>
      </w:r>
      <w:r>
        <w:rPr>
          <w:rFonts w:hint="default" w:ascii="Times New Roman" w:hAnsi="Times New Roman" w:eastAsia="仿宋" w:cs="Times New Roman"/>
          <w:color w:val="auto"/>
          <w:sz w:val="32"/>
          <w:szCs w:val="32"/>
          <w:lang w:val="en-US" w:eastAsia="zh-CN"/>
        </w:rPr>
        <w:t>：</w:t>
      </w:r>
      <w:r>
        <w:rPr>
          <w:rFonts w:hint="eastAsia" w:ascii="仿宋" w:hAnsi="仿宋" w:eastAsia="仿宋"/>
          <w:color w:val="auto"/>
          <w:sz w:val="32"/>
          <w:lang w:val="en-US" w:eastAsia="zh-CN"/>
        </w:rPr>
        <w:t>颗粒物0.135t/a、SO</w:t>
      </w:r>
      <w:r>
        <w:rPr>
          <w:rFonts w:hint="eastAsia" w:ascii="仿宋" w:hAnsi="仿宋" w:eastAsia="仿宋"/>
          <w:color w:val="auto"/>
          <w:sz w:val="32"/>
          <w:vertAlign w:val="subscript"/>
          <w:lang w:val="en-US" w:eastAsia="zh-CN"/>
        </w:rPr>
        <w:t>2</w:t>
      </w:r>
      <w:r>
        <w:rPr>
          <w:rFonts w:hint="eastAsia" w:ascii="仿宋" w:hAnsi="仿宋" w:eastAsia="仿宋"/>
          <w:color w:val="auto"/>
          <w:sz w:val="32"/>
          <w:lang w:val="en-US" w:eastAsia="zh-CN"/>
        </w:rPr>
        <w:t>0.012t/a、NOx0.281t/a；废水（厂界）COD0.027t/a、NH</w:t>
      </w:r>
      <w:r>
        <w:rPr>
          <w:rFonts w:hint="eastAsia" w:ascii="仿宋" w:hAnsi="仿宋" w:eastAsia="仿宋"/>
          <w:color w:val="auto"/>
          <w:sz w:val="32"/>
          <w:vertAlign w:val="subscript"/>
          <w:lang w:val="en-US" w:eastAsia="zh-CN"/>
        </w:rPr>
        <w:t>3</w:t>
      </w:r>
      <w:r>
        <w:rPr>
          <w:rFonts w:hint="eastAsia" w:ascii="仿宋" w:hAnsi="仿宋" w:eastAsia="仿宋"/>
          <w:color w:val="auto"/>
          <w:sz w:val="32"/>
          <w:lang w:val="en-US" w:eastAsia="zh-CN"/>
        </w:rPr>
        <w:t>-N0.0045t/a。</w:t>
      </w: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00007A87" w:usb1="80000000" w:usb2="00000008" w:usb3="00000000" w:csb0="400001FF" w:csb1="FFFF0000"/>
  </w:font>
  <w:font w:name="宋体">
    <w:panose1 w:val="02010600030101010101"/>
    <w:charset w:val="7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31876EE"/>
    <w:rsid w:val="035F182D"/>
    <w:rsid w:val="037D2D94"/>
    <w:rsid w:val="03BE3B52"/>
    <w:rsid w:val="04190476"/>
    <w:rsid w:val="04293668"/>
    <w:rsid w:val="04526978"/>
    <w:rsid w:val="04B92A3C"/>
    <w:rsid w:val="04BD7506"/>
    <w:rsid w:val="04CD5020"/>
    <w:rsid w:val="05502AD1"/>
    <w:rsid w:val="056F6F00"/>
    <w:rsid w:val="05C669DE"/>
    <w:rsid w:val="06D0475B"/>
    <w:rsid w:val="071E6B17"/>
    <w:rsid w:val="07CC0190"/>
    <w:rsid w:val="086A54C9"/>
    <w:rsid w:val="08E51BC3"/>
    <w:rsid w:val="0A0E6974"/>
    <w:rsid w:val="0B7D7413"/>
    <w:rsid w:val="0F4F5509"/>
    <w:rsid w:val="0F911044"/>
    <w:rsid w:val="10486BCC"/>
    <w:rsid w:val="10665A8F"/>
    <w:rsid w:val="10A26B5D"/>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3C03E6B"/>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035829"/>
    <w:rsid w:val="2FC23563"/>
    <w:rsid w:val="2FEF7FAE"/>
    <w:rsid w:val="30463F89"/>
    <w:rsid w:val="30C41F26"/>
    <w:rsid w:val="310D5873"/>
    <w:rsid w:val="315D3740"/>
    <w:rsid w:val="320E5ED2"/>
    <w:rsid w:val="321B581D"/>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682772"/>
    <w:rsid w:val="43BB6DDF"/>
    <w:rsid w:val="44E010D8"/>
    <w:rsid w:val="46027F62"/>
    <w:rsid w:val="465A6194"/>
    <w:rsid w:val="4672380C"/>
    <w:rsid w:val="47663361"/>
    <w:rsid w:val="48974239"/>
    <w:rsid w:val="48A10C68"/>
    <w:rsid w:val="490315D5"/>
    <w:rsid w:val="4A8C5C0A"/>
    <w:rsid w:val="4C6D6A6A"/>
    <w:rsid w:val="4E17678F"/>
    <w:rsid w:val="4E6857AA"/>
    <w:rsid w:val="4F5A626A"/>
    <w:rsid w:val="514D43BD"/>
    <w:rsid w:val="5218516A"/>
    <w:rsid w:val="528B7562"/>
    <w:rsid w:val="52CE0438"/>
    <w:rsid w:val="52FF4DE6"/>
    <w:rsid w:val="533C178C"/>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DA80183"/>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6EFF4996"/>
    <w:rsid w:val="70170261"/>
    <w:rsid w:val="708D2BAE"/>
    <w:rsid w:val="71045729"/>
    <w:rsid w:val="71F10796"/>
    <w:rsid w:val="728B530B"/>
    <w:rsid w:val="74F2557D"/>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7FE4A6A6"/>
    <w:rsid w:val="7FF77BF9"/>
    <w:rsid w:val="93FE2B1B"/>
    <w:rsid w:val="ADFB5EEB"/>
    <w:rsid w:val="BBF5C754"/>
    <w:rsid w:val="BBFFC089"/>
    <w:rsid w:val="BEEF260C"/>
    <w:rsid w:val="BFFCBE14"/>
    <w:rsid w:val="D7F7057B"/>
    <w:rsid w:val="D93D45F6"/>
    <w:rsid w:val="DA6F2D7C"/>
    <w:rsid w:val="DF7BDFD2"/>
    <w:rsid w:val="DFDF21B1"/>
    <w:rsid w:val="DFFB65C7"/>
    <w:rsid w:val="EF5FB4C7"/>
    <w:rsid w:val="F1BF67B3"/>
    <w:rsid w:val="F5FB8A7E"/>
    <w:rsid w:val="FEFE9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01"/>
    <w:basedOn w:val="6"/>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12</TotalTime>
  <ScaleCrop>false</ScaleCrop>
  <LinksUpToDate>false</LinksUpToDate>
  <CharactersWithSpaces>214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2020-03-25T00:55:00Z</dcterms:created>
  <dc:creator>Administrator</dc:creator>
  <cp:lastModifiedBy>uos</cp:lastModifiedBy>
  <cp:lastPrinted>2026-02-10T15:33:09Z</cp:lastPrinted>
  <dcterms:modified xsi:type="dcterms:W3CDTF">2026-02-10T15:35:10Z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BA666442DB59428E9867F06FA53CC74D</vt:lpwstr>
  </property>
</Properties>
</file>