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snapToGrid/>
        <w:spacing w:line="560" w:lineRule="exact"/>
        <w:ind w:left="0" w:leftChars="0" w:right="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2025年度法治政府建设情况的报告</w:t>
      </w:r>
    </w:p>
    <w:p>
      <w:pPr>
        <w:widowControl w:val="0"/>
        <w:wordWrap/>
        <w:adjustRightInd/>
        <w:snapToGrid/>
        <w:spacing w:line="560" w:lineRule="exact"/>
        <w:ind w:right="0"/>
        <w:jc w:val="both"/>
        <w:textAlignment w:val="auto"/>
        <w:outlineLvl w:val="9"/>
        <w:rPr>
          <w:rFonts w:hint="eastAsia" w:ascii="Times New Roman" w:hAnsi="Times New Roman" w:eastAsia="仿宋_GB2312" w:cs="Times New Roman"/>
          <w:spacing w:val="-6"/>
          <w:sz w:val="32"/>
          <w:szCs w:val="32"/>
          <w:lang w:val="en-US" w:eastAsia="zh-CN"/>
        </w:rPr>
      </w:pP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仿宋_GB2312" w:cs="Times New Roman"/>
          <w:spacing w:val="-6"/>
          <w:sz w:val="32"/>
          <w:szCs w:val="32"/>
          <w:lang w:val="en-US" w:eastAsia="zh-CN"/>
        </w:rPr>
      </w:pPr>
      <w:r>
        <w:rPr>
          <w:rFonts w:hint="default" w:ascii="Times New Roman" w:hAnsi="Times New Roman" w:eastAsia="仿宋_GB2312" w:cs="Times New Roman"/>
          <w:spacing w:val="-6"/>
          <w:sz w:val="32"/>
          <w:szCs w:val="32"/>
          <w:lang w:val="en-US" w:eastAsia="zh-CN"/>
        </w:rPr>
        <w:t>2025年，焦作市生态环境局坚持以习近平新时代中国特色社会主义思想为指导，深入学习贯彻习近平法治思想和习近平生态文明思想，全面落实《法治政府建设实施纲要（2021－2025年）》《焦作市法治政府建设实施方案（2022－2025年）》部署要求，牢牢把握</w:t>
      </w:r>
      <w:r>
        <w:rPr>
          <w:rFonts w:hint="eastAsia" w:ascii="Times New Roman" w:hAnsi="Times New Roman" w:eastAsia="仿宋_GB2312" w:cs="Times New Roman"/>
          <w:spacing w:val="-6"/>
          <w:sz w:val="32"/>
          <w:szCs w:val="32"/>
          <w:lang w:val="en-US" w:eastAsia="zh-CN"/>
        </w:rPr>
        <w:t>“</w:t>
      </w:r>
      <w:r>
        <w:rPr>
          <w:rFonts w:hint="default" w:ascii="Times New Roman" w:hAnsi="Times New Roman" w:eastAsia="仿宋_GB2312" w:cs="Times New Roman"/>
          <w:spacing w:val="-6"/>
          <w:sz w:val="32"/>
          <w:szCs w:val="32"/>
          <w:lang w:val="en-US" w:eastAsia="zh-CN"/>
        </w:rPr>
        <w:t>保护生态环境必须依靠制度、依靠法治</w:t>
      </w:r>
      <w:r>
        <w:rPr>
          <w:rFonts w:hint="eastAsia" w:ascii="Times New Roman" w:hAnsi="Times New Roman" w:eastAsia="仿宋_GB2312" w:cs="Times New Roman"/>
          <w:spacing w:val="-6"/>
          <w:sz w:val="32"/>
          <w:szCs w:val="32"/>
          <w:lang w:val="en-US" w:eastAsia="zh-CN"/>
        </w:rPr>
        <w:t>”</w:t>
      </w:r>
      <w:r>
        <w:rPr>
          <w:rFonts w:hint="default" w:ascii="Times New Roman" w:hAnsi="Times New Roman" w:eastAsia="仿宋_GB2312" w:cs="Times New Roman"/>
          <w:spacing w:val="-6"/>
          <w:sz w:val="32"/>
          <w:szCs w:val="32"/>
          <w:lang w:val="en-US" w:eastAsia="zh-CN"/>
        </w:rPr>
        <w:t>，将法治建设贯穿生态环境保护规划、决策、执行、监督全过程，以法治思维破解环境治理难题，以法治方式规范行政权力运行，为全市生态环境质量持续改善提供了坚实法治保障。现将本年度工作情况报告如下：</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黑体" w:cs="Times New Roman"/>
          <w:spacing w:val="-6"/>
          <w:sz w:val="32"/>
          <w:szCs w:val="32"/>
          <w:highlight w:val="none"/>
          <w:lang w:val="en-US" w:eastAsia="zh-CN"/>
        </w:rPr>
      </w:pPr>
      <w:r>
        <w:rPr>
          <w:rFonts w:hint="default" w:ascii="Times New Roman" w:hAnsi="Times New Roman" w:eastAsia="黑体" w:cs="Times New Roman"/>
          <w:spacing w:val="-6"/>
          <w:sz w:val="32"/>
          <w:szCs w:val="32"/>
          <w:highlight w:val="none"/>
          <w:lang w:val="en-US" w:eastAsia="zh-CN"/>
        </w:rPr>
        <w:t>一、推进法治建设责任落实情况</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仿宋_GB2312" w:cs="Times New Roman"/>
          <w:spacing w:val="-6"/>
          <w:sz w:val="32"/>
          <w:szCs w:val="32"/>
          <w:lang w:val="en-US" w:eastAsia="zh-CN"/>
        </w:rPr>
      </w:pPr>
      <w:r>
        <w:rPr>
          <w:rFonts w:hint="default" w:ascii="Times New Roman" w:hAnsi="Times New Roman" w:eastAsia="仿宋_GB2312" w:cs="Times New Roman"/>
          <w:spacing w:val="-6"/>
          <w:sz w:val="32"/>
          <w:szCs w:val="32"/>
          <w:lang w:val="en-US" w:eastAsia="zh-CN"/>
        </w:rPr>
        <w:t>局党组始终把法治建设作为践行</w:t>
      </w:r>
      <w:r>
        <w:rPr>
          <w:rFonts w:hint="eastAsia" w:ascii="Times New Roman" w:hAnsi="Times New Roman" w:eastAsia="仿宋_GB2312" w:cs="Times New Roman"/>
          <w:spacing w:val="-6"/>
          <w:sz w:val="32"/>
          <w:szCs w:val="32"/>
          <w:lang w:val="en-US" w:eastAsia="zh-CN"/>
        </w:rPr>
        <w:t>“</w:t>
      </w:r>
      <w:r>
        <w:rPr>
          <w:rFonts w:hint="default" w:ascii="Times New Roman" w:hAnsi="Times New Roman" w:eastAsia="仿宋_GB2312" w:cs="Times New Roman"/>
          <w:spacing w:val="-6"/>
          <w:sz w:val="32"/>
          <w:szCs w:val="32"/>
          <w:lang w:val="en-US" w:eastAsia="zh-CN"/>
        </w:rPr>
        <w:t>两个维护</w:t>
      </w:r>
      <w:r>
        <w:rPr>
          <w:rFonts w:hint="eastAsia" w:ascii="Times New Roman" w:hAnsi="Times New Roman" w:eastAsia="仿宋_GB2312" w:cs="Times New Roman"/>
          <w:spacing w:val="-6"/>
          <w:sz w:val="32"/>
          <w:szCs w:val="32"/>
          <w:lang w:val="en-US" w:eastAsia="zh-CN"/>
        </w:rPr>
        <w:t>”</w:t>
      </w:r>
      <w:r>
        <w:rPr>
          <w:rFonts w:hint="default" w:ascii="Times New Roman" w:hAnsi="Times New Roman" w:eastAsia="仿宋_GB2312" w:cs="Times New Roman"/>
          <w:spacing w:val="-6"/>
          <w:sz w:val="32"/>
          <w:szCs w:val="32"/>
          <w:lang w:val="en-US" w:eastAsia="zh-CN"/>
        </w:rPr>
        <w:t>的重大政治任务，作为推进生态环境治理体系和治理能力现代化的关键支撑，切实扛起主体责任，推动党政主要负责人第一责任人职责落地生根、见行见效。</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楷体_GB2312" w:cs="Times New Roman"/>
          <w:spacing w:val="-6"/>
          <w:sz w:val="32"/>
          <w:szCs w:val="32"/>
          <w:lang w:val="en-US" w:eastAsia="zh-CN"/>
        </w:rPr>
      </w:pPr>
      <w:r>
        <w:rPr>
          <w:rFonts w:hint="default" w:ascii="Times New Roman" w:hAnsi="Times New Roman" w:eastAsia="楷体_GB2312" w:cs="Times New Roman"/>
          <w:spacing w:val="-6"/>
          <w:sz w:val="32"/>
          <w:szCs w:val="32"/>
          <w:lang w:val="en-US" w:eastAsia="zh-CN"/>
        </w:rPr>
        <w:t>（一）强化政治引领，把牢法治建设方向</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仿宋_GB2312" w:cs="Times New Roman"/>
          <w:spacing w:val="-6"/>
          <w:sz w:val="32"/>
          <w:szCs w:val="32"/>
          <w:lang w:val="en-US" w:eastAsia="zh-CN"/>
        </w:rPr>
      </w:pPr>
      <w:r>
        <w:rPr>
          <w:rFonts w:hint="default" w:ascii="Times New Roman" w:hAnsi="Times New Roman" w:eastAsia="仿宋_GB2312" w:cs="Times New Roman"/>
          <w:spacing w:val="-6"/>
          <w:sz w:val="32"/>
          <w:szCs w:val="32"/>
          <w:lang w:val="en-US" w:eastAsia="zh-CN"/>
        </w:rPr>
        <w:t>局党组深刻认识到法治建设在生态环境保护工作中的基础性、保障性作用，将习近平法治思想、习近平总书记关于全面依法治国的重要论述</w:t>
      </w:r>
      <w:r>
        <w:rPr>
          <w:rFonts w:hint="default" w:ascii="Times New Roman" w:hAnsi="Times New Roman" w:eastAsia="仿宋_GB2312" w:cs="Times New Roman"/>
          <w:spacing w:val="-6"/>
          <w:sz w:val="32"/>
          <w:szCs w:val="32"/>
          <w:highlight w:val="none"/>
          <w:lang w:val="en-US" w:eastAsia="zh-CN"/>
        </w:rPr>
        <w:t>纳入党组理论学习中心组学习内容，</w:t>
      </w:r>
      <w:r>
        <w:rPr>
          <w:rFonts w:hint="default" w:ascii="Times New Roman" w:hAnsi="Times New Roman" w:eastAsia="仿宋_GB2312" w:cs="Times New Roman"/>
          <w:spacing w:val="-6"/>
          <w:sz w:val="32"/>
          <w:szCs w:val="32"/>
          <w:lang w:val="en-US" w:eastAsia="zh-CN"/>
        </w:rPr>
        <w:t>全年开展党组理论学习中心组法治专题学习4次，开展习近平法治思想专题研学2次，领导干部集体学法4次，邀请法律顾问开展专题辅导，深入解读《环境保护法》《行政处罚法》《生态环境行政处罚办法》等重要法律法规，推动领导干部深刻把握法治建设的政治属性与实践要求。党政主要负责人带头践行法治理念，在重大决策、执法监管、纠纷化解等工作中坚持依法办事，全年主持召开7次党组会议专题研究法治建设重大问题，将法治建设与污染防治攻坚、生态保护修复、营商环境优化等中心工作同谋划、同部署、同推进，确保法治建设始终沿着正确政治方向前进。</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楷体_GB2312" w:cs="Times New Roman"/>
          <w:spacing w:val="-6"/>
          <w:sz w:val="32"/>
          <w:szCs w:val="32"/>
          <w:lang w:val="en-US" w:eastAsia="zh-CN"/>
        </w:rPr>
      </w:pPr>
      <w:r>
        <w:rPr>
          <w:rFonts w:hint="default" w:ascii="Times New Roman" w:hAnsi="Times New Roman" w:eastAsia="楷体_GB2312" w:cs="Times New Roman"/>
          <w:spacing w:val="-6"/>
          <w:sz w:val="32"/>
          <w:szCs w:val="32"/>
          <w:lang w:val="en-US" w:eastAsia="zh-CN"/>
        </w:rPr>
        <w:t>（二）健全工作体系，压实法治建设责任</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仿宋_GB2312" w:cs="Times New Roman"/>
          <w:spacing w:val="-6"/>
          <w:sz w:val="32"/>
          <w:szCs w:val="32"/>
          <w:lang w:val="en-US" w:eastAsia="zh-CN"/>
        </w:rPr>
      </w:pPr>
      <w:r>
        <w:rPr>
          <w:rFonts w:hint="default" w:ascii="Times New Roman" w:hAnsi="Times New Roman" w:eastAsia="仿宋_GB2312" w:cs="Times New Roman"/>
          <w:spacing w:val="-6"/>
          <w:sz w:val="32"/>
          <w:szCs w:val="32"/>
          <w:lang w:val="en-US" w:eastAsia="zh-CN"/>
        </w:rPr>
        <w:t>成立由局党组书记、局长任组长，副县级干部任副组长，各科室（单位）负责人为成员的法治建设工作领导小组，构建</w:t>
      </w:r>
      <w:r>
        <w:rPr>
          <w:rFonts w:hint="eastAsia" w:ascii="Times New Roman" w:hAnsi="Times New Roman" w:eastAsia="仿宋_GB2312" w:cs="Times New Roman"/>
          <w:spacing w:val="-6"/>
          <w:sz w:val="32"/>
          <w:szCs w:val="32"/>
          <w:lang w:val="en-US" w:eastAsia="zh-CN"/>
        </w:rPr>
        <w:t>“</w:t>
      </w:r>
      <w:r>
        <w:rPr>
          <w:rFonts w:hint="default" w:ascii="Times New Roman" w:hAnsi="Times New Roman" w:eastAsia="仿宋_GB2312" w:cs="Times New Roman"/>
          <w:spacing w:val="-6"/>
          <w:sz w:val="32"/>
          <w:szCs w:val="32"/>
          <w:lang w:val="en-US" w:eastAsia="zh-CN"/>
        </w:rPr>
        <w:t>主要领导亲自抓、分管领导具体抓、责任科室牵头落实、各部门协同配合</w:t>
      </w:r>
      <w:r>
        <w:rPr>
          <w:rFonts w:hint="eastAsia" w:ascii="Times New Roman" w:hAnsi="Times New Roman" w:eastAsia="仿宋_GB2312" w:cs="Times New Roman"/>
          <w:spacing w:val="-6"/>
          <w:sz w:val="32"/>
          <w:szCs w:val="32"/>
          <w:lang w:val="en-US" w:eastAsia="zh-CN"/>
        </w:rPr>
        <w:t>”</w:t>
      </w:r>
      <w:r>
        <w:rPr>
          <w:rFonts w:hint="default" w:ascii="Times New Roman" w:hAnsi="Times New Roman" w:eastAsia="仿宋_GB2312" w:cs="Times New Roman"/>
          <w:spacing w:val="-6"/>
          <w:sz w:val="32"/>
          <w:szCs w:val="32"/>
          <w:lang w:val="en-US" w:eastAsia="zh-CN"/>
        </w:rPr>
        <w:t>的工作格局。建立分级负责、协同联动的工作链条，将法治建设任务分解至各相关科室（单位），明确责任分工、时间节点，形成覆盖决策、执行、监督全流程的法治责任体系。</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楷体_GB2312" w:cs="Times New Roman"/>
          <w:spacing w:val="-6"/>
          <w:sz w:val="32"/>
          <w:szCs w:val="32"/>
          <w:lang w:val="en-US" w:eastAsia="zh-CN"/>
        </w:rPr>
      </w:pPr>
      <w:r>
        <w:rPr>
          <w:rFonts w:hint="default" w:ascii="Times New Roman" w:hAnsi="Times New Roman" w:eastAsia="楷体_GB2312" w:cs="Times New Roman"/>
          <w:spacing w:val="-6"/>
          <w:sz w:val="32"/>
          <w:szCs w:val="32"/>
          <w:lang w:val="en-US" w:eastAsia="zh-CN"/>
        </w:rPr>
        <w:t>（三）强化监督问效，提升法治建设质效</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仿宋_GB2312" w:cs="Times New Roman"/>
          <w:spacing w:val="-6"/>
          <w:sz w:val="32"/>
          <w:szCs w:val="32"/>
          <w:lang w:val="en-US" w:eastAsia="zh-CN"/>
        </w:rPr>
      </w:pPr>
      <w:r>
        <w:rPr>
          <w:rFonts w:hint="default" w:ascii="Times New Roman" w:hAnsi="Times New Roman" w:eastAsia="仿宋_GB2312" w:cs="Times New Roman"/>
          <w:spacing w:val="-6"/>
          <w:sz w:val="32"/>
          <w:szCs w:val="32"/>
          <w:lang w:val="en-US" w:eastAsia="zh-CN"/>
        </w:rPr>
        <w:t>全面推行行政执法</w:t>
      </w:r>
      <w:r>
        <w:rPr>
          <w:rFonts w:hint="eastAsia" w:ascii="Times New Roman" w:hAnsi="Times New Roman" w:eastAsia="仿宋_GB2312" w:cs="Times New Roman"/>
          <w:spacing w:val="-6"/>
          <w:sz w:val="32"/>
          <w:szCs w:val="32"/>
          <w:lang w:val="en-US" w:eastAsia="zh-CN"/>
        </w:rPr>
        <w:t>“</w:t>
      </w:r>
      <w:r>
        <w:rPr>
          <w:rFonts w:hint="default" w:ascii="Times New Roman" w:hAnsi="Times New Roman" w:eastAsia="仿宋_GB2312" w:cs="Times New Roman"/>
          <w:spacing w:val="-6"/>
          <w:sz w:val="32"/>
          <w:szCs w:val="32"/>
          <w:lang w:val="en-US" w:eastAsia="zh-CN"/>
        </w:rPr>
        <w:t>三项制度</w:t>
      </w:r>
      <w:r>
        <w:rPr>
          <w:rFonts w:hint="eastAsia" w:ascii="Times New Roman" w:hAnsi="Times New Roman" w:eastAsia="仿宋_GB2312" w:cs="Times New Roman"/>
          <w:spacing w:val="-6"/>
          <w:sz w:val="32"/>
          <w:szCs w:val="32"/>
          <w:lang w:val="en-US" w:eastAsia="zh-CN"/>
        </w:rPr>
        <w:t>”</w:t>
      </w:r>
      <w:r>
        <w:rPr>
          <w:rFonts w:hint="default" w:ascii="Times New Roman" w:hAnsi="Times New Roman" w:eastAsia="仿宋_GB2312" w:cs="Times New Roman"/>
          <w:spacing w:val="-6"/>
          <w:sz w:val="32"/>
          <w:szCs w:val="32"/>
          <w:lang w:val="en-US" w:eastAsia="zh-CN"/>
        </w:rPr>
        <w:t>，修订《重大执法决定法制审核目录清单》，明确法制审核事项，全年完成重大执法决定法制审核93件，审核通过率100%。自觉接受人大监督、民主监督、司法监督和社会舆论监督，全年办理人大建议8件、政协提案11件，办结率和满意率均达100%，确保件件有落实、事事有回音。</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仿宋_GB2312" w:cs="Times New Roman"/>
          <w:spacing w:val="-6"/>
          <w:sz w:val="32"/>
          <w:szCs w:val="32"/>
          <w:lang w:val="en-US" w:eastAsia="zh-CN"/>
        </w:rPr>
      </w:pPr>
      <w:r>
        <w:rPr>
          <w:rFonts w:hint="default" w:ascii="Times New Roman" w:hAnsi="Times New Roman" w:eastAsia="黑体" w:cs="Times New Roman"/>
          <w:spacing w:val="-6"/>
          <w:sz w:val="32"/>
          <w:szCs w:val="32"/>
          <w:lang w:val="en-US" w:eastAsia="zh-CN"/>
        </w:rPr>
        <w:t>二、主要举措和成效</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楷体_GB2312" w:cs="Times New Roman"/>
          <w:spacing w:val="-6"/>
          <w:sz w:val="32"/>
          <w:szCs w:val="32"/>
          <w:lang w:val="en-US" w:eastAsia="zh-CN"/>
        </w:rPr>
      </w:pPr>
      <w:r>
        <w:rPr>
          <w:rFonts w:hint="default" w:ascii="Times New Roman" w:hAnsi="Times New Roman" w:eastAsia="楷体_GB2312" w:cs="Times New Roman"/>
          <w:spacing w:val="-6"/>
          <w:sz w:val="32"/>
          <w:szCs w:val="32"/>
          <w:lang w:val="en-US" w:eastAsia="zh-CN"/>
        </w:rPr>
        <w:t>（一）深化法治思想引领，筑牢依法履职思想根基</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仿宋_GB2312" w:cs="Times New Roman"/>
          <w:spacing w:val="-6"/>
          <w:sz w:val="32"/>
          <w:szCs w:val="32"/>
          <w:lang w:val="en-US" w:eastAsia="zh-CN"/>
        </w:rPr>
      </w:pPr>
      <w:r>
        <w:rPr>
          <w:rFonts w:hint="default" w:ascii="Times New Roman" w:hAnsi="Times New Roman" w:eastAsia="仿宋_GB2312" w:cs="Times New Roman"/>
          <w:spacing w:val="-6"/>
          <w:sz w:val="32"/>
          <w:szCs w:val="32"/>
          <w:highlight w:val="none"/>
          <w:lang w:val="en-US" w:eastAsia="zh-CN"/>
        </w:rPr>
        <w:t>始终把学习贯彻习近平法治思想作为重要政治任务，</w:t>
      </w:r>
      <w:r>
        <w:rPr>
          <w:rFonts w:hint="default" w:ascii="Times New Roman" w:hAnsi="Times New Roman" w:eastAsia="仿宋_GB2312" w:cs="Times New Roman"/>
          <w:spacing w:val="-6"/>
          <w:sz w:val="32"/>
          <w:szCs w:val="32"/>
          <w:lang w:val="en-US" w:eastAsia="zh-CN"/>
        </w:rPr>
        <w:t>构建全方位、多层次、常态化的学习体系，推动法治理念入脑入心。</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仿宋_GB2312" w:cs="Times New Roman"/>
          <w:spacing w:val="-6"/>
          <w:sz w:val="32"/>
          <w:szCs w:val="32"/>
          <w:lang w:val="en-US" w:eastAsia="zh-CN"/>
        </w:rPr>
      </w:pPr>
      <w:r>
        <w:rPr>
          <w:rFonts w:hint="default" w:ascii="Times New Roman" w:hAnsi="Times New Roman" w:eastAsia="仿宋_GB2312" w:cs="Times New Roman"/>
          <w:spacing w:val="-6"/>
          <w:sz w:val="32"/>
          <w:szCs w:val="32"/>
          <w:lang w:val="en-US" w:eastAsia="zh-CN"/>
        </w:rPr>
        <w:t>一是突出</w:t>
      </w:r>
      <w:r>
        <w:rPr>
          <w:rFonts w:hint="eastAsia" w:ascii="Times New Roman" w:hAnsi="Times New Roman" w:eastAsia="仿宋_GB2312" w:cs="Times New Roman"/>
          <w:spacing w:val="-6"/>
          <w:sz w:val="32"/>
          <w:szCs w:val="32"/>
          <w:lang w:val="en-US" w:eastAsia="zh-CN"/>
        </w:rPr>
        <w:t>“</w:t>
      </w:r>
      <w:r>
        <w:rPr>
          <w:rFonts w:hint="default" w:ascii="Times New Roman" w:hAnsi="Times New Roman" w:eastAsia="仿宋_GB2312" w:cs="Times New Roman"/>
          <w:spacing w:val="-6"/>
          <w:sz w:val="32"/>
          <w:szCs w:val="32"/>
          <w:lang w:val="en-US" w:eastAsia="zh-CN"/>
        </w:rPr>
        <w:t>关键少数</w:t>
      </w:r>
      <w:r>
        <w:rPr>
          <w:rFonts w:hint="eastAsia" w:ascii="Times New Roman" w:hAnsi="Times New Roman" w:eastAsia="仿宋_GB2312" w:cs="Times New Roman"/>
          <w:spacing w:val="-6"/>
          <w:sz w:val="32"/>
          <w:szCs w:val="32"/>
          <w:lang w:val="en-US" w:eastAsia="zh-CN"/>
        </w:rPr>
        <w:t>”</w:t>
      </w:r>
      <w:r>
        <w:rPr>
          <w:rFonts w:hint="default" w:ascii="Times New Roman" w:hAnsi="Times New Roman" w:eastAsia="仿宋_GB2312" w:cs="Times New Roman"/>
          <w:spacing w:val="-6"/>
          <w:sz w:val="32"/>
          <w:szCs w:val="32"/>
          <w:lang w:val="en-US" w:eastAsia="zh-CN"/>
        </w:rPr>
        <w:t>示范引领。将习近平法治思想纳入党组理论学习中心组年度学习计划，通过专题研学、集中研讨、庭审观摩等多种形式</w:t>
      </w:r>
      <w:r>
        <w:rPr>
          <w:rFonts w:hint="eastAsia" w:ascii="Times New Roman" w:hAnsi="Times New Roman" w:eastAsia="仿宋_GB2312" w:cs="Times New Roman"/>
          <w:spacing w:val="-6"/>
          <w:sz w:val="32"/>
          <w:szCs w:val="32"/>
          <w:lang w:val="en-US" w:eastAsia="zh-CN"/>
        </w:rPr>
        <w:t>开展学习。</w:t>
      </w:r>
      <w:r>
        <w:rPr>
          <w:rFonts w:hint="default" w:ascii="Times New Roman" w:hAnsi="Times New Roman" w:eastAsia="仿宋_GB2312" w:cs="Times New Roman"/>
          <w:spacing w:val="-6"/>
          <w:sz w:val="32"/>
          <w:szCs w:val="32"/>
          <w:lang w:val="en-US" w:eastAsia="zh-CN"/>
        </w:rPr>
        <w:t>组织领导干部旁听行政诉讼案件庭审1次，主要负责人带头讲法治课1次，带动领导干部带头尊法学法守法用法，</w:t>
      </w:r>
      <w:r>
        <w:rPr>
          <w:rFonts w:hint="eastAsia" w:ascii="Times New Roman" w:hAnsi="Times New Roman" w:eastAsia="仿宋_GB2312" w:cs="Times New Roman"/>
          <w:spacing w:val="-6"/>
          <w:sz w:val="32"/>
          <w:szCs w:val="32"/>
          <w:lang w:val="en-US" w:eastAsia="zh-CN"/>
        </w:rPr>
        <w:t>不断</w:t>
      </w:r>
      <w:r>
        <w:rPr>
          <w:rFonts w:hint="default" w:ascii="Times New Roman" w:hAnsi="Times New Roman" w:eastAsia="仿宋_GB2312" w:cs="Times New Roman"/>
          <w:spacing w:val="-6"/>
          <w:sz w:val="32"/>
          <w:szCs w:val="32"/>
          <w:lang w:val="en-US" w:eastAsia="zh-CN"/>
        </w:rPr>
        <w:t>提升运用法治思维和法治方式破解环境治理难题、防范化解环境风险的能力。严格落实领导干部年度述法制度，推动领导干部履行法治建设</w:t>
      </w:r>
      <w:r>
        <w:rPr>
          <w:rFonts w:hint="eastAsia" w:ascii="Times New Roman" w:hAnsi="Times New Roman" w:eastAsia="仿宋_GB2312" w:cs="Times New Roman"/>
          <w:spacing w:val="-6"/>
          <w:sz w:val="32"/>
          <w:szCs w:val="32"/>
          <w:lang w:val="en-US" w:eastAsia="zh-CN"/>
        </w:rPr>
        <w:t>“</w:t>
      </w:r>
      <w:r>
        <w:rPr>
          <w:rFonts w:hint="default" w:ascii="Times New Roman" w:hAnsi="Times New Roman" w:eastAsia="仿宋_GB2312" w:cs="Times New Roman"/>
          <w:spacing w:val="-6"/>
          <w:sz w:val="32"/>
          <w:szCs w:val="32"/>
          <w:lang w:val="en-US" w:eastAsia="zh-CN"/>
        </w:rPr>
        <w:t>一岗双责</w:t>
      </w:r>
      <w:r>
        <w:rPr>
          <w:rFonts w:hint="eastAsia" w:ascii="Times New Roman" w:hAnsi="Times New Roman" w:eastAsia="仿宋_GB2312" w:cs="Times New Roman"/>
          <w:spacing w:val="-6"/>
          <w:sz w:val="32"/>
          <w:szCs w:val="32"/>
          <w:lang w:val="en-US" w:eastAsia="zh-CN"/>
        </w:rPr>
        <w:t>”</w:t>
      </w:r>
      <w:r>
        <w:rPr>
          <w:rFonts w:hint="default" w:ascii="Times New Roman" w:hAnsi="Times New Roman" w:eastAsia="仿宋_GB2312" w:cs="Times New Roman"/>
          <w:spacing w:val="-6"/>
          <w:sz w:val="32"/>
          <w:szCs w:val="32"/>
          <w:lang w:val="en-US" w:eastAsia="zh-CN"/>
        </w:rPr>
        <w:t>。</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仿宋_GB2312" w:cs="Times New Roman"/>
          <w:spacing w:val="-6"/>
          <w:sz w:val="32"/>
          <w:szCs w:val="32"/>
          <w:lang w:val="en-US" w:eastAsia="zh-CN"/>
        </w:rPr>
      </w:pPr>
      <w:r>
        <w:rPr>
          <w:rFonts w:hint="default" w:ascii="Times New Roman" w:hAnsi="Times New Roman" w:eastAsia="仿宋_GB2312" w:cs="Times New Roman"/>
          <w:spacing w:val="-6"/>
          <w:sz w:val="32"/>
          <w:szCs w:val="32"/>
          <w:lang w:val="en-US" w:eastAsia="zh-CN"/>
        </w:rPr>
        <w:t>二是健全常态化学法机制。印发《2025年度领导干部集体学法计划》，建立</w:t>
      </w:r>
      <w:r>
        <w:rPr>
          <w:rFonts w:hint="eastAsia" w:ascii="Times New Roman" w:hAnsi="Times New Roman" w:eastAsia="仿宋_GB2312" w:cs="Times New Roman"/>
          <w:spacing w:val="-6"/>
          <w:sz w:val="32"/>
          <w:szCs w:val="32"/>
          <w:lang w:val="en-US" w:eastAsia="zh-CN"/>
        </w:rPr>
        <w:t>“</w:t>
      </w:r>
      <w:r>
        <w:rPr>
          <w:rFonts w:hint="default" w:ascii="Times New Roman" w:hAnsi="Times New Roman" w:eastAsia="仿宋_GB2312" w:cs="Times New Roman"/>
          <w:spacing w:val="-6"/>
          <w:sz w:val="32"/>
          <w:szCs w:val="32"/>
          <w:lang w:val="en-US" w:eastAsia="zh-CN"/>
        </w:rPr>
        <w:t>线上+线下</w:t>
      </w:r>
      <w:r>
        <w:rPr>
          <w:rFonts w:hint="eastAsia" w:ascii="Times New Roman" w:hAnsi="Times New Roman" w:eastAsia="仿宋_GB2312" w:cs="Times New Roman"/>
          <w:spacing w:val="-6"/>
          <w:sz w:val="32"/>
          <w:szCs w:val="32"/>
          <w:lang w:val="en-US" w:eastAsia="zh-CN"/>
        </w:rPr>
        <w:t>”“</w:t>
      </w:r>
      <w:r>
        <w:rPr>
          <w:rFonts w:hint="default" w:ascii="Times New Roman" w:hAnsi="Times New Roman" w:eastAsia="仿宋_GB2312" w:cs="Times New Roman"/>
          <w:spacing w:val="-6"/>
          <w:sz w:val="32"/>
          <w:szCs w:val="32"/>
          <w:lang w:val="en-US" w:eastAsia="zh-CN"/>
        </w:rPr>
        <w:t>集中学习+个人自学</w:t>
      </w:r>
      <w:r>
        <w:rPr>
          <w:rFonts w:hint="eastAsia" w:ascii="Times New Roman" w:hAnsi="Times New Roman" w:eastAsia="仿宋_GB2312" w:cs="Times New Roman"/>
          <w:spacing w:val="-6"/>
          <w:sz w:val="32"/>
          <w:szCs w:val="32"/>
          <w:lang w:val="en-US" w:eastAsia="zh-CN"/>
        </w:rPr>
        <w:t>”</w:t>
      </w:r>
      <w:r>
        <w:rPr>
          <w:rFonts w:hint="default" w:ascii="Times New Roman" w:hAnsi="Times New Roman" w:eastAsia="仿宋_GB2312" w:cs="Times New Roman"/>
          <w:spacing w:val="-6"/>
          <w:sz w:val="32"/>
          <w:szCs w:val="32"/>
          <w:lang w:val="en-US" w:eastAsia="zh-CN"/>
        </w:rPr>
        <w:t>相结合的学法模式。线下组织开展专题培训1期，培训干部职工</w:t>
      </w:r>
      <w:r>
        <w:rPr>
          <w:rFonts w:hint="eastAsia" w:ascii="Times New Roman" w:hAnsi="Times New Roman" w:eastAsia="仿宋_GB2312" w:cs="Times New Roman"/>
          <w:spacing w:val="-6"/>
          <w:sz w:val="32"/>
          <w:szCs w:val="32"/>
          <w:lang w:val="en-US" w:eastAsia="zh-CN"/>
        </w:rPr>
        <w:t>6</w:t>
      </w:r>
      <w:r>
        <w:rPr>
          <w:rFonts w:hint="default" w:ascii="Times New Roman" w:hAnsi="Times New Roman" w:eastAsia="仿宋_GB2312" w:cs="Times New Roman"/>
          <w:spacing w:val="-6"/>
          <w:sz w:val="32"/>
          <w:szCs w:val="32"/>
          <w:lang w:val="en-US" w:eastAsia="zh-CN"/>
        </w:rPr>
        <w:t>00余人次；线上依托</w:t>
      </w:r>
      <w:r>
        <w:rPr>
          <w:rFonts w:hint="eastAsia" w:ascii="Times New Roman" w:hAnsi="Times New Roman" w:eastAsia="仿宋_GB2312" w:cs="Times New Roman"/>
          <w:spacing w:val="-6"/>
          <w:sz w:val="32"/>
          <w:szCs w:val="32"/>
          <w:lang w:val="en-US" w:eastAsia="zh-CN"/>
        </w:rPr>
        <w:t>“</w:t>
      </w:r>
      <w:r>
        <w:rPr>
          <w:rFonts w:hint="default" w:ascii="Times New Roman" w:hAnsi="Times New Roman" w:eastAsia="仿宋_GB2312" w:cs="Times New Roman"/>
          <w:spacing w:val="-6"/>
          <w:sz w:val="32"/>
          <w:szCs w:val="32"/>
          <w:lang w:val="en-US" w:eastAsia="zh-CN"/>
        </w:rPr>
        <w:t>学习强国</w:t>
      </w:r>
      <w:r>
        <w:rPr>
          <w:rFonts w:hint="eastAsia" w:ascii="Times New Roman" w:hAnsi="Times New Roman" w:eastAsia="仿宋_GB2312" w:cs="Times New Roman"/>
          <w:spacing w:val="-6"/>
          <w:sz w:val="32"/>
          <w:szCs w:val="32"/>
          <w:lang w:val="en-US" w:eastAsia="zh-CN"/>
        </w:rPr>
        <w:t>”“</w:t>
      </w:r>
      <w:r>
        <w:rPr>
          <w:rFonts w:hint="default" w:ascii="Times New Roman" w:hAnsi="Times New Roman" w:eastAsia="仿宋_GB2312" w:cs="Times New Roman"/>
          <w:spacing w:val="-6"/>
          <w:sz w:val="32"/>
          <w:szCs w:val="32"/>
          <w:lang w:val="en-US" w:eastAsia="zh-CN"/>
        </w:rPr>
        <w:t>河南干部网络学院</w:t>
      </w:r>
      <w:r>
        <w:rPr>
          <w:rFonts w:hint="eastAsia" w:ascii="Times New Roman" w:hAnsi="Times New Roman" w:eastAsia="仿宋_GB2312" w:cs="Times New Roman"/>
          <w:spacing w:val="-6"/>
          <w:sz w:val="32"/>
          <w:szCs w:val="32"/>
          <w:lang w:val="en-US" w:eastAsia="zh-CN"/>
        </w:rPr>
        <w:t>”</w:t>
      </w:r>
      <w:r>
        <w:rPr>
          <w:rFonts w:hint="default" w:ascii="Times New Roman" w:hAnsi="Times New Roman" w:eastAsia="仿宋_GB2312" w:cs="Times New Roman"/>
          <w:spacing w:val="-6"/>
          <w:sz w:val="32"/>
          <w:szCs w:val="32"/>
          <w:lang w:val="en-US" w:eastAsia="zh-CN"/>
        </w:rPr>
        <w:t>等平台进行学习，组织法律法规考试1次，参与率和合格率均达100%。将生态环境领域法律法规、行政许可法、行政诉讼法等纳入培训核心内容，重点提升执法人员、复议应诉人员的专业法治素养。</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仿宋_GB2312" w:cs="Times New Roman"/>
          <w:spacing w:val="-6"/>
          <w:sz w:val="32"/>
          <w:szCs w:val="32"/>
          <w:lang w:val="en-US" w:eastAsia="zh-CN"/>
        </w:rPr>
      </w:pPr>
      <w:r>
        <w:rPr>
          <w:rFonts w:hint="default" w:ascii="Times New Roman" w:hAnsi="Times New Roman" w:eastAsia="仿宋_GB2312" w:cs="Times New Roman"/>
          <w:spacing w:val="-6"/>
          <w:sz w:val="32"/>
          <w:szCs w:val="32"/>
          <w:lang w:val="en-US" w:eastAsia="zh-CN"/>
        </w:rPr>
        <w:t>三是扩大法治学习覆盖面。坚持把法治学习教育融入日常、抓在经常，将习近平法治思想全面纳入全体干部职工年度培训、各党支部</w:t>
      </w:r>
      <w:r>
        <w:rPr>
          <w:rFonts w:hint="eastAsia" w:ascii="Times New Roman" w:hAnsi="Times New Roman" w:eastAsia="仿宋_GB2312" w:cs="Times New Roman"/>
          <w:spacing w:val="-6"/>
          <w:sz w:val="32"/>
          <w:szCs w:val="32"/>
          <w:lang w:val="en-US" w:eastAsia="zh-CN"/>
        </w:rPr>
        <w:t>“</w:t>
      </w:r>
      <w:r>
        <w:rPr>
          <w:rFonts w:hint="default" w:ascii="Times New Roman" w:hAnsi="Times New Roman" w:eastAsia="仿宋_GB2312" w:cs="Times New Roman"/>
          <w:spacing w:val="-6"/>
          <w:sz w:val="32"/>
          <w:szCs w:val="32"/>
          <w:lang w:val="en-US" w:eastAsia="zh-CN"/>
        </w:rPr>
        <w:t>三会一课</w:t>
      </w:r>
      <w:r>
        <w:rPr>
          <w:rFonts w:hint="eastAsia" w:ascii="Times New Roman" w:hAnsi="Times New Roman" w:eastAsia="仿宋_GB2312" w:cs="Times New Roman"/>
          <w:spacing w:val="-6"/>
          <w:sz w:val="32"/>
          <w:szCs w:val="32"/>
          <w:lang w:val="en-US" w:eastAsia="zh-CN"/>
        </w:rPr>
        <w:t>”</w:t>
      </w:r>
      <w:r>
        <w:rPr>
          <w:rFonts w:hint="default" w:ascii="Times New Roman" w:hAnsi="Times New Roman" w:eastAsia="仿宋_GB2312" w:cs="Times New Roman"/>
          <w:spacing w:val="-6"/>
          <w:sz w:val="32"/>
          <w:szCs w:val="32"/>
          <w:lang w:val="en-US" w:eastAsia="zh-CN"/>
        </w:rPr>
        <w:t>学习内容，以多种形式筑牢法治思想根基。全年组织观看《习近平法治思想概论》专题课程8场次，紧扣国家宪法日开展</w:t>
      </w:r>
      <w:r>
        <w:rPr>
          <w:rFonts w:hint="eastAsia" w:ascii="Times New Roman" w:hAnsi="Times New Roman" w:eastAsia="仿宋_GB2312" w:cs="Times New Roman"/>
          <w:spacing w:val="-6"/>
          <w:sz w:val="32"/>
          <w:szCs w:val="32"/>
          <w:lang w:val="en-US" w:eastAsia="zh-CN"/>
        </w:rPr>
        <w:t>“</w:t>
      </w:r>
      <w:r>
        <w:rPr>
          <w:rFonts w:hint="default" w:ascii="Times New Roman" w:hAnsi="Times New Roman" w:eastAsia="仿宋_GB2312" w:cs="Times New Roman"/>
          <w:spacing w:val="-6"/>
          <w:sz w:val="32"/>
          <w:szCs w:val="32"/>
          <w:lang w:val="en-US" w:eastAsia="zh-CN"/>
        </w:rPr>
        <w:t>宪法宣传周</w:t>
      </w:r>
      <w:r>
        <w:rPr>
          <w:rFonts w:hint="eastAsia" w:ascii="Times New Roman" w:hAnsi="Times New Roman" w:eastAsia="仿宋_GB2312" w:cs="Times New Roman"/>
          <w:spacing w:val="-6"/>
          <w:sz w:val="32"/>
          <w:szCs w:val="32"/>
          <w:lang w:val="en-US" w:eastAsia="zh-CN"/>
        </w:rPr>
        <w:t>”</w:t>
      </w:r>
      <w:r>
        <w:rPr>
          <w:rFonts w:hint="default" w:ascii="Times New Roman" w:hAnsi="Times New Roman" w:eastAsia="仿宋_GB2312" w:cs="Times New Roman"/>
          <w:spacing w:val="-6"/>
          <w:sz w:val="32"/>
          <w:szCs w:val="32"/>
          <w:lang w:val="en-US" w:eastAsia="zh-CN"/>
        </w:rPr>
        <w:t>主题活动1次，通过法规解读、案例分析等丰富形式，推动法治学习走深走实，全系统干部职工参与法治学习教育累计达800余人次，实现学习全覆盖、无遗漏，切实提升全体人员法治素养和依法履职能力。</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楷体_GB2312" w:cs="Times New Roman"/>
          <w:spacing w:val="-6"/>
          <w:sz w:val="32"/>
          <w:szCs w:val="32"/>
          <w:lang w:val="en-US" w:eastAsia="zh-CN"/>
        </w:rPr>
      </w:pPr>
      <w:r>
        <w:rPr>
          <w:rFonts w:hint="default" w:ascii="Times New Roman" w:hAnsi="Times New Roman" w:eastAsia="楷体_GB2312" w:cs="Times New Roman"/>
          <w:spacing w:val="-6"/>
          <w:sz w:val="32"/>
          <w:szCs w:val="32"/>
          <w:lang w:val="en-US" w:eastAsia="zh-CN"/>
        </w:rPr>
        <w:t>（二）规范行政权力运行，提升依法行政制度化水平</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仿宋_GB2312" w:cs="Times New Roman"/>
          <w:spacing w:val="-6"/>
          <w:sz w:val="32"/>
          <w:szCs w:val="32"/>
          <w:lang w:val="en-US" w:eastAsia="zh-CN"/>
        </w:rPr>
      </w:pPr>
      <w:r>
        <w:rPr>
          <w:rFonts w:hint="default" w:ascii="Times New Roman" w:hAnsi="Times New Roman" w:eastAsia="仿宋_GB2312" w:cs="Times New Roman"/>
          <w:spacing w:val="-6"/>
          <w:sz w:val="32"/>
          <w:szCs w:val="32"/>
          <w:lang w:val="en-US" w:eastAsia="zh-CN"/>
        </w:rPr>
        <w:t>坚持用制度管权、管事、管人，不断完善行政决策、执法监管等制度体系，推动行政权力规范透明高效运行。</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仿宋_GB2312" w:cs="Times New Roman"/>
          <w:spacing w:val="-6"/>
          <w:sz w:val="32"/>
          <w:szCs w:val="32"/>
          <w:lang w:val="en-US" w:eastAsia="zh-CN"/>
        </w:rPr>
      </w:pPr>
      <w:r>
        <w:rPr>
          <w:rFonts w:hint="default" w:ascii="Times New Roman" w:hAnsi="Times New Roman" w:eastAsia="仿宋_GB2312" w:cs="Times New Roman"/>
          <w:spacing w:val="-6"/>
          <w:sz w:val="32"/>
          <w:szCs w:val="32"/>
          <w:lang w:val="en-US" w:eastAsia="zh-CN"/>
        </w:rPr>
        <w:t>一是强化行政决策合法性审查。严格执行公众参与、专家论证、风险评估、合法性审查、集体讨论决定等法定程序。全年开展行政合法性文件审查88件、公平竞争审查6件，制定行政规范性文件2件，均按规定进行合法性审查、备案，确保行政决策和规范性文件合法合规。聘请2名资深律师组成法律顾问团队，为重大决策、执法办案、复议应诉等工作提供专业法律意见1341条，有效防范法律风险。</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仿宋_GB2312" w:cs="Times New Roman"/>
          <w:spacing w:val="-6"/>
          <w:sz w:val="32"/>
          <w:szCs w:val="32"/>
          <w:lang w:val="en-US" w:eastAsia="zh-CN"/>
        </w:rPr>
      </w:pPr>
      <w:r>
        <w:rPr>
          <w:rFonts w:hint="default" w:ascii="Times New Roman" w:hAnsi="Times New Roman" w:eastAsia="仿宋_GB2312" w:cs="Times New Roman"/>
          <w:spacing w:val="-6"/>
          <w:sz w:val="32"/>
          <w:szCs w:val="32"/>
          <w:lang w:val="en-US" w:eastAsia="zh-CN"/>
        </w:rPr>
        <w:t>二是提升监管执法效能。持续规范</w:t>
      </w:r>
      <w:r>
        <w:rPr>
          <w:rFonts w:hint="eastAsia" w:ascii="Times New Roman" w:hAnsi="Times New Roman" w:eastAsia="仿宋_GB2312" w:cs="Times New Roman"/>
          <w:spacing w:val="-6"/>
          <w:sz w:val="32"/>
          <w:szCs w:val="32"/>
          <w:lang w:val="en-US" w:eastAsia="zh-CN"/>
        </w:rPr>
        <w:t>“</w:t>
      </w:r>
      <w:r>
        <w:rPr>
          <w:rFonts w:hint="default" w:ascii="Times New Roman" w:hAnsi="Times New Roman" w:eastAsia="仿宋_GB2312" w:cs="Times New Roman"/>
          <w:spacing w:val="-6"/>
          <w:sz w:val="32"/>
          <w:szCs w:val="32"/>
          <w:lang w:val="en-US" w:eastAsia="zh-CN"/>
        </w:rPr>
        <w:t>双随机、一公开</w:t>
      </w:r>
      <w:r>
        <w:rPr>
          <w:rFonts w:hint="eastAsia" w:ascii="Times New Roman" w:hAnsi="Times New Roman" w:eastAsia="仿宋_GB2312" w:cs="Times New Roman"/>
          <w:spacing w:val="-6"/>
          <w:sz w:val="32"/>
          <w:szCs w:val="32"/>
          <w:lang w:val="en-US" w:eastAsia="zh-CN"/>
        </w:rPr>
        <w:t>”</w:t>
      </w:r>
      <w:r>
        <w:rPr>
          <w:rFonts w:hint="default" w:ascii="Times New Roman" w:hAnsi="Times New Roman" w:eastAsia="仿宋_GB2312" w:cs="Times New Roman"/>
          <w:spacing w:val="-6"/>
          <w:sz w:val="32"/>
          <w:szCs w:val="32"/>
          <w:lang w:val="en-US" w:eastAsia="zh-CN"/>
        </w:rPr>
        <w:t>监管机制，印发《焦作市生态环境</w:t>
      </w:r>
      <w:r>
        <w:rPr>
          <w:rFonts w:hint="eastAsia" w:ascii="Times New Roman" w:hAnsi="Times New Roman" w:eastAsia="仿宋_GB2312" w:cs="Times New Roman"/>
          <w:spacing w:val="-6"/>
          <w:sz w:val="32"/>
          <w:szCs w:val="32"/>
          <w:lang w:val="en-US" w:eastAsia="zh-CN"/>
        </w:rPr>
        <w:t>“</w:t>
      </w:r>
      <w:r>
        <w:rPr>
          <w:rFonts w:hint="default" w:ascii="Times New Roman" w:hAnsi="Times New Roman" w:eastAsia="仿宋_GB2312" w:cs="Times New Roman"/>
          <w:spacing w:val="-6"/>
          <w:sz w:val="32"/>
          <w:szCs w:val="32"/>
          <w:lang w:val="en-US" w:eastAsia="zh-CN"/>
        </w:rPr>
        <w:t>双随机、一公开</w:t>
      </w:r>
      <w:r>
        <w:rPr>
          <w:rFonts w:hint="eastAsia" w:ascii="Times New Roman" w:hAnsi="Times New Roman" w:eastAsia="仿宋_GB2312" w:cs="Times New Roman"/>
          <w:spacing w:val="-6"/>
          <w:sz w:val="32"/>
          <w:szCs w:val="32"/>
          <w:lang w:val="en-US" w:eastAsia="zh-CN"/>
        </w:rPr>
        <w:t>”</w:t>
      </w:r>
      <w:r>
        <w:rPr>
          <w:rFonts w:hint="default" w:ascii="Times New Roman" w:hAnsi="Times New Roman" w:eastAsia="仿宋_GB2312" w:cs="Times New Roman"/>
          <w:spacing w:val="-6"/>
          <w:sz w:val="32"/>
          <w:szCs w:val="32"/>
          <w:lang w:val="en-US" w:eastAsia="zh-CN"/>
        </w:rPr>
        <w:t>监管工作规范》《2025年度部门联合随机抽查计划》，建立涵盖9000余家企业的抽查对象名录库和100余名执法人员的执法人员名录库，推行抽查对象名单碰撞制度，避免重复检查、多头检查。联合市商务局、市场监管局、住建局等部门开展跨部门联合检查11次，检查企业50余家，实现</w:t>
      </w:r>
      <w:r>
        <w:rPr>
          <w:rFonts w:hint="eastAsia" w:ascii="Times New Roman" w:hAnsi="Times New Roman" w:eastAsia="仿宋_GB2312" w:cs="Times New Roman"/>
          <w:spacing w:val="-6"/>
          <w:sz w:val="32"/>
          <w:szCs w:val="32"/>
          <w:lang w:val="en-US" w:eastAsia="zh-CN"/>
        </w:rPr>
        <w:t>“</w:t>
      </w:r>
      <w:r>
        <w:rPr>
          <w:rFonts w:hint="default" w:ascii="Times New Roman" w:hAnsi="Times New Roman" w:eastAsia="仿宋_GB2312" w:cs="Times New Roman"/>
          <w:spacing w:val="-6"/>
          <w:sz w:val="32"/>
          <w:szCs w:val="32"/>
          <w:lang w:val="en-US" w:eastAsia="zh-CN"/>
        </w:rPr>
        <w:t>进一次门、查多项事</w:t>
      </w:r>
      <w:r>
        <w:rPr>
          <w:rFonts w:hint="eastAsia" w:ascii="Times New Roman" w:hAnsi="Times New Roman" w:eastAsia="仿宋_GB2312" w:cs="Times New Roman"/>
          <w:spacing w:val="-6"/>
          <w:sz w:val="32"/>
          <w:szCs w:val="32"/>
          <w:lang w:val="en-US" w:eastAsia="zh-CN"/>
        </w:rPr>
        <w:t>”</w:t>
      </w:r>
      <w:r>
        <w:rPr>
          <w:rFonts w:hint="default" w:ascii="Times New Roman" w:hAnsi="Times New Roman" w:eastAsia="仿宋_GB2312" w:cs="Times New Roman"/>
          <w:spacing w:val="-6"/>
          <w:sz w:val="32"/>
          <w:szCs w:val="32"/>
          <w:lang w:val="en-US" w:eastAsia="zh-CN"/>
        </w:rPr>
        <w:t>，减少对企业正常生产经营的干扰，有效优化营商环境。</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楷体_GB2312" w:cs="Times New Roman"/>
          <w:spacing w:val="-6"/>
          <w:sz w:val="32"/>
          <w:szCs w:val="32"/>
          <w:lang w:val="en-US" w:eastAsia="zh-CN"/>
        </w:rPr>
      </w:pPr>
      <w:r>
        <w:rPr>
          <w:rFonts w:hint="default" w:ascii="Times New Roman" w:hAnsi="Times New Roman" w:eastAsia="楷体_GB2312" w:cs="Times New Roman"/>
          <w:spacing w:val="-6"/>
          <w:sz w:val="32"/>
          <w:szCs w:val="32"/>
          <w:lang w:val="en-US" w:eastAsia="zh-CN"/>
        </w:rPr>
        <w:t>（三）强化法治保障能力，提升环境治理法治化水平</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仿宋_GB2312" w:cs="Times New Roman"/>
          <w:spacing w:val="-6"/>
          <w:sz w:val="32"/>
          <w:szCs w:val="32"/>
          <w:lang w:val="en-US" w:eastAsia="zh-CN"/>
        </w:rPr>
      </w:pPr>
      <w:r>
        <w:rPr>
          <w:rFonts w:hint="default" w:ascii="Times New Roman" w:hAnsi="Times New Roman" w:eastAsia="仿宋_GB2312" w:cs="Times New Roman"/>
          <w:spacing w:val="-6"/>
          <w:sz w:val="32"/>
          <w:szCs w:val="32"/>
          <w:lang w:val="en-US" w:eastAsia="zh-CN"/>
        </w:rPr>
        <w:t>坚持立法、执法、普法协同推进，以高质量法治保障生态环境治理高质量发展。</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仿宋_GB2312" w:cs="Times New Roman"/>
          <w:color w:val="auto"/>
          <w:spacing w:val="6"/>
          <w:sz w:val="32"/>
          <w:szCs w:val="32"/>
          <w:lang w:val="en-US" w:eastAsia="zh-CN"/>
        </w:rPr>
      </w:pPr>
      <w:r>
        <w:rPr>
          <w:rFonts w:hint="default" w:ascii="Times New Roman" w:hAnsi="Times New Roman" w:eastAsia="仿宋_GB2312" w:cs="Times New Roman"/>
          <w:spacing w:val="-6"/>
          <w:sz w:val="32"/>
          <w:szCs w:val="32"/>
          <w:lang w:val="en-US" w:eastAsia="zh-CN"/>
        </w:rPr>
        <w:t>一是加强地方环境立法保障。组织市发改委、工信局、住建局、交通运输局等10余个部门，开展《焦作市大气污染防治条例》立法后评估工作，通过数据分析等方式，重点评估条例在工业污染管控、扬尘污染防治、机动车污染治理等重点领域的实施成效、存在问题。</w:t>
      </w:r>
      <w:r>
        <w:rPr>
          <w:rFonts w:hint="default" w:ascii="Times New Roman" w:hAnsi="Times New Roman" w:eastAsia="仿宋_GB2312" w:cs="Times New Roman"/>
          <w:color w:val="auto"/>
          <w:spacing w:val="-6"/>
          <w:sz w:val="32"/>
          <w:szCs w:val="32"/>
          <w:lang w:val="en-US" w:eastAsia="zh-CN"/>
        </w:rPr>
        <w:t>2025年，我市空气质量综合指数4.153，同比下降11.3%、改善率全省第7；PM2.5浓度39.28微克/立方米，同比下降19.1%、改善率全省第2；PM10浓度71.2微克/立方米，同比下降11.8%、</w:t>
      </w:r>
      <w:r>
        <w:rPr>
          <w:rFonts w:hint="default" w:ascii="Times New Roman" w:hAnsi="Times New Roman" w:eastAsia="仿宋_GB2312" w:cs="Times New Roman"/>
          <w:color w:val="auto"/>
          <w:spacing w:val="6"/>
          <w:sz w:val="32"/>
          <w:szCs w:val="32"/>
          <w:lang w:val="en-US" w:eastAsia="zh-CN"/>
        </w:rPr>
        <w:t>改善率全省第5；优良天246天，同比增加10天、全省第14；重污染天1天，同比减少9天，圆满完成国家、省考核任务，条例形成了有效的制度约束，为全市大气污染防治工作提供了有力法治支撑。</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仿宋_GB2312" w:cs="Times New Roman"/>
          <w:spacing w:val="-6"/>
          <w:sz w:val="32"/>
          <w:szCs w:val="32"/>
          <w:lang w:val="en-US" w:eastAsia="zh-CN"/>
        </w:rPr>
      </w:pPr>
      <w:r>
        <w:rPr>
          <w:rFonts w:hint="default" w:ascii="Times New Roman" w:hAnsi="Times New Roman" w:eastAsia="仿宋_GB2312" w:cs="Times New Roman"/>
          <w:spacing w:val="-6"/>
          <w:sz w:val="32"/>
          <w:szCs w:val="32"/>
          <w:lang w:val="en-US" w:eastAsia="zh-CN"/>
        </w:rPr>
        <w:t>二是深化行政执法体制改革。深入贯彻落实生态环境领域行政执法体制改革要求，制定《涉企行政检查流程》《行政处罚案件办理程序和案件文书签发审批规定》等配套制度，进一步优化执法审批流程、规范办案程序、明确执法标准。建立执法人员资格管理制度，组织全市近400名执法人员参加执法资格考试，合格率达100%；开展执法人员业务培训2期，培训执法人员</w:t>
      </w:r>
      <w:r>
        <w:rPr>
          <w:rFonts w:hint="eastAsia" w:ascii="Times New Roman" w:hAnsi="Times New Roman" w:eastAsia="仿宋_GB2312" w:cs="Times New Roman"/>
          <w:spacing w:val="-6"/>
          <w:sz w:val="32"/>
          <w:szCs w:val="32"/>
          <w:lang w:val="en-US" w:eastAsia="zh-CN"/>
        </w:rPr>
        <w:t>4</w:t>
      </w:r>
      <w:r>
        <w:rPr>
          <w:rFonts w:hint="default" w:ascii="Times New Roman" w:hAnsi="Times New Roman" w:eastAsia="仿宋_GB2312" w:cs="Times New Roman"/>
          <w:spacing w:val="-6"/>
          <w:sz w:val="32"/>
          <w:szCs w:val="32"/>
          <w:lang w:val="en-US" w:eastAsia="zh-CN"/>
        </w:rPr>
        <w:t>00余人次，提升执法人员专业素养和办案能力。</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仿宋_GB2312" w:cs="Times New Roman"/>
          <w:spacing w:val="-6"/>
          <w:sz w:val="32"/>
          <w:szCs w:val="32"/>
          <w:lang w:val="en-US" w:eastAsia="zh-CN"/>
        </w:rPr>
      </w:pPr>
      <w:r>
        <w:rPr>
          <w:rFonts w:hint="default" w:ascii="Times New Roman" w:hAnsi="Times New Roman" w:eastAsia="仿宋_GB2312" w:cs="Times New Roman"/>
          <w:spacing w:val="-6"/>
          <w:sz w:val="32"/>
          <w:szCs w:val="32"/>
          <w:lang w:val="en-US" w:eastAsia="zh-CN"/>
        </w:rPr>
        <w:t>三是加大重点领域执法力度。以污染防治攻坚战为核心，聚焦大气、水、土壤、在线监控、机动车检测等重点领域，组织开展专项执法行动，严厉打击超标排放、偷排漏排、非法处置危险废物等环境违法犯罪行为。全年共出动执法人员</w:t>
      </w:r>
      <w:r>
        <w:rPr>
          <w:rFonts w:hint="eastAsia" w:ascii="Times New Roman" w:hAnsi="Times New Roman" w:eastAsia="仿宋_GB2312" w:cs="Times New Roman"/>
          <w:spacing w:val="-6"/>
          <w:sz w:val="32"/>
          <w:szCs w:val="32"/>
          <w:lang w:val="en-US" w:eastAsia="zh-CN"/>
        </w:rPr>
        <w:t>4.5</w:t>
      </w:r>
      <w:r>
        <w:rPr>
          <w:rFonts w:hint="default" w:ascii="Times New Roman" w:hAnsi="Times New Roman" w:eastAsia="仿宋_GB2312" w:cs="Times New Roman"/>
          <w:spacing w:val="-6"/>
          <w:sz w:val="32"/>
          <w:szCs w:val="32"/>
          <w:lang w:val="en-US" w:eastAsia="zh-CN"/>
        </w:rPr>
        <w:t>万人次，检查企业</w:t>
      </w:r>
      <w:r>
        <w:rPr>
          <w:rFonts w:hint="eastAsia" w:ascii="Times New Roman" w:hAnsi="Times New Roman" w:eastAsia="仿宋_GB2312" w:cs="Times New Roman"/>
          <w:spacing w:val="-6"/>
          <w:sz w:val="32"/>
          <w:szCs w:val="32"/>
          <w:lang w:val="en-US" w:eastAsia="zh-CN"/>
        </w:rPr>
        <w:t>2.1万</w:t>
      </w:r>
      <w:r>
        <w:rPr>
          <w:rFonts w:hint="default" w:ascii="Times New Roman" w:hAnsi="Times New Roman" w:eastAsia="仿宋_GB2312" w:cs="Times New Roman"/>
          <w:spacing w:val="-6"/>
          <w:sz w:val="32"/>
          <w:szCs w:val="32"/>
          <w:lang w:val="en-US" w:eastAsia="zh-CN"/>
        </w:rPr>
        <w:t>余家次，办理行政处罚案件4</w:t>
      </w:r>
      <w:r>
        <w:rPr>
          <w:rFonts w:hint="eastAsia" w:ascii="Times New Roman" w:hAnsi="Times New Roman" w:eastAsia="仿宋_GB2312" w:cs="Times New Roman"/>
          <w:spacing w:val="-6"/>
          <w:sz w:val="32"/>
          <w:szCs w:val="32"/>
          <w:lang w:val="en-US" w:eastAsia="zh-CN"/>
        </w:rPr>
        <w:t>6</w:t>
      </w:r>
      <w:r>
        <w:rPr>
          <w:rFonts w:hint="default" w:ascii="Times New Roman" w:hAnsi="Times New Roman" w:eastAsia="仿宋_GB2312" w:cs="Times New Roman"/>
          <w:spacing w:val="-6"/>
          <w:sz w:val="32"/>
          <w:szCs w:val="32"/>
          <w:lang w:val="en-US" w:eastAsia="zh-CN"/>
        </w:rPr>
        <w:t>1件，其中重大案件93起；办理行政强制案件30起，移送公安机关行政拘留案件1起，移送涉嫌环境污染犯罪案件10起，形成有力震慑。严格落实案件评查制度，组织开展动态评查，评查案卷233份，发现程序不规范、法律适用错误、文书制作不标准等问题50余个，建立问题台账，实行</w:t>
      </w:r>
      <w:r>
        <w:rPr>
          <w:rFonts w:hint="eastAsia" w:ascii="Times New Roman" w:hAnsi="Times New Roman" w:eastAsia="仿宋_GB2312" w:cs="Times New Roman"/>
          <w:spacing w:val="-6"/>
          <w:sz w:val="32"/>
          <w:szCs w:val="32"/>
          <w:lang w:val="en-US" w:eastAsia="zh-CN"/>
        </w:rPr>
        <w:t>“</w:t>
      </w:r>
      <w:r>
        <w:rPr>
          <w:rFonts w:hint="default" w:ascii="Times New Roman" w:hAnsi="Times New Roman" w:eastAsia="仿宋_GB2312" w:cs="Times New Roman"/>
          <w:spacing w:val="-6"/>
          <w:sz w:val="32"/>
          <w:szCs w:val="32"/>
          <w:lang w:val="en-US" w:eastAsia="zh-CN"/>
        </w:rPr>
        <w:t>一案一整改</w:t>
      </w:r>
      <w:r>
        <w:rPr>
          <w:rFonts w:hint="eastAsia" w:ascii="Times New Roman" w:hAnsi="Times New Roman" w:eastAsia="仿宋_GB2312" w:cs="Times New Roman"/>
          <w:spacing w:val="-6"/>
          <w:sz w:val="32"/>
          <w:szCs w:val="32"/>
          <w:lang w:val="en-US" w:eastAsia="zh-CN"/>
        </w:rPr>
        <w:t>”</w:t>
      </w:r>
      <w:r>
        <w:rPr>
          <w:rFonts w:hint="default" w:ascii="Times New Roman" w:hAnsi="Times New Roman" w:eastAsia="仿宋_GB2312" w:cs="Times New Roman"/>
          <w:spacing w:val="-6"/>
          <w:sz w:val="32"/>
          <w:szCs w:val="32"/>
          <w:lang w:val="en-US" w:eastAsia="zh-CN"/>
        </w:rPr>
        <w:t>，推动执法办案质量持续提升，全年无行政复议、行政诉讼败诉案件。</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仿宋_GB2312" w:cs="Times New Roman"/>
          <w:spacing w:val="-6"/>
          <w:sz w:val="32"/>
          <w:szCs w:val="32"/>
          <w:lang w:val="en-US" w:eastAsia="zh-CN"/>
        </w:rPr>
      </w:pPr>
      <w:r>
        <w:rPr>
          <w:rFonts w:hint="default" w:ascii="Times New Roman" w:hAnsi="Times New Roman" w:eastAsia="仿宋_GB2312" w:cs="Times New Roman"/>
          <w:spacing w:val="-6"/>
          <w:sz w:val="32"/>
          <w:szCs w:val="32"/>
          <w:lang w:val="en-US" w:eastAsia="zh-CN"/>
        </w:rPr>
        <w:t>四是提升执法智能化水平。坚持向科技要战力，将科技创新深度融入执法全程，打造特色鲜明的</w:t>
      </w:r>
      <w:r>
        <w:rPr>
          <w:rFonts w:hint="eastAsia" w:ascii="Times New Roman" w:hAnsi="Times New Roman" w:eastAsia="仿宋_GB2312" w:cs="Times New Roman"/>
          <w:spacing w:val="-6"/>
          <w:sz w:val="32"/>
          <w:szCs w:val="32"/>
          <w:lang w:val="en-US" w:eastAsia="zh-CN"/>
        </w:rPr>
        <w:t>“</w:t>
      </w:r>
      <w:r>
        <w:rPr>
          <w:rFonts w:hint="default" w:ascii="Times New Roman" w:hAnsi="Times New Roman" w:eastAsia="仿宋_GB2312" w:cs="Times New Roman"/>
          <w:spacing w:val="-6"/>
          <w:sz w:val="32"/>
          <w:szCs w:val="32"/>
          <w:lang w:val="en-US" w:eastAsia="zh-CN"/>
        </w:rPr>
        <w:t>焦作品牌</w:t>
      </w:r>
      <w:r>
        <w:rPr>
          <w:rFonts w:hint="eastAsia" w:ascii="Times New Roman" w:hAnsi="Times New Roman" w:eastAsia="仿宋_GB2312" w:cs="Times New Roman"/>
          <w:spacing w:val="-6"/>
          <w:sz w:val="32"/>
          <w:szCs w:val="32"/>
          <w:lang w:val="en-US" w:eastAsia="zh-CN"/>
        </w:rPr>
        <w:t>”</w:t>
      </w:r>
      <w:r>
        <w:rPr>
          <w:rFonts w:hint="default" w:ascii="Times New Roman" w:hAnsi="Times New Roman" w:eastAsia="仿宋_GB2312" w:cs="Times New Roman"/>
          <w:spacing w:val="-6"/>
          <w:sz w:val="32"/>
          <w:szCs w:val="32"/>
          <w:lang w:val="en-US" w:eastAsia="zh-CN"/>
        </w:rPr>
        <w:t>。在全国率先出台《无人机辅助执法管理办法》，并创新融合3D建模与红外热成像技术，成功构建国内首例执法现场三维数字模型，精准查处隐藏极深的违法设施，相关实践获国家级媒体报道及部级肯定。此外，积极争取资金强化执法装备标准化建设，推动移动执法系统应用核心指标全部达100%，并通过</w:t>
      </w:r>
      <w:r>
        <w:rPr>
          <w:rFonts w:hint="eastAsia" w:ascii="Times New Roman" w:hAnsi="Times New Roman" w:eastAsia="仿宋_GB2312" w:cs="Times New Roman"/>
          <w:spacing w:val="-6"/>
          <w:sz w:val="32"/>
          <w:szCs w:val="32"/>
          <w:lang w:val="en-US" w:eastAsia="zh-CN"/>
        </w:rPr>
        <w:t>“</w:t>
      </w:r>
      <w:r>
        <w:rPr>
          <w:rFonts w:hint="default" w:ascii="Times New Roman" w:hAnsi="Times New Roman" w:eastAsia="仿宋_GB2312" w:cs="Times New Roman"/>
          <w:spacing w:val="-6"/>
          <w:sz w:val="32"/>
          <w:szCs w:val="32"/>
          <w:lang w:val="en-US" w:eastAsia="zh-CN"/>
        </w:rPr>
        <w:t>一证式</w:t>
      </w:r>
      <w:r>
        <w:rPr>
          <w:rFonts w:hint="eastAsia" w:ascii="Times New Roman" w:hAnsi="Times New Roman" w:eastAsia="仿宋_GB2312" w:cs="Times New Roman"/>
          <w:spacing w:val="-6"/>
          <w:sz w:val="32"/>
          <w:szCs w:val="32"/>
          <w:lang w:val="en-US" w:eastAsia="zh-CN"/>
        </w:rPr>
        <w:t>”</w:t>
      </w:r>
      <w:r>
        <w:rPr>
          <w:rFonts w:hint="default" w:ascii="Times New Roman" w:hAnsi="Times New Roman" w:eastAsia="仿宋_GB2312" w:cs="Times New Roman"/>
          <w:spacing w:val="-6"/>
          <w:sz w:val="32"/>
          <w:szCs w:val="32"/>
          <w:lang w:val="en-US" w:eastAsia="zh-CN"/>
        </w:rPr>
        <w:t>执法夯实排污许可刚性约束，整合多维数据破解中小企业监管难题，系统推进执法体系全面迈向数字化、智慧化新阶段。</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黑体" w:cs="Times New Roman"/>
          <w:spacing w:val="-6"/>
          <w:sz w:val="32"/>
          <w:szCs w:val="32"/>
        </w:rPr>
      </w:pPr>
      <w:r>
        <w:rPr>
          <w:rFonts w:hint="default" w:ascii="Times New Roman" w:hAnsi="Times New Roman" w:eastAsia="黑体" w:cs="Times New Roman"/>
          <w:spacing w:val="-6"/>
          <w:sz w:val="32"/>
          <w:szCs w:val="32"/>
        </w:rPr>
        <w:t>三、存在的不足</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仿宋_GB2312" w:cs="Times New Roman"/>
          <w:spacing w:val="-6"/>
          <w:sz w:val="32"/>
          <w:szCs w:val="32"/>
        </w:rPr>
      </w:pPr>
      <w:r>
        <w:rPr>
          <w:rFonts w:hint="default" w:ascii="Times New Roman" w:hAnsi="Times New Roman" w:eastAsia="仿宋_GB2312" w:cs="Times New Roman"/>
          <w:spacing w:val="-6"/>
          <w:sz w:val="32"/>
          <w:szCs w:val="32"/>
        </w:rPr>
        <w:t>尽管2025年我局法治政府建设工作取得了一定成效，但对照《法治政府建设实施纲要（2021－2025年）》和市委、市政府的要求，对照人民群众对生态环境法治建设的新期待，仍存在一些薄弱环节和不足：</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楷体_GB2312" w:cs="Times New Roman"/>
          <w:spacing w:val="-6"/>
          <w:sz w:val="32"/>
          <w:szCs w:val="32"/>
          <w:lang w:val="en-US" w:eastAsia="zh-CN"/>
        </w:rPr>
      </w:pPr>
      <w:r>
        <w:rPr>
          <w:rFonts w:hint="default" w:ascii="Times New Roman" w:hAnsi="Times New Roman" w:eastAsia="楷体_GB2312" w:cs="Times New Roman"/>
          <w:spacing w:val="-6"/>
          <w:sz w:val="32"/>
          <w:szCs w:val="32"/>
          <w:lang w:val="en-US" w:eastAsia="zh-CN"/>
        </w:rPr>
        <w:t>（一）法治宣传教育的精准性和实效性有待提升</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仿宋_GB2312" w:cs="Times New Roman"/>
          <w:spacing w:val="-6"/>
          <w:sz w:val="32"/>
          <w:szCs w:val="32"/>
        </w:rPr>
      </w:pPr>
      <w:r>
        <w:rPr>
          <w:rFonts w:hint="default" w:ascii="Times New Roman" w:hAnsi="Times New Roman" w:eastAsia="仿宋_GB2312" w:cs="Times New Roman"/>
          <w:spacing w:val="-6"/>
          <w:sz w:val="32"/>
          <w:szCs w:val="32"/>
        </w:rPr>
        <w:t>法治宣传形式仍以悬挂横幅、现场咨询等传统方式为主，运用新媒体开展宣传的力度不够，宣传的创新性、互动性不足，难以满足不同群体的认知特点和需求。宣传内容针对性不强，对企业关注的环保合规、信用修复、行政处罚减免等重点内容宣传不够深入，对群众关注的大气、水、噪声污染防治等民生领域的法律法规解读不够透彻，对青少年生态环境法治教育的形式和内容较为单一，</w:t>
      </w:r>
      <w:r>
        <w:rPr>
          <w:rFonts w:hint="default" w:ascii="Times New Roman" w:hAnsi="Times New Roman" w:eastAsia="仿宋_GB2312" w:cs="Times New Roman"/>
          <w:spacing w:val="-6"/>
          <w:sz w:val="32"/>
          <w:szCs w:val="32"/>
          <w:lang w:eastAsia="zh-CN"/>
        </w:rPr>
        <w:t>与上级要求</w:t>
      </w:r>
      <w:r>
        <w:rPr>
          <w:rFonts w:hint="default" w:ascii="Times New Roman" w:hAnsi="Times New Roman" w:eastAsia="仿宋_GB2312" w:cs="Times New Roman"/>
          <w:spacing w:val="-6"/>
          <w:sz w:val="32"/>
          <w:szCs w:val="32"/>
        </w:rPr>
        <w:t>相比仍有差距。</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楷体_GB2312" w:cs="Times New Roman"/>
          <w:spacing w:val="-6"/>
          <w:sz w:val="32"/>
          <w:szCs w:val="32"/>
          <w:lang w:val="en-US" w:eastAsia="zh-CN"/>
        </w:rPr>
      </w:pPr>
      <w:r>
        <w:rPr>
          <w:rFonts w:hint="default" w:ascii="Times New Roman" w:hAnsi="Times New Roman" w:eastAsia="楷体_GB2312" w:cs="Times New Roman"/>
          <w:spacing w:val="-6"/>
          <w:sz w:val="32"/>
          <w:szCs w:val="32"/>
          <w:lang w:val="en-US" w:eastAsia="zh-CN"/>
        </w:rPr>
        <w:t>（二）执法规范化水平仍需进一步提高</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仿宋_GB2312" w:cs="Times New Roman"/>
          <w:spacing w:val="-6"/>
          <w:sz w:val="32"/>
          <w:szCs w:val="32"/>
        </w:rPr>
      </w:pPr>
      <w:r>
        <w:rPr>
          <w:rFonts w:hint="default" w:ascii="Times New Roman" w:hAnsi="Times New Roman" w:eastAsia="仿宋_GB2312" w:cs="Times New Roman"/>
          <w:spacing w:val="-6"/>
          <w:sz w:val="32"/>
          <w:szCs w:val="32"/>
        </w:rPr>
        <w:t>部分执法人员法治意识和专业素养有待提升，在执法过程中存在程序不够规范、文书制作不够标准、法律适用不够准确等问题。非现场执法能力有待加强，虽然已配备部分新型执法装备，但在实际应用中存在操作不熟练、数据运用不充分等问题。执法与服务的平衡有待优化，部分执法人员</w:t>
      </w:r>
      <w:r>
        <w:rPr>
          <w:rFonts w:hint="eastAsia" w:ascii="Times New Roman" w:hAnsi="Times New Roman" w:eastAsia="仿宋_GB2312" w:cs="Times New Roman"/>
          <w:spacing w:val="-6"/>
          <w:sz w:val="32"/>
          <w:szCs w:val="32"/>
          <w:lang w:eastAsia="zh-CN"/>
        </w:rPr>
        <w:t>“</w:t>
      </w:r>
      <w:r>
        <w:rPr>
          <w:rFonts w:hint="default" w:ascii="Times New Roman" w:hAnsi="Times New Roman" w:eastAsia="仿宋_GB2312" w:cs="Times New Roman"/>
          <w:spacing w:val="-6"/>
          <w:sz w:val="32"/>
          <w:szCs w:val="32"/>
        </w:rPr>
        <w:t>重处罚、轻服务</w:t>
      </w:r>
      <w:r>
        <w:rPr>
          <w:rFonts w:hint="eastAsia" w:ascii="Times New Roman" w:hAnsi="Times New Roman" w:eastAsia="仿宋_GB2312" w:cs="Times New Roman"/>
          <w:spacing w:val="-6"/>
          <w:sz w:val="32"/>
          <w:szCs w:val="32"/>
          <w:lang w:eastAsia="zh-CN"/>
        </w:rPr>
        <w:t>”</w:t>
      </w:r>
      <w:r>
        <w:rPr>
          <w:rFonts w:hint="default" w:ascii="Times New Roman" w:hAnsi="Times New Roman" w:eastAsia="仿宋_GB2312" w:cs="Times New Roman"/>
          <w:spacing w:val="-6"/>
          <w:sz w:val="32"/>
          <w:szCs w:val="32"/>
        </w:rPr>
        <w:t>的理念尚未完全转变，对企业的指导帮扶不够精准，服务型行政执法的成效有待进一步显现。</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楷体_GB2312" w:cs="Times New Roman"/>
          <w:spacing w:val="-6"/>
          <w:sz w:val="32"/>
          <w:szCs w:val="32"/>
          <w:lang w:val="en-US" w:eastAsia="zh-CN"/>
        </w:rPr>
      </w:pPr>
      <w:r>
        <w:rPr>
          <w:rFonts w:hint="default" w:ascii="Times New Roman" w:hAnsi="Times New Roman" w:eastAsia="楷体_GB2312" w:cs="Times New Roman"/>
          <w:spacing w:val="-6"/>
          <w:sz w:val="32"/>
          <w:szCs w:val="32"/>
          <w:lang w:val="en-US" w:eastAsia="zh-CN"/>
        </w:rPr>
        <w:t>（三）法治保障体系仍需进一步完善</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仿宋_GB2312" w:cs="Times New Roman"/>
          <w:spacing w:val="-6"/>
          <w:sz w:val="32"/>
          <w:szCs w:val="32"/>
        </w:rPr>
      </w:pPr>
      <w:r>
        <w:rPr>
          <w:rFonts w:hint="default" w:ascii="Times New Roman" w:hAnsi="Times New Roman" w:eastAsia="仿宋_GB2312" w:cs="Times New Roman"/>
          <w:spacing w:val="-6"/>
          <w:sz w:val="32"/>
          <w:szCs w:val="32"/>
        </w:rPr>
        <w:t>行政执法与刑事司法衔接机制仍需健全，在案件移送、证据固定、联合办案等方面存在协调不畅、效</w:t>
      </w:r>
      <w:bookmarkStart w:id="0" w:name="_GoBack"/>
      <w:bookmarkEnd w:id="0"/>
      <w:r>
        <w:rPr>
          <w:rFonts w:hint="default" w:ascii="Times New Roman" w:hAnsi="Times New Roman" w:eastAsia="仿宋_GB2312" w:cs="Times New Roman"/>
          <w:spacing w:val="-6"/>
          <w:sz w:val="32"/>
          <w:szCs w:val="32"/>
        </w:rPr>
        <w:t>率不高的问题。法律顾问、技术专家参与执法办案、行政决策的深度和广度不够，法治保障的专业性、针对性有待提升。</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黑体" w:cs="Times New Roman"/>
          <w:spacing w:val="-6"/>
          <w:sz w:val="32"/>
          <w:szCs w:val="32"/>
        </w:rPr>
      </w:pPr>
      <w:r>
        <w:rPr>
          <w:rFonts w:hint="default" w:ascii="Times New Roman" w:hAnsi="Times New Roman" w:eastAsia="黑体" w:cs="Times New Roman"/>
          <w:spacing w:val="-6"/>
          <w:sz w:val="32"/>
          <w:szCs w:val="32"/>
        </w:rPr>
        <w:t>四、下步工作安排</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仿宋_GB2312" w:cs="Times New Roman"/>
          <w:spacing w:val="-6"/>
          <w:sz w:val="32"/>
          <w:szCs w:val="32"/>
        </w:rPr>
      </w:pPr>
      <w:r>
        <w:rPr>
          <w:rFonts w:hint="default" w:ascii="Times New Roman" w:hAnsi="Times New Roman" w:eastAsia="仿宋_GB2312" w:cs="Times New Roman"/>
          <w:spacing w:val="-6"/>
          <w:sz w:val="32"/>
          <w:szCs w:val="32"/>
        </w:rPr>
        <w:t>下一步，我局将以习近平新时代中国特色社会主义思想为指导，深入学习贯彻习近平法治思想和习近平生态文明思想，全面落实法治政府建设各项要求，聚焦存在的问题和不足，补短板、强弱项、提质效，推动生态环境法治政府建设再上新台阶。</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楷体_GB2312" w:cs="Times New Roman"/>
          <w:spacing w:val="-6"/>
          <w:sz w:val="32"/>
          <w:szCs w:val="32"/>
          <w:lang w:val="en-US" w:eastAsia="zh-CN"/>
        </w:rPr>
      </w:pPr>
      <w:r>
        <w:rPr>
          <w:rFonts w:hint="default" w:ascii="Times New Roman" w:hAnsi="Times New Roman" w:eastAsia="楷体_GB2312" w:cs="Times New Roman"/>
          <w:spacing w:val="-6"/>
          <w:sz w:val="32"/>
          <w:szCs w:val="32"/>
          <w:lang w:val="en-US" w:eastAsia="zh-CN"/>
        </w:rPr>
        <w:t>（一）持续深化法治思想学习贯彻，筑牢法治建设思想根基</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仿宋_GB2312" w:cs="Times New Roman"/>
          <w:spacing w:val="-6"/>
          <w:sz w:val="32"/>
          <w:szCs w:val="32"/>
        </w:rPr>
      </w:pPr>
      <w:r>
        <w:rPr>
          <w:rFonts w:hint="default" w:ascii="Times New Roman" w:hAnsi="Times New Roman" w:eastAsia="仿宋_GB2312" w:cs="Times New Roman"/>
          <w:spacing w:val="-6"/>
          <w:sz w:val="32"/>
          <w:szCs w:val="32"/>
          <w:lang w:eastAsia="zh-CN"/>
        </w:rPr>
        <w:t>一是</w:t>
      </w:r>
      <w:r>
        <w:rPr>
          <w:rFonts w:hint="default" w:ascii="Times New Roman" w:hAnsi="Times New Roman" w:eastAsia="仿宋_GB2312" w:cs="Times New Roman"/>
          <w:spacing w:val="-6"/>
          <w:sz w:val="32"/>
          <w:szCs w:val="32"/>
        </w:rPr>
        <w:t>完善领导干部学法用法机制。将习近平法治思想、生态环境领域法律法规纳入党组理论学习中心组学习计划，提升领导干部法治决策能力和依法履职水平。</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仿宋_GB2312" w:cs="Times New Roman"/>
          <w:spacing w:val="-6"/>
          <w:sz w:val="32"/>
          <w:szCs w:val="32"/>
        </w:rPr>
      </w:pPr>
      <w:r>
        <w:rPr>
          <w:rFonts w:hint="default" w:ascii="Times New Roman" w:hAnsi="Times New Roman" w:eastAsia="仿宋_GB2312" w:cs="Times New Roman"/>
          <w:spacing w:val="-6"/>
          <w:sz w:val="32"/>
          <w:szCs w:val="32"/>
          <w:lang w:eastAsia="zh-CN"/>
        </w:rPr>
        <w:t>二是</w:t>
      </w:r>
      <w:r>
        <w:rPr>
          <w:rFonts w:hint="default" w:ascii="Times New Roman" w:hAnsi="Times New Roman" w:eastAsia="仿宋_GB2312" w:cs="Times New Roman"/>
          <w:spacing w:val="-6"/>
          <w:sz w:val="32"/>
          <w:szCs w:val="32"/>
        </w:rPr>
        <w:t>健全全员常态化学法培训机制。制定《2026年度法治培训计划》，采取</w:t>
      </w:r>
      <w:r>
        <w:rPr>
          <w:rFonts w:hint="eastAsia" w:ascii="Times New Roman" w:hAnsi="Times New Roman" w:eastAsia="仿宋_GB2312" w:cs="Times New Roman"/>
          <w:spacing w:val="-6"/>
          <w:sz w:val="32"/>
          <w:szCs w:val="32"/>
          <w:lang w:eastAsia="zh-CN"/>
        </w:rPr>
        <w:t>“</w:t>
      </w:r>
      <w:r>
        <w:rPr>
          <w:rFonts w:hint="default" w:ascii="Times New Roman" w:hAnsi="Times New Roman" w:eastAsia="仿宋_GB2312" w:cs="Times New Roman"/>
          <w:spacing w:val="-6"/>
          <w:sz w:val="32"/>
          <w:szCs w:val="32"/>
        </w:rPr>
        <w:t>线上+线下</w:t>
      </w:r>
      <w:r>
        <w:rPr>
          <w:rFonts w:hint="eastAsia" w:ascii="Times New Roman" w:hAnsi="Times New Roman" w:eastAsia="仿宋_GB2312" w:cs="Times New Roman"/>
          <w:spacing w:val="-6"/>
          <w:sz w:val="32"/>
          <w:szCs w:val="32"/>
          <w:lang w:eastAsia="zh-CN"/>
        </w:rPr>
        <w:t>”“</w:t>
      </w:r>
      <w:r>
        <w:rPr>
          <w:rFonts w:hint="default" w:ascii="Times New Roman" w:hAnsi="Times New Roman" w:eastAsia="仿宋_GB2312" w:cs="Times New Roman"/>
          <w:spacing w:val="-6"/>
          <w:sz w:val="32"/>
          <w:szCs w:val="32"/>
        </w:rPr>
        <w:t>实战+研讨</w:t>
      </w:r>
      <w:r>
        <w:rPr>
          <w:rFonts w:hint="eastAsia" w:ascii="Times New Roman" w:hAnsi="Times New Roman" w:eastAsia="仿宋_GB2312" w:cs="Times New Roman"/>
          <w:spacing w:val="-6"/>
          <w:sz w:val="32"/>
          <w:szCs w:val="32"/>
          <w:lang w:eastAsia="zh-CN"/>
        </w:rPr>
        <w:t>”</w:t>
      </w:r>
      <w:r>
        <w:rPr>
          <w:rFonts w:hint="default" w:ascii="Times New Roman" w:hAnsi="Times New Roman" w:eastAsia="仿宋_GB2312" w:cs="Times New Roman"/>
          <w:spacing w:val="-6"/>
          <w:sz w:val="32"/>
          <w:szCs w:val="32"/>
        </w:rPr>
        <w:t>相结合的方式，开展执法人员、复议应诉人员等专题培训。</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仿宋_GB2312" w:cs="Times New Roman"/>
          <w:spacing w:val="-6"/>
          <w:sz w:val="32"/>
          <w:szCs w:val="32"/>
        </w:rPr>
      </w:pPr>
      <w:r>
        <w:rPr>
          <w:rFonts w:hint="default" w:ascii="Times New Roman" w:hAnsi="Times New Roman" w:eastAsia="仿宋_GB2312" w:cs="Times New Roman"/>
          <w:spacing w:val="-6"/>
          <w:sz w:val="32"/>
          <w:szCs w:val="32"/>
          <w:lang w:eastAsia="zh-CN"/>
        </w:rPr>
        <w:t>三是</w:t>
      </w:r>
      <w:r>
        <w:rPr>
          <w:rFonts w:hint="default" w:ascii="Times New Roman" w:hAnsi="Times New Roman" w:eastAsia="仿宋_GB2312" w:cs="Times New Roman"/>
          <w:spacing w:val="-6"/>
          <w:sz w:val="32"/>
          <w:szCs w:val="32"/>
        </w:rPr>
        <w:t>加强法治文化建设。打造生态环境法治文化阵地，在局机关设立法治宣传专栏，宣传生态环境法律法规和法治建设成效，营造浓厚的法治文化氛围。</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楷体_GB2312" w:cs="Times New Roman"/>
          <w:spacing w:val="-6"/>
          <w:sz w:val="32"/>
          <w:szCs w:val="32"/>
          <w:lang w:val="en-US" w:eastAsia="zh-CN"/>
        </w:rPr>
      </w:pPr>
      <w:r>
        <w:rPr>
          <w:rFonts w:hint="default" w:ascii="Times New Roman" w:hAnsi="Times New Roman" w:eastAsia="楷体_GB2312" w:cs="Times New Roman"/>
          <w:spacing w:val="-6"/>
          <w:sz w:val="32"/>
          <w:szCs w:val="32"/>
          <w:lang w:val="en-US" w:eastAsia="zh-CN"/>
        </w:rPr>
        <w:t>（二）持续规范行政权力运行，提升依法行政水平</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仿宋_GB2312" w:cs="Times New Roman"/>
          <w:spacing w:val="-6"/>
          <w:sz w:val="32"/>
          <w:szCs w:val="32"/>
        </w:rPr>
      </w:pPr>
      <w:r>
        <w:rPr>
          <w:rFonts w:hint="default" w:ascii="Times New Roman" w:hAnsi="Times New Roman" w:eastAsia="仿宋_GB2312" w:cs="Times New Roman"/>
          <w:spacing w:val="-6"/>
          <w:sz w:val="32"/>
          <w:szCs w:val="32"/>
        </w:rPr>
        <w:t>组织开展执法案卷评查等活动，提升执法办案质量。加强新型执法装备应用培训，提升执法人员非现场执法能力。推行执法全过程记录制度，实现执法活动全程留痕、可追溯。强化行政权力监督。全面推行行政执法</w:t>
      </w:r>
      <w:r>
        <w:rPr>
          <w:rFonts w:hint="eastAsia" w:ascii="Times New Roman" w:hAnsi="Times New Roman" w:eastAsia="仿宋_GB2312" w:cs="Times New Roman"/>
          <w:spacing w:val="-6"/>
          <w:sz w:val="32"/>
          <w:szCs w:val="32"/>
          <w:lang w:eastAsia="zh-CN"/>
        </w:rPr>
        <w:t>“</w:t>
      </w:r>
      <w:r>
        <w:rPr>
          <w:rFonts w:hint="default" w:ascii="Times New Roman" w:hAnsi="Times New Roman" w:eastAsia="仿宋_GB2312" w:cs="Times New Roman"/>
          <w:spacing w:val="-6"/>
          <w:sz w:val="32"/>
          <w:szCs w:val="32"/>
        </w:rPr>
        <w:t>三项制度</w:t>
      </w:r>
      <w:r>
        <w:rPr>
          <w:rFonts w:hint="eastAsia" w:ascii="Times New Roman" w:hAnsi="Times New Roman" w:eastAsia="仿宋_GB2312" w:cs="Times New Roman"/>
          <w:spacing w:val="-6"/>
          <w:sz w:val="32"/>
          <w:szCs w:val="32"/>
          <w:lang w:eastAsia="zh-CN"/>
        </w:rPr>
        <w:t>”</w:t>
      </w:r>
      <w:r>
        <w:rPr>
          <w:rFonts w:hint="default" w:ascii="Times New Roman" w:hAnsi="Times New Roman" w:eastAsia="仿宋_GB2312" w:cs="Times New Roman"/>
          <w:spacing w:val="-6"/>
          <w:sz w:val="32"/>
          <w:szCs w:val="32"/>
        </w:rPr>
        <w:t>，动态更新行政权力清单和责任清单，及时公开执法信息，接受社会监督。加强内部监督，健全执法监督机制，开展执法监督检查，及时发现和纠正执法中的违法违规行为。自觉接受人大监督、民主监督、司法监督和社会舆论监督，及时回应社会关切。</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楷体_GB2312" w:cs="Times New Roman"/>
          <w:spacing w:val="-6"/>
          <w:sz w:val="32"/>
          <w:szCs w:val="32"/>
          <w:lang w:val="en-US" w:eastAsia="zh-CN"/>
        </w:rPr>
      </w:pPr>
      <w:r>
        <w:rPr>
          <w:rFonts w:hint="default" w:ascii="Times New Roman" w:hAnsi="Times New Roman" w:eastAsia="楷体_GB2312" w:cs="Times New Roman"/>
          <w:spacing w:val="-6"/>
          <w:sz w:val="32"/>
          <w:szCs w:val="32"/>
          <w:lang w:val="en-US" w:eastAsia="zh-CN"/>
        </w:rPr>
        <w:t>（三）持续强化法治保障能力，提升环境治理法治化水平</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仿宋_GB2312" w:cs="Times New Roman"/>
          <w:spacing w:val="-6"/>
          <w:sz w:val="32"/>
          <w:szCs w:val="32"/>
        </w:rPr>
      </w:pPr>
      <w:r>
        <w:rPr>
          <w:rFonts w:hint="default" w:ascii="Times New Roman" w:hAnsi="Times New Roman" w:eastAsia="仿宋_GB2312" w:cs="Times New Roman"/>
          <w:spacing w:val="-6"/>
          <w:sz w:val="32"/>
          <w:szCs w:val="32"/>
        </w:rPr>
        <w:t>完善行政执法与刑事司法衔接机制，建立案件移送标准和程序，加强与公安、检察、法院等部门的沟通协调，开展联合执法、联合办案，形成执法合力。提升法治保障专业化水平。加强法律顾问队伍建设，扩大法律顾问参与行政决策、执法办案、复议应诉等工作的深度和广度。</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楷体_GB2312" w:cs="Times New Roman"/>
          <w:spacing w:val="-6"/>
          <w:sz w:val="32"/>
          <w:szCs w:val="32"/>
          <w:lang w:val="en-US" w:eastAsia="zh-CN"/>
        </w:rPr>
      </w:pPr>
      <w:r>
        <w:rPr>
          <w:rFonts w:hint="default" w:ascii="Times New Roman" w:hAnsi="Times New Roman" w:eastAsia="楷体_GB2312" w:cs="Times New Roman"/>
          <w:spacing w:val="-6"/>
          <w:sz w:val="32"/>
          <w:szCs w:val="32"/>
          <w:lang w:val="en-US" w:eastAsia="zh-CN"/>
        </w:rPr>
        <w:t>（四）持续创新法治宣传教育，提升社会共治水平</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仿宋_GB2312" w:cs="Times New Roman"/>
          <w:spacing w:val="-6"/>
          <w:sz w:val="32"/>
          <w:szCs w:val="32"/>
        </w:rPr>
      </w:pPr>
      <w:r>
        <w:rPr>
          <w:rFonts w:hint="default" w:ascii="Times New Roman" w:hAnsi="Times New Roman" w:eastAsia="仿宋_GB2312" w:cs="Times New Roman"/>
          <w:spacing w:val="-6"/>
          <w:sz w:val="32"/>
          <w:szCs w:val="32"/>
          <w:lang w:eastAsia="zh-CN"/>
        </w:rPr>
        <w:t>一是</w:t>
      </w:r>
      <w:r>
        <w:rPr>
          <w:rFonts w:hint="default" w:ascii="Times New Roman" w:hAnsi="Times New Roman" w:eastAsia="仿宋_GB2312" w:cs="Times New Roman"/>
          <w:spacing w:val="-6"/>
          <w:sz w:val="32"/>
          <w:szCs w:val="32"/>
        </w:rPr>
        <w:t>构建精准化普法体系。针对企业、群众、青少年等不同社会群体，定制差异化普法内容，开展</w:t>
      </w:r>
      <w:r>
        <w:rPr>
          <w:rFonts w:hint="eastAsia" w:ascii="Times New Roman" w:hAnsi="Times New Roman" w:eastAsia="仿宋_GB2312" w:cs="Times New Roman"/>
          <w:spacing w:val="-6"/>
          <w:sz w:val="32"/>
          <w:szCs w:val="32"/>
          <w:lang w:eastAsia="zh-CN"/>
        </w:rPr>
        <w:t>“</w:t>
      </w:r>
      <w:r>
        <w:rPr>
          <w:rFonts w:hint="default" w:ascii="Times New Roman" w:hAnsi="Times New Roman" w:eastAsia="仿宋_GB2312" w:cs="Times New Roman"/>
          <w:spacing w:val="-6"/>
          <w:sz w:val="32"/>
          <w:szCs w:val="32"/>
        </w:rPr>
        <w:t>精准普法</w:t>
      </w:r>
      <w:r>
        <w:rPr>
          <w:rFonts w:hint="eastAsia" w:ascii="Times New Roman" w:hAnsi="Times New Roman" w:eastAsia="仿宋_GB2312" w:cs="Times New Roman"/>
          <w:spacing w:val="-6"/>
          <w:sz w:val="32"/>
          <w:szCs w:val="32"/>
          <w:lang w:eastAsia="zh-CN"/>
        </w:rPr>
        <w:t>”</w:t>
      </w:r>
      <w:r>
        <w:rPr>
          <w:rFonts w:hint="default" w:ascii="Times New Roman" w:hAnsi="Times New Roman" w:eastAsia="仿宋_GB2312" w:cs="Times New Roman"/>
          <w:spacing w:val="-6"/>
          <w:sz w:val="32"/>
          <w:szCs w:val="32"/>
        </w:rPr>
        <w:t>活动。对企业重点宣传环保合规、信用修复、行政处罚减免等内容，对群众重点宣传环境维权途径、污染防治法律法规等内容，对青少年重点开展生态环境法治启蒙教育。</w:t>
      </w:r>
    </w:p>
    <w:p>
      <w:pPr>
        <w:widowControl w:val="0"/>
        <w:wordWrap/>
        <w:adjustRightInd/>
        <w:snapToGrid/>
        <w:spacing w:line="560" w:lineRule="exact"/>
        <w:ind w:left="0" w:leftChars="0" w:right="0" w:firstLine="616" w:firstLineChars="200"/>
        <w:jc w:val="both"/>
        <w:textAlignment w:val="auto"/>
        <w:outlineLvl w:val="9"/>
        <w:rPr>
          <w:rFonts w:hint="default" w:ascii="Times New Roman" w:hAnsi="Times New Roman" w:eastAsia="仿宋_GB2312" w:cs="Times New Roman"/>
          <w:spacing w:val="-6"/>
          <w:sz w:val="32"/>
          <w:szCs w:val="32"/>
        </w:rPr>
      </w:pPr>
      <w:r>
        <w:rPr>
          <w:rFonts w:hint="default" w:ascii="Times New Roman" w:hAnsi="Times New Roman" w:eastAsia="仿宋_GB2312" w:cs="Times New Roman"/>
          <w:spacing w:val="-6"/>
          <w:sz w:val="32"/>
          <w:szCs w:val="32"/>
          <w:lang w:eastAsia="zh-CN"/>
        </w:rPr>
        <w:t>二是</w:t>
      </w:r>
      <w:r>
        <w:rPr>
          <w:rFonts w:hint="default" w:ascii="Times New Roman" w:hAnsi="Times New Roman" w:eastAsia="仿宋_GB2312" w:cs="Times New Roman"/>
          <w:spacing w:val="-6"/>
          <w:sz w:val="32"/>
          <w:szCs w:val="32"/>
        </w:rPr>
        <w:t>创新普法宣传形式。充分运用微信公众号等新媒体平台，打造生动鲜活的普法宣传产品。开展</w:t>
      </w:r>
      <w:r>
        <w:rPr>
          <w:rFonts w:hint="eastAsia" w:ascii="Times New Roman" w:hAnsi="Times New Roman" w:eastAsia="仿宋_GB2312" w:cs="Times New Roman"/>
          <w:spacing w:val="-6"/>
          <w:sz w:val="32"/>
          <w:szCs w:val="32"/>
          <w:lang w:eastAsia="zh-CN"/>
        </w:rPr>
        <w:t>“</w:t>
      </w:r>
      <w:r>
        <w:rPr>
          <w:rFonts w:hint="default" w:ascii="Times New Roman" w:hAnsi="Times New Roman" w:eastAsia="仿宋_GB2312" w:cs="Times New Roman"/>
          <w:spacing w:val="-6"/>
          <w:sz w:val="32"/>
          <w:szCs w:val="32"/>
        </w:rPr>
        <w:t>生态环境法治宣传月</w:t>
      </w:r>
      <w:r>
        <w:rPr>
          <w:rFonts w:hint="eastAsia" w:ascii="Times New Roman" w:hAnsi="Times New Roman" w:eastAsia="仿宋_GB2312" w:cs="Times New Roman"/>
          <w:spacing w:val="-6"/>
          <w:sz w:val="32"/>
          <w:szCs w:val="32"/>
          <w:lang w:eastAsia="zh-CN"/>
        </w:rPr>
        <w:t>”“</w:t>
      </w:r>
      <w:r>
        <w:rPr>
          <w:rFonts w:hint="default" w:ascii="Times New Roman" w:hAnsi="Times New Roman" w:eastAsia="仿宋_GB2312" w:cs="Times New Roman"/>
          <w:spacing w:val="-6"/>
          <w:sz w:val="32"/>
          <w:szCs w:val="32"/>
        </w:rPr>
        <w:t>以案释法进企业</w:t>
      </w:r>
      <w:r>
        <w:rPr>
          <w:rFonts w:hint="eastAsia" w:ascii="Times New Roman" w:hAnsi="Times New Roman" w:eastAsia="仿宋_GB2312" w:cs="Times New Roman"/>
          <w:spacing w:val="-6"/>
          <w:sz w:val="32"/>
          <w:szCs w:val="32"/>
          <w:lang w:eastAsia="zh-CN"/>
        </w:rPr>
        <w:t>”</w:t>
      </w:r>
      <w:r>
        <w:rPr>
          <w:rFonts w:hint="default" w:ascii="Times New Roman" w:hAnsi="Times New Roman" w:eastAsia="仿宋_GB2312" w:cs="Times New Roman"/>
          <w:spacing w:val="-6"/>
          <w:sz w:val="32"/>
          <w:szCs w:val="32"/>
        </w:rPr>
        <w:t>等活动，组织执法人员、法律顾问深入企业、社区、学校开展宣讲。</w:t>
      </w:r>
    </w:p>
    <w:p>
      <w:pPr>
        <w:widowControl w:val="0"/>
        <w:numPr>
          <w:ilvl w:val="0"/>
          <w:numId w:val="0"/>
        </w:numPr>
        <w:wordWrap/>
        <w:adjustRightInd/>
        <w:snapToGrid/>
        <w:spacing w:line="560" w:lineRule="exact"/>
        <w:ind w:left="0" w:leftChars="0" w:right="0" w:firstLine="616" w:firstLineChars="200"/>
        <w:jc w:val="both"/>
        <w:textAlignment w:val="auto"/>
        <w:outlineLvl w:val="9"/>
        <w:rPr>
          <w:rFonts w:hint="default" w:ascii="Times New Roman" w:hAnsi="Times New Roman" w:eastAsia="仿宋_GB2312" w:cs="Times New Roman"/>
          <w:spacing w:val="-6"/>
          <w:sz w:val="32"/>
          <w:szCs w:val="32"/>
        </w:rPr>
      </w:pPr>
      <w:r>
        <w:rPr>
          <w:rFonts w:hint="default" w:ascii="Times New Roman" w:hAnsi="Times New Roman" w:eastAsia="仿宋_GB2312" w:cs="Times New Roman"/>
          <w:spacing w:val="-6"/>
          <w:sz w:val="32"/>
          <w:szCs w:val="32"/>
          <w:lang w:eastAsia="zh-CN"/>
        </w:rPr>
        <w:t>三是</w:t>
      </w:r>
      <w:r>
        <w:rPr>
          <w:rFonts w:hint="default" w:ascii="Times New Roman" w:hAnsi="Times New Roman" w:eastAsia="仿宋_GB2312" w:cs="Times New Roman"/>
          <w:spacing w:val="-6"/>
          <w:sz w:val="32"/>
          <w:szCs w:val="32"/>
        </w:rPr>
        <w:t>健全社会共治体系。强化有奖举报机制，加大宣传力度，鼓励公众参与环境监督。发挥社会力量的作用，推动形成</w:t>
      </w:r>
      <w:r>
        <w:rPr>
          <w:rFonts w:hint="eastAsia" w:ascii="Times New Roman" w:hAnsi="Times New Roman" w:eastAsia="仿宋_GB2312" w:cs="Times New Roman"/>
          <w:spacing w:val="-6"/>
          <w:sz w:val="32"/>
          <w:szCs w:val="32"/>
          <w:lang w:eastAsia="zh-CN"/>
        </w:rPr>
        <w:t>“</w:t>
      </w:r>
      <w:r>
        <w:rPr>
          <w:rFonts w:hint="default" w:ascii="Times New Roman" w:hAnsi="Times New Roman" w:eastAsia="仿宋_GB2312" w:cs="Times New Roman"/>
          <w:spacing w:val="-6"/>
          <w:sz w:val="32"/>
          <w:szCs w:val="32"/>
        </w:rPr>
        <w:t>政府主导、企业主体、社会参与、公众监督</w:t>
      </w:r>
      <w:r>
        <w:rPr>
          <w:rFonts w:hint="eastAsia" w:ascii="Times New Roman" w:hAnsi="Times New Roman" w:eastAsia="仿宋_GB2312" w:cs="Times New Roman"/>
          <w:spacing w:val="-6"/>
          <w:sz w:val="32"/>
          <w:szCs w:val="32"/>
          <w:lang w:eastAsia="zh-CN"/>
        </w:rPr>
        <w:t>”</w:t>
      </w:r>
      <w:r>
        <w:rPr>
          <w:rFonts w:hint="default" w:ascii="Times New Roman" w:hAnsi="Times New Roman" w:eastAsia="仿宋_GB2312" w:cs="Times New Roman"/>
          <w:spacing w:val="-6"/>
          <w:sz w:val="32"/>
          <w:szCs w:val="32"/>
        </w:rPr>
        <w:t>的社会共治格局。</w:t>
      </w:r>
    </w:p>
    <w:p>
      <w:pPr>
        <w:pStyle w:val="3"/>
        <w:widowControl w:val="0"/>
        <w:numPr>
          <w:ilvl w:val="0"/>
          <w:numId w:val="0"/>
        </w:numPr>
        <w:wordWrap/>
        <w:adjustRightInd/>
        <w:snapToGrid/>
        <w:spacing w:line="560" w:lineRule="exact"/>
        <w:ind w:left="0" w:leftChars="0" w:right="0" w:firstLine="616" w:firstLineChars="200"/>
        <w:jc w:val="both"/>
        <w:textAlignment w:val="auto"/>
        <w:outlineLvl w:val="9"/>
        <w:rPr>
          <w:rFonts w:hint="default" w:ascii="Times New Roman" w:hAnsi="Times New Roman" w:eastAsia="楷体_GB2312" w:cs="Times New Roman"/>
          <w:spacing w:val="-6"/>
          <w:kern w:val="2"/>
          <w:sz w:val="32"/>
          <w:szCs w:val="32"/>
          <w:lang w:val="en-US" w:eastAsia="zh-CN" w:bidi="ar-SA"/>
        </w:rPr>
      </w:pPr>
      <w:r>
        <w:rPr>
          <w:rFonts w:hint="default" w:ascii="Times New Roman" w:hAnsi="Times New Roman" w:eastAsia="楷体_GB2312" w:cs="Times New Roman"/>
          <w:spacing w:val="-6"/>
          <w:kern w:val="2"/>
          <w:sz w:val="32"/>
          <w:szCs w:val="32"/>
          <w:lang w:val="en-US" w:eastAsia="zh-CN" w:bidi="ar-SA"/>
        </w:rPr>
        <w:t>（五）持续优化服务型行政执法，构建良好法治营商环境</w:t>
      </w:r>
    </w:p>
    <w:p>
      <w:pPr>
        <w:pStyle w:val="3"/>
        <w:widowControl w:val="0"/>
        <w:numPr>
          <w:ilvl w:val="0"/>
          <w:numId w:val="0"/>
        </w:numPr>
        <w:wordWrap/>
        <w:adjustRightInd/>
        <w:snapToGrid/>
        <w:spacing w:line="560" w:lineRule="exact"/>
        <w:ind w:left="0" w:leftChars="0" w:right="0"/>
        <w:jc w:val="both"/>
        <w:textAlignment w:val="auto"/>
        <w:outlineLvl w:val="9"/>
        <w:rPr>
          <w:rFonts w:hint="default" w:ascii="Times New Roman" w:hAnsi="Times New Roman" w:eastAsia="仿宋_GB2312" w:cs="Times New Roman"/>
          <w:spacing w:val="-6"/>
          <w:kern w:val="2"/>
          <w:sz w:val="32"/>
          <w:szCs w:val="32"/>
          <w:lang w:val="en-US" w:eastAsia="zh-CN" w:bidi="ar-SA"/>
        </w:rPr>
      </w:pPr>
      <w:r>
        <w:rPr>
          <w:rFonts w:hint="default" w:ascii="Times New Roman" w:hAnsi="Times New Roman" w:eastAsia="仿宋_GB2312" w:cs="Times New Roman"/>
          <w:spacing w:val="-6"/>
          <w:kern w:val="2"/>
          <w:sz w:val="32"/>
          <w:szCs w:val="32"/>
          <w:lang w:val="en-US" w:eastAsia="zh-CN" w:bidi="ar-SA"/>
        </w:rPr>
        <w:t xml:space="preserve">    一是深化服务型行政执法建设。完善生态环境监督执法正面清单，动态调整正面清单企业范围，实行</w:t>
      </w:r>
      <w:r>
        <w:rPr>
          <w:rFonts w:hint="eastAsia" w:ascii="Times New Roman" w:hAnsi="Times New Roman" w:eastAsia="仿宋_GB2312" w:cs="Times New Roman"/>
          <w:spacing w:val="-6"/>
          <w:kern w:val="2"/>
          <w:sz w:val="32"/>
          <w:szCs w:val="32"/>
          <w:lang w:val="en-US" w:eastAsia="zh-CN" w:bidi="ar-SA"/>
        </w:rPr>
        <w:t>“</w:t>
      </w:r>
      <w:r>
        <w:rPr>
          <w:rFonts w:hint="default" w:ascii="Times New Roman" w:hAnsi="Times New Roman" w:eastAsia="仿宋_GB2312" w:cs="Times New Roman"/>
          <w:spacing w:val="-6"/>
          <w:kern w:val="2"/>
          <w:sz w:val="32"/>
          <w:szCs w:val="32"/>
          <w:lang w:val="en-US" w:eastAsia="zh-CN" w:bidi="ar-SA"/>
        </w:rPr>
        <w:t>无事不扰</w:t>
      </w:r>
      <w:r>
        <w:rPr>
          <w:rFonts w:hint="eastAsia" w:ascii="Times New Roman" w:hAnsi="Times New Roman" w:eastAsia="仿宋_GB2312" w:cs="Times New Roman"/>
          <w:spacing w:val="-6"/>
          <w:kern w:val="2"/>
          <w:sz w:val="32"/>
          <w:szCs w:val="32"/>
          <w:lang w:val="en-US" w:eastAsia="zh-CN" w:bidi="ar-SA"/>
        </w:rPr>
        <w:t>”</w:t>
      </w:r>
      <w:r>
        <w:rPr>
          <w:rFonts w:hint="default" w:ascii="Times New Roman" w:hAnsi="Times New Roman" w:eastAsia="仿宋_GB2312" w:cs="Times New Roman"/>
          <w:spacing w:val="-6"/>
          <w:kern w:val="2"/>
          <w:sz w:val="32"/>
          <w:szCs w:val="32"/>
          <w:lang w:val="en-US" w:eastAsia="zh-CN" w:bidi="ar-SA"/>
        </w:rPr>
        <w:t>的差异化监管。落实</w:t>
      </w:r>
      <w:r>
        <w:rPr>
          <w:rFonts w:hint="eastAsia" w:ascii="Times New Roman" w:hAnsi="Times New Roman" w:eastAsia="仿宋_GB2312" w:cs="Times New Roman"/>
          <w:spacing w:val="-6"/>
          <w:kern w:val="2"/>
          <w:sz w:val="32"/>
          <w:szCs w:val="32"/>
          <w:lang w:val="en-US" w:eastAsia="zh-CN" w:bidi="ar-SA"/>
        </w:rPr>
        <w:t>“</w:t>
      </w:r>
      <w:r>
        <w:rPr>
          <w:rFonts w:hint="default" w:ascii="Times New Roman" w:hAnsi="Times New Roman" w:eastAsia="仿宋_GB2312" w:cs="Times New Roman"/>
          <w:spacing w:val="-6"/>
          <w:kern w:val="2"/>
          <w:sz w:val="32"/>
          <w:szCs w:val="32"/>
          <w:lang w:val="en-US" w:eastAsia="zh-CN" w:bidi="ar-SA"/>
        </w:rPr>
        <w:t>四项清单</w:t>
      </w:r>
      <w:r>
        <w:rPr>
          <w:rFonts w:hint="eastAsia" w:ascii="Times New Roman" w:hAnsi="Times New Roman" w:eastAsia="仿宋_GB2312" w:cs="Times New Roman"/>
          <w:spacing w:val="-6"/>
          <w:kern w:val="2"/>
          <w:sz w:val="32"/>
          <w:szCs w:val="32"/>
          <w:lang w:val="en-US" w:eastAsia="zh-CN" w:bidi="ar-SA"/>
        </w:rPr>
        <w:t>”</w:t>
      </w:r>
      <w:r>
        <w:rPr>
          <w:rFonts w:hint="default" w:ascii="Times New Roman" w:hAnsi="Times New Roman" w:eastAsia="仿宋_GB2312" w:cs="Times New Roman"/>
          <w:spacing w:val="-6"/>
          <w:kern w:val="2"/>
          <w:sz w:val="32"/>
          <w:szCs w:val="32"/>
          <w:lang w:val="en-US" w:eastAsia="zh-CN" w:bidi="ar-SA"/>
        </w:rPr>
        <w:t>制度，对符合条件的企业依法不予处罚、从轻处罚、减轻处罚，为企业减轻负担。开展</w:t>
      </w:r>
      <w:r>
        <w:rPr>
          <w:rFonts w:hint="eastAsia" w:ascii="Times New Roman" w:hAnsi="Times New Roman" w:eastAsia="仿宋_GB2312" w:cs="Times New Roman"/>
          <w:spacing w:val="-6"/>
          <w:kern w:val="2"/>
          <w:sz w:val="32"/>
          <w:szCs w:val="32"/>
          <w:lang w:val="en-US" w:eastAsia="zh-CN" w:bidi="ar-SA"/>
        </w:rPr>
        <w:t>“</w:t>
      </w:r>
      <w:r>
        <w:rPr>
          <w:rFonts w:hint="default" w:ascii="Times New Roman" w:hAnsi="Times New Roman" w:eastAsia="仿宋_GB2312" w:cs="Times New Roman"/>
          <w:spacing w:val="-6"/>
          <w:kern w:val="2"/>
          <w:sz w:val="32"/>
          <w:szCs w:val="32"/>
          <w:lang w:val="en-US" w:eastAsia="zh-CN" w:bidi="ar-SA"/>
        </w:rPr>
        <w:t>送法暖企</w:t>
      </w:r>
      <w:r>
        <w:rPr>
          <w:rFonts w:hint="eastAsia" w:ascii="Times New Roman" w:hAnsi="Times New Roman" w:eastAsia="仿宋_GB2312" w:cs="Times New Roman"/>
          <w:spacing w:val="-6"/>
          <w:kern w:val="2"/>
          <w:sz w:val="32"/>
          <w:szCs w:val="32"/>
          <w:lang w:val="en-US" w:eastAsia="zh-CN" w:bidi="ar-SA"/>
        </w:rPr>
        <w:t>”</w:t>
      </w:r>
      <w:r>
        <w:rPr>
          <w:rFonts w:hint="default" w:ascii="Times New Roman" w:hAnsi="Times New Roman" w:eastAsia="仿宋_GB2312" w:cs="Times New Roman"/>
          <w:spacing w:val="-6"/>
          <w:kern w:val="2"/>
          <w:sz w:val="32"/>
          <w:szCs w:val="32"/>
          <w:lang w:val="en-US" w:eastAsia="zh-CN" w:bidi="ar-SA"/>
        </w:rPr>
        <w:t>活动，组织执法人员、法律顾问深入企业开展环保法治体检，帮助企业排查环境法律风险，解决环保合规问题。</w:t>
      </w:r>
    </w:p>
    <w:p>
      <w:pPr>
        <w:pStyle w:val="3"/>
        <w:widowControl w:val="0"/>
        <w:numPr>
          <w:ilvl w:val="0"/>
          <w:numId w:val="0"/>
        </w:numPr>
        <w:wordWrap/>
        <w:adjustRightInd/>
        <w:snapToGrid/>
        <w:spacing w:line="560" w:lineRule="exact"/>
        <w:ind w:left="0" w:leftChars="0" w:right="0" w:firstLine="616"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pacing w:val="-6"/>
          <w:kern w:val="2"/>
          <w:sz w:val="32"/>
          <w:szCs w:val="32"/>
          <w:lang w:val="en-US" w:eastAsia="zh-CN" w:bidi="ar-SA"/>
        </w:rPr>
        <w:t>二是优化政务服务环境。制定</w:t>
      </w:r>
      <w:r>
        <w:rPr>
          <w:rFonts w:hint="default" w:ascii="Times New Roman" w:hAnsi="Times New Roman" w:eastAsia="仿宋_GB2312" w:cs="Times New Roman"/>
          <w:sz w:val="32"/>
          <w:szCs w:val="32"/>
        </w:rPr>
        <w:t>《生态环境行政许可证照到期前提醒工作机制实施方案》，通过智能系统、短信、电话等渠道开展到期提醒服务，变</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被动监管</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为</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主动服务</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p>
    <w:p>
      <w:pPr>
        <w:pStyle w:val="3"/>
        <w:widowControl w:val="0"/>
        <w:numPr>
          <w:ilvl w:val="0"/>
          <w:numId w:val="0"/>
        </w:numPr>
        <w:wordWrap/>
        <w:adjustRightInd/>
        <w:snapToGrid/>
        <w:spacing w:line="560" w:lineRule="exact"/>
        <w:ind w:left="0" w:leftChars="0" w:right="0" w:firstLine="616" w:firstLineChars="200"/>
        <w:jc w:val="both"/>
        <w:textAlignment w:val="auto"/>
        <w:outlineLvl w:val="9"/>
        <w:rPr>
          <w:rFonts w:hint="default" w:ascii="Times New Roman" w:hAnsi="Times New Roman" w:eastAsia="仿宋_GB2312" w:cs="Times New Roman"/>
          <w:spacing w:val="-6"/>
          <w:kern w:val="2"/>
          <w:sz w:val="32"/>
          <w:szCs w:val="32"/>
          <w:lang w:val="en-US" w:eastAsia="zh-CN" w:bidi="ar-SA"/>
        </w:rPr>
      </w:pPr>
      <w:r>
        <w:rPr>
          <w:rFonts w:hint="default" w:ascii="Times New Roman" w:hAnsi="Times New Roman" w:eastAsia="仿宋_GB2312" w:cs="Times New Roman"/>
          <w:spacing w:val="-6"/>
          <w:kern w:val="2"/>
          <w:sz w:val="32"/>
          <w:szCs w:val="32"/>
          <w:lang w:val="en-US" w:eastAsia="zh-CN" w:bidi="ar-SA"/>
        </w:rPr>
        <w:t>三是完善企业环保信用修复机制。简化信用修复流程，缩短信用修复时限，为企业信用修复提供便利。加强信用修复政策宣传，指导企业依法履行处罚义务、完善整改措施，帮助更多企业完成信用修复，重塑信用形象。</w:t>
      </w:r>
    </w:p>
    <w:p>
      <w:pPr>
        <w:pStyle w:val="3"/>
        <w:widowControl w:val="0"/>
        <w:numPr>
          <w:ilvl w:val="0"/>
          <w:numId w:val="0"/>
        </w:numPr>
        <w:wordWrap/>
        <w:adjustRightInd/>
        <w:snapToGrid/>
        <w:spacing w:line="560" w:lineRule="exact"/>
        <w:ind w:left="0" w:leftChars="0" w:right="0" w:firstLine="616" w:firstLineChars="200"/>
        <w:jc w:val="both"/>
        <w:textAlignment w:val="auto"/>
        <w:outlineLvl w:val="9"/>
        <w:rPr>
          <w:rFonts w:hint="default" w:ascii="Times New Roman" w:hAnsi="Times New Roman" w:eastAsia="仿宋_GB2312" w:cs="Times New Roman"/>
          <w:spacing w:val="-6"/>
          <w:kern w:val="2"/>
          <w:sz w:val="32"/>
          <w:szCs w:val="32"/>
          <w:lang w:val="en-US" w:eastAsia="zh-CN" w:bidi="ar-SA"/>
        </w:rPr>
      </w:pPr>
      <w:r>
        <w:rPr>
          <w:rFonts w:hint="default" w:ascii="Times New Roman" w:hAnsi="Times New Roman" w:eastAsia="仿宋_GB2312" w:cs="Times New Roman"/>
          <w:spacing w:val="-6"/>
          <w:kern w:val="2"/>
          <w:sz w:val="32"/>
          <w:szCs w:val="32"/>
          <w:lang w:val="en-US" w:eastAsia="zh-CN" w:bidi="ar-SA"/>
        </w:rPr>
        <w:t>2026年，焦作市生态环境局将以更高的标准、更严的要求、更实的举措，扎实推进法治政府建设各项工作，不断提升生态环境治理法治化水平，为全市生态环境质量持续改善、经济社会高质量发展提供更加坚实的法治保障，为建设美丽焦作作出更大贡献。</w:t>
      </w:r>
    </w:p>
    <w:p>
      <w:pPr>
        <w:pStyle w:val="3"/>
        <w:widowControl w:val="0"/>
        <w:numPr>
          <w:ilvl w:val="0"/>
          <w:numId w:val="0"/>
        </w:numPr>
        <w:wordWrap/>
        <w:adjustRightInd/>
        <w:snapToGrid/>
        <w:spacing w:line="560" w:lineRule="exact"/>
        <w:ind w:left="0" w:leftChars="0" w:right="0" w:firstLine="616" w:firstLineChars="200"/>
        <w:jc w:val="both"/>
        <w:textAlignment w:val="auto"/>
        <w:outlineLvl w:val="9"/>
        <w:rPr>
          <w:rFonts w:hint="eastAsia" w:ascii="Times New Roman" w:hAnsi="Times New Roman" w:eastAsia="仿宋_GB2312" w:cs="Times New Roman"/>
          <w:spacing w:val="-6"/>
          <w:kern w:val="2"/>
          <w:sz w:val="32"/>
          <w:szCs w:val="32"/>
          <w:lang w:val="en-US" w:eastAsia="zh-CN" w:bidi="ar-SA"/>
        </w:rPr>
      </w:pPr>
    </w:p>
    <w:p>
      <w:pPr>
        <w:pStyle w:val="3"/>
        <w:widowControl w:val="0"/>
        <w:numPr>
          <w:ilvl w:val="0"/>
          <w:numId w:val="0"/>
        </w:numPr>
        <w:wordWrap/>
        <w:adjustRightInd/>
        <w:snapToGrid/>
        <w:spacing w:line="560" w:lineRule="exact"/>
        <w:ind w:left="0" w:leftChars="0" w:right="0" w:firstLine="616" w:firstLineChars="200"/>
        <w:jc w:val="both"/>
        <w:textAlignment w:val="auto"/>
        <w:outlineLvl w:val="9"/>
        <w:rPr>
          <w:rFonts w:hint="eastAsia" w:ascii="Times New Roman" w:hAnsi="Times New Roman" w:eastAsia="仿宋_GB2312" w:cs="Times New Roman"/>
          <w:spacing w:val="-6"/>
          <w:kern w:val="2"/>
          <w:sz w:val="32"/>
          <w:szCs w:val="32"/>
          <w:lang w:val="en-US" w:eastAsia="zh-CN" w:bidi="ar-SA"/>
        </w:rPr>
      </w:pPr>
    </w:p>
    <w:p>
      <w:pPr>
        <w:pStyle w:val="3"/>
        <w:widowControl w:val="0"/>
        <w:numPr>
          <w:ilvl w:val="0"/>
          <w:numId w:val="0"/>
        </w:numPr>
        <w:wordWrap/>
        <w:adjustRightInd/>
        <w:snapToGrid/>
        <w:spacing w:line="560" w:lineRule="exact"/>
        <w:ind w:left="0" w:leftChars="0" w:right="0" w:firstLine="616" w:firstLineChars="200"/>
        <w:jc w:val="both"/>
        <w:textAlignment w:val="auto"/>
        <w:outlineLvl w:val="9"/>
        <w:rPr>
          <w:rFonts w:hint="eastAsia" w:ascii="Times New Roman" w:hAnsi="Times New Roman" w:eastAsia="仿宋_GB2312" w:cs="Times New Roman"/>
          <w:spacing w:val="-6"/>
          <w:kern w:val="2"/>
          <w:sz w:val="32"/>
          <w:szCs w:val="32"/>
          <w:lang w:val="en-US" w:eastAsia="zh-CN" w:bidi="ar-SA"/>
        </w:rPr>
      </w:pPr>
    </w:p>
    <w:p>
      <w:pPr>
        <w:pStyle w:val="3"/>
        <w:widowControl w:val="0"/>
        <w:numPr>
          <w:ilvl w:val="0"/>
          <w:numId w:val="0"/>
        </w:numPr>
        <w:wordWrap/>
        <w:adjustRightInd/>
        <w:snapToGrid/>
        <w:spacing w:line="560" w:lineRule="exact"/>
        <w:ind w:left="0" w:leftChars="0" w:right="0" w:firstLine="4620" w:firstLineChars="1500"/>
        <w:jc w:val="both"/>
        <w:textAlignment w:val="auto"/>
        <w:outlineLvl w:val="9"/>
        <w:rPr>
          <w:rFonts w:hint="default" w:ascii="Times New Roman" w:hAnsi="Times New Roman" w:eastAsia="仿宋_GB2312" w:cs="Times New Roman"/>
          <w:spacing w:val="-6"/>
          <w:kern w:val="2"/>
          <w:sz w:val="32"/>
          <w:szCs w:val="32"/>
          <w:lang w:val="en-US" w:eastAsia="zh-CN" w:bidi="ar-SA"/>
        </w:rPr>
      </w:pPr>
      <w:r>
        <w:rPr>
          <w:rFonts w:hint="default" w:ascii="Times New Roman" w:hAnsi="Times New Roman" w:eastAsia="仿宋_GB2312" w:cs="Times New Roman"/>
          <w:spacing w:val="-6"/>
          <w:kern w:val="2"/>
          <w:sz w:val="32"/>
          <w:szCs w:val="32"/>
          <w:lang w:val="en-US" w:eastAsia="zh-CN" w:bidi="ar-SA"/>
        </w:rPr>
        <w:t>2026年2月12日</w:t>
      </w:r>
    </w:p>
    <w:p>
      <w:pPr>
        <w:pStyle w:val="3"/>
        <w:widowControl w:val="0"/>
        <w:numPr>
          <w:ilvl w:val="0"/>
          <w:numId w:val="0"/>
        </w:numPr>
        <w:wordWrap/>
        <w:adjustRightInd/>
        <w:snapToGrid/>
        <w:spacing w:line="560" w:lineRule="exact"/>
        <w:ind w:right="0"/>
        <w:jc w:val="both"/>
        <w:textAlignment w:val="auto"/>
        <w:outlineLvl w:val="9"/>
        <w:rPr>
          <w:rFonts w:hint="default" w:ascii="Times New Roman" w:hAnsi="Times New Roman" w:eastAsia="仿宋_GB2312" w:cs="Times New Roman"/>
          <w:spacing w:val="-6"/>
          <w:kern w:val="2"/>
          <w:sz w:val="32"/>
          <w:szCs w:val="32"/>
          <w:lang w:val="en-US" w:eastAsia="zh-CN" w:bidi="ar-SA"/>
        </w:rPr>
      </w:pPr>
    </w:p>
    <w:p>
      <w:pPr>
        <w:pStyle w:val="3"/>
        <w:widowControl w:val="0"/>
        <w:numPr>
          <w:ilvl w:val="0"/>
          <w:numId w:val="0"/>
        </w:numPr>
        <w:wordWrap/>
        <w:adjustRightInd/>
        <w:snapToGrid/>
        <w:spacing w:line="560" w:lineRule="exact"/>
        <w:ind w:right="0"/>
        <w:jc w:val="both"/>
        <w:textAlignment w:val="auto"/>
        <w:outlineLvl w:val="9"/>
        <w:rPr>
          <w:rFonts w:hint="default" w:ascii="Times New Roman" w:hAnsi="Times New Roman" w:eastAsia="仿宋_GB2312" w:cs="Times New Roman"/>
          <w:spacing w:val="-6"/>
          <w:kern w:val="2"/>
          <w:sz w:val="32"/>
          <w:szCs w:val="32"/>
          <w:lang w:val="en-US" w:eastAsia="zh-CN" w:bidi="ar-SA"/>
        </w:rPr>
      </w:pPr>
    </w:p>
    <w:p>
      <w:pPr>
        <w:pStyle w:val="3"/>
        <w:widowControl w:val="0"/>
        <w:numPr>
          <w:ilvl w:val="0"/>
          <w:numId w:val="0"/>
        </w:numPr>
        <w:wordWrap/>
        <w:adjustRightInd/>
        <w:snapToGrid/>
        <w:spacing w:line="560" w:lineRule="exact"/>
        <w:ind w:right="0"/>
        <w:jc w:val="both"/>
        <w:textAlignment w:val="auto"/>
        <w:outlineLvl w:val="9"/>
        <w:rPr>
          <w:rFonts w:hint="default" w:ascii="Times New Roman" w:hAnsi="Times New Roman" w:eastAsia="仿宋_GB2312" w:cs="Times New Roman"/>
          <w:spacing w:val="-6"/>
          <w:kern w:val="2"/>
          <w:sz w:val="32"/>
          <w:szCs w:val="32"/>
          <w:lang w:val="en-US" w:eastAsia="zh-CN" w:bidi="ar-SA"/>
        </w:rPr>
      </w:pPr>
    </w:p>
    <w:sectPr>
      <w:footerReference r:id="rId3" w:type="default"/>
      <w:pgSz w:w="11906" w:h="16838"/>
      <w:pgMar w:top="2154" w:right="1417" w:bottom="2041" w:left="1587" w:header="851" w:footer="1417" w:gutter="0"/>
      <w:pgNumType w:fmt="decimal"/>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文泉驿微米黑"/>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文泉驿微米黑"/>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rFonts w:ascii="Calibri" w:hAnsi="Calibri" w:eastAsia="宋体" w:cs="黑体"/>
        <w:kern w:val="2"/>
        <w:sz w:val="18"/>
        <w:szCs w:val="24"/>
        <w:lang w:val="en-US"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true">
                      <a:spAutoFit/>
                    </wps:bodyPr>
                  </wps:wsp>
                </a:graphicData>
              </a:graphic>
            </wp:anchor>
          </w:drawing>
        </mc:Choice>
        <mc:Fallback>
          <w:pict>
            <v:rect id="文本框 1" o:spid="_x0000_s1026" o:spt="1"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FgAAAGRycy9QSwECFAAUAAAA&#10;CACHTuJAuXW5UtAAAAAFAQAADwAAAAAAAAABACAAAAA4AAAAZHJzL2Rvd25yZXYueG1sUEsBAhQA&#10;FAAAAAgAh07iQBdC4HurAQAARAMAAA4AAAAAAAAAAQAgAAAANQEAAGRycy9lMm9Eb2MueG1sUEsF&#10;BgAAAAAGAAYAWQEAAFIFAAAAAA==&#10;">
              <v:fill on="f" focussize="0,0"/>
              <v:stroke on="f"/>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false"/>
  <w:bordersDoNotSurroundFooter w:val="false"/>
  <w:documentProtection w:enforcement="0"/>
  <w:defaultTabStop w:val="420"/>
  <w:drawingGridVerticalSpacing w:val="158"/>
  <w:displayHorizontalDrawingGridEvery w:val="1"/>
  <w:displayVerticalDrawingGridEvery w:val="2"/>
  <w:noPunctuationKerning w:val="true"/>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00AC7226"/>
    <w:rsid w:val="011D4062"/>
    <w:rsid w:val="04341D7D"/>
    <w:rsid w:val="0A264F34"/>
    <w:rsid w:val="0C406A07"/>
    <w:rsid w:val="0CB145DE"/>
    <w:rsid w:val="0EB74D33"/>
    <w:rsid w:val="0F5D4845"/>
    <w:rsid w:val="10534754"/>
    <w:rsid w:val="1253551F"/>
    <w:rsid w:val="13371015"/>
    <w:rsid w:val="13ECCB6D"/>
    <w:rsid w:val="16CB43F4"/>
    <w:rsid w:val="16E21E1B"/>
    <w:rsid w:val="1F073974"/>
    <w:rsid w:val="215F36F2"/>
    <w:rsid w:val="2221070E"/>
    <w:rsid w:val="265C6D63"/>
    <w:rsid w:val="2891771E"/>
    <w:rsid w:val="28C04B48"/>
    <w:rsid w:val="2A0517FE"/>
    <w:rsid w:val="2A2F6023"/>
    <w:rsid w:val="2BA45A27"/>
    <w:rsid w:val="2CA83FD0"/>
    <w:rsid w:val="2E445076"/>
    <w:rsid w:val="317C35BE"/>
    <w:rsid w:val="32612937"/>
    <w:rsid w:val="33A20D45"/>
    <w:rsid w:val="33B9096A"/>
    <w:rsid w:val="354635F4"/>
    <w:rsid w:val="35553C0F"/>
    <w:rsid w:val="35B8262E"/>
    <w:rsid w:val="3771F7F8"/>
    <w:rsid w:val="386D1C23"/>
    <w:rsid w:val="38D47048"/>
    <w:rsid w:val="38D96D53"/>
    <w:rsid w:val="3BFD30AA"/>
    <w:rsid w:val="3EAE1959"/>
    <w:rsid w:val="3F2548AA"/>
    <w:rsid w:val="3FCF27D5"/>
    <w:rsid w:val="40AA46A6"/>
    <w:rsid w:val="42E73C50"/>
    <w:rsid w:val="4492750F"/>
    <w:rsid w:val="47C37B13"/>
    <w:rsid w:val="498D56B8"/>
    <w:rsid w:val="4A1947CF"/>
    <w:rsid w:val="4C4423AE"/>
    <w:rsid w:val="4DF70B3C"/>
    <w:rsid w:val="53E52DB4"/>
    <w:rsid w:val="59456704"/>
    <w:rsid w:val="5999038C"/>
    <w:rsid w:val="5BA12CE0"/>
    <w:rsid w:val="5BE26602"/>
    <w:rsid w:val="5D786169"/>
    <w:rsid w:val="5F16108D"/>
    <w:rsid w:val="623F2BBF"/>
    <w:rsid w:val="66094DF3"/>
    <w:rsid w:val="664D7E66"/>
    <w:rsid w:val="68014F2E"/>
    <w:rsid w:val="694A3FCB"/>
    <w:rsid w:val="69AE046D"/>
    <w:rsid w:val="69D20A2C"/>
    <w:rsid w:val="6A177E9C"/>
    <w:rsid w:val="6B6E3CD1"/>
    <w:rsid w:val="6D7E2F71"/>
    <w:rsid w:val="6D955854"/>
    <w:rsid w:val="6D9C2C61"/>
    <w:rsid w:val="6E004F03"/>
    <w:rsid w:val="6E4F3D89"/>
    <w:rsid w:val="6EC64E2B"/>
    <w:rsid w:val="6F553F3E"/>
    <w:rsid w:val="6F5F3BC6"/>
    <w:rsid w:val="70531ED5"/>
    <w:rsid w:val="716C6225"/>
    <w:rsid w:val="73C518F1"/>
    <w:rsid w:val="745F1A7B"/>
    <w:rsid w:val="75186CAB"/>
    <w:rsid w:val="751F40B7"/>
    <w:rsid w:val="777FAD7A"/>
    <w:rsid w:val="77ED4CF8"/>
    <w:rsid w:val="77F75AE9"/>
    <w:rsid w:val="77FF6DEE"/>
    <w:rsid w:val="787E4A3E"/>
    <w:rsid w:val="78D325C4"/>
    <w:rsid w:val="78FF21AD"/>
    <w:rsid w:val="7954379C"/>
    <w:rsid w:val="7ADB489D"/>
    <w:rsid w:val="7BBF0393"/>
    <w:rsid w:val="7CC2473D"/>
    <w:rsid w:val="7E664DEE"/>
    <w:rsid w:val="9AEB3FFD"/>
    <w:rsid w:val="A6FF43AD"/>
    <w:rsid w:val="AA97F4F4"/>
    <w:rsid w:val="AF5CE520"/>
    <w:rsid w:val="B739B2ED"/>
    <w:rsid w:val="BA7B23C6"/>
    <w:rsid w:val="BF7A1D3D"/>
    <w:rsid w:val="CFDFEA03"/>
    <w:rsid w:val="EBFD6A7B"/>
    <w:rsid w:val="FF4EA19B"/>
    <w:rsid w:val="FFDC709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Plain Text"/>
    <w:basedOn w:val="1"/>
    <w:unhideWhenUsed/>
    <w:qFormat/>
    <w:uiPriority w:val="99"/>
    <w:rPr>
      <w:rFonts w:ascii="宋体" w:hAnsi="Courier New"/>
    </w:rPr>
  </w:style>
  <w:style w:type="paragraph" w:styleId="3">
    <w:name w:val="Normal Indent"/>
    <w:basedOn w:val="1"/>
    <w:qFormat/>
    <w:uiPriority w:val="0"/>
    <w:pPr>
      <w:ind w:firstLine="420" w:firstLine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itle"/>
    <w:basedOn w:val="1"/>
    <w:qFormat/>
    <w:uiPriority w:val="0"/>
    <w:pPr>
      <w:spacing w:before="120" w:beforeLines="0" w:after="60" w:afterLines="0"/>
      <w:ind w:firstLine="0" w:firstLineChars="0"/>
      <w:jc w:val="center"/>
      <w:outlineLvl w:val="0"/>
    </w:pPr>
    <w:rPr>
      <w:rFonts w:ascii="Arial" w:hAnsi="Arial" w:eastAsia="宋体"/>
      <w:sz w:val="44"/>
    </w:rPr>
  </w:style>
  <w:style w:type="paragraph" w:customStyle="1" w:styleId="9">
    <w:name w:val="p0"/>
    <w:qFormat/>
    <w:uiPriority w:val="0"/>
    <w:pPr>
      <w:spacing w:before="100" w:beforeAutospacing="1" w:after="100" w:afterAutospacing="1"/>
    </w:pPr>
    <w:rPr>
      <w:rFonts w:ascii="宋体" w:hAnsi="宋体" w:eastAsia="宋体" w:cs="宋体"/>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5369</Words>
  <Characters>5502</Characters>
  <Lines>0</Lines>
  <Paragraphs>0</Paragraphs>
  <TotalTime>10</TotalTime>
  <ScaleCrop>false</ScaleCrop>
  <LinksUpToDate>false</LinksUpToDate>
  <CharactersWithSpaces>5526</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2018-07-14T23:11:00Z</dcterms:created>
  <dc:creator>d</dc:creator>
  <cp:lastModifiedBy>未来</cp:lastModifiedBy>
  <cp:lastPrinted>2026-02-26T08:38:00Z</cp:lastPrinted>
  <dcterms:modified xsi:type="dcterms:W3CDTF">2026-03-17T08:01:37Z</dcterms:modified>
  <dc:title>焦作市生态环境局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y fmtid="{D5CDD505-2E9C-101B-9397-08002B2CF9AE}" pid="3" name="ICV">
    <vt:lpwstr>E2437ADE60D14716ACC5D4FE5882568C_13</vt:lpwstr>
  </property>
  <property fmtid="{D5CDD505-2E9C-101B-9397-08002B2CF9AE}" pid="4" name="KSOTemplateDocerSaveRecord">
    <vt:lpwstr>eyJoZGlkIjoiZjBhZWYzZTg1MjgwM2JkYjE3N2EwZmNkZDJhMDc1MWYiLCJ1c2VySWQiOiIxMjQ1NTIwOTk2In0=</vt:lpwstr>
  </property>
</Properties>
</file>