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7634A3">
      <w:pPr>
        <w:keepNext w:val="0"/>
        <w:keepLines w:val="0"/>
        <w:pageBreakBefore w:val="0"/>
        <w:widowControl w:val="0"/>
        <w:shd w:val="clear" w:color="auto" w:fill="FFFFFF"/>
        <w:kinsoku/>
        <w:wordWrap w:val="0"/>
        <w:overflowPunct/>
        <w:topLinePunct w:val="0"/>
        <w:autoSpaceDN w:val="0"/>
        <w:bidi w:val="0"/>
        <w:adjustRightInd/>
        <w:snapToGrid/>
        <w:spacing w:beforeAutospacing="0" w:afterAutospacing="0" w:line="580" w:lineRule="exact"/>
        <w:ind w:left="0" w:leftChars="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p>
    <w:p w14:paraId="130CD34E">
      <w:pPr>
        <w:keepNext w:val="0"/>
        <w:keepLines w:val="0"/>
        <w:pageBreakBefore w:val="0"/>
        <w:widowControl w:val="0"/>
        <w:shd w:val="clear" w:color="auto" w:fill="FFFFFF"/>
        <w:kinsoku/>
        <w:wordWrap w:val="0"/>
        <w:overflowPunct/>
        <w:topLinePunct w:val="0"/>
        <w:autoSpaceDN w:val="0"/>
        <w:bidi w:val="0"/>
        <w:adjustRightInd/>
        <w:snapToGrid/>
        <w:spacing w:beforeAutospacing="0" w:afterAutospacing="0" w:line="580" w:lineRule="exact"/>
        <w:ind w:left="0" w:leftChars="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p>
    <w:p w14:paraId="79D9CA2B">
      <w:pPr>
        <w:keepNext w:val="0"/>
        <w:keepLines w:val="0"/>
        <w:pageBreakBefore w:val="0"/>
        <w:widowControl w:val="0"/>
        <w:shd w:val="clear" w:color="auto" w:fill="FFFFFF"/>
        <w:kinsoku/>
        <w:wordWrap w:val="0"/>
        <w:overflowPunct/>
        <w:topLinePunct w:val="0"/>
        <w:autoSpaceDN w:val="0"/>
        <w:bidi w:val="0"/>
        <w:adjustRightInd/>
        <w:snapToGrid/>
        <w:spacing w:beforeAutospacing="0" w:afterAutospacing="0" w:line="580" w:lineRule="exact"/>
        <w:ind w:left="0" w:leftChars="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r>
        <w:rPr>
          <w:rFonts w:hint="eastAsia" w:ascii="方正小标宋简体" w:hAnsi="Times New Roman" w:eastAsia="方正小标宋简体" w:cs="Times New Roman"/>
          <w:b w:val="0"/>
          <w:bCs/>
          <w:color w:val="000000"/>
          <w:kern w:val="0"/>
          <w:sz w:val="44"/>
          <w:szCs w:val="44"/>
          <w:shd w:val="clear" w:color="auto" w:fill="FFFFFF"/>
          <w:lang w:val="en-US" w:eastAsia="zh-CN" w:bidi="ar-SA"/>
        </w:rPr>
        <w:t>焦作市生态环境局</w:t>
      </w:r>
    </w:p>
    <w:p w14:paraId="5CFA2A4E">
      <w:pPr>
        <w:keepNext w:val="0"/>
        <w:keepLines w:val="0"/>
        <w:pageBreakBefore w:val="0"/>
        <w:widowControl w:val="0"/>
        <w:shd w:val="clear" w:color="auto" w:fill="FFFFFF"/>
        <w:kinsoku/>
        <w:wordWrap w:val="0"/>
        <w:overflowPunct/>
        <w:topLinePunct w:val="0"/>
        <w:autoSpaceDN w:val="0"/>
        <w:bidi w:val="0"/>
        <w:adjustRightInd/>
        <w:snapToGrid/>
        <w:spacing w:beforeAutospacing="0" w:afterAutospacing="0" w:line="580" w:lineRule="exact"/>
        <w:ind w:left="0" w:leftChars="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r>
        <w:rPr>
          <w:rFonts w:hint="eastAsia" w:ascii="方正小标宋简体" w:hAnsi="Times New Roman" w:eastAsia="方正小标宋简体" w:cs="Times New Roman"/>
          <w:b w:val="0"/>
          <w:bCs/>
          <w:color w:val="000000"/>
          <w:kern w:val="0"/>
          <w:sz w:val="44"/>
          <w:szCs w:val="44"/>
          <w:shd w:val="clear" w:color="auto" w:fill="FFFFFF"/>
          <w:lang w:val="en-US" w:eastAsia="zh-CN" w:bidi="ar-SA"/>
        </w:rPr>
        <w:t>行政处罚决定书</w:t>
      </w:r>
    </w:p>
    <w:p w14:paraId="6139BD16">
      <w:pPr>
        <w:keepNext w:val="0"/>
        <w:keepLines w:val="0"/>
        <w:pageBreakBefore w:val="0"/>
        <w:widowControl w:val="0"/>
        <w:numPr>
          <w:ilvl w:val="0"/>
          <w:numId w:val="0"/>
        </w:numPr>
        <w:kinsoku/>
        <w:wordWrap w:val="0"/>
        <w:overflowPunct/>
        <w:topLinePunct w:val="0"/>
        <w:bidi w:val="0"/>
        <w:adjustRightInd/>
        <w:snapToGrid/>
        <w:spacing w:before="0" w:line="580" w:lineRule="exact"/>
        <w:ind w:left="0" w:leftChars="0" w:right="0"/>
        <w:jc w:val="center"/>
        <w:textAlignment w:val="auto"/>
        <w:outlineLvl w:val="9"/>
        <w:rPr>
          <w:rFonts w:hint="eastAsia" w:ascii="CESI仿宋-GB2312" w:hAnsi="CESI仿宋-GB2312" w:eastAsia="CESI仿宋-GB2312" w:cs="CESI仿宋-GB2312"/>
          <w:color w:val="000000"/>
          <w:sz w:val="32"/>
          <w:szCs w:val="32"/>
          <w:u w:val="none" w:color="auto"/>
          <w:lang w:val="en-US" w:eastAsia="zh-CN"/>
        </w:rPr>
      </w:pPr>
      <w:r>
        <w:rPr>
          <w:rFonts w:hint="eastAsia" w:ascii="CESI仿宋-GB2312" w:hAnsi="CESI仿宋-GB2312" w:eastAsia="CESI仿宋-GB2312" w:cs="CESI仿宋-GB2312"/>
          <w:color w:val="000000"/>
          <w:sz w:val="32"/>
          <w:szCs w:val="32"/>
          <w:u w:val="none" w:color="auto"/>
          <w:lang w:val="en-US" w:eastAsia="zh-CN"/>
        </w:rPr>
        <w:t>焦环罚〔2026〕</w:t>
      </w:r>
      <w:r>
        <w:rPr>
          <w:rFonts w:hint="eastAsia" w:ascii="CESI仿宋-GB2312" w:hAnsi="CESI仿宋-GB2312" w:eastAsia="CESI仿宋-GB2312" w:cs="CESI仿宋-GB2312"/>
          <w:color w:val="000000"/>
          <w:sz w:val="32"/>
          <w:szCs w:val="32"/>
          <w:u w:val="none" w:color="auto"/>
          <w:lang w:val="en-US" w:eastAsia="zh"/>
        </w:rPr>
        <w:t>85</w:t>
      </w:r>
      <w:r>
        <w:rPr>
          <w:rFonts w:hint="eastAsia" w:ascii="CESI仿宋-GB2312" w:hAnsi="CESI仿宋-GB2312" w:eastAsia="CESI仿宋-GB2312" w:cs="CESI仿宋-GB2312"/>
          <w:color w:val="000000"/>
          <w:sz w:val="32"/>
          <w:szCs w:val="32"/>
          <w:u w:val="none" w:color="auto"/>
          <w:lang w:val="en-US" w:eastAsia="zh-CN"/>
        </w:rPr>
        <w:t>号</w:t>
      </w:r>
    </w:p>
    <w:p w14:paraId="4192227C">
      <w:pPr>
        <w:keepNext w:val="0"/>
        <w:keepLines w:val="0"/>
        <w:pageBreakBefore w:val="0"/>
        <w:widowControl w:val="0"/>
        <w:numPr>
          <w:ilvl w:val="0"/>
          <w:numId w:val="0"/>
        </w:numPr>
        <w:kinsoku/>
        <w:wordWrap w:val="0"/>
        <w:overflowPunct/>
        <w:topLinePunct w:val="0"/>
        <w:bidi w:val="0"/>
        <w:adjustRightInd/>
        <w:snapToGrid/>
        <w:spacing w:before="0" w:line="580" w:lineRule="exact"/>
        <w:ind w:left="0" w:leftChars="0" w:right="0"/>
        <w:jc w:val="both"/>
        <w:textAlignment w:val="auto"/>
        <w:outlineLvl w:val="9"/>
        <w:rPr>
          <w:rFonts w:hint="eastAsia" w:ascii="CESI仿宋-GB2312" w:hAnsi="CESI仿宋-GB2312" w:eastAsia="CESI仿宋-GB2312" w:cs="CESI仿宋-GB2312"/>
          <w:color w:val="auto"/>
          <w:sz w:val="32"/>
          <w:szCs w:val="32"/>
          <w:u w:val="none" w:color="auto"/>
          <w:lang w:val="en-US" w:eastAsia="zh-CN"/>
        </w:rPr>
      </w:pPr>
    </w:p>
    <w:p w14:paraId="2E72182F">
      <w:pPr>
        <w:pStyle w:val="6"/>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80" w:lineRule="exact"/>
        <w:ind w:left="0" w:leftChars="0"/>
        <w:textAlignment w:val="auto"/>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陈永胜：</w:t>
      </w:r>
    </w:p>
    <w:p w14:paraId="266FB864">
      <w:pPr>
        <w:pStyle w:val="6"/>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80" w:lineRule="exact"/>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身份证号码：41088</w:t>
      </w:r>
      <w:r>
        <w:rPr>
          <w:rFonts w:hint="eastAsia" w:ascii="CESI仿宋-GB2312" w:hAnsi="CESI仿宋-GB2312" w:eastAsia="CESI仿宋-GB2312" w:cs="CESI仿宋-GB2312"/>
          <w:color w:val="000000"/>
          <w:sz w:val="32"/>
          <w:szCs w:val="32"/>
          <w:lang w:val="en-US" w:eastAsia="zh-CN"/>
        </w:rPr>
        <w:t>****</w:t>
      </w:r>
      <w:r>
        <w:rPr>
          <w:rFonts w:hint="eastAsia" w:ascii="CESI仿宋-GB2312" w:hAnsi="CESI仿宋-GB2312" w:eastAsia="CESI仿宋-GB2312" w:cs="CESI仿宋-GB2312"/>
          <w:b w:val="0"/>
          <w:bCs w:val="0"/>
          <w:color w:val="auto"/>
          <w:sz w:val="32"/>
          <w:szCs w:val="32"/>
          <w:lang w:val="en-US" w:eastAsia="zh-CN"/>
        </w:rPr>
        <w:t>70915</w:t>
      </w:r>
      <w:r>
        <w:rPr>
          <w:rFonts w:hint="eastAsia" w:ascii="CESI仿宋-GB2312" w:hAnsi="CESI仿宋-GB2312" w:eastAsia="CESI仿宋-GB2312" w:cs="CESI仿宋-GB2312"/>
          <w:color w:val="000000"/>
          <w:sz w:val="32"/>
          <w:szCs w:val="32"/>
          <w:lang w:val="en-US" w:eastAsia="zh-CN"/>
        </w:rPr>
        <w:t>****</w:t>
      </w:r>
    </w:p>
    <w:p w14:paraId="699B916B">
      <w:pPr>
        <w:pStyle w:val="6"/>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80" w:lineRule="exact"/>
        <w:textAlignment w:val="auto"/>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住址：沁阳市</w:t>
      </w:r>
      <w:r>
        <w:rPr>
          <w:rFonts w:hint="eastAsia" w:ascii="CESI仿宋-GB2312" w:hAnsi="CESI仿宋-GB2312" w:eastAsia="CESI仿宋-GB2312" w:cs="CESI仿宋-GB2312"/>
          <w:color w:val="000000"/>
          <w:sz w:val="32"/>
          <w:szCs w:val="32"/>
          <w:lang w:val="en-US" w:eastAsia="zh-CN"/>
        </w:rPr>
        <w:t>********</w:t>
      </w:r>
      <w:bookmarkStart w:id="0" w:name="_GoBack"/>
      <w:bookmarkEnd w:id="0"/>
    </w:p>
    <w:p w14:paraId="4650CCB7">
      <w:pPr>
        <w:keepNext w:val="0"/>
        <w:keepLines w:val="0"/>
        <w:pageBreakBefore w:val="0"/>
        <w:widowControl w:val="0"/>
        <w:kinsoku/>
        <w:wordWrap w:val="0"/>
        <w:overflowPunct/>
        <w:topLinePunct w:val="0"/>
        <w:autoSpaceDE/>
        <w:autoSpaceDN/>
        <w:bidi w:val="0"/>
        <w:adjustRightInd/>
        <w:snapToGrid w:val="0"/>
        <w:spacing w:line="580" w:lineRule="exact"/>
        <w:ind w:right="0" w:firstLine="640" w:firstLineChars="200"/>
        <w:textAlignment w:val="auto"/>
        <w:outlineLvl w:val="9"/>
        <w:rPr>
          <w:rFonts w:hint="eastAsia" w:ascii="CESI黑体-GB2312" w:hAnsi="CESI黑体-GB2312" w:eastAsia="CESI黑体-GB2312" w:cs="CESI黑体-GB2312"/>
          <w:color w:val="auto"/>
          <w:sz w:val="32"/>
          <w:szCs w:val="32"/>
        </w:rPr>
      </w:pPr>
      <w:r>
        <w:rPr>
          <w:rFonts w:hint="eastAsia" w:ascii="CESI黑体-GB2312" w:hAnsi="CESI黑体-GB2312" w:eastAsia="CESI黑体-GB2312" w:cs="CESI黑体-GB2312"/>
          <w:color w:val="auto"/>
          <w:sz w:val="32"/>
          <w:szCs w:val="32"/>
        </w:rPr>
        <w:t>一、环境违法事实和证据</w:t>
      </w:r>
    </w:p>
    <w:p w14:paraId="77DB4B3A">
      <w:pPr>
        <w:pStyle w:val="6"/>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80" w:lineRule="exact"/>
        <w:ind w:left="0" w:leftChars="0" w:firstLine="640" w:firstLineChars="200"/>
        <w:textAlignment w:val="auto"/>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2026年1月6日，焦作市生态环境局执法人员使用无人机在西万镇煤炭物流园检查时，发现一处空闲大院有晾晒煤渣的现象，经现场勘察，该大院约占地500平方米，周边安装有逸尘网，露天晾晒的煤渣未采取防尘措施。1月7日，当事人陈永胜将晾晒后的煤渣收集成堆，执法人员对晾晒后的煤渣进行测量，堆放的煤渣堆长10米，宽10米，高1.5米，约90吨。</w:t>
      </w:r>
    </w:p>
    <w:p w14:paraId="5AD2BBC2">
      <w:pPr>
        <w:pStyle w:val="6"/>
        <w:keepNext w:val="0"/>
        <w:keepLines w:val="0"/>
        <w:pageBreakBefore w:val="0"/>
        <w:widowControl w:val="0"/>
        <w:kinsoku/>
        <w:wordWrap w:val="0"/>
        <w:overflowPunct/>
        <w:topLinePunct w:val="0"/>
        <w:bidi w:val="0"/>
        <w:adjustRightInd/>
        <w:snapToGrid/>
        <w:spacing w:before="0" w:beforeAutospacing="0" w:after="0" w:afterAutospacing="0" w:line="580" w:lineRule="exact"/>
        <w:ind w:left="0" w:leftChars="0" w:firstLine="640" w:firstLineChars="200"/>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val="en-US" w:eastAsia="zh-CN"/>
        </w:rPr>
        <w:t>你的上述行为违反了《《中华人民共和国大气污染防治法》第七十二条第一款:“贮存煤炭、煤矸石、煤渣、煤灰、水泥、石灰、石膏、砂土等易产生扬尘的物料应当密闭；不能密闭的，应当设置不低于堆放物高度的严密围挡，并采取有效覆盖措施防治扬尘污染”的规定。</w:t>
      </w:r>
    </w:p>
    <w:p w14:paraId="39F9B8F5">
      <w:pPr>
        <w:pStyle w:val="6"/>
        <w:keepNext w:val="0"/>
        <w:keepLines w:val="0"/>
        <w:pageBreakBefore w:val="0"/>
        <w:widowControl w:val="0"/>
        <w:kinsoku/>
        <w:wordWrap w:val="0"/>
        <w:overflowPunct/>
        <w:topLinePunct w:val="0"/>
        <w:bidi w:val="0"/>
        <w:adjustRightInd/>
        <w:snapToGrid/>
        <w:spacing w:before="0" w:beforeAutospacing="0" w:after="0" w:afterAutospacing="0" w:line="580" w:lineRule="exact"/>
        <w:ind w:left="0" w:leftChars="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以上事实有，主要有以下证据证明：</w:t>
      </w:r>
    </w:p>
    <w:p w14:paraId="66267278">
      <w:pPr>
        <w:keepNext w:val="0"/>
        <w:keepLines w:val="0"/>
        <w:pageBreakBefore w:val="0"/>
        <w:widowControl w:val="0"/>
        <w:kinsoku/>
        <w:wordWrap w:val="0"/>
        <w:overflowPunct/>
        <w:topLinePunct w:val="0"/>
        <w:autoSpaceDE w:val="0"/>
        <w:autoSpaceDN w:val="0"/>
        <w:bidi w:val="0"/>
        <w:adjustRightInd w:val="0"/>
        <w:snapToGrid w:val="0"/>
        <w:spacing w:line="580" w:lineRule="exact"/>
        <w:ind w:left="0" w:leftChars="0" w:firstLine="640" w:firstLineChars="200"/>
        <w:jc w:val="both"/>
        <w:textAlignment w:val="baseline"/>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1.现场检查（勘察）笔录及现场照片/视频（2026年1月7日），证明陈永胜在西万煤炭物流园晾晒煤渣的事实；</w:t>
      </w:r>
    </w:p>
    <w:p w14:paraId="6C01BC72">
      <w:pPr>
        <w:keepNext w:val="0"/>
        <w:keepLines w:val="0"/>
        <w:pageBreakBefore w:val="0"/>
        <w:widowControl w:val="0"/>
        <w:kinsoku/>
        <w:wordWrap w:val="0"/>
        <w:overflowPunct/>
        <w:topLinePunct w:val="0"/>
        <w:autoSpaceDE w:val="0"/>
        <w:autoSpaceDN w:val="0"/>
        <w:bidi w:val="0"/>
        <w:adjustRightInd w:val="0"/>
        <w:snapToGrid w:val="0"/>
        <w:spacing w:line="580" w:lineRule="exact"/>
        <w:ind w:left="0" w:leftChars="0" w:firstLine="640" w:firstLineChars="200"/>
        <w:jc w:val="both"/>
        <w:textAlignment w:val="baseline"/>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2.调查询问笔录（2026年1月8日对陈永胜的调查询问），证明陈永胜晾晒煤渣及数量的事实；</w:t>
      </w:r>
    </w:p>
    <w:p w14:paraId="22DD9A27">
      <w:pPr>
        <w:keepNext w:val="0"/>
        <w:keepLines w:val="0"/>
        <w:pageBreakBefore w:val="0"/>
        <w:widowControl w:val="0"/>
        <w:kinsoku/>
        <w:wordWrap w:val="0"/>
        <w:overflowPunct/>
        <w:topLinePunct w:val="0"/>
        <w:autoSpaceDE w:val="0"/>
        <w:autoSpaceDN w:val="0"/>
        <w:bidi w:val="0"/>
        <w:adjustRightInd w:val="0"/>
        <w:snapToGrid w:val="0"/>
        <w:spacing w:line="580" w:lineRule="exact"/>
        <w:ind w:left="0" w:leftChars="0" w:firstLine="640" w:firstLineChars="200"/>
        <w:jc w:val="both"/>
        <w:textAlignment w:val="baseline"/>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3.身份证复印件，证明被询问人陈永胜的身份信息；</w:t>
      </w:r>
    </w:p>
    <w:p w14:paraId="453CEB36">
      <w:pPr>
        <w:keepNext w:val="0"/>
        <w:keepLines w:val="0"/>
        <w:pageBreakBefore w:val="0"/>
        <w:widowControl w:val="0"/>
        <w:kinsoku/>
        <w:wordWrap w:val="0"/>
        <w:overflowPunct/>
        <w:topLinePunct w:val="0"/>
        <w:autoSpaceDE w:val="0"/>
        <w:autoSpaceDN w:val="0"/>
        <w:bidi w:val="0"/>
        <w:adjustRightInd w:val="0"/>
        <w:snapToGrid w:val="0"/>
        <w:spacing w:line="580" w:lineRule="exact"/>
        <w:ind w:left="0" w:leftChars="0" w:firstLine="640" w:firstLineChars="200"/>
        <w:jc w:val="both"/>
        <w:textAlignment w:val="baseline"/>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4.执法人员的执法证复印件，证明执法人员的身份和资格；</w:t>
      </w:r>
    </w:p>
    <w:p w14:paraId="233A3285">
      <w:pPr>
        <w:keepNext w:val="0"/>
        <w:keepLines w:val="0"/>
        <w:pageBreakBefore w:val="0"/>
        <w:widowControl w:val="0"/>
        <w:kinsoku/>
        <w:wordWrap w:val="0"/>
        <w:overflowPunct/>
        <w:topLinePunct w:val="0"/>
        <w:autoSpaceDE w:val="0"/>
        <w:autoSpaceDN w:val="0"/>
        <w:bidi w:val="0"/>
        <w:adjustRightInd w:val="0"/>
        <w:snapToGrid w:val="0"/>
        <w:spacing w:line="580" w:lineRule="exact"/>
        <w:ind w:left="0" w:leftChars="0" w:firstLine="640" w:firstLineChars="200"/>
        <w:jc w:val="both"/>
        <w:textAlignment w:val="baseline"/>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5.其他证据。</w:t>
      </w:r>
    </w:p>
    <w:p w14:paraId="44524656">
      <w:pPr>
        <w:keepNext w:val="0"/>
        <w:keepLines w:val="0"/>
        <w:pageBreakBefore w:val="0"/>
        <w:widowControl w:val="0"/>
        <w:kinsoku/>
        <w:wordWrap w:val="0"/>
        <w:overflowPunct/>
        <w:topLinePunct w:val="0"/>
        <w:autoSpaceDE w:val="0"/>
        <w:autoSpaceDN w:val="0"/>
        <w:bidi w:val="0"/>
        <w:adjustRightInd w:val="0"/>
        <w:snapToGrid w:val="0"/>
        <w:spacing w:line="580" w:lineRule="exact"/>
        <w:ind w:left="0" w:leftChars="0" w:firstLine="640" w:firstLineChars="200"/>
        <w:jc w:val="both"/>
        <w:textAlignment w:val="baseline"/>
        <w:rPr>
          <w:rFonts w:hint="eastAsia" w:ascii="仿宋_GB2312" w:hAnsi="仿宋_GB2312" w:eastAsia="仿宋_GB2312" w:cs="仿宋_GB2312"/>
          <w:color w:val="auto"/>
          <w:sz w:val="32"/>
          <w:szCs w:val="32"/>
          <w:lang w:val="en-US" w:eastAsia="zh-CN"/>
        </w:rPr>
      </w:pPr>
      <w:r>
        <w:rPr>
          <w:rFonts w:hint="eastAsia" w:ascii="CESI仿宋-GB2312" w:hAnsi="CESI仿宋-GB2312" w:eastAsia="CESI仿宋-GB2312" w:cs="CESI仿宋-GB2312"/>
          <w:color w:val="auto"/>
          <w:sz w:val="32"/>
          <w:szCs w:val="32"/>
          <w:lang w:val="en-US" w:eastAsia="en-US"/>
        </w:rPr>
        <w:t>我局于202</w:t>
      </w:r>
      <w:r>
        <w:rPr>
          <w:rFonts w:hint="eastAsia" w:ascii="CESI仿宋-GB2312" w:hAnsi="CESI仿宋-GB2312" w:eastAsia="CESI仿宋-GB2312" w:cs="CESI仿宋-GB2312"/>
          <w:color w:val="auto"/>
          <w:sz w:val="32"/>
          <w:szCs w:val="32"/>
          <w:lang w:val="en-US" w:eastAsia="zh-CN"/>
        </w:rPr>
        <w:t>6</w:t>
      </w:r>
      <w:r>
        <w:rPr>
          <w:rFonts w:hint="eastAsia" w:ascii="CESI仿宋-GB2312" w:hAnsi="CESI仿宋-GB2312" w:eastAsia="CESI仿宋-GB2312" w:cs="CESI仿宋-GB2312"/>
          <w:color w:val="auto"/>
          <w:sz w:val="32"/>
          <w:szCs w:val="32"/>
          <w:lang w:val="en-US" w:eastAsia="en-US"/>
        </w:rPr>
        <w:t>年</w:t>
      </w:r>
      <w:r>
        <w:rPr>
          <w:rFonts w:hint="eastAsia" w:ascii="CESI仿宋-GB2312" w:hAnsi="CESI仿宋-GB2312" w:eastAsia="CESI仿宋-GB2312" w:cs="CESI仿宋-GB2312"/>
          <w:color w:val="auto"/>
          <w:sz w:val="32"/>
          <w:szCs w:val="32"/>
          <w:lang w:val="en-US" w:eastAsia="zh-CN"/>
        </w:rPr>
        <w:t>2</w:t>
      </w:r>
      <w:r>
        <w:rPr>
          <w:rFonts w:hint="eastAsia" w:ascii="CESI仿宋-GB2312" w:hAnsi="CESI仿宋-GB2312" w:eastAsia="CESI仿宋-GB2312" w:cs="CESI仿宋-GB2312"/>
          <w:color w:val="auto"/>
          <w:sz w:val="32"/>
          <w:szCs w:val="32"/>
          <w:lang w:val="en-US" w:eastAsia="en-US"/>
        </w:rPr>
        <w:t>月</w:t>
      </w:r>
      <w:r>
        <w:rPr>
          <w:rFonts w:hint="eastAsia" w:ascii="CESI仿宋-GB2312" w:hAnsi="CESI仿宋-GB2312" w:eastAsia="CESI仿宋-GB2312" w:cs="CESI仿宋-GB2312"/>
          <w:color w:val="auto"/>
          <w:sz w:val="32"/>
          <w:szCs w:val="32"/>
          <w:lang w:val="en-US" w:eastAsia="zh-CN"/>
        </w:rPr>
        <w:t>4</w:t>
      </w:r>
      <w:r>
        <w:rPr>
          <w:rFonts w:hint="eastAsia" w:ascii="CESI仿宋-GB2312" w:hAnsi="CESI仿宋-GB2312" w:eastAsia="CESI仿宋-GB2312" w:cs="CESI仿宋-GB2312"/>
          <w:color w:val="auto"/>
          <w:sz w:val="32"/>
          <w:szCs w:val="32"/>
          <w:lang w:val="en-US" w:eastAsia="en-US"/>
        </w:rPr>
        <w:t>日直接送达《行政处罚事先</w:t>
      </w:r>
      <w:r>
        <w:rPr>
          <w:rFonts w:hint="eastAsia" w:ascii="CESI仿宋-GB2312" w:hAnsi="CESI仿宋-GB2312" w:eastAsia="CESI仿宋-GB2312" w:cs="CESI仿宋-GB2312"/>
          <w:color w:val="auto"/>
          <w:sz w:val="32"/>
          <w:szCs w:val="32"/>
          <w:lang w:val="en-US" w:eastAsia="zh-CN"/>
        </w:rPr>
        <w:t>（听证）</w:t>
      </w:r>
      <w:r>
        <w:rPr>
          <w:rFonts w:hint="eastAsia" w:ascii="CESI仿宋-GB2312" w:hAnsi="CESI仿宋-GB2312" w:eastAsia="CESI仿宋-GB2312" w:cs="CESI仿宋-GB2312"/>
          <w:color w:val="auto"/>
          <w:sz w:val="32"/>
          <w:szCs w:val="32"/>
          <w:lang w:val="en-US" w:eastAsia="en-US"/>
        </w:rPr>
        <w:t>告知书》（焦</w:t>
      </w:r>
      <w:r>
        <w:rPr>
          <w:rFonts w:hint="eastAsia" w:ascii="CESI仿宋-GB2312" w:hAnsi="CESI仿宋-GB2312" w:eastAsia="CESI仿宋-GB2312" w:cs="CESI仿宋-GB2312"/>
          <w:color w:val="auto"/>
          <w:sz w:val="32"/>
          <w:szCs w:val="32"/>
          <w:lang w:val="en-US" w:eastAsia="zh-CN"/>
        </w:rPr>
        <w:t>沁</w:t>
      </w:r>
      <w:r>
        <w:rPr>
          <w:rFonts w:hint="eastAsia" w:ascii="CESI仿宋-GB2312" w:hAnsi="CESI仿宋-GB2312" w:eastAsia="CESI仿宋-GB2312" w:cs="CESI仿宋-GB2312"/>
          <w:color w:val="auto"/>
          <w:sz w:val="32"/>
          <w:szCs w:val="32"/>
          <w:lang w:val="en-US" w:eastAsia="en-US"/>
        </w:rPr>
        <w:t>环</w:t>
      </w:r>
      <w:r>
        <w:rPr>
          <w:rFonts w:hint="eastAsia" w:ascii="CESI仿宋-GB2312" w:hAnsi="CESI仿宋-GB2312" w:eastAsia="CESI仿宋-GB2312" w:cs="CESI仿宋-GB2312"/>
          <w:color w:val="auto"/>
          <w:sz w:val="32"/>
          <w:szCs w:val="32"/>
          <w:lang w:val="en-US" w:eastAsia="zh-CN"/>
        </w:rPr>
        <w:t>先</w:t>
      </w:r>
      <w:r>
        <w:rPr>
          <w:rFonts w:hint="eastAsia" w:ascii="CESI仿宋-GB2312" w:hAnsi="CESI仿宋-GB2312" w:eastAsia="CESI仿宋-GB2312" w:cs="CESI仿宋-GB2312"/>
          <w:color w:val="auto"/>
          <w:sz w:val="32"/>
          <w:szCs w:val="32"/>
          <w:lang w:val="en-US" w:eastAsia="en-US"/>
        </w:rPr>
        <w:t>告</w:t>
      </w:r>
      <w:r>
        <w:rPr>
          <w:rFonts w:hint="eastAsia" w:ascii="CESI仿宋-GB2312" w:hAnsi="CESI仿宋-GB2312" w:eastAsia="CESI仿宋-GB2312" w:cs="CESI仿宋-GB2312"/>
          <w:color w:val="auto"/>
          <w:sz w:val="32"/>
          <w:szCs w:val="32"/>
          <w:lang w:val="en-US" w:eastAsia="zh-CN"/>
        </w:rPr>
        <w:t>字</w:t>
      </w:r>
      <w:r>
        <w:rPr>
          <w:rFonts w:hint="eastAsia" w:ascii="CESI仿宋-GB2312" w:hAnsi="CESI仿宋-GB2312" w:eastAsia="CESI仿宋-GB2312" w:cs="CESI仿宋-GB2312"/>
          <w:color w:val="auto"/>
          <w:sz w:val="32"/>
          <w:szCs w:val="32"/>
          <w:lang w:val="en-US" w:eastAsia="en-US"/>
        </w:rPr>
        <w:t>〔202</w:t>
      </w:r>
      <w:r>
        <w:rPr>
          <w:rFonts w:hint="eastAsia" w:ascii="CESI仿宋-GB2312" w:hAnsi="CESI仿宋-GB2312" w:eastAsia="CESI仿宋-GB2312" w:cs="CESI仿宋-GB2312"/>
          <w:color w:val="auto"/>
          <w:sz w:val="32"/>
          <w:szCs w:val="32"/>
          <w:lang w:val="en-US" w:eastAsia="zh-CN"/>
        </w:rPr>
        <w:t>6</w:t>
      </w:r>
      <w:r>
        <w:rPr>
          <w:rFonts w:hint="eastAsia" w:ascii="CESI仿宋-GB2312" w:hAnsi="CESI仿宋-GB2312" w:eastAsia="CESI仿宋-GB2312" w:cs="CESI仿宋-GB2312"/>
          <w:color w:val="auto"/>
          <w:sz w:val="32"/>
          <w:szCs w:val="32"/>
          <w:lang w:val="en-US" w:eastAsia="en-US"/>
        </w:rPr>
        <w:t>〕</w:t>
      </w:r>
      <w:r>
        <w:rPr>
          <w:rFonts w:hint="eastAsia" w:ascii="CESI仿宋-GB2312" w:hAnsi="CESI仿宋-GB2312" w:eastAsia="CESI仿宋-GB2312" w:cs="CESI仿宋-GB2312"/>
          <w:color w:val="auto"/>
          <w:sz w:val="32"/>
          <w:szCs w:val="32"/>
          <w:lang w:val="en-US" w:eastAsia="zh-CN"/>
        </w:rPr>
        <w:t>4</w:t>
      </w:r>
      <w:r>
        <w:rPr>
          <w:rFonts w:hint="eastAsia" w:ascii="CESI仿宋-GB2312" w:hAnsi="CESI仿宋-GB2312" w:eastAsia="CESI仿宋-GB2312" w:cs="CESI仿宋-GB2312"/>
          <w:color w:val="auto"/>
          <w:sz w:val="32"/>
          <w:szCs w:val="32"/>
          <w:lang w:val="en-US" w:eastAsia="en-US"/>
        </w:rPr>
        <w:t>号），</w:t>
      </w:r>
      <w:r>
        <w:rPr>
          <w:rFonts w:hint="eastAsia" w:ascii="CESI仿宋-GB2312" w:hAnsi="CESI仿宋-GB2312" w:eastAsia="CESI仿宋-GB2312" w:cs="CESI仿宋-GB2312"/>
          <w:color w:val="auto"/>
          <w:sz w:val="32"/>
          <w:szCs w:val="32"/>
        </w:rPr>
        <w:t>告知</w:t>
      </w:r>
      <w:r>
        <w:rPr>
          <w:rFonts w:hint="eastAsia" w:ascii="CESI仿宋-GB2312" w:hAnsi="CESI仿宋-GB2312" w:eastAsia="CESI仿宋-GB2312" w:cs="CESI仿宋-GB2312"/>
          <w:color w:val="auto"/>
          <w:sz w:val="32"/>
          <w:szCs w:val="32"/>
          <w:lang w:eastAsia="zh-CN"/>
        </w:rPr>
        <w:t>书告知</w:t>
      </w:r>
      <w:r>
        <w:rPr>
          <w:rFonts w:hint="eastAsia" w:ascii="CESI仿宋-GB2312" w:hAnsi="CESI仿宋-GB2312" w:eastAsia="CESI仿宋-GB2312" w:cs="CESI仿宋-GB2312"/>
          <w:color w:val="auto"/>
          <w:sz w:val="32"/>
          <w:szCs w:val="32"/>
        </w:rPr>
        <w:t>你陈述申辩权（听证申请权）</w:t>
      </w:r>
      <w:r>
        <w:rPr>
          <w:rFonts w:hint="eastAsia" w:ascii="CESI仿宋-GB2312" w:hAnsi="CESI仿宋-GB2312" w:eastAsia="CESI仿宋-GB2312" w:cs="CESI仿宋-GB2312"/>
          <w:color w:val="auto"/>
          <w:sz w:val="32"/>
          <w:szCs w:val="32"/>
          <w:lang w:eastAsia="zh-CN"/>
        </w:rPr>
        <w:t>。</w:t>
      </w:r>
      <w:r>
        <w:rPr>
          <w:rFonts w:hint="eastAsia" w:ascii="仿宋_GB2312" w:hAnsi="仿宋_GB2312" w:eastAsia="仿宋_GB2312" w:cs="仿宋_GB2312"/>
          <w:snapToGrid w:val="0"/>
          <w:color w:val="auto"/>
          <w:kern w:val="0"/>
          <w:sz w:val="32"/>
          <w:szCs w:val="32"/>
          <w:lang w:val="en-US" w:eastAsia="en-US"/>
        </w:rPr>
        <w:t>你</w:t>
      </w:r>
      <w:r>
        <w:rPr>
          <w:rFonts w:hint="eastAsia" w:ascii="仿宋_GB2312" w:hAnsi="仿宋_GB2312" w:eastAsia="仿宋_GB2312" w:cs="仿宋_GB2312"/>
          <w:snapToGrid w:val="0"/>
          <w:color w:val="auto"/>
          <w:kern w:val="0"/>
          <w:sz w:val="32"/>
          <w:szCs w:val="32"/>
          <w:lang w:val="en-US" w:eastAsia="zh-CN"/>
        </w:rPr>
        <w:t>在</w:t>
      </w:r>
      <w:r>
        <w:rPr>
          <w:rFonts w:hint="eastAsia" w:ascii="仿宋_GB2312" w:hAnsi="仿宋_GB2312" w:eastAsia="仿宋_GB2312" w:cs="仿宋_GB2312"/>
          <w:snapToGrid w:val="0"/>
          <w:color w:val="auto"/>
          <w:kern w:val="0"/>
          <w:sz w:val="32"/>
          <w:szCs w:val="32"/>
          <w:lang w:val="en-US" w:eastAsia="en-US"/>
        </w:rPr>
        <w:t>法定期限内未提出陈述申辩，也未要求听证</w:t>
      </w:r>
      <w:r>
        <w:rPr>
          <w:rFonts w:hint="eastAsia" w:ascii="仿宋_GB2312" w:hAnsi="仿宋_GB2312" w:eastAsia="仿宋_GB2312" w:cs="仿宋_GB2312"/>
          <w:snapToGrid w:val="0"/>
          <w:color w:val="auto"/>
          <w:kern w:val="0"/>
          <w:sz w:val="32"/>
          <w:szCs w:val="32"/>
          <w:lang w:val="en-US" w:eastAsia="zh-CN"/>
        </w:rPr>
        <w:t>，视为你放弃</w:t>
      </w:r>
      <w:r>
        <w:rPr>
          <w:rFonts w:hint="eastAsia" w:ascii="仿宋_GB2312" w:hAnsi="仿宋_GB2312" w:eastAsia="仿宋_GB2312" w:cs="仿宋_GB2312"/>
          <w:snapToGrid w:val="0"/>
          <w:color w:val="auto"/>
          <w:kern w:val="0"/>
          <w:sz w:val="32"/>
          <w:szCs w:val="32"/>
          <w:lang w:val="en-US" w:eastAsia="en-US"/>
        </w:rPr>
        <w:t>陈述申辩</w:t>
      </w:r>
      <w:r>
        <w:rPr>
          <w:rFonts w:hint="eastAsia" w:ascii="仿宋_GB2312" w:hAnsi="仿宋_GB2312" w:eastAsia="仿宋_GB2312" w:cs="仿宋_GB2312"/>
          <w:snapToGrid w:val="0"/>
          <w:color w:val="auto"/>
          <w:kern w:val="0"/>
          <w:sz w:val="32"/>
          <w:szCs w:val="32"/>
          <w:lang w:val="en-US" w:eastAsia="zh-CN"/>
        </w:rPr>
        <w:t>和</w:t>
      </w:r>
      <w:r>
        <w:rPr>
          <w:rFonts w:hint="eastAsia" w:ascii="仿宋_GB2312" w:hAnsi="仿宋_GB2312" w:eastAsia="仿宋_GB2312" w:cs="仿宋_GB2312"/>
          <w:snapToGrid w:val="0"/>
          <w:color w:val="auto"/>
          <w:kern w:val="0"/>
          <w:sz w:val="32"/>
          <w:szCs w:val="32"/>
          <w:lang w:val="en-US" w:eastAsia="en-US"/>
        </w:rPr>
        <w:t>听</w:t>
      </w:r>
      <w:r>
        <w:rPr>
          <w:rFonts w:hint="eastAsia" w:ascii="仿宋_GB2312" w:hAnsi="仿宋_GB2312" w:eastAsia="仿宋_GB2312" w:cs="仿宋_GB2312"/>
          <w:snapToGrid w:val="0"/>
          <w:color w:val="auto"/>
          <w:kern w:val="0"/>
          <w:sz w:val="32"/>
          <w:szCs w:val="32"/>
          <w:lang w:val="en-US" w:eastAsia="zh-CN"/>
        </w:rPr>
        <w:t>证权利。</w:t>
      </w:r>
    </w:p>
    <w:p w14:paraId="46B45A27">
      <w:pPr>
        <w:keepNext w:val="0"/>
        <w:keepLines w:val="0"/>
        <w:pageBreakBefore w:val="0"/>
        <w:widowControl w:val="0"/>
        <w:tabs>
          <w:tab w:val="left" w:pos="300"/>
          <w:tab w:val="center" w:pos="4365"/>
          <w:tab w:val="left" w:pos="6345"/>
        </w:tabs>
        <w:kinsoku/>
        <w:wordWrap w:val="0"/>
        <w:overflowPunct/>
        <w:topLinePunct w:val="0"/>
        <w:bidi w:val="0"/>
        <w:adjustRightInd/>
        <w:snapToGrid/>
        <w:spacing w:line="580" w:lineRule="exact"/>
        <w:ind w:left="0" w:leftChars="0" w:right="0" w:firstLine="640" w:firstLineChars="200"/>
        <w:jc w:val="both"/>
        <w:textAlignment w:val="auto"/>
        <w:rPr>
          <w:rFonts w:hint="default" w:ascii="仿宋_GB2312" w:hAnsi="仿宋_GB2312" w:eastAsia="仿宋_GB2312" w:cs="仿宋_GB2312"/>
          <w:b w:val="0"/>
          <w:color w:val="auto"/>
          <w:sz w:val="32"/>
          <w:szCs w:val="32"/>
          <w:lang w:val="en-US" w:eastAsia="zh-CN"/>
        </w:rPr>
      </w:pPr>
      <w:r>
        <w:rPr>
          <w:rFonts w:hint="eastAsia" w:ascii="黑体" w:hAnsi="黑体" w:eastAsia="黑体" w:cs="黑体"/>
          <w:b w:val="0"/>
          <w:bCs w:val="0"/>
          <w:color w:val="auto"/>
          <w:sz w:val="32"/>
          <w:szCs w:val="32"/>
          <w:u w:val="none" w:color="auto"/>
          <w:lang w:val="en-US" w:eastAsia="zh-CN"/>
        </w:rPr>
        <w:t>二、</w:t>
      </w:r>
      <w:r>
        <w:rPr>
          <w:rFonts w:hint="eastAsia" w:ascii="黑体" w:hAnsi="黑体" w:eastAsia="黑体" w:cs="黑体"/>
          <w:b w:val="0"/>
          <w:bCs w:val="0"/>
          <w:color w:val="auto"/>
          <w:sz w:val="32"/>
          <w:szCs w:val="32"/>
          <w:lang w:val="en-US" w:eastAsia="zh-CN"/>
        </w:rPr>
        <w:t>政处罚的依据、种类</w:t>
      </w:r>
    </w:p>
    <w:p w14:paraId="38C00345">
      <w:pPr>
        <w:pStyle w:val="6"/>
        <w:keepNext w:val="0"/>
        <w:keepLines w:val="0"/>
        <w:pageBreakBefore w:val="0"/>
        <w:widowControl w:val="0"/>
        <w:numPr>
          <w:ilvl w:val="0"/>
          <w:numId w:val="1"/>
        </w:numPr>
        <w:suppressLineNumbers w:val="0"/>
        <w:kinsoku/>
        <w:wordWrap w:val="0"/>
        <w:overflowPunct/>
        <w:topLinePunct w:val="0"/>
        <w:autoSpaceDE/>
        <w:autoSpaceDN/>
        <w:bidi w:val="0"/>
        <w:adjustRightInd/>
        <w:snapToGrid/>
        <w:spacing w:before="0" w:beforeAutospacing="0" w:after="0" w:afterAutospacing="0" w:line="580" w:lineRule="exact"/>
        <w:ind w:left="0" w:leftChars="0" w:firstLine="640" w:firstLineChars="200"/>
        <w:textAlignment w:val="auto"/>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color w:val="auto"/>
          <w:sz w:val="32"/>
          <w:szCs w:val="32"/>
          <w:lang w:val="en-US" w:eastAsia="en-US"/>
        </w:rPr>
        <w:t>根据</w:t>
      </w:r>
      <w:r>
        <w:rPr>
          <w:rFonts w:hint="eastAsia" w:ascii="CESI仿宋-GB2312" w:hAnsi="CESI仿宋-GB2312" w:eastAsia="CESI仿宋-GB2312" w:cs="CESI仿宋-GB2312"/>
          <w:color w:val="auto"/>
          <w:sz w:val="32"/>
          <w:szCs w:val="32"/>
          <w:lang w:val="en-US" w:eastAsia="zh-CN"/>
        </w:rPr>
        <w:t>你</w:t>
      </w:r>
      <w:r>
        <w:rPr>
          <w:rFonts w:hint="eastAsia" w:ascii="CESI仿宋-GB2312" w:hAnsi="CESI仿宋-GB2312" w:eastAsia="CESI仿宋-GB2312" w:cs="CESI仿宋-GB2312"/>
          <w:color w:val="auto"/>
          <w:sz w:val="32"/>
          <w:szCs w:val="32"/>
          <w:lang w:val="en-US" w:eastAsia="en-US"/>
        </w:rPr>
        <w:t>违法行为的事实、性质、情节、社会危害程度和相关证据，</w:t>
      </w:r>
      <w:r>
        <w:rPr>
          <w:rFonts w:hint="eastAsia" w:ascii="CESI仿宋-GB2312" w:hAnsi="CESI仿宋-GB2312" w:eastAsia="CESI仿宋-GB2312" w:cs="CESI仿宋-GB2312"/>
          <w:b w:val="0"/>
          <w:bCs w:val="0"/>
          <w:color w:val="auto"/>
          <w:sz w:val="32"/>
          <w:szCs w:val="32"/>
          <w:lang w:val="en-US" w:eastAsia="zh-CN"/>
        </w:rPr>
        <w:t>参照《河南省生态环境行政处罚裁量基准》中处罚裁量基准：裁量因素：违法事实，内容：已按要求设置围挡但未采取有效覆盖措施导致扬尘污染的，裁量等级：2；裁量因素：易产生扬尘的物料量，内容：100吨以下，裁量等级：1；裁量因素：项目建设地点，内容：符合环境功能区划，裁量等级：1；裁量因素：占地面积，内容：占地面积100平方米以上500平方米以下的，裁量等级：3；裁量因素：违法行为发生时期环境敏感度，内容：一般期间，裁量等级：1；裁量因素：超过限期改正时间，内容：限期改正，裁量等级：1；裁量因素：受处罚次数，内容：两年内未受过同类处罚，裁量等级：1，裁量因素：是否配合执法检查，内容：配合检查，裁量等级：1；法定处罚金额上限（M）：100000；法定处罚金额下限（N）：10000；首要裁量因素裁量等级（A）：2；其余裁量因素个数（n）7；其余裁量因素裁量等级（Bi）:[1,1,1,3,1,1,1]；处罚金额（X）：21057，代入公式：21057=10000+（100000-10000）×[（2/5）²+（1</w:t>
      </w:r>
      <w:r>
        <w:rPr>
          <w:rFonts w:hint="eastAsia" w:ascii="CESI仿宋-GB2312" w:hAnsi="CESI仿宋-GB2312" w:eastAsia="CESI仿宋-GB2312" w:cs="CESI仿宋-GB2312"/>
          <w:b w:val="0"/>
          <w:bCs w:val="0"/>
          <w:color w:val="auto"/>
          <w:sz w:val="32"/>
          <w:szCs w:val="32"/>
          <w:vertAlign w:val="superscript"/>
          <w:lang w:val="en-US" w:eastAsia="zh-CN"/>
        </w:rPr>
        <w:t>2</w:t>
      </w:r>
      <w:r>
        <w:rPr>
          <w:rFonts w:hint="eastAsia" w:ascii="CESI仿宋-GB2312" w:hAnsi="CESI仿宋-GB2312" w:eastAsia="CESI仿宋-GB2312" w:cs="CESI仿宋-GB2312"/>
          <w:b w:val="0"/>
          <w:bCs w:val="0"/>
          <w:color w:val="auto"/>
          <w:sz w:val="32"/>
          <w:szCs w:val="32"/>
          <w:lang w:val="en-US" w:eastAsia="zh-CN"/>
        </w:rPr>
        <w:t>+1</w:t>
      </w:r>
      <w:r>
        <w:rPr>
          <w:rFonts w:hint="eastAsia" w:ascii="CESI仿宋-GB2312" w:hAnsi="CESI仿宋-GB2312" w:eastAsia="CESI仿宋-GB2312" w:cs="CESI仿宋-GB2312"/>
          <w:b w:val="0"/>
          <w:bCs w:val="0"/>
          <w:color w:val="auto"/>
          <w:sz w:val="32"/>
          <w:szCs w:val="32"/>
          <w:vertAlign w:val="superscript"/>
          <w:lang w:val="en-US" w:eastAsia="zh-CN"/>
        </w:rPr>
        <w:t>2</w:t>
      </w:r>
      <w:r>
        <w:rPr>
          <w:rFonts w:hint="eastAsia" w:ascii="CESI仿宋-GB2312" w:hAnsi="CESI仿宋-GB2312" w:eastAsia="CESI仿宋-GB2312" w:cs="CESI仿宋-GB2312"/>
          <w:b w:val="0"/>
          <w:bCs w:val="0"/>
          <w:color w:val="auto"/>
          <w:sz w:val="32"/>
          <w:szCs w:val="32"/>
          <w:lang w:val="en-US" w:eastAsia="zh-CN"/>
        </w:rPr>
        <w:t>+1</w:t>
      </w:r>
      <w:r>
        <w:rPr>
          <w:rFonts w:hint="eastAsia" w:ascii="CESI仿宋-GB2312" w:hAnsi="CESI仿宋-GB2312" w:eastAsia="CESI仿宋-GB2312" w:cs="CESI仿宋-GB2312"/>
          <w:b w:val="0"/>
          <w:bCs w:val="0"/>
          <w:color w:val="auto"/>
          <w:sz w:val="32"/>
          <w:szCs w:val="32"/>
          <w:vertAlign w:val="superscript"/>
          <w:lang w:val="en-US" w:eastAsia="zh-CN"/>
        </w:rPr>
        <w:t>2</w:t>
      </w:r>
      <w:r>
        <w:rPr>
          <w:rFonts w:hint="eastAsia" w:ascii="CESI仿宋-GB2312" w:hAnsi="CESI仿宋-GB2312" w:eastAsia="CESI仿宋-GB2312" w:cs="CESI仿宋-GB2312"/>
          <w:b w:val="0"/>
          <w:bCs w:val="0"/>
          <w:color w:val="auto"/>
          <w:sz w:val="32"/>
          <w:szCs w:val="32"/>
          <w:lang w:val="en-US" w:eastAsia="zh-CN"/>
        </w:rPr>
        <w:t>+</w:t>
      </w:r>
    </w:p>
    <w:p w14:paraId="6E3B9DDB">
      <w:pPr>
        <w:pStyle w:val="6"/>
        <w:keepNext w:val="0"/>
        <w:keepLines w:val="0"/>
        <w:pageBreakBefore w:val="0"/>
        <w:widowControl w:val="0"/>
        <w:numPr>
          <w:ilvl w:val="0"/>
          <w:numId w:val="0"/>
        </w:numPr>
        <w:suppressLineNumbers w:val="0"/>
        <w:kinsoku/>
        <w:wordWrap w:val="0"/>
        <w:overflowPunct/>
        <w:topLinePunct w:val="0"/>
        <w:autoSpaceDE/>
        <w:autoSpaceDN/>
        <w:bidi w:val="0"/>
        <w:adjustRightInd/>
        <w:snapToGrid/>
        <w:spacing w:before="0" w:beforeAutospacing="0" w:after="0" w:afterAutospacing="0" w:line="580" w:lineRule="exact"/>
        <w:ind w:right="0" w:rightChars="0"/>
        <w:textAlignment w:val="auto"/>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3</w:t>
      </w:r>
      <w:r>
        <w:rPr>
          <w:rFonts w:hint="eastAsia" w:ascii="CESI仿宋-GB2312" w:hAnsi="CESI仿宋-GB2312" w:eastAsia="CESI仿宋-GB2312" w:cs="CESI仿宋-GB2312"/>
          <w:b w:val="0"/>
          <w:bCs w:val="0"/>
          <w:color w:val="auto"/>
          <w:sz w:val="32"/>
          <w:szCs w:val="32"/>
          <w:vertAlign w:val="superscript"/>
          <w:lang w:val="en-US" w:eastAsia="zh-CN"/>
        </w:rPr>
        <w:t>2</w:t>
      </w:r>
      <w:r>
        <w:rPr>
          <w:rFonts w:hint="eastAsia" w:ascii="CESI仿宋-GB2312" w:hAnsi="CESI仿宋-GB2312" w:eastAsia="CESI仿宋-GB2312" w:cs="CESI仿宋-GB2312"/>
          <w:b w:val="0"/>
          <w:bCs w:val="0"/>
          <w:color w:val="auto"/>
          <w:sz w:val="32"/>
          <w:szCs w:val="32"/>
          <w:lang w:val="en-US" w:eastAsia="zh-CN"/>
        </w:rPr>
        <w:t>+1</w:t>
      </w:r>
      <w:r>
        <w:rPr>
          <w:rFonts w:hint="eastAsia" w:ascii="CESI仿宋-GB2312" w:hAnsi="CESI仿宋-GB2312" w:eastAsia="CESI仿宋-GB2312" w:cs="CESI仿宋-GB2312"/>
          <w:b w:val="0"/>
          <w:bCs w:val="0"/>
          <w:color w:val="auto"/>
          <w:sz w:val="32"/>
          <w:szCs w:val="32"/>
          <w:vertAlign w:val="superscript"/>
          <w:lang w:val="en-US" w:eastAsia="zh-CN"/>
        </w:rPr>
        <w:t>2</w:t>
      </w:r>
      <w:r>
        <w:rPr>
          <w:rFonts w:hint="eastAsia" w:ascii="CESI仿宋-GB2312" w:hAnsi="CESI仿宋-GB2312" w:eastAsia="CESI仿宋-GB2312" w:cs="CESI仿宋-GB2312"/>
          <w:b w:val="0"/>
          <w:bCs w:val="0"/>
          <w:color w:val="auto"/>
          <w:sz w:val="32"/>
          <w:szCs w:val="32"/>
          <w:lang w:val="en-US" w:eastAsia="zh-CN"/>
        </w:rPr>
        <w:t>+1</w:t>
      </w:r>
      <w:r>
        <w:rPr>
          <w:rFonts w:hint="eastAsia" w:ascii="CESI仿宋-GB2312" w:hAnsi="CESI仿宋-GB2312" w:eastAsia="CESI仿宋-GB2312" w:cs="CESI仿宋-GB2312"/>
          <w:b w:val="0"/>
          <w:bCs w:val="0"/>
          <w:color w:val="auto"/>
          <w:sz w:val="32"/>
          <w:szCs w:val="32"/>
          <w:vertAlign w:val="superscript"/>
          <w:lang w:val="en-US" w:eastAsia="zh-CN"/>
        </w:rPr>
        <w:t>2</w:t>
      </w:r>
      <w:r>
        <w:rPr>
          <w:rFonts w:hint="eastAsia" w:ascii="CESI仿宋-GB2312" w:hAnsi="CESI仿宋-GB2312" w:eastAsia="CESI仿宋-GB2312" w:cs="CESI仿宋-GB2312"/>
          <w:b w:val="0"/>
          <w:bCs w:val="0"/>
          <w:color w:val="auto"/>
          <w:sz w:val="32"/>
          <w:szCs w:val="32"/>
          <w:lang w:val="en-US" w:eastAsia="zh-CN"/>
        </w:rPr>
        <w:t>+1</w:t>
      </w:r>
      <w:r>
        <w:rPr>
          <w:rFonts w:hint="eastAsia" w:ascii="CESI仿宋-GB2312" w:hAnsi="CESI仿宋-GB2312" w:eastAsia="CESI仿宋-GB2312" w:cs="CESI仿宋-GB2312"/>
          <w:b w:val="0"/>
          <w:bCs w:val="0"/>
          <w:color w:val="auto"/>
          <w:sz w:val="32"/>
          <w:szCs w:val="32"/>
          <w:vertAlign w:val="superscript"/>
          <w:lang w:val="en-US" w:eastAsia="zh-CN"/>
        </w:rPr>
        <w:t>2</w:t>
      </w:r>
      <w:r>
        <w:rPr>
          <w:rFonts w:hint="eastAsia" w:ascii="CESI仿宋-GB2312" w:hAnsi="CESI仿宋-GB2312" w:eastAsia="CESI仿宋-GB2312" w:cs="CESI仿宋-GB2312"/>
          <w:b w:val="0"/>
          <w:bCs w:val="0"/>
          <w:color w:val="auto"/>
          <w:sz w:val="32"/>
          <w:szCs w:val="32"/>
          <w:lang w:val="en-US" w:eastAsia="zh-CN"/>
        </w:rPr>
        <w:t>）/（5</w:t>
      </w:r>
      <w:r>
        <w:rPr>
          <w:rFonts w:hint="eastAsia" w:ascii="CESI仿宋-GB2312" w:hAnsi="CESI仿宋-GB2312" w:eastAsia="CESI仿宋-GB2312" w:cs="CESI仿宋-GB2312"/>
          <w:b w:val="0"/>
          <w:bCs w:val="0"/>
          <w:color w:val="auto"/>
          <w:sz w:val="32"/>
          <w:szCs w:val="32"/>
          <w:vertAlign w:val="superscript"/>
          <w:lang w:val="en-US" w:eastAsia="zh-CN"/>
        </w:rPr>
        <w:t>2</w:t>
      </w:r>
      <w:r>
        <w:rPr>
          <w:rFonts w:hint="eastAsia" w:ascii="CESI仿宋-GB2312" w:hAnsi="CESI仿宋-GB2312" w:eastAsia="CESI仿宋-GB2312" w:cs="CESI仿宋-GB2312"/>
          <w:b w:val="0"/>
          <w:bCs w:val="0"/>
          <w:color w:val="auto"/>
          <w:sz w:val="32"/>
          <w:szCs w:val="32"/>
          <w:lang w:val="en-US" w:eastAsia="zh-CN"/>
        </w:rPr>
        <w:t>×7）]×50％，最终裁量金额：21057元。</w:t>
      </w:r>
    </w:p>
    <w:p w14:paraId="2CA0646C">
      <w:pPr>
        <w:keepNext w:val="0"/>
        <w:keepLines w:val="0"/>
        <w:pageBreakBefore w:val="0"/>
        <w:widowControl w:val="0"/>
        <w:numPr>
          <w:ilvl w:val="0"/>
          <w:numId w:val="0"/>
        </w:numPr>
        <w:tabs>
          <w:tab w:val="left" w:pos="300"/>
          <w:tab w:val="center" w:pos="4365"/>
          <w:tab w:val="left" w:pos="6345"/>
        </w:tabs>
        <w:kinsoku/>
        <w:wordWrap w:val="0"/>
        <w:overflowPunct/>
        <w:topLinePunct w:val="0"/>
        <w:bidi w:val="0"/>
        <w:adjustRightInd/>
        <w:snapToGrid/>
        <w:spacing w:line="580" w:lineRule="exact"/>
        <w:ind w:right="0" w:firstLine="640" w:firstLineChars="200"/>
        <w:jc w:val="both"/>
        <w:textAlignment w:val="auto"/>
        <w:outlineLvl w:val="9"/>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zh-CN"/>
        </w:rPr>
        <w:t>根据《中华人民共和国大气污染防治法》第一百一十七条第（二）项:“违反本法规定，有下列行为之一的，由县级以上人民政府生态环境等主管部门按照职责责令改正，处一万元以上十万元以下的罚款；拒不改正的，责令停工整治或者停业整治：</w:t>
      </w:r>
    </w:p>
    <w:p w14:paraId="737ECD07">
      <w:pPr>
        <w:keepNext w:val="0"/>
        <w:keepLines w:val="0"/>
        <w:pageBreakBefore w:val="0"/>
        <w:widowControl w:val="0"/>
        <w:numPr>
          <w:ilvl w:val="0"/>
          <w:numId w:val="0"/>
        </w:numPr>
        <w:tabs>
          <w:tab w:val="left" w:pos="300"/>
          <w:tab w:val="center" w:pos="4365"/>
          <w:tab w:val="left" w:pos="6345"/>
        </w:tabs>
        <w:kinsoku/>
        <w:wordWrap w:val="0"/>
        <w:overflowPunct/>
        <w:topLinePunct w:val="0"/>
        <w:bidi w:val="0"/>
        <w:adjustRightInd/>
        <w:snapToGrid/>
        <w:spacing w:line="580" w:lineRule="exact"/>
        <w:ind w:right="0"/>
        <w:jc w:val="both"/>
        <w:textAlignment w:val="auto"/>
        <w:outlineLvl w:val="9"/>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zh-CN"/>
        </w:rPr>
        <w:t>（二）对不能密闭的易产生扬尘的物料，未设置不低于堆放物高度的严密围挡，或者未采取有效覆盖措施防治扬尘污染的。”的规定，</w:t>
      </w:r>
      <w:r>
        <w:rPr>
          <w:rFonts w:hint="eastAsia" w:ascii="CESI仿宋-GB2312" w:hAnsi="CESI仿宋-GB2312" w:eastAsia="CESI仿宋-GB2312" w:cs="CESI仿宋-GB2312"/>
          <w:b w:val="0"/>
          <w:bCs w:val="0"/>
          <w:color w:val="auto"/>
          <w:kern w:val="2"/>
          <w:sz w:val="32"/>
          <w:szCs w:val="32"/>
          <w:lang w:val="en-US" w:eastAsia="zh-CN" w:bidi="ar-SA"/>
        </w:rPr>
        <w:t>我局对你露天未采取密闭措施晾晒煤渣的违法行为作出如下处理决定：</w:t>
      </w:r>
    </w:p>
    <w:p w14:paraId="4A9689DE">
      <w:pPr>
        <w:keepNext w:val="0"/>
        <w:keepLines w:val="0"/>
        <w:pageBreakBefore w:val="0"/>
        <w:widowControl w:val="0"/>
        <w:tabs>
          <w:tab w:val="left" w:pos="300"/>
          <w:tab w:val="center" w:pos="4365"/>
          <w:tab w:val="left" w:pos="6345"/>
        </w:tabs>
        <w:kinsoku/>
        <w:wordWrap w:val="0"/>
        <w:overflowPunct/>
        <w:topLinePunct w:val="0"/>
        <w:bidi w:val="0"/>
        <w:adjustRightInd/>
        <w:snapToGrid/>
        <w:spacing w:line="580" w:lineRule="exact"/>
        <w:ind w:left="0" w:leftChars="0" w:right="0" w:firstLine="640" w:firstLineChars="200"/>
        <w:jc w:val="both"/>
        <w:textAlignment w:val="auto"/>
        <w:outlineLvl w:val="9"/>
        <w:rPr>
          <w:rFonts w:hint="eastAsia" w:ascii="CESI仿宋-GB2312" w:hAnsi="CESI仿宋-GB2312" w:eastAsia="CESI仿宋-GB2312" w:cs="CESI仿宋-GB2312"/>
          <w:color w:val="000000"/>
          <w:kern w:val="0"/>
          <w:sz w:val="32"/>
          <w:szCs w:val="32"/>
          <w:lang w:val="en-US" w:eastAsia="zh-CN"/>
        </w:rPr>
      </w:pPr>
      <w:r>
        <w:rPr>
          <w:rFonts w:hint="eastAsia" w:ascii="CESI仿宋-GB2312" w:hAnsi="CESI仿宋-GB2312" w:eastAsia="CESI仿宋-GB2312" w:cs="CESI仿宋-GB2312"/>
          <w:color w:val="000000"/>
          <w:kern w:val="0"/>
          <w:sz w:val="32"/>
          <w:szCs w:val="32"/>
          <w:lang w:val="en-US" w:eastAsia="zh-CN"/>
        </w:rPr>
        <w:t>给予罚款贰万壹仟零伍拾柒元（21057元）的行政处罚。</w:t>
      </w:r>
    </w:p>
    <w:p w14:paraId="5C765CC9">
      <w:pPr>
        <w:keepNext w:val="0"/>
        <w:keepLines w:val="0"/>
        <w:pageBreakBefore w:val="0"/>
        <w:widowControl w:val="0"/>
        <w:numPr>
          <w:ilvl w:val="0"/>
          <w:numId w:val="0"/>
        </w:numPr>
        <w:kinsoku/>
        <w:wordWrap w:val="0"/>
        <w:overflowPunct/>
        <w:topLinePunct w:val="0"/>
        <w:bidi w:val="0"/>
        <w:adjustRightInd/>
        <w:snapToGrid/>
        <w:spacing w:line="580" w:lineRule="exact"/>
        <w:ind w:left="0" w:leftChars="0" w:right="0" w:firstLine="640" w:firstLineChars="200"/>
        <w:jc w:val="both"/>
        <w:textAlignment w:val="auto"/>
        <w:outlineLvl w:val="9"/>
        <w:rPr>
          <w:rFonts w:hint="eastAsia" w:ascii="仿宋_GB2312" w:hAnsi="Times New Roman" w:eastAsia="仿宋_GB2312" w:cs="宋体"/>
          <w:color w:val="auto"/>
          <w:sz w:val="32"/>
          <w:szCs w:val="32"/>
          <w:u w:val="none" w:color="auto"/>
          <w:lang w:val="en-US" w:eastAsia="zh-CN"/>
        </w:rPr>
      </w:pPr>
      <w:r>
        <w:rPr>
          <w:rFonts w:hint="eastAsia" w:ascii="黑体" w:hAnsi="黑体" w:eastAsia="黑体" w:cs="黑体"/>
          <w:color w:val="auto"/>
          <w:sz w:val="32"/>
          <w:szCs w:val="32"/>
          <w:u w:val="none" w:color="auto"/>
          <w:lang w:val="en-US" w:eastAsia="zh-CN"/>
        </w:rPr>
        <w:t>三、行政处罚决定的履行方式和期限</w:t>
      </w:r>
    </w:p>
    <w:p w14:paraId="63A9F17F">
      <w:pPr>
        <w:keepNext w:val="0"/>
        <w:keepLines w:val="0"/>
        <w:pageBreakBefore w:val="0"/>
        <w:widowControl w:val="0"/>
        <w:numPr>
          <w:ilvl w:val="0"/>
          <w:numId w:val="0"/>
        </w:numPr>
        <w:kinsoku/>
        <w:wordWrap w:val="0"/>
        <w:overflowPunct/>
        <w:topLinePunct w:val="0"/>
        <w:bidi w:val="0"/>
        <w:adjustRightInd/>
        <w:snapToGrid/>
        <w:spacing w:line="580" w:lineRule="exact"/>
        <w:ind w:left="0" w:leftChars="0" w:right="0" w:firstLine="640" w:firstLineChars="200"/>
        <w:jc w:val="both"/>
        <w:textAlignment w:val="auto"/>
        <w:outlineLvl w:val="9"/>
        <w:rPr>
          <w:rFonts w:hint="eastAsia" w:ascii="CESI仿宋-GB2312" w:hAnsi="CESI仿宋-GB2312" w:eastAsia="CESI仿宋-GB2312" w:cs="CESI仿宋-GB2312"/>
          <w:color w:val="auto"/>
          <w:sz w:val="32"/>
          <w:szCs w:val="32"/>
          <w:u w:val="none" w:color="auto"/>
          <w:lang w:val="en-US" w:eastAsia="zh-CN"/>
        </w:rPr>
      </w:pPr>
      <w:r>
        <w:rPr>
          <w:rFonts w:hint="eastAsia" w:ascii="CESI仿宋-GB2312" w:hAnsi="CESI仿宋-GB2312" w:eastAsia="CESI仿宋-GB2312" w:cs="CESI仿宋-GB2312"/>
          <w:color w:val="auto"/>
          <w:sz w:val="32"/>
          <w:szCs w:val="32"/>
          <w:u w:val="none" w:color="auto"/>
          <w:lang w:val="en-US" w:eastAsia="zh-CN"/>
        </w:rPr>
        <w:t>根据《中华人民共和国行政处罚法》和《罚款决定与罚款收缴分离实施办法》的规定，你应当自收到本处罚决定书之日起15日内将罚款缴至焦作市财政局非税收入财政专户(开户行：邮政储蓄银行民主南路支行；银行账号：100195545980010001)。缴款时，当事人需在缴款备注栏注明“生态环境行政处罚款”及具体的处罚决定书编号等信息，以便准确核对缴款记录。</w:t>
      </w:r>
    </w:p>
    <w:p w14:paraId="2E085D3F">
      <w:pPr>
        <w:keepNext w:val="0"/>
        <w:keepLines w:val="0"/>
        <w:pageBreakBefore w:val="0"/>
        <w:widowControl w:val="0"/>
        <w:kinsoku/>
        <w:wordWrap w:val="0"/>
        <w:overflowPunct/>
        <w:topLinePunct w:val="0"/>
        <w:autoSpaceDE w:val="0"/>
        <w:autoSpaceDN w:val="0"/>
        <w:bidi w:val="0"/>
        <w:adjustRightInd w:val="0"/>
        <w:snapToGrid w:val="0"/>
        <w:spacing w:line="580" w:lineRule="exact"/>
        <w:ind w:left="0" w:leftChars="0" w:right="0" w:firstLine="624" w:firstLineChars="200"/>
        <w:jc w:val="left"/>
        <w:textAlignment w:val="baseline"/>
        <w:outlineLvl w:val="9"/>
        <w:rPr>
          <w:rFonts w:hint="eastAsia" w:ascii="黑体" w:hAnsi="黑体" w:eastAsia="黑体" w:cs="黑体"/>
          <w:snapToGrid w:val="0"/>
          <w:color w:val="000000"/>
          <w:spacing w:val="-4"/>
          <w:kern w:val="0"/>
          <w:sz w:val="32"/>
          <w:szCs w:val="32"/>
          <w:lang w:val="en-US" w:eastAsia="zh-CN"/>
        </w:rPr>
      </w:pPr>
      <w:r>
        <w:rPr>
          <w:rFonts w:hint="eastAsia" w:ascii="黑体" w:hAnsi="黑体" w:eastAsia="黑体" w:cs="黑体"/>
          <w:snapToGrid w:val="0"/>
          <w:color w:val="000000"/>
          <w:spacing w:val="-4"/>
          <w:kern w:val="0"/>
          <w:sz w:val="32"/>
          <w:szCs w:val="32"/>
          <w:lang w:val="en-US" w:eastAsia="zh-CN"/>
        </w:rPr>
        <w:t>四、申请行政复议或提起行政诉讼的途径和期限</w:t>
      </w:r>
    </w:p>
    <w:p w14:paraId="4DFCFE06">
      <w:pPr>
        <w:keepNext w:val="0"/>
        <w:keepLines w:val="0"/>
        <w:pageBreakBefore w:val="0"/>
        <w:widowControl w:val="0"/>
        <w:kinsoku/>
        <w:wordWrap w:val="0"/>
        <w:overflowPunct/>
        <w:topLinePunct w:val="0"/>
        <w:bidi w:val="0"/>
        <w:adjustRightInd w:val="0"/>
        <w:snapToGrid w:val="0"/>
        <w:spacing w:line="580" w:lineRule="exact"/>
        <w:ind w:left="0" w:leftChars="0" w:firstLine="640" w:firstLineChars="200"/>
        <w:textAlignment w:val="auto"/>
        <w:rPr>
          <w:rFonts w:hint="eastAsia" w:ascii="CESI仿宋-GB2312" w:hAnsi="CESI仿宋-GB2312" w:eastAsia="CESI仿宋-GB2312" w:cs="CESI仿宋-GB2312"/>
          <w:b w:val="0"/>
          <w:color w:val="auto"/>
          <w:sz w:val="32"/>
          <w:szCs w:val="32"/>
          <w:lang w:val="en-US" w:eastAsia="zh-CN"/>
        </w:rPr>
      </w:pPr>
      <w:r>
        <w:rPr>
          <w:rFonts w:hint="eastAsia" w:ascii="CESI仿宋-GB2312" w:hAnsi="CESI仿宋-GB2312" w:eastAsia="CESI仿宋-GB2312" w:cs="CESI仿宋-GB2312"/>
          <w:b w:val="0"/>
          <w:color w:val="auto"/>
          <w:sz w:val="32"/>
          <w:szCs w:val="32"/>
          <w:lang w:val="en-US" w:eastAsia="zh-CN"/>
        </w:rPr>
        <w:t>你如不服本处罚决定，可以在收到本处罚决定书之日起六十日内向焦作市人民政府申请行政复议，也可以在收到本处罚决定书之日起六个月内向郑州铁路运输法院提起行政诉讼。申请行政复议或者提起行政诉讼，不停止行政处罚决定的执行。逾期不申请行政复议，不提起行政诉讼，又不履行本处罚决定的，我局将依法申请人民法院强制执行。</w:t>
      </w:r>
    </w:p>
    <w:p w14:paraId="7A622171">
      <w:pPr>
        <w:keepNext w:val="0"/>
        <w:keepLines w:val="0"/>
        <w:pageBreakBefore w:val="0"/>
        <w:widowControl w:val="0"/>
        <w:numPr>
          <w:ilvl w:val="0"/>
          <w:numId w:val="0"/>
        </w:numPr>
        <w:kinsoku/>
        <w:wordWrap w:val="0"/>
        <w:overflowPunct/>
        <w:topLinePunct w:val="0"/>
        <w:bidi w:val="0"/>
        <w:adjustRightInd/>
        <w:snapToGrid/>
        <w:spacing w:before="0" w:line="580" w:lineRule="exact"/>
        <w:ind w:left="0" w:leftChars="0" w:right="0" w:firstLine="3520" w:firstLineChars="1100"/>
        <w:jc w:val="both"/>
        <w:textAlignment w:val="auto"/>
        <w:outlineLvl w:val="9"/>
        <w:rPr>
          <w:rFonts w:hint="eastAsia" w:ascii="CESI仿宋-GB2312" w:hAnsi="CESI仿宋-GB2312" w:eastAsia="CESI仿宋-GB2312" w:cs="CESI仿宋-GB2312"/>
          <w:color w:val="auto"/>
          <w:sz w:val="32"/>
          <w:szCs w:val="32"/>
          <w:u w:val="none" w:color="auto"/>
          <w:lang w:val="en-US" w:eastAsia="zh-CN"/>
        </w:rPr>
      </w:pPr>
    </w:p>
    <w:p w14:paraId="3E53A6D5">
      <w:pPr>
        <w:keepNext w:val="0"/>
        <w:keepLines w:val="0"/>
        <w:pageBreakBefore w:val="0"/>
        <w:widowControl w:val="0"/>
        <w:numPr>
          <w:ilvl w:val="0"/>
          <w:numId w:val="0"/>
        </w:numPr>
        <w:kinsoku/>
        <w:wordWrap w:val="0"/>
        <w:overflowPunct/>
        <w:topLinePunct w:val="0"/>
        <w:bidi w:val="0"/>
        <w:adjustRightInd/>
        <w:snapToGrid/>
        <w:spacing w:before="0" w:line="580" w:lineRule="exact"/>
        <w:ind w:left="0" w:leftChars="0" w:right="0" w:firstLine="4160" w:firstLineChars="1300"/>
        <w:jc w:val="both"/>
        <w:textAlignment w:val="auto"/>
        <w:outlineLvl w:val="9"/>
        <w:rPr>
          <w:rFonts w:hint="eastAsia" w:ascii="CESI仿宋-GB2312" w:hAnsi="CESI仿宋-GB2312" w:eastAsia="CESI仿宋-GB2312" w:cs="CESI仿宋-GB2312"/>
          <w:color w:val="FF0000"/>
          <w:sz w:val="32"/>
          <w:szCs w:val="32"/>
          <w:u w:val="none" w:color="auto"/>
          <w:lang w:val="en-US" w:eastAsia="zh-CN"/>
        </w:rPr>
      </w:pPr>
    </w:p>
    <w:p w14:paraId="737951C3">
      <w:pPr>
        <w:pStyle w:val="2"/>
        <w:keepNext w:val="0"/>
        <w:keepLines w:val="0"/>
        <w:pageBreakBefore w:val="0"/>
        <w:widowControl w:val="0"/>
        <w:kinsoku/>
        <w:wordWrap w:val="0"/>
        <w:overflowPunct/>
        <w:topLinePunct w:val="0"/>
        <w:bidi w:val="0"/>
        <w:spacing w:after="0" w:line="580" w:lineRule="exact"/>
        <w:ind w:left="0" w:leftChars="0"/>
        <w:rPr>
          <w:rFonts w:hint="eastAsia" w:ascii="CESI仿宋-GB2312" w:hAnsi="CESI仿宋-GB2312" w:eastAsia="CESI仿宋-GB2312" w:cs="CESI仿宋-GB2312"/>
          <w:sz w:val="32"/>
          <w:szCs w:val="32"/>
          <w:lang w:val="en-US" w:eastAsia="zh-CN"/>
        </w:rPr>
      </w:pPr>
    </w:p>
    <w:p w14:paraId="7412B471">
      <w:pPr>
        <w:keepNext w:val="0"/>
        <w:keepLines w:val="0"/>
        <w:pageBreakBefore w:val="0"/>
        <w:widowControl w:val="0"/>
        <w:numPr>
          <w:ilvl w:val="0"/>
          <w:numId w:val="0"/>
        </w:numPr>
        <w:kinsoku/>
        <w:wordWrap w:val="0"/>
        <w:overflowPunct/>
        <w:topLinePunct w:val="0"/>
        <w:bidi w:val="0"/>
        <w:adjustRightInd/>
        <w:snapToGrid/>
        <w:spacing w:before="0" w:line="580" w:lineRule="exact"/>
        <w:ind w:left="0" w:leftChars="0" w:right="0" w:firstLine="5440" w:firstLineChars="1700"/>
        <w:jc w:val="both"/>
        <w:textAlignment w:val="auto"/>
        <w:outlineLvl w:val="9"/>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u w:val="none" w:color="auto"/>
          <w:lang w:val="en-US" w:eastAsia="zh-CN"/>
        </w:rPr>
        <w:t>2026年3月18日</w:t>
      </w:r>
    </w:p>
    <w:sectPr>
      <w:footerReference r:id="rId3" w:type="default"/>
      <w:pgSz w:w="11906" w:h="16838"/>
      <w:pgMar w:top="1814" w:right="1474" w:bottom="147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5902839-AC34-4E69-B868-08C955F372B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方正小标宋简体">
    <w:panose1 w:val="02000000000000000000"/>
    <w:charset w:val="86"/>
    <w:family w:val="auto"/>
    <w:pitch w:val="default"/>
    <w:sig w:usb0="00000001" w:usb1="08000000" w:usb2="00000000" w:usb3="00000000" w:csb0="00040000" w:csb1="00000000"/>
    <w:embedRegular r:id="rId2" w:fontKey="{37824870-718E-41C2-86C8-9D0FB3F0C7CD}"/>
  </w:font>
  <w:font w:name="CESI仿宋-GB2312">
    <w:altName w:val="仿宋"/>
    <w:panose1 w:val="02000500000000000000"/>
    <w:charset w:val="86"/>
    <w:family w:val="auto"/>
    <w:pitch w:val="default"/>
    <w:sig w:usb0="00000000" w:usb1="00000000" w:usb2="00000010" w:usb3="00000000" w:csb0="0004000F" w:csb1="00000000"/>
    <w:embedRegular r:id="rId3" w:fontKey="{1CA06FCE-F17C-47D5-BC52-1C13CF29F244}"/>
  </w:font>
  <w:font w:name="仿宋">
    <w:panose1 w:val="02010609060101010101"/>
    <w:charset w:val="86"/>
    <w:family w:val="auto"/>
    <w:pitch w:val="default"/>
    <w:sig w:usb0="800002BF" w:usb1="38CF7CFA" w:usb2="00000016" w:usb3="00000000" w:csb0="00040001" w:csb1="00000000"/>
  </w:font>
  <w:font w:name="CESI黑体-GB2312">
    <w:altName w:val="黑体"/>
    <w:panose1 w:val="02000500000000000000"/>
    <w:charset w:val="86"/>
    <w:family w:val="auto"/>
    <w:pitch w:val="default"/>
    <w:sig w:usb0="00000000" w:usb1="00000000" w:usb2="00000012" w:usb3="00000000" w:csb0="0004000F" w:csb1="00000000"/>
    <w:embedRegular r:id="rId4" w:fontKey="{B0B70CA3-C723-4D2D-BB47-B7DE6987C238}"/>
  </w:font>
  <w:font w:name="仿宋_GB2312">
    <w:altName w:val="仿宋"/>
    <w:panose1 w:val="02010609030101010101"/>
    <w:charset w:val="86"/>
    <w:family w:val="auto"/>
    <w:pitch w:val="default"/>
    <w:sig w:usb0="00000000" w:usb1="00000000" w:usb2="00000000" w:usb3="00000000" w:csb0="00040000" w:csb1="00000000"/>
    <w:embedRegular r:id="rId5" w:fontKey="{7007DE97-3E11-4381-A177-45E29E5DFB84}"/>
  </w:font>
  <w:font w:name="KSOF557087D0">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36DA7F">
    <w:pPr>
      <w:pStyle w:val="5"/>
    </w:pPr>
    <w:r>
      <w:rPr>
        <w:rFonts w:ascii="Calibri" w:hAnsi="Calibri" w:eastAsia="宋体" w:cs="黑体"/>
        <w:kern w:val="2"/>
        <w:sz w:val="18"/>
        <w:szCs w:val="18"/>
        <w:lang w:val="en-US" w:eastAsia="zh-CN" w:bidi="ar-SA"/>
      </w:rPr>
      <w:pict>
        <v:rect id="文本框 1" o:spid="_x0000_s4097" o:spt="1" style="position:absolute;left:0pt;margin-top:0pt;height:144pt;width:144pt;mso-position-horizontal:outside;mso-position-horizontal-relative:margin;mso-wrap-style:none;z-index:251659264;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14:paraId="1C15AAC9">
                <w:pPr>
                  <w:pStyle w:val="5"/>
                  <w:rPr>
                    <w:sz w:val="28"/>
                    <w:szCs w:val="28"/>
                  </w:rPr>
                </w:pPr>
              </w:p>
            </w:txbxContent>
          </v:textbox>
        </v:rect>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8C83C5"/>
    <w:multiLevelType w:val="singleLevel"/>
    <w:tmpl w:val="1C8C83C5"/>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docVars>
    <w:docVar w:name="commondata" w:val="eyJoZGlkIjoiMjRlMjYzYjY0NDc3YWQ3MmM5M2UxZWVhYzAzYmFjZDQifQ=="/>
  </w:docVars>
  <w:rsids>
    <w:rsidRoot w:val="69494216"/>
    <w:rsid w:val="04795A27"/>
    <w:rsid w:val="04A26DFB"/>
    <w:rsid w:val="06DB5F0F"/>
    <w:rsid w:val="0870581B"/>
    <w:rsid w:val="097A7FD3"/>
    <w:rsid w:val="0B963B10"/>
    <w:rsid w:val="0D27212E"/>
    <w:rsid w:val="0D755681"/>
    <w:rsid w:val="142938DC"/>
    <w:rsid w:val="14CE6FB2"/>
    <w:rsid w:val="15604A5E"/>
    <w:rsid w:val="164A75BB"/>
    <w:rsid w:val="169545F4"/>
    <w:rsid w:val="17516817"/>
    <w:rsid w:val="17BC0000"/>
    <w:rsid w:val="19F263F5"/>
    <w:rsid w:val="1AB25442"/>
    <w:rsid w:val="1BF97792"/>
    <w:rsid w:val="1C72149E"/>
    <w:rsid w:val="1D640352"/>
    <w:rsid w:val="20002274"/>
    <w:rsid w:val="22066450"/>
    <w:rsid w:val="22D43600"/>
    <w:rsid w:val="265F57EE"/>
    <w:rsid w:val="26FE1DEC"/>
    <w:rsid w:val="28C00B1B"/>
    <w:rsid w:val="29BA1194"/>
    <w:rsid w:val="2BB245D5"/>
    <w:rsid w:val="2D7E4035"/>
    <w:rsid w:val="2FFE7A8A"/>
    <w:rsid w:val="30B221FC"/>
    <w:rsid w:val="31DC5891"/>
    <w:rsid w:val="34C44175"/>
    <w:rsid w:val="37372B3C"/>
    <w:rsid w:val="37C16C4A"/>
    <w:rsid w:val="38194CD8"/>
    <w:rsid w:val="394713D0"/>
    <w:rsid w:val="3AEC462E"/>
    <w:rsid w:val="3B7AF637"/>
    <w:rsid w:val="3D864BBD"/>
    <w:rsid w:val="3F95733A"/>
    <w:rsid w:val="3FF75C58"/>
    <w:rsid w:val="42395E28"/>
    <w:rsid w:val="44320A04"/>
    <w:rsid w:val="458D1810"/>
    <w:rsid w:val="48EB2F0C"/>
    <w:rsid w:val="49647D7D"/>
    <w:rsid w:val="4ABF34BD"/>
    <w:rsid w:val="4AC46D25"/>
    <w:rsid w:val="4D2E2816"/>
    <w:rsid w:val="4DF96577"/>
    <w:rsid w:val="4F183ACA"/>
    <w:rsid w:val="509108A7"/>
    <w:rsid w:val="50E023DF"/>
    <w:rsid w:val="523D116B"/>
    <w:rsid w:val="54071DAE"/>
    <w:rsid w:val="55D63DB0"/>
    <w:rsid w:val="563E2A36"/>
    <w:rsid w:val="56D36B56"/>
    <w:rsid w:val="5761658A"/>
    <w:rsid w:val="5780200F"/>
    <w:rsid w:val="599E4BE5"/>
    <w:rsid w:val="5B183EB3"/>
    <w:rsid w:val="5BF3746A"/>
    <w:rsid w:val="5D796EED"/>
    <w:rsid w:val="5DA1443D"/>
    <w:rsid w:val="5F1B4729"/>
    <w:rsid w:val="5FABBC5E"/>
    <w:rsid w:val="636B3D8A"/>
    <w:rsid w:val="63B77EA2"/>
    <w:rsid w:val="64BC23C3"/>
    <w:rsid w:val="66A47BB4"/>
    <w:rsid w:val="683F18F9"/>
    <w:rsid w:val="69494216"/>
    <w:rsid w:val="6DBC5D6D"/>
    <w:rsid w:val="6E2C1160"/>
    <w:rsid w:val="72693B8A"/>
    <w:rsid w:val="72EC6569"/>
    <w:rsid w:val="743A38AB"/>
    <w:rsid w:val="74A26099"/>
    <w:rsid w:val="74CA34D5"/>
    <w:rsid w:val="74EE2AFA"/>
    <w:rsid w:val="75210DC6"/>
    <w:rsid w:val="77DFE647"/>
    <w:rsid w:val="795F396C"/>
    <w:rsid w:val="7AF14014"/>
    <w:rsid w:val="7CD814E0"/>
    <w:rsid w:val="7D9C70D4"/>
    <w:rsid w:val="7E5B36C4"/>
    <w:rsid w:val="7F531E4A"/>
    <w:rsid w:val="B95785FC"/>
    <w:rsid w:val="BCF7A89D"/>
    <w:rsid w:val="BD7F870B"/>
    <w:rsid w:val="CF7FE15E"/>
    <w:rsid w:val="DA7A938F"/>
    <w:rsid w:val="DBFBDFDA"/>
    <w:rsid w:val="DE7BB4C6"/>
    <w:rsid w:val="DE8926DB"/>
    <w:rsid w:val="E3F69ECD"/>
    <w:rsid w:val="E57A3F10"/>
    <w:rsid w:val="EB7FD019"/>
    <w:rsid w:val="EF278855"/>
    <w:rsid w:val="F5E9F07B"/>
    <w:rsid w:val="FB77714F"/>
    <w:rsid w:val="FBFF21A0"/>
    <w:rsid w:val="FDFFAFDE"/>
    <w:rsid w:val="FE769DD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99"/>
    <w:pPr>
      <w:ind w:firstLine="420" w:firstLineChars="200"/>
    </w:pPr>
  </w:style>
  <w:style w:type="paragraph" w:styleId="3">
    <w:name w:val="Body Text Indent"/>
    <w:basedOn w:val="1"/>
    <w:qFormat/>
    <w:uiPriority w:val="99"/>
    <w:pPr>
      <w:spacing w:after="120"/>
      <w:ind w:left="420" w:leftChars="200"/>
    </w:pPr>
  </w:style>
  <w:style w:type="paragraph" w:styleId="4">
    <w:name w:val="Body Text"/>
    <w:basedOn w:val="1"/>
    <w:next w:val="1"/>
    <w:qFormat/>
    <w:uiPriority w:val="0"/>
    <w:pPr>
      <w:jc w:val="center"/>
    </w:pPr>
    <w:rPr>
      <w:rFonts w:ascii="华文中宋" w:eastAsia="华文中宋"/>
      <w:b/>
      <w:bCs/>
      <w:sz w:val="44"/>
      <w:szCs w:val="36"/>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rPr>
  </w:style>
  <w:style w:type="paragraph" w:customStyle="1" w:styleId="9">
    <w:name w:val="Table Text"/>
    <w:basedOn w:val="1"/>
    <w:semiHidden/>
    <w:qFormat/>
    <w:uiPriority w:val="0"/>
    <w:rPr>
      <w:rFonts w:ascii="宋体" w:hAnsi="宋体" w:eastAsia="宋体" w:cs="宋体"/>
      <w:sz w:val="32"/>
      <w:szCs w:val="32"/>
      <w:lang w:val="en-US" w:eastAsia="en-US" w:bidi="ar-SA"/>
    </w:rPr>
  </w:style>
  <w:style w:type="table" w:customStyle="1" w:styleId="10">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1619</Words>
  <Characters>1778</Characters>
  <Lines>0</Lines>
  <Paragraphs>0</Paragraphs>
  <TotalTime>0</TotalTime>
  <ScaleCrop>false</ScaleCrop>
  <LinksUpToDate>false</LinksUpToDate>
  <CharactersWithSpaces>1778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2023-05-27T10:46:00Z</dcterms:created>
  <dc:creator>Administrator</dc:creator>
  <cp:lastModifiedBy>吴嘉嘉</cp:lastModifiedBy>
  <cp:lastPrinted>2026-03-18T15:19:00Z</cp:lastPrinted>
  <dcterms:modified xsi:type="dcterms:W3CDTF">2026-03-18T09:48:27Z</dcterms:modified>
  <dc:title>焦作市生态环境局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16B3BEB3B285484C8B25093799112899_13</vt:lpwstr>
  </property>
  <property fmtid="{D5CDD505-2E9C-101B-9397-08002B2CF9AE}" pid="4" name="KSOTemplateDocerSaveRecord">
    <vt:lpwstr>eyJoZGlkIjoiYmViMDNiNDM1M2UzNTJmYjI0MDE2NWRjMWI5MTc1YmMiLCJ1c2VySWQiOiI0MjYwNTU1MDYifQ==</vt:lpwstr>
  </property>
</Properties>
</file>