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jc w:val="center"/>
        <w:textAlignment w:val="auto"/>
        <w:rPr>
          <w:rStyle w:val="7"/>
          <w:rFonts w:hint="eastAsia" w:ascii="方正小标宋简体" w:hAnsi="宋体" w:eastAsia="方正小标宋简体" w:cs="宋体"/>
          <w:sz w:val="44"/>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Style w:val="7"/>
          <w:rFonts w:hint="eastAsia" w:ascii="方正小标宋简体" w:hAnsi="宋体" w:eastAsia="方正小标宋简体" w:cs="宋体"/>
          <w:sz w:val="44"/>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Style w:val="7"/>
          <w:rFonts w:hint="eastAsia" w:ascii="方正小标宋简体" w:hAnsi="宋体" w:eastAsia="方正小标宋简体" w:cs="宋体"/>
          <w:sz w:val="44"/>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Style w:val="7"/>
          <w:rFonts w:ascii="方正小标宋简体" w:hAnsi="宋体" w:eastAsia="方正小标宋简体" w:cs="宋体"/>
          <w:sz w:val="44"/>
        </w:rPr>
      </w:pPr>
      <w:r>
        <w:rPr>
          <w:rStyle w:val="7"/>
          <w:rFonts w:hint="eastAsia" w:ascii="方正小标宋简体" w:hAnsi="宋体" w:eastAsia="方正小标宋简体" w:cs="宋体"/>
          <w:sz w:val="44"/>
        </w:rPr>
        <w:t>焦作市生态环境局</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Style w:val="7"/>
          <w:rFonts w:ascii="方正小标宋简体" w:hAnsi="宋体" w:eastAsia="方正小标宋简体" w:cs="宋体"/>
          <w:sz w:val="44"/>
        </w:rPr>
      </w:pPr>
      <w:r>
        <w:rPr>
          <w:rStyle w:val="7"/>
          <w:rFonts w:hint="eastAsia" w:ascii="方正小标宋简体" w:hAnsi="宋体" w:eastAsia="方正小标宋简体" w:cs="宋体"/>
          <w:sz w:val="44"/>
        </w:rPr>
        <w:t>行政处罚决定书</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焦环罚〔</w:t>
      </w:r>
      <w:r>
        <w:rPr>
          <w:rFonts w:hint="eastAsia" w:ascii="仿宋_GB2312" w:hAnsi="仿宋_GB2312" w:eastAsia="仿宋_GB2312" w:cs="仿宋_GB2312"/>
          <w:sz w:val="32"/>
          <w:szCs w:val="32"/>
          <w:lang w:val="en-US" w:eastAsia="zh-CN"/>
        </w:rPr>
        <w:t>2026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78</w:t>
      </w:r>
      <w:r>
        <w:rPr>
          <w:rFonts w:hint="eastAsia" w:ascii="仿宋_GB2312" w:hAnsi="仿宋_GB2312" w:eastAsia="仿宋_GB2312" w:cs="仿宋_GB2312"/>
          <w:sz w:val="32"/>
          <w:szCs w:val="32"/>
        </w:rPr>
        <w:t>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lang w:val="en-US" w:eastAsia="zh-CN"/>
        </w:rPr>
      </w:pPr>
      <w:r>
        <w:rPr>
          <w:rFonts w:hint="eastAsia" w:ascii="黑体" w:eastAsia="黑体"/>
          <w:sz w:val="32"/>
          <w:szCs w:val="32"/>
        </w:rPr>
        <w:t>当事人名称或姓名：</w:t>
      </w:r>
      <w:r>
        <w:rPr>
          <w:rFonts w:hint="eastAsia" w:ascii="仿宋_GB2312" w:hAnsi="仿宋_GB2312" w:eastAsia="仿宋_GB2312" w:cs="仿宋_GB2312"/>
          <w:color w:val="auto"/>
          <w:sz w:val="32"/>
          <w:szCs w:val="32"/>
          <w:lang w:val="en-US" w:eastAsia="zh-CN"/>
        </w:rPr>
        <w:t>河南环碳检测技术有限公司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lang w:val="en-US" w:eastAsia="zh-CN"/>
        </w:rPr>
      </w:pPr>
      <w:r>
        <w:rPr>
          <w:rFonts w:hint="eastAsia" w:ascii="黑体" w:eastAsia="黑体"/>
          <w:sz w:val="32"/>
          <w:szCs w:val="32"/>
          <w:lang w:val="en-US" w:eastAsia="zh-CN"/>
        </w:rPr>
        <w:t>法人代表：</w:t>
      </w:r>
      <w:r>
        <w:rPr>
          <w:rFonts w:hint="eastAsia" w:ascii="仿宋_GB2312" w:hAnsi="仿宋_GB2312" w:eastAsia="仿宋_GB2312" w:cs="仿宋_GB2312"/>
          <w:color w:val="auto"/>
          <w:sz w:val="32"/>
          <w:szCs w:val="32"/>
          <w:lang w:val="en-US" w:eastAsia="zh-CN"/>
        </w:rPr>
        <w:t>薛祥建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lang w:val="en-US" w:eastAsia="zh-CN"/>
        </w:rPr>
      </w:pPr>
      <w:r>
        <w:rPr>
          <w:rFonts w:hint="eastAsia" w:ascii="黑体" w:eastAsia="黑体"/>
          <w:sz w:val="32"/>
          <w:szCs w:val="32"/>
          <w:lang w:val="en-US" w:eastAsia="zh-CN"/>
        </w:rPr>
        <w:t>统一社会信用代码：</w:t>
      </w:r>
      <w:r>
        <w:rPr>
          <w:rFonts w:hint="eastAsia" w:ascii="仿宋_GB2312" w:hAnsi="仿宋_GB2312" w:eastAsia="仿宋_GB2312" w:cs="仿宋_GB2312"/>
          <w:color w:val="auto"/>
          <w:sz w:val="32"/>
          <w:szCs w:val="32"/>
          <w:lang w:val="en-US" w:eastAsia="zh-CN"/>
        </w:rPr>
        <w:t>91410800MACW1BQK2T</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lang w:val="en-US" w:eastAsia="zh-CN"/>
        </w:rPr>
      </w:pPr>
      <w:r>
        <w:rPr>
          <w:rFonts w:hint="eastAsia" w:ascii="黑体" w:eastAsia="黑体"/>
          <w:sz w:val="32"/>
          <w:szCs w:val="32"/>
          <w:lang w:val="en-US" w:eastAsia="zh-CN"/>
        </w:rPr>
        <w:t>住址：</w:t>
      </w:r>
      <w:r>
        <w:rPr>
          <w:rFonts w:hint="eastAsia" w:ascii="仿宋_GB2312" w:hAnsi="仿宋_GB2312" w:eastAsia="仿宋_GB2312" w:cs="仿宋_GB2312"/>
          <w:color w:val="auto"/>
          <w:sz w:val="32"/>
          <w:szCs w:val="32"/>
          <w:lang w:val="en-US" w:eastAsia="zh-CN"/>
        </w:rPr>
        <w:t>焦作市示范区中原路 1365 号河南理工大学科技园5 号楼B区5层502室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textAlignment w:val="auto"/>
        <w:rPr>
          <w:rFonts w:hint="eastAsia" w:ascii="黑体" w:hAnsi="Calibri" w:eastAsia="黑体" w:cs="Times New Roman"/>
          <w:b w:val="0"/>
          <w:bCs w:val="0"/>
          <w:kern w:val="2"/>
          <w:sz w:val="32"/>
          <w:szCs w:val="32"/>
          <w:lang w:val="en-US" w:eastAsia="zh-CN" w:bidi="ar-SA"/>
        </w:rPr>
      </w:pPr>
      <w:r>
        <w:rPr>
          <w:rFonts w:hint="eastAsia" w:ascii="黑体" w:hAnsi="Calibri" w:eastAsia="黑体" w:cs="Times New Roman"/>
          <w:b w:val="0"/>
          <w:bCs w:val="0"/>
          <w:kern w:val="2"/>
          <w:sz w:val="32"/>
          <w:szCs w:val="32"/>
          <w:lang w:val="en-US" w:eastAsia="zh-CN" w:bidi="ar-SA"/>
        </w:rPr>
        <w:t>一、环境违法事实和证据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年12月25日，焦作市生态环境执法人员调取了你公司2025年出具的49份涉废气检测报告，并于2025年12月25日至2026年1月19日对上述49份环境检测报告原始记录开展核查分析，发现其中23份报告存在废气采样体积与计算浓度使用的废气体积不一致、计算的采样标况体积错误、原始记录无实际采样体积等问题。你公司的上述行为已构成未按照技术规范开展检测，出具虚假环境检验检测报告。违反了《河南省大气污染防治条例》第十八条第一款：“排放工业废气或者有毒有害大气污染物的企业事业单位和其他生产经营者应当按照国家有关规定和监测规范开展自行监测。不具备监测能力的排污单位，应当委托有资质的监测机构进行监测。接受委托的监测机构，应当遵守环境保护法律、法规和相关技术规范的要求。监测数据应当按照规定的时间如实报送环境保护主管部门，并依法向社会公开。监测数据保存的时间不得少于三年。”的规定，已构成违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以上事实有以下证据为证：</w:t>
      </w:r>
    </w:p>
    <w:p>
      <w:pPr>
        <w:keepNext w:val="0"/>
        <w:keepLines w:val="0"/>
        <w:pageBreakBefore w:val="0"/>
        <w:tabs>
          <w:tab w:val="left" w:pos="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1.现场检查（勘察）笔录（2026年1月19日）。证明该公司23份检测报告原始记录中</w:t>
      </w:r>
      <w:r>
        <w:rPr>
          <w:rFonts w:hint="eastAsia" w:ascii="仿宋_GB2312" w:hAnsi="仿宋_GB2312" w:eastAsia="仿宋_GB2312" w:cs="仿宋_GB2312"/>
          <w:color w:val="000000"/>
          <w:sz w:val="32"/>
          <w:szCs w:val="32"/>
        </w:rPr>
        <w:t>废气采样气积与计算</w:t>
      </w:r>
      <w:r>
        <w:rPr>
          <w:rFonts w:hint="eastAsia" w:ascii="仿宋_GB2312" w:hAnsi="仿宋_GB2312" w:eastAsia="仿宋_GB2312" w:cs="仿宋_GB2312"/>
          <w:color w:val="000000"/>
          <w:sz w:val="32"/>
          <w:szCs w:val="32"/>
          <w:lang w:eastAsia="zh-CN"/>
        </w:rPr>
        <w:t>浓度</w:t>
      </w:r>
      <w:r>
        <w:rPr>
          <w:rFonts w:hint="eastAsia" w:ascii="仿宋_GB2312" w:hAnsi="仿宋_GB2312" w:eastAsia="仿宋_GB2312" w:cs="仿宋_GB2312"/>
          <w:color w:val="000000"/>
          <w:sz w:val="32"/>
          <w:szCs w:val="32"/>
        </w:rPr>
        <w:t>使用的废气体积不一致、计算的采样标况体积错误、原始记录无实际采样体积</w:t>
      </w:r>
      <w:r>
        <w:rPr>
          <w:rFonts w:hint="eastAsia" w:ascii="仿宋_GB2312" w:hAnsi="仿宋_GB2312" w:eastAsia="仿宋_GB2312" w:cs="仿宋_GB2312"/>
          <w:color w:val="000000"/>
          <w:sz w:val="32"/>
          <w:szCs w:val="32"/>
          <w:lang w:eastAsia="zh-CN"/>
        </w:rPr>
        <w:t>等内容</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2.调查询问笔录（2026年1月19日）。证明该公司负责人确认23份检测报告废气采样气积与计算浓度使用的废气体积不一致、计算的采样标况体积错误、原始记录无实际采样体积等内容。</w:t>
      </w:r>
    </w:p>
    <w:p>
      <w:pPr>
        <w:keepNext w:val="0"/>
        <w:keepLines w:val="0"/>
        <w:pageBreakBefore w:val="0"/>
        <w:numPr>
          <w:ilvl w:val="0"/>
          <w:numId w:val="0"/>
        </w:numPr>
        <w:tabs>
          <w:tab w:val="left" w:pos="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3.营业执照复印件、资质认定证书。证明该公司法人主体和检测资质。</w:t>
      </w:r>
    </w:p>
    <w:p>
      <w:pPr>
        <w:pStyle w:val="2"/>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lang w:val="en-US" w:eastAsia="zh-CN"/>
        </w:rPr>
      </w:pPr>
      <w:r>
        <w:rPr>
          <w:rFonts w:hint="eastAsia" w:ascii="仿宋_GB2312" w:hAnsi="仿宋_GB2312" w:eastAsia="仿宋_GB2312" w:cs="仿宋_GB2312"/>
          <w:b w:val="0"/>
          <w:bCs w:val="0"/>
          <w:color w:val="auto"/>
          <w:kern w:val="2"/>
          <w:sz w:val="32"/>
          <w:szCs w:val="32"/>
          <w:lang w:val="en-US" w:eastAsia="zh-CN" w:bidi="ar-SA"/>
        </w:rPr>
        <w:t>4.23份检测报告及原始记录复印件。证明该公司23份检测报告原始记录中废气采样气积与计算浓度使用的废气体积不一致、计算的采样标况体积错误、原始记录无实际采样体积等内容。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2026年2月2 日，我局向你公司送达了《行政处罚事先（听证）告知书》（焦环罚告〔2026〕14号），你公司在法定 5个工作日内未提出陈述申辩，也未提出听证申请。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黑体" w:hAnsi="Calibri" w:eastAsia="黑体" w:cs="Times New Roman"/>
          <w:b w:val="0"/>
          <w:bCs w:val="0"/>
          <w:kern w:val="2"/>
          <w:sz w:val="32"/>
          <w:szCs w:val="32"/>
          <w:lang w:val="en-US" w:eastAsia="zh-CN" w:bidi="ar-SA"/>
        </w:rPr>
      </w:pPr>
      <w:r>
        <w:rPr>
          <w:rFonts w:hint="eastAsia" w:ascii="黑体" w:hAnsi="Calibri" w:eastAsia="黑体" w:cs="Times New Roman"/>
          <w:b w:val="0"/>
          <w:bCs w:val="0"/>
          <w:kern w:val="2"/>
          <w:sz w:val="32"/>
          <w:szCs w:val="32"/>
          <w:lang w:val="en-US" w:eastAsia="zh-CN" w:bidi="ar-SA"/>
        </w:rPr>
        <w:t>二、行政处罚的依据、种类</w:t>
      </w:r>
    </w:p>
    <w:p>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kern w:val="2"/>
          <w:sz w:val="32"/>
          <w:szCs w:val="32"/>
          <w:lang w:val="en-US" w:eastAsia="zh-CN" w:bidi="ar-SA"/>
        </w:rPr>
        <w:t>依据</w:t>
      </w:r>
      <w:r>
        <w:rPr>
          <w:rFonts w:hint="eastAsia" w:ascii="仿宋_GB2312" w:hAnsi="仿宋_GB2312" w:eastAsia="仿宋_GB2312" w:cs="仿宋_GB2312"/>
          <w:spacing w:val="0"/>
          <w:sz w:val="32"/>
          <w:szCs w:val="32"/>
          <w:u w:val="none"/>
          <w:lang w:val="en-US" w:eastAsia="zh-CN" w:bidi="ar"/>
        </w:rPr>
        <w:t>《河南省大气污染防治条例》第六十九条第二款：“违反本条例第十八条第一款规定，接受委托的监测机构未按照环境保护法律、法规和相关技术规范的要求进行监测的，由县级以上人民政府环境保护主管部门责令改正，处二万元以上十万元以下罚款”</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sz w:val="32"/>
          <w:szCs w:val="32"/>
        </w:rPr>
        <w:t>参照</w:t>
      </w:r>
      <w:r>
        <w:rPr>
          <w:rFonts w:hint="eastAsia" w:ascii="仿宋_GB2312" w:hAnsi="宋体" w:eastAsia="仿宋_GB2312"/>
          <w:sz w:val="32"/>
          <w:szCs w:val="32"/>
          <w:shd w:val="clear" w:color="auto" w:fill="FFFFFF"/>
        </w:rPr>
        <w:t>《关于印发&lt;河南省生态环境行政处罚裁量基准适用规则（修订）&gt;&lt;河南省生态环境行政处罚裁量基准&gt;的通知》（豫环办〔2022〕72号）</w:t>
      </w:r>
      <w:r>
        <w:rPr>
          <w:rFonts w:hint="eastAsia" w:ascii="仿宋_GB2312" w:hAnsi="仿宋_GB2312" w:eastAsia="仿宋_GB2312" w:cs="仿宋_GB2312"/>
          <w:spacing w:val="0"/>
          <w:sz w:val="32"/>
          <w:szCs w:val="32"/>
          <w:u w:val="none"/>
          <w:lang w:val="en-US" w:eastAsia="zh-CN" w:bidi="ar"/>
        </w:rPr>
        <w:t>通用处罚裁量基准</w:t>
      </w:r>
      <w:r>
        <w:rPr>
          <w:rFonts w:hint="eastAsia" w:ascii="仿宋_GB2312" w:hAnsi="仿宋_GB2312" w:eastAsia="仿宋_GB2312" w:cs="仿宋_GB2312"/>
          <w:color w:val="000000"/>
          <w:kern w:val="0"/>
          <w:sz w:val="32"/>
          <w:szCs w:val="32"/>
          <w:lang w:eastAsia="zh-CN"/>
        </w:rPr>
        <w:t>。</w:t>
      </w:r>
    </w:p>
    <w:p>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 w:eastAsia="仿宋_GB2312" w:cs="仿宋_GB2312"/>
          <w:bCs/>
          <w:color w:val="auto"/>
          <w:kern w:val="0"/>
          <w:sz w:val="32"/>
          <w:szCs w:val="32"/>
          <w:shd w:val="clear" w:color="auto" w:fill="FFFFFF"/>
          <w:lang w:val="en-US" w:eastAsia="zh-CN" w:bidi="ar-SA"/>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eastAsia="zh-CN"/>
        </w:rPr>
        <w:t>违法实事：该公司是初次违法，积极配合调查，并提供相关资料，认定违法行为一般裁量等级</w:t>
      </w:r>
      <w:r>
        <w:rPr>
          <w:rFonts w:hint="eastAsia" w:ascii="仿宋_GB2312" w:hAnsi="仿宋_GB2312" w:eastAsia="仿宋_GB2312" w:cs="仿宋_GB2312"/>
          <w:color w:val="auto"/>
          <w:kern w:val="0"/>
          <w:sz w:val="32"/>
          <w:szCs w:val="32"/>
          <w:lang w:val="en-US" w:eastAsia="zh-CN"/>
        </w:rPr>
        <w:t>1</w:t>
      </w:r>
      <w:r>
        <w:rPr>
          <w:rFonts w:hint="eastAsia" w:ascii="仿宋_GB2312" w:hAnsi="仿宋" w:eastAsia="仿宋_GB2312" w:cs="仿宋_GB2312"/>
          <w:bCs/>
          <w:color w:val="auto"/>
          <w:kern w:val="0"/>
          <w:sz w:val="32"/>
          <w:szCs w:val="32"/>
          <w:shd w:val="clear" w:color="auto" w:fill="FFFFFF"/>
          <w:lang w:val="en-US" w:eastAsia="zh-CN" w:bidi="ar-SA"/>
        </w:rPr>
        <w:t>；2.企业规模：依据该公司人员信息，共有41名工作人员，依据国家统计局关于印发《统计上大中小微型企业划分办法(2017)》的通知国统字〔2017〕213号，其他未列明行业从业人员10≤X＜100，属于小型企业，裁量等级2；</w:t>
      </w:r>
      <w:r>
        <w:rPr>
          <w:rFonts w:hint="eastAsia" w:ascii="仿宋_GB2312" w:hAnsi="仿宋_GB2312" w:eastAsia="仿宋_GB2312" w:cs="仿宋_GB2312"/>
          <w:color w:val="auto"/>
          <w:kern w:val="0"/>
          <w:sz w:val="32"/>
          <w:szCs w:val="32"/>
          <w:lang w:val="en-US" w:eastAsia="zh-CN"/>
        </w:rPr>
        <w:t>3.违法持续时间：23份报告出具时间从2025年7月31日至2026年12月3日</w:t>
      </w:r>
      <w:r>
        <w:rPr>
          <w:rFonts w:hint="eastAsia" w:ascii="仿宋_GB2312" w:hAnsi="仿宋_GB2312" w:eastAsia="仿宋_GB2312" w:cs="仿宋_GB2312"/>
          <w:color w:val="auto"/>
          <w:kern w:val="2"/>
          <w:sz w:val="32"/>
          <w:szCs w:val="32"/>
          <w:lang w:val="en-US" w:eastAsia="zh-CN" w:bidi="ar-SA"/>
        </w:rPr>
        <w:t>，持续时间4个月4天</w:t>
      </w:r>
      <w:r>
        <w:rPr>
          <w:rFonts w:hint="eastAsia" w:ascii="仿宋_GB2312" w:hAnsi="仿宋" w:eastAsia="仿宋_GB2312" w:cs="仿宋_GB2312"/>
          <w:bCs/>
          <w:color w:val="auto"/>
          <w:kern w:val="0"/>
          <w:sz w:val="32"/>
          <w:szCs w:val="32"/>
          <w:shd w:val="clear" w:color="auto" w:fill="FFFFFF"/>
          <w:lang w:val="en-US" w:eastAsia="zh-CN" w:bidi="ar-SA"/>
        </w:rPr>
        <w:t>，裁量等级3；</w:t>
      </w:r>
      <w:r>
        <w:rPr>
          <w:rFonts w:hint="eastAsia" w:ascii="仿宋_GB2312" w:hAnsi="仿宋_GB2312" w:eastAsia="仿宋_GB2312" w:cs="仿宋_GB2312"/>
          <w:color w:val="auto"/>
          <w:kern w:val="2"/>
          <w:sz w:val="32"/>
          <w:szCs w:val="32"/>
          <w:lang w:val="en-US" w:eastAsia="zh-CN" w:bidi="ar-SA"/>
        </w:rPr>
        <w:t>4.受处罚次数：经查阅信用中国和国家企业信用信息公示系统，无处罚信息，裁量等级1；</w:t>
      </w:r>
      <w:r>
        <w:rPr>
          <w:rFonts w:hint="eastAsia" w:ascii="仿宋_GB2312" w:hAnsi="仿宋" w:eastAsia="仿宋_GB2312" w:cs="仿宋_GB2312"/>
          <w:bCs/>
          <w:color w:val="auto"/>
          <w:kern w:val="0"/>
          <w:sz w:val="32"/>
          <w:szCs w:val="32"/>
          <w:shd w:val="clear" w:color="auto" w:fill="FFFFFF"/>
          <w:lang w:val="en-US" w:eastAsia="zh-CN" w:bidi="ar-SA"/>
        </w:rPr>
        <w:t>5.是否配合：配合调查，裁量等级1。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Times New Roman" w:hAnsi="Times New Roman" w:eastAsia="仿宋_GB2312"/>
          <w:color w:val="FF0000"/>
          <w:kern w:val="0"/>
          <w:sz w:val="32"/>
          <w:szCs w:val="32"/>
          <w:lang w:eastAsia="zh-CN"/>
        </w:rPr>
        <w:drawing>
          <wp:anchor distT="0" distB="0" distL="114300" distR="114300" simplePos="0" relativeHeight="251660288" behindDoc="0" locked="0" layoutInCell="1" allowOverlap="1">
            <wp:simplePos x="0" y="0"/>
            <wp:positionH relativeFrom="column">
              <wp:posOffset>406400</wp:posOffset>
            </wp:positionH>
            <wp:positionV relativeFrom="paragraph">
              <wp:posOffset>5715</wp:posOffset>
            </wp:positionV>
            <wp:extent cx="5269230" cy="778510"/>
            <wp:effectExtent l="0" t="0" r="7620" b="2540"/>
            <wp:wrapNone/>
            <wp:docPr id="2" name="图片 4" descr="图片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4" descr="图片1"/>
                    <pic:cNvPicPr>
                      <a:picLocks noChangeAspect="true"/>
                    </pic:cNvPicPr>
                  </pic:nvPicPr>
                  <pic:blipFill>
                    <a:blip r:embed="rId4"/>
                    <a:stretch>
                      <a:fillRect/>
                    </a:stretch>
                  </pic:blipFill>
                  <pic:spPr>
                    <a:xfrm>
                      <a:off x="0" y="0"/>
                      <a:ext cx="5269230" cy="778510"/>
                    </a:xfrm>
                    <a:prstGeom prst="rect">
                      <a:avLst/>
                    </a:prstGeom>
                    <a:noFill/>
                    <a:ln>
                      <a:noFill/>
                    </a:ln>
                  </pic:spPr>
                </pic:pic>
              </a:graphicData>
            </a:graphic>
          </wp:anchor>
        </w:drawing>
      </w:r>
      <w:r>
        <w:rPr>
          <w:rFonts w:hint="eastAsia" w:ascii="Times New Roman" w:hAnsi="Times New Roman" w:eastAsia="仿宋_GB2312"/>
          <w:color w:val="FF0000"/>
          <w:kern w:val="0"/>
          <w:sz w:val="32"/>
          <w:szCs w:val="32"/>
          <w:lang w:eastAsia="zh-CN"/>
        </w:rPr>
        <w:drawing>
          <wp:anchor distT="0" distB="0" distL="114300" distR="114300" simplePos="0" relativeHeight="251659264" behindDoc="0" locked="0" layoutInCell="1" allowOverlap="1">
            <wp:simplePos x="0" y="0"/>
            <wp:positionH relativeFrom="column">
              <wp:posOffset>1414145</wp:posOffset>
            </wp:positionH>
            <wp:positionV relativeFrom="paragraph">
              <wp:posOffset>5317490</wp:posOffset>
            </wp:positionV>
            <wp:extent cx="5615305" cy="829310"/>
            <wp:effectExtent l="0" t="0" r="4445" b="8890"/>
            <wp:wrapNone/>
            <wp:docPr id="1" name="图片 3" descr="截图_选择区域_202304101608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3" descr="截图_选择区域_20230410160820"/>
                    <pic:cNvPicPr>
                      <a:picLocks noChangeAspect="true"/>
                    </pic:cNvPicPr>
                  </pic:nvPicPr>
                  <pic:blipFill>
                    <a:blip r:embed="rId4"/>
                    <a:stretch>
                      <a:fillRect/>
                    </a:stretch>
                  </pic:blipFill>
                  <pic:spPr>
                    <a:xfrm>
                      <a:off x="0" y="0"/>
                      <a:ext cx="5615305" cy="829310"/>
                    </a:xfrm>
                    <a:prstGeom prst="rect">
                      <a:avLst/>
                    </a:prstGeom>
                    <a:noFill/>
                    <a:ln>
                      <a:noFill/>
                    </a:ln>
                  </pic:spPr>
                </pic:pic>
              </a:graphicData>
            </a:graphic>
          </wp:anchor>
        </w:drawing>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lang w:val="en-US" w:eastAsia="zh-CN"/>
        </w:rPr>
      </w:pP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X：处罚金额；</w:t>
      </w: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M：法定处罚金额上限；</w:t>
      </w: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N：法定处罚金额下限，下限可以为零；</w:t>
      </w: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A：首要裁量因素裁量等级；</w:t>
      </w: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n：其余裁量因素个数；</w:t>
      </w: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B：其余裁量因素的裁量等级。</w:t>
      </w: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将裁量等级代入上述公式，进行计算：</w:t>
      </w:r>
    </w:p>
    <w:p>
      <w:pPr>
        <w:pStyle w:val="4"/>
        <w:keepNext w:val="0"/>
        <w:keepLines w:val="0"/>
        <w:pageBreakBefore w:val="0"/>
        <w:kinsoku/>
        <w:wordWrap/>
        <w:overflowPunct/>
        <w:topLinePunct w:val="0"/>
        <w:autoSpaceDE/>
        <w:autoSpaceDN/>
        <w:bidi w:val="0"/>
        <w:adjustRightInd/>
        <w:spacing w:before="0" w:beforeAutospacing="0" w:after="0" w:afterAutospacing="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X=2+（10-2）×{（1/5）</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×4）}×0.5=2.76（万元）</w:t>
      </w:r>
    </w:p>
    <w:p>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val="en-US" w:eastAsia="zh-CN" w:bidi="ar-SA"/>
        </w:rPr>
        <w:t>我局决定</w:t>
      </w:r>
      <w:r>
        <w:rPr>
          <w:rFonts w:hint="eastAsia" w:ascii="仿宋_GB2312" w:hAnsi="仿宋_GB2312" w:eastAsia="仿宋_GB2312" w:cs="仿宋_GB2312"/>
          <w:color w:val="000000"/>
          <w:kern w:val="0"/>
          <w:sz w:val="32"/>
          <w:szCs w:val="32"/>
          <w:lang w:val="en-US" w:eastAsia="zh-CN"/>
        </w:rPr>
        <w:t>对你公司作出以下处理决定：</w:t>
      </w:r>
      <w:r>
        <w:rPr>
          <w:rFonts w:hint="eastAsia" w:ascii="仿宋_GB2312" w:hAnsi="仿宋_GB2312" w:eastAsia="仿宋_GB2312" w:cs="仿宋_GB2312"/>
          <w:color w:val="auto"/>
          <w:sz w:val="32"/>
          <w:szCs w:val="32"/>
          <w:lang w:val="en-US" w:eastAsia="zh-CN"/>
        </w:rPr>
        <w:t>处贰万柒仟陆佰元（27600</w:t>
      </w:r>
      <w:r>
        <w:rPr>
          <w:rFonts w:hint="eastAsia" w:ascii="仿宋_GB2312" w:hAnsi="仿宋_GB2312" w:eastAsia="仿宋_GB2312" w:cs="仿宋_GB2312"/>
          <w:color w:val="auto"/>
          <w:sz w:val="32"/>
          <w:szCs w:val="32"/>
          <w:lang w:val="en-US" w:eastAsia="zh"/>
        </w:rPr>
        <w:t>.00</w:t>
      </w:r>
      <w:r>
        <w:rPr>
          <w:rFonts w:hint="eastAsia" w:ascii="仿宋_GB2312" w:hAnsi="仿宋_GB2312" w:eastAsia="仿宋_GB2312" w:cs="仿宋_GB2312"/>
          <w:color w:val="auto"/>
          <w:sz w:val="32"/>
          <w:szCs w:val="32"/>
          <w:lang w:val="en-US" w:eastAsia="zh-CN"/>
        </w:rPr>
        <w:t>元）罚款。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黑体" w:hAnsi="Calibri" w:eastAsia="黑体" w:cs="Times New Roman"/>
          <w:b w:val="0"/>
          <w:bCs w:val="0"/>
          <w:kern w:val="2"/>
          <w:sz w:val="32"/>
          <w:szCs w:val="32"/>
          <w:lang w:val="en-US" w:eastAsia="zh-CN" w:bidi="ar-SA"/>
        </w:rPr>
      </w:pPr>
      <w:r>
        <w:rPr>
          <w:rFonts w:hint="eastAsia" w:ascii="黑体" w:hAnsi="Calibri" w:eastAsia="黑体" w:cs="Times New Roman"/>
          <w:b w:val="0"/>
          <w:bCs w:val="0"/>
          <w:kern w:val="2"/>
          <w:sz w:val="32"/>
          <w:szCs w:val="32"/>
          <w:lang w:val="en-US" w:eastAsia="zh-CN" w:bidi="ar-SA"/>
        </w:rPr>
        <w:t>三、行政处罚决定的履行方式和期限</w:t>
      </w:r>
    </w:p>
    <w:p>
      <w:pPr>
        <w:pStyle w:val="2"/>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根据《中华人民共和国行政处罚法》和《罚款决定与罚款收缴分离实施办法》的规定，</w:t>
      </w:r>
      <w:r>
        <w:rPr>
          <w:rFonts w:hint="eastAsia" w:ascii="仿宋_GB2312" w:hAnsi="仿宋_GB2312" w:eastAsia="仿宋_GB2312" w:cs="仿宋_GB2312"/>
          <w:b w:val="0"/>
          <w:bCs w:val="0"/>
          <w:kern w:val="0"/>
          <w:sz w:val="32"/>
          <w:szCs w:val="32"/>
          <w:lang w:val="en-US" w:eastAsia="zh-CN" w:bidi="ar-SA"/>
        </w:rPr>
        <w:t>你公司</w:t>
      </w:r>
      <w:r>
        <w:rPr>
          <w:rFonts w:hint="default" w:ascii="仿宋_GB2312" w:hAnsi="仿宋_GB2312" w:eastAsia="仿宋_GB2312" w:cs="仿宋_GB2312"/>
          <w:b w:val="0"/>
          <w:bCs w:val="0"/>
          <w:kern w:val="0"/>
          <w:sz w:val="32"/>
          <w:szCs w:val="32"/>
          <w:lang w:val="en-US" w:eastAsia="zh-CN" w:bidi="ar-SA"/>
        </w:rPr>
        <w:t>应当自收到本处罚决定书之日起 15 日内将罚款缴</w:t>
      </w:r>
      <w:r>
        <w:rPr>
          <w:rFonts w:hint="eastAsia" w:ascii="仿宋_GB2312" w:hAnsi="仿宋_GB2312" w:eastAsia="仿宋_GB2312" w:cs="仿宋_GB2312"/>
          <w:b w:val="0"/>
          <w:bCs w:val="0"/>
          <w:kern w:val="0"/>
          <w:sz w:val="32"/>
          <w:szCs w:val="32"/>
          <w:lang w:val="en-US" w:eastAsia="zh-CN" w:bidi="ar-SA"/>
        </w:rPr>
        <w:t>至以下账户：</w:t>
      </w:r>
    </w:p>
    <w:p>
      <w:pPr>
        <w:pStyle w:val="2"/>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开户行：</w:t>
      </w:r>
      <w:r>
        <w:rPr>
          <w:rFonts w:hint="default" w:ascii="仿宋_GB2312" w:hAnsi="仿宋_GB2312" w:eastAsia="仿宋_GB2312" w:cs="仿宋_GB2312"/>
          <w:b w:val="0"/>
          <w:bCs w:val="0"/>
          <w:kern w:val="0"/>
          <w:sz w:val="32"/>
          <w:szCs w:val="32"/>
          <w:lang w:val="en-US" w:eastAsia="zh-CN" w:bidi="ar-SA"/>
        </w:rPr>
        <w:t>邮政储蓄银行民主南路支行</w:t>
      </w:r>
    </w:p>
    <w:p>
      <w:pPr>
        <w:pStyle w:val="2"/>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银行账号：100195545980010001；</w:t>
      </w:r>
    </w:p>
    <w:p>
      <w:pPr>
        <w:pStyle w:val="2"/>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户名：焦作市财政局非税收入财政专户。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款项缴清后，请持银行受理回单到我局索取罚款收据，并将缴款凭据第三联（备查联）报送我局备案。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黑体" w:hAnsi="Calibri" w:eastAsia="黑体" w:cs="Times New Roman"/>
          <w:b w:val="0"/>
          <w:bCs w:val="0"/>
          <w:kern w:val="2"/>
          <w:sz w:val="32"/>
          <w:szCs w:val="32"/>
          <w:lang w:val="en-US" w:eastAsia="zh-CN" w:bidi="ar-SA"/>
        </w:rPr>
      </w:pPr>
      <w:r>
        <w:rPr>
          <w:rFonts w:hint="eastAsia" w:ascii="黑体" w:hAnsi="Calibri" w:eastAsia="黑体" w:cs="Times New Roman"/>
          <w:b w:val="0"/>
          <w:bCs w:val="0"/>
          <w:kern w:val="2"/>
          <w:sz w:val="32"/>
          <w:szCs w:val="32"/>
          <w:lang w:val="en-US" w:eastAsia="zh-CN" w:bidi="ar-SA"/>
        </w:rPr>
        <w:t>四、申请行政复议或提起行政诉讼的途径和期限</w:t>
      </w:r>
    </w:p>
    <w:p>
      <w:pPr>
        <w:pStyle w:val="2"/>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你公司</w:t>
      </w:r>
      <w:r>
        <w:rPr>
          <w:rFonts w:hint="default" w:ascii="仿宋_GB2312" w:hAnsi="仿宋_GB2312" w:eastAsia="仿宋_GB2312" w:cs="仿宋_GB2312"/>
          <w:b w:val="0"/>
          <w:bCs w:val="0"/>
          <w:kern w:val="0"/>
          <w:sz w:val="32"/>
          <w:szCs w:val="32"/>
          <w:lang w:val="en-US" w:eastAsia="zh-CN" w:bidi="ar-SA"/>
        </w:rPr>
        <w:t>如不服本处罚决定，可以在收到本处罚决定书之日起六十日内向焦作市人民政府申请行政复议，也可以在收到本处罚决定书之日起六个月内向</w:t>
      </w:r>
      <w:r>
        <w:rPr>
          <w:rFonts w:hint="eastAsia" w:ascii="仿宋_GB2312" w:hAnsi="仿宋_GB2312" w:eastAsia="仿宋_GB2312" w:cs="仿宋_GB2312"/>
          <w:b w:val="0"/>
          <w:bCs w:val="0"/>
          <w:kern w:val="0"/>
          <w:sz w:val="32"/>
          <w:szCs w:val="32"/>
          <w:lang w:val="en-US" w:eastAsia="zh-CN" w:bidi="ar-SA"/>
        </w:rPr>
        <w:t>解放区人民</w:t>
      </w:r>
      <w:r>
        <w:rPr>
          <w:rFonts w:hint="default" w:ascii="仿宋_GB2312" w:hAnsi="仿宋_GB2312" w:eastAsia="仿宋_GB2312" w:cs="仿宋_GB2312"/>
          <w:b w:val="0"/>
          <w:bCs w:val="0"/>
          <w:kern w:val="0"/>
          <w:sz w:val="32"/>
          <w:szCs w:val="32"/>
          <w:lang w:val="en-US" w:eastAsia="zh-CN" w:bidi="ar-SA"/>
        </w:rPr>
        <w:t>法院提起行政诉讼。申请行政复议或者提起行政诉讼，不停止行政处罚决定的执行。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4800" w:firstLineChars="1500"/>
        <w:jc w:val="left"/>
        <w:textAlignment w:val="auto"/>
        <w:rPr>
          <w:rFonts w:hint="default" w:ascii="仿宋_GB2312" w:hAnsi="仿宋_GB2312" w:eastAsia="仿宋_GB2312" w:cs="仿宋_GB2312"/>
          <w:b w:val="0"/>
          <w:bCs w:val="0"/>
          <w:kern w:val="0"/>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4800" w:firstLineChars="1500"/>
        <w:jc w:val="left"/>
        <w:textAlignment w:val="auto"/>
        <w:rPr>
          <w:rFonts w:hint="default" w:ascii="仿宋_GB2312" w:hAnsi="仿宋_GB2312" w:eastAsia="仿宋_GB2312" w:cs="仿宋_GB2312"/>
          <w:b w:val="0"/>
          <w:bCs w:val="0"/>
          <w:kern w:val="0"/>
          <w:sz w:val="32"/>
          <w:szCs w:val="32"/>
          <w:lang w:val="en-US" w:eastAsia="zh-CN" w:bidi="ar-SA"/>
        </w:rPr>
      </w:pPr>
    </w:p>
    <w:p>
      <w:pPr>
        <w:pStyle w:val="2"/>
        <w:keepNext w:val="0"/>
        <w:keepLines w:val="0"/>
        <w:pageBreakBefore w:val="0"/>
        <w:kinsoku/>
        <w:wordWrap/>
        <w:overflowPunct/>
        <w:topLinePunct w:val="0"/>
        <w:autoSpaceDE/>
        <w:autoSpaceDN/>
        <w:bidi w:val="0"/>
        <w:adjustRightInd/>
        <w:spacing w:line="560" w:lineRule="exact"/>
        <w:textAlignment w:val="auto"/>
        <w:rPr>
          <w:rFonts w:hint="default"/>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5120" w:firstLineChars="16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2026年</w:t>
      </w:r>
      <w:r>
        <w:rPr>
          <w:rFonts w:hint="eastAsia" w:ascii="仿宋_GB2312" w:hAnsi="仿宋_GB2312" w:eastAsia="仿宋_GB2312" w:cs="仿宋_GB2312"/>
          <w:b w:val="0"/>
          <w:bCs w:val="0"/>
          <w:kern w:val="0"/>
          <w:sz w:val="32"/>
          <w:szCs w:val="32"/>
          <w:lang w:val="en-US" w:eastAsia="zh-CN" w:bidi="ar-SA"/>
        </w:rPr>
        <w:t>3</w:t>
      </w:r>
      <w:r>
        <w:rPr>
          <w:rFonts w:hint="default" w:ascii="仿宋_GB2312" w:hAnsi="仿宋_GB2312" w:eastAsia="仿宋_GB2312" w:cs="仿宋_GB2312"/>
          <w:b w:val="0"/>
          <w:bCs w:val="0"/>
          <w:kern w:val="0"/>
          <w:sz w:val="32"/>
          <w:szCs w:val="32"/>
          <w:lang w:val="en-US" w:eastAsia="zh-CN" w:bidi="ar-SA"/>
        </w:rPr>
        <w:t>月</w:t>
      </w:r>
      <w:r>
        <w:rPr>
          <w:rFonts w:hint="eastAsia" w:ascii="仿宋_GB2312" w:hAnsi="仿宋_GB2312" w:eastAsia="仿宋_GB2312" w:cs="仿宋_GB2312"/>
          <w:b w:val="0"/>
          <w:bCs w:val="0"/>
          <w:kern w:val="0"/>
          <w:sz w:val="32"/>
          <w:szCs w:val="32"/>
          <w:lang w:val="en-US" w:eastAsia="zh-CN" w:bidi="ar-SA"/>
        </w:rPr>
        <w:t>18</w:t>
      </w:r>
      <w:r>
        <w:rPr>
          <w:rFonts w:hint="default" w:ascii="仿宋_GB2312" w:hAnsi="仿宋_GB2312" w:eastAsia="仿宋_GB2312" w:cs="仿宋_GB2312"/>
          <w:b w:val="0"/>
          <w:bCs w:val="0"/>
          <w:kern w:val="0"/>
          <w:sz w:val="32"/>
          <w:szCs w:val="32"/>
          <w:lang w:val="en-US" w:eastAsia="zh-CN" w:bidi="ar-SA"/>
        </w:rPr>
        <w:t>日</w:t>
      </w:r>
    </w:p>
    <w:p>
      <w:pPr>
        <w:keepNext w:val="0"/>
        <w:keepLines w:val="0"/>
        <w:pageBreakBefore w:val="0"/>
        <w:kinsoku/>
        <w:wordWrap/>
        <w:overflowPunct/>
        <w:topLinePunct w:val="0"/>
        <w:autoSpaceDE/>
        <w:autoSpaceDN/>
        <w:bidi w:val="0"/>
        <w:adjustRightInd/>
        <w:spacing w:line="560" w:lineRule="exact"/>
        <w:textAlignment w:val="auto"/>
      </w:pPr>
    </w:p>
    <w:sectPr>
      <w:pgSz w:w="11906" w:h="16838"/>
      <w:pgMar w:top="1984"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文泉驿微米黑"/>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EEB67C"/>
    <w:rsid w:val="18FF8FE8"/>
    <w:rsid w:val="1AF47025"/>
    <w:rsid w:val="3BDB5232"/>
    <w:rsid w:val="5EFC03E5"/>
    <w:rsid w:val="6F3C4559"/>
    <w:rsid w:val="7FAF276C"/>
    <w:rsid w:val="EBFDABC2"/>
    <w:rsid w:val="EFEEB67C"/>
    <w:rsid w:val="FA6C6275"/>
    <w:rsid w:val="FCAD35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qFormat/>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1679</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2026-03-18T23:03:00Z</dcterms:created>
  <dc:creator>jiyongcheng</dc:creator>
  <cp:lastModifiedBy>likeyaolikeyao</cp:lastModifiedBy>
  <cp:lastPrinted>2026-03-18T11:27:17Z</cp:lastPrinted>
  <dcterms:modified xsi:type="dcterms:W3CDTF">2026-03-19T14:44:44Z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B16221A7359D09404B18B969FF283895</vt:lpwstr>
  </property>
</Properties>
</file>