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8C5686">
      <w:pPr>
        <w:keepNext w:val="0"/>
        <w:keepLines w:val="0"/>
        <w:pageBreakBefore w:val="0"/>
        <w:kinsoku/>
        <w:wordWrap/>
        <w:overflowPunct/>
        <w:topLinePunct w:val="0"/>
        <w:autoSpaceDE/>
        <w:autoSpaceDN/>
        <w:bidi w:val="0"/>
        <w:spacing w:before="0" w:beforeLines="0" w:line="500" w:lineRule="exact"/>
        <w:ind w:left="0" w:leftChars="0" w:firstLine="0" w:firstLineChars="0"/>
        <w:jc w:val="both"/>
        <w:rPr>
          <w:rFonts w:hint="eastAsia" w:ascii="方正小标宋简体" w:hAnsi="方正小标宋简体" w:eastAsia="方正小标宋简体" w:cs="方正小标宋简体"/>
          <w:kern w:val="0"/>
          <w:sz w:val="44"/>
          <w:szCs w:val="44"/>
        </w:rPr>
      </w:pPr>
    </w:p>
    <w:p w14:paraId="3A6B94BE">
      <w:pPr>
        <w:keepNext w:val="0"/>
        <w:keepLines w:val="0"/>
        <w:pageBreakBefore w:val="0"/>
        <w:kinsoku/>
        <w:wordWrap/>
        <w:overflowPunct/>
        <w:topLinePunct w:val="0"/>
        <w:autoSpaceDE/>
        <w:autoSpaceDN/>
        <w:bidi w:val="0"/>
        <w:spacing w:before="0" w:beforeLines="0" w:line="500" w:lineRule="exact"/>
        <w:ind w:left="0" w:leftChars="0" w:firstLine="0" w:firstLineChars="0"/>
        <w:jc w:val="both"/>
        <w:rPr>
          <w:rFonts w:hint="eastAsia" w:ascii="方正小标宋简体" w:hAnsi="方正小标宋简体" w:eastAsia="方正小标宋简体" w:cs="方正小标宋简体"/>
          <w:kern w:val="0"/>
          <w:sz w:val="44"/>
          <w:szCs w:val="44"/>
        </w:rPr>
      </w:pPr>
    </w:p>
    <w:p w14:paraId="74FEE3F5">
      <w:pPr>
        <w:keepNext w:val="0"/>
        <w:keepLines w:val="0"/>
        <w:pageBreakBefore w:val="0"/>
        <w:widowControl/>
        <w:suppressLineNumbers w:val="0"/>
        <w:kinsoku/>
        <w:wordWrap/>
        <w:overflowPunct/>
        <w:topLinePunct w:val="0"/>
        <w:autoSpaceDE/>
        <w:autoSpaceDN/>
        <w:bidi w:val="0"/>
        <w:adjustRightInd/>
        <w:snapToGrid/>
        <w:spacing w:before="0" w:beforeLines="0" w:line="600" w:lineRule="exact"/>
        <w:ind w:left="0" w:leftChars="0" w:firstLine="0" w:firstLine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焦作市生态环境局</w:t>
      </w:r>
    </w:p>
    <w:p w14:paraId="2596B4B0">
      <w:pPr>
        <w:keepNext w:val="0"/>
        <w:keepLines w:val="0"/>
        <w:pageBreakBefore w:val="0"/>
        <w:widowControl/>
        <w:suppressLineNumbers w:val="0"/>
        <w:kinsoku/>
        <w:wordWrap/>
        <w:overflowPunct/>
        <w:topLinePunct w:val="0"/>
        <w:autoSpaceDE/>
        <w:autoSpaceDN/>
        <w:bidi w:val="0"/>
        <w:adjustRightInd/>
        <w:snapToGrid/>
        <w:spacing w:before="0" w:beforeLines="0" w:line="600" w:lineRule="exact"/>
        <w:ind w:left="0" w:leftChars="0" w:firstLine="0" w:firstLine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行政处罚决定书</w:t>
      </w:r>
    </w:p>
    <w:p w14:paraId="0E47C75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50" w:after="0" w:afterLines="0" w:line="570" w:lineRule="exact"/>
        <w:ind w:right="0" w:rightChars="0"/>
        <w:jc w:val="center"/>
        <w:textAlignment w:val="bottom"/>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焦环罚</w:t>
      </w:r>
      <w:r>
        <w:rPr>
          <w:rFonts w:hint="eastAsia" w:ascii="Times New Roman" w:hAnsi="Times New Roman" w:eastAsia="FangSong_GB2312" w:cs="Times New Roman"/>
          <w:sz w:val="32"/>
          <w:szCs w:val="32"/>
          <w:lang w:val="en-US" w:eastAsia="zh-CN"/>
        </w:rPr>
        <w:t>〔202</w:t>
      </w:r>
      <w:r>
        <w:rPr>
          <w:rFonts w:hint="eastAsia" w:cs="Times New Roman"/>
          <w:sz w:val="32"/>
          <w:szCs w:val="32"/>
          <w:lang w:val="en-US" w:eastAsia="zh-CN"/>
        </w:rPr>
        <w:t>6</w:t>
      </w:r>
      <w:r>
        <w:rPr>
          <w:rFonts w:hint="eastAsia" w:ascii="Times New Roman" w:hAnsi="Times New Roman" w:eastAsia="FangSong_GB2312" w:cs="Times New Roman"/>
          <w:sz w:val="32"/>
          <w:szCs w:val="32"/>
          <w:lang w:val="en-US" w:eastAsia="zh-CN"/>
        </w:rPr>
        <w:t>〕</w:t>
      </w:r>
      <w:r>
        <w:rPr>
          <w:rFonts w:hint="eastAsia" w:cs="Times New Roman"/>
          <w:sz w:val="32"/>
          <w:szCs w:val="32"/>
          <w:lang w:val="en-US" w:eastAsia="zh-CN"/>
        </w:rPr>
        <w:t>95</w:t>
      </w:r>
      <w:r>
        <w:rPr>
          <w:rFonts w:hint="eastAsia" w:ascii="仿宋_GB2312" w:hAnsi="仿宋_GB2312" w:eastAsia="仿宋_GB2312" w:cs="仿宋_GB2312"/>
          <w:lang w:val="en-US" w:eastAsia="zh-CN"/>
        </w:rPr>
        <w:t>号</w:t>
      </w:r>
    </w:p>
    <w:p w14:paraId="1837341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50" w:after="0" w:afterLines="0" w:line="540" w:lineRule="exac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单位名称：河南星迈科技有限公司</w:t>
      </w:r>
    </w:p>
    <w:p w14:paraId="0EC91E7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jc w:val="both"/>
        <w:textAlignment w:val="bottom"/>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统一社会信用代码：</w:t>
      </w:r>
      <w:r>
        <w:rPr>
          <w:rFonts w:hint="eastAsia" w:ascii="仿宋_GB2312" w:hAnsi="仿宋_GB2312" w:eastAsia="仿宋_GB2312" w:cs="仿宋_GB2312"/>
          <w:sz w:val="32"/>
          <w:szCs w:val="32"/>
          <w:lang w:val="en-US" w:eastAsia="zh-CN"/>
        </w:rPr>
        <w:t xml:space="preserve">91410825MA474N7421 </w:t>
      </w:r>
    </w:p>
    <w:p w14:paraId="0D7F33D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地址：</w:t>
      </w:r>
      <w:r>
        <w:rPr>
          <w:rFonts w:hint="eastAsia" w:ascii="仿宋_GB2312" w:hAnsi="仿宋_GB2312" w:cs="仿宋_GB2312"/>
          <w:sz w:val="32"/>
          <w:szCs w:val="32"/>
          <w:lang w:val="en-US" w:eastAsia="zh-CN"/>
        </w:rPr>
        <w:t>温县产业集聚区中福路72号</w:t>
      </w:r>
    </w:p>
    <w:p w14:paraId="3A4E43F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法定代表人（负责人）：</w:t>
      </w:r>
      <w:r>
        <w:rPr>
          <w:rFonts w:hint="eastAsia" w:ascii="仿宋_GB2312" w:hAnsi="仿宋_GB2312" w:cs="仿宋_GB2312"/>
          <w:sz w:val="32"/>
          <w:szCs w:val="32"/>
          <w:lang w:val="en-US" w:eastAsia="zh-CN"/>
        </w:rPr>
        <w:t>时伟力</w:t>
      </w:r>
      <w:r>
        <w:rPr>
          <w:rFonts w:hint="eastAsia" w:ascii="仿宋_GB2312" w:hAnsi="仿宋_GB2312" w:eastAsia="仿宋_GB2312" w:cs="仿宋_GB2312"/>
          <w:sz w:val="32"/>
          <w:szCs w:val="32"/>
        </w:rPr>
        <w:t xml:space="preserve"> </w:t>
      </w:r>
    </w:p>
    <w:p w14:paraId="0AC8D6E5">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一、环境违法事实和证据</w:t>
      </w:r>
    </w:p>
    <w:p w14:paraId="42D105F3">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000000"/>
          <w:kern w:val="2"/>
          <w:sz w:val="32"/>
          <w:szCs w:val="32"/>
          <w:highlight w:val="none"/>
          <w:lang w:val="en-US" w:eastAsia="zh-CN" w:bidi="ar-SA"/>
        </w:rPr>
        <w:t>2026年1月21日，我局执法人员对该单位重污染天气管控措施落实情况进行了现场检查。2026年1月20日12时启动重污染天气橙色预警（Ⅱ级响应）。该单位《2025-2026年重污染天气应急减排“一厂一策”实施方案》中橙色预警</w:t>
      </w:r>
      <w:bookmarkStart w:id="0" w:name="_GoBack"/>
      <w:bookmarkEnd w:id="0"/>
      <w:r>
        <w:rPr>
          <w:rFonts w:hint="eastAsia" w:ascii="仿宋_GB2312" w:hAnsi="仿宋_GB2312" w:eastAsia="仿宋_GB2312" w:cs="仿宋_GB2312"/>
          <w:color w:val="000000"/>
          <w:kern w:val="2"/>
          <w:sz w:val="32"/>
          <w:szCs w:val="32"/>
          <w:highlight w:val="none"/>
          <w:lang w:val="en-US" w:eastAsia="zh-CN" w:bidi="ar-SA"/>
        </w:rPr>
        <w:t>期间应执行：氧化线3条停2条、涂胶机3台停2台、空压机4台停2台、栽板机3台停2台。停止使用国四及以下重型载货车辆（含燃气）进行运输，停止使用国三以下非道路移动机械作业。现场检查时该单位正在生产，氧化线3条停2条、空压机4台停2台、栽板机3台停2台、但涂胶工段3台涂胶机均在运行，未按照该单位《2025-2026年重污染天气应急减排“一厂一策”实施方案》中管控要求落实涂胶机3台停2台，存在未按要求启动应急响应操作方案的行为。</w:t>
      </w:r>
    </w:p>
    <w:p w14:paraId="0120DAA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该单位上述行为违反了《焦作市大气污染防治条例》第三十五条“纳入重污染天气应急预案的企业应当根据市、县（市、区）人民政府制定的重污染天气应急预案，制定重污染天气应急响应操作方案，并按照规定备案和及时启动应急响应操作方案。”的规定。</w:t>
      </w:r>
    </w:p>
    <w:p w14:paraId="062EEB3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以上事实有以下证据：</w:t>
      </w:r>
    </w:p>
    <w:p w14:paraId="6BF93CF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1.现场检查（勘察）笔录（2026年1月21日），证明你单位存在未按照制定的《2025年-2006年重污染天气应急减排“一厂一策”实施方案》落实管控要求，未启动应急响应操作方案的行为；</w:t>
      </w:r>
    </w:p>
    <w:p w14:paraId="0A09014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调查询问笔录1份，（2026年1月26日对你单位副总经理苗二平的调查询问笔录），证明你单位未按照制定的《2025年-2026年重污染天气应急减排“一厂一策”实施方案》落实管控要求，未启动应急响应操作方案的事实；</w:t>
      </w:r>
    </w:p>
    <w:p w14:paraId="53BB100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3.现场照片，证明检查当日你单位涂胶机在重污染天气管控期间未落实管控；</w:t>
      </w:r>
    </w:p>
    <w:p w14:paraId="3D82377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4.营业执照复印件。证明你单位法人主体资格；</w:t>
      </w:r>
    </w:p>
    <w:p w14:paraId="490ECC6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5、现场勘察示意图证明你单位的厂区建设情况；</w:t>
      </w:r>
    </w:p>
    <w:p w14:paraId="07000DC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6.年产800万平方米、400万平方米中高导铝基覆钢板项目环境影响报告表（摘录）及批复文件和项目验收文件证明你单位主要生产设备、产污环节以及要求配套的污染防治设施及建设情况；</w:t>
      </w:r>
    </w:p>
    <w:p w14:paraId="08A9704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7.你单位员工花名册一份、上年度利润表一份，证明你单位的企业规模划分类型；</w:t>
      </w:r>
    </w:p>
    <w:p w14:paraId="5C7EFD2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8.固定污染源排污许可登记回执，证明你单位排污许可管理类别；</w:t>
      </w:r>
    </w:p>
    <w:p w14:paraId="2EBDFBE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9.重污染天气管控工业源清单和《2025年重污染天气应急减排“一厂一策”实施方案》证明你单位知道重污染天气管控期间你单位应当落实的管控措施；</w:t>
      </w:r>
    </w:p>
    <w:p w14:paraId="0B72CDF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10.焦环委办〔2026〕4号文件，证明：启动重污染天气橙色预警（Ⅱ级响应）的时间；</w:t>
      </w:r>
    </w:p>
    <w:p w14:paraId="2542539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11.温县2025年工业源清单(节选),证明：你单位被列入2025-2026年秋冬季重污染天气应急减排清单名单中；</w:t>
      </w:r>
    </w:p>
    <w:p w14:paraId="6363F8B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12.其他证据材料等证据为凭。 </w:t>
      </w:r>
    </w:p>
    <w:p w14:paraId="01990160">
      <w:pPr>
        <w:keepNext w:val="0"/>
        <w:keepLines w:val="0"/>
        <w:pageBreakBefore w:val="0"/>
        <w:kinsoku/>
        <w:wordWrap/>
        <w:overflowPunct/>
        <w:topLinePunct w:val="0"/>
        <w:autoSpaceDE/>
        <w:autoSpaceDN/>
        <w:bidi w:val="0"/>
        <w:spacing w:before="0" w:beforeLines="0" w:after="0" w:afterLines="0" w:line="540" w:lineRule="exact"/>
        <w:ind w:left="0" w:leftChars="0" w:right="0" w:rightChars="0" w:firstLine="640" w:firstLineChars="200"/>
        <w:textAlignment w:val="auto"/>
        <w:outlineLvl w:val="9"/>
        <w:rPr>
          <w:rFonts w:hint="eastAsia" w:ascii="仿宋_GB2312" w:hAnsi="仿宋_GB2312" w:eastAsia="仿宋_GB2312" w:cs="仿宋_GB2312"/>
          <w:sz w:val="32"/>
          <w:szCs w:val="32"/>
          <w:u w:val="none" w:color="auto"/>
          <w:lang w:val="en-US" w:eastAsia="zh-CN"/>
        </w:rPr>
      </w:pPr>
      <w:r>
        <w:rPr>
          <w:rFonts w:hint="eastAsia" w:ascii="Times New Roman" w:hAnsi="Times New Roman" w:eastAsia="仿宋_GB2312" w:cs="Times New Roman"/>
          <w:kern w:val="2"/>
          <w:sz w:val="32"/>
          <w:szCs w:val="32"/>
          <w:u w:val="none" w:color="auto"/>
          <w:lang w:val="en-US" w:eastAsia="zh-CN" w:bidi="ar-SA"/>
        </w:rPr>
        <w:t>2026年1月30日我局向你单位送达了《行政处罚事先（听证）告知书》（焦温环先告〔2026〕2号)，告知该单位对我局拟作出的行政处罚有权进行陈述、申辩。以上事实有《行政处罚事先（听证）告知书》（焦温环先告〔2026〕2号)和《送达回执》等为证，你单位在收到告知书之后在规定时间内未向我局提出陈述、申辩。</w:t>
      </w:r>
      <w:r>
        <w:rPr>
          <w:rFonts w:hint="eastAsia" w:ascii="仿宋_GB2312" w:hAnsi="仿宋_GB2312" w:eastAsia="仿宋_GB2312" w:cs="仿宋_GB2312"/>
          <w:sz w:val="32"/>
          <w:szCs w:val="32"/>
        </w:rPr>
        <w:t>我局认为你</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放弃了这些权利</w:t>
      </w:r>
      <w:r>
        <w:rPr>
          <w:rFonts w:hint="eastAsia" w:ascii="仿宋_GB2312" w:hAnsi="仿宋_GB2312" w:eastAsia="仿宋_GB2312" w:cs="仿宋_GB2312"/>
          <w:sz w:val="32"/>
          <w:szCs w:val="32"/>
          <w:u w:val="none" w:color="auto"/>
          <w:lang w:val="en-US" w:eastAsia="zh-CN"/>
        </w:rPr>
        <w:t>。</w:t>
      </w:r>
    </w:p>
    <w:p w14:paraId="7D0724B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color w:val="000000"/>
          <w:kern w:val="0"/>
          <w:sz w:val="32"/>
          <w:szCs w:val="32"/>
          <w:lang w:val="en-US" w:eastAsia="zh-CN" w:bidi="ar"/>
        </w:rPr>
        <w:t xml:space="preserve">二、行政处罚的依据、种类 </w:t>
      </w:r>
    </w:p>
    <w:p w14:paraId="2D1E963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依据《中华人民共和国行政处罚法》第二十八条第一款和《焦作市大气污染防治条例》第三十九条:“违反本条例第三十五条规定，未根据重污染天气应急预案制定重污染天气应急响应操作方案或者重污染天气应急响应操作方案未按照规定备案的，由生态环境主管部门责令改正，处一千元以上五千元以下罚款;未按照规定及时启动重污染天气应急响应操作方案的，由生态环境主管部门责令立即改正，处一万元以上五万元以下罚款。</w:t>
      </w:r>
      <w:r>
        <w:rPr>
          <w:rFonts w:hint="eastAsia" w:ascii="仿宋_GB2312" w:hAnsi="仿宋_GB2312" w:cs="仿宋_GB2312"/>
          <w:sz w:val="32"/>
          <w:szCs w:val="32"/>
          <w:u w:val="none"/>
          <w:lang w:val="en-US" w:eastAsia="zh-CN"/>
        </w:rPr>
        <w:t>”</w:t>
      </w:r>
      <w:r>
        <w:rPr>
          <w:rFonts w:hint="eastAsia" w:ascii="仿宋_GB2312" w:hAnsi="仿宋_GB2312" w:eastAsia="仿宋_GB2312" w:cs="仿宋_GB2312"/>
          <w:sz w:val="32"/>
          <w:szCs w:val="32"/>
          <w:u w:val="none"/>
        </w:rPr>
        <w:t>的规定，根据</w:t>
      </w:r>
      <w:r>
        <w:rPr>
          <w:rFonts w:hint="eastAsia" w:ascii="仿宋_GB2312" w:hAnsi="仿宋_GB2312" w:cs="仿宋_GB2312"/>
          <w:sz w:val="32"/>
          <w:szCs w:val="32"/>
          <w:u w:val="none"/>
          <w:lang w:val="en-US" w:eastAsia="zh-CN"/>
        </w:rPr>
        <w:t>该</w:t>
      </w:r>
      <w:r>
        <w:rPr>
          <w:rFonts w:hint="eastAsia" w:ascii="仿宋_GB2312" w:hAnsi="仿宋_GB2312" w:eastAsia="仿宋_GB2312" w:cs="仿宋_GB2312"/>
          <w:sz w:val="32"/>
          <w:szCs w:val="32"/>
          <w:u w:val="none"/>
        </w:rPr>
        <w:t>单位违法行为的事实、性质、情节、社会危害程度和相关证据，参照《</w:t>
      </w:r>
      <w:r>
        <w:rPr>
          <w:rFonts w:hint="eastAsia" w:ascii="仿宋_GB2312" w:hAnsi="仿宋_GB2312" w:cs="仿宋_GB2312"/>
          <w:sz w:val="32"/>
          <w:szCs w:val="32"/>
          <w:u w:val="none"/>
          <w:lang w:val="en-US" w:eastAsia="zh-CN"/>
        </w:rPr>
        <w:t>焦作市</w:t>
      </w:r>
      <w:r>
        <w:rPr>
          <w:rFonts w:hint="eastAsia" w:ascii="仿宋_GB2312" w:hAnsi="仿宋_GB2312" w:eastAsia="仿宋_GB2312" w:cs="仿宋_GB2312"/>
          <w:sz w:val="32"/>
          <w:szCs w:val="32"/>
          <w:u w:val="none"/>
        </w:rPr>
        <w:t>生态环境行政处罚裁量基准》（</w:t>
      </w:r>
      <w:r>
        <w:rPr>
          <w:rFonts w:hint="eastAsia" w:ascii="仿宋_GB2312" w:hAnsi="仿宋_GB2312" w:cs="仿宋_GB2312"/>
          <w:sz w:val="32"/>
          <w:szCs w:val="32"/>
          <w:u w:val="none"/>
          <w:lang w:val="en-US" w:eastAsia="zh-CN"/>
        </w:rPr>
        <w:t>焦</w:t>
      </w:r>
      <w:r>
        <w:rPr>
          <w:rFonts w:hint="eastAsia" w:ascii="仿宋_GB2312" w:hAnsi="仿宋_GB2312" w:eastAsia="仿宋_GB2312" w:cs="仿宋_GB2312"/>
          <w:sz w:val="32"/>
          <w:szCs w:val="32"/>
          <w:u w:val="none"/>
        </w:rPr>
        <w:t>环</w:t>
      </w:r>
      <w:r>
        <w:rPr>
          <w:rFonts w:hint="eastAsia" w:ascii="仿宋_GB2312" w:hAnsi="仿宋_GB2312" w:cs="仿宋_GB2312"/>
          <w:sz w:val="32"/>
          <w:szCs w:val="32"/>
          <w:u w:val="none"/>
          <w:lang w:val="en-US" w:eastAsia="zh-CN"/>
        </w:rPr>
        <w:t>文</w:t>
      </w:r>
      <w:r>
        <w:rPr>
          <w:rFonts w:hint="eastAsia" w:ascii="仿宋_GB2312" w:hAnsi="仿宋_GB2312" w:eastAsia="仿宋_GB2312" w:cs="仿宋_GB2312"/>
          <w:sz w:val="32"/>
          <w:szCs w:val="32"/>
          <w:u w:val="none"/>
        </w:rPr>
        <w:t xml:space="preserve"> 〔202</w:t>
      </w:r>
      <w:r>
        <w:rPr>
          <w:rFonts w:hint="eastAsia" w:ascii="仿宋_GB2312" w:hAnsi="仿宋_GB2312" w:cs="仿宋_GB2312"/>
          <w:sz w:val="32"/>
          <w:szCs w:val="32"/>
          <w:u w:val="none"/>
          <w:lang w:val="en-US" w:eastAsia="zh-CN"/>
        </w:rPr>
        <w:t>5</w:t>
      </w:r>
      <w:r>
        <w:rPr>
          <w:rFonts w:hint="eastAsia" w:ascii="仿宋_GB2312" w:hAnsi="仿宋_GB2312" w:eastAsia="仿宋_GB2312" w:cs="仿宋_GB2312"/>
          <w:sz w:val="32"/>
          <w:szCs w:val="32"/>
          <w:u w:val="none"/>
        </w:rPr>
        <w:t>〕</w:t>
      </w:r>
      <w:r>
        <w:rPr>
          <w:rFonts w:hint="eastAsia" w:ascii="仿宋_GB2312" w:hAnsi="仿宋_GB2312" w:cs="仿宋_GB2312"/>
          <w:sz w:val="32"/>
          <w:szCs w:val="32"/>
          <w:u w:val="none"/>
          <w:lang w:val="en-US" w:eastAsia="zh-CN"/>
        </w:rPr>
        <w:t>31</w:t>
      </w:r>
      <w:r>
        <w:rPr>
          <w:rFonts w:hint="eastAsia" w:ascii="仿宋_GB2312" w:hAnsi="仿宋_GB2312" w:eastAsia="仿宋_GB2312" w:cs="仿宋_GB2312"/>
          <w:sz w:val="32"/>
          <w:szCs w:val="32"/>
          <w:u w:val="none"/>
        </w:rPr>
        <w:t>号），结合当事人该违法行为事实，裁量内容如下：</w:t>
      </w:r>
    </w:p>
    <w:p w14:paraId="1A6908F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u w:val="none"/>
          <w:lang w:val="en-US" w:eastAsia="zh-CN"/>
        </w:rPr>
      </w:pPr>
      <w:r>
        <w:rPr>
          <w:rFonts w:hint="eastAsia" w:ascii="仿宋_GB2312" w:hAnsi="仿宋_GB2312" w:cs="仿宋_GB2312"/>
          <w:sz w:val="32"/>
          <w:szCs w:val="32"/>
          <w:u w:val="none"/>
          <w:lang w:val="en-US" w:eastAsia="zh-CN"/>
        </w:rPr>
        <w:t xml:space="preserve">A.★违法行为发生时期敏感度：重污染天气橙色预警期间，裁量等级为3； </w:t>
      </w:r>
    </w:p>
    <w:p w14:paraId="3A41F55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u w:val="none"/>
          <w:lang w:val="en-US" w:eastAsia="zh-CN"/>
        </w:rPr>
      </w:pPr>
      <w:r>
        <w:rPr>
          <w:rFonts w:hint="eastAsia" w:ascii="仿宋_GB2312" w:hAnsi="仿宋_GB2312" w:cs="仿宋_GB2312"/>
          <w:sz w:val="32"/>
          <w:szCs w:val="32"/>
          <w:u w:val="none"/>
          <w:lang w:val="en-US" w:eastAsia="zh-CN"/>
        </w:rPr>
        <w:t>B1.污染防治设施：按规定使用污染防治措施或无污染防治要求的，裁量等级为1；</w:t>
      </w:r>
    </w:p>
    <w:p w14:paraId="0111086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B2.</w:t>
      </w:r>
      <w:r>
        <w:rPr>
          <w:rFonts w:hint="eastAsia" w:ascii="仿宋_GB2312" w:hAnsi="仿宋_GB2312" w:cs="仿宋_GB2312"/>
          <w:sz w:val="32"/>
          <w:szCs w:val="32"/>
          <w:u w:val="none"/>
          <w:lang w:val="en-US" w:eastAsia="zh-CN"/>
        </w:rPr>
        <w:t>企业规模：小型企业</w:t>
      </w:r>
      <w:r>
        <w:rPr>
          <w:rFonts w:hint="eastAsia" w:ascii="仿宋_GB2312" w:hAnsi="仿宋_GB2312" w:eastAsia="仿宋_GB2312" w:cs="仿宋_GB2312"/>
          <w:sz w:val="32"/>
          <w:szCs w:val="32"/>
          <w:u w:val="none"/>
        </w:rPr>
        <w:t>，裁量等级为</w:t>
      </w:r>
      <w:r>
        <w:rPr>
          <w:rFonts w:hint="eastAsia" w:ascii="仿宋_GB2312" w:hAnsi="仿宋_GB2312" w:cs="仿宋_GB2312"/>
          <w:sz w:val="32"/>
          <w:szCs w:val="32"/>
          <w:u w:val="none"/>
          <w:lang w:val="en-US" w:eastAsia="zh-CN"/>
        </w:rPr>
        <w:t>3</w:t>
      </w:r>
      <w:r>
        <w:rPr>
          <w:rFonts w:hint="eastAsia" w:ascii="仿宋_GB2312" w:hAnsi="仿宋_GB2312" w:eastAsia="仿宋_GB2312" w:cs="仿宋_GB2312"/>
          <w:sz w:val="32"/>
          <w:szCs w:val="32"/>
          <w:u w:val="none"/>
        </w:rPr>
        <w:t>；</w:t>
      </w:r>
    </w:p>
    <w:p w14:paraId="40B0BBA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B3.违法行为持续时间：</w:t>
      </w:r>
      <w:r>
        <w:rPr>
          <w:rFonts w:hint="eastAsia" w:ascii="仿宋_GB2312" w:hAnsi="仿宋_GB2312" w:cs="仿宋_GB2312"/>
          <w:sz w:val="32"/>
          <w:szCs w:val="32"/>
          <w:u w:val="none"/>
          <w:lang w:val="en-US" w:eastAsia="zh-CN"/>
        </w:rPr>
        <w:t>2</w:t>
      </w:r>
      <w:r>
        <w:rPr>
          <w:rFonts w:hint="eastAsia" w:ascii="仿宋_GB2312" w:hAnsi="仿宋_GB2312" w:cs="仿宋_GB2312"/>
          <w:sz w:val="32"/>
          <w:szCs w:val="32"/>
          <w:u w:val="none"/>
          <w:lang w:eastAsia="zh-CN"/>
        </w:rPr>
        <w:t>天</w:t>
      </w:r>
      <w:r>
        <w:rPr>
          <w:rFonts w:hint="eastAsia" w:ascii="仿宋_GB2312" w:hAnsi="仿宋_GB2312" w:eastAsia="仿宋_GB2312" w:cs="仿宋_GB2312"/>
          <w:sz w:val="32"/>
          <w:szCs w:val="32"/>
          <w:u w:val="none"/>
        </w:rPr>
        <w:t xml:space="preserve">以下，裁量等级为 </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27F6108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u w:val="none"/>
          <w:lang w:val="en-US" w:eastAsia="zh-CN"/>
        </w:rPr>
      </w:pPr>
      <w:r>
        <w:rPr>
          <w:rFonts w:hint="eastAsia" w:ascii="仿宋_GB2312" w:hAnsi="仿宋_GB2312" w:eastAsia="仿宋_GB2312" w:cs="仿宋_GB2312"/>
          <w:sz w:val="32"/>
          <w:szCs w:val="32"/>
          <w:u w:val="none"/>
        </w:rPr>
        <w:t>B4.</w:t>
      </w:r>
      <w:r>
        <w:rPr>
          <w:rFonts w:hint="eastAsia" w:ascii="仿宋_GB2312" w:hAnsi="仿宋_GB2312" w:cs="仿宋_GB2312"/>
          <w:sz w:val="32"/>
          <w:szCs w:val="32"/>
          <w:u w:val="none"/>
          <w:lang w:val="en-US" w:eastAsia="zh-CN"/>
        </w:rPr>
        <w:t>违法行为发生地：符合环境功能规划，裁量等级为1；</w:t>
      </w:r>
    </w:p>
    <w:p w14:paraId="46F6D6C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B5.</w:t>
      </w:r>
      <w:r>
        <w:rPr>
          <w:rFonts w:hint="eastAsia" w:ascii="仿宋_GB2312" w:hAnsi="仿宋_GB2312" w:cs="仿宋_GB2312"/>
          <w:sz w:val="32"/>
          <w:szCs w:val="32"/>
          <w:u w:val="none"/>
          <w:lang w:val="en-US" w:eastAsia="zh-CN"/>
        </w:rPr>
        <w:t>超过限期改正时间</w:t>
      </w:r>
      <w:r>
        <w:rPr>
          <w:rFonts w:hint="eastAsia" w:ascii="仿宋_GB2312" w:hAnsi="仿宋_GB2312" w:eastAsia="仿宋_GB2312" w:cs="仿宋_GB2312"/>
          <w:sz w:val="32"/>
          <w:szCs w:val="32"/>
          <w:u w:val="none"/>
        </w:rPr>
        <w:t>：</w:t>
      </w:r>
      <w:r>
        <w:rPr>
          <w:rFonts w:hint="eastAsia" w:ascii="仿宋_GB2312" w:hAnsi="仿宋_GB2312" w:cs="仿宋_GB2312"/>
          <w:color w:val="auto"/>
          <w:sz w:val="32"/>
          <w:szCs w:val="32"/>
          <w:u w:val="none"/>
          <w:shd w:val="clear" w:color="auto" w:fill="auto"/>
          <w:lang w:val="en-US" w:eastAsia="zh-CN"/>
        </w:rPr>
        <w:t>限期改正</w:t>
      </w:r>
      <w:r>
        <w:rPr>
          <w:rFonts w:hint="eastAsia" w:ascii="仿宋_GB2312" w:hAnsi="仿宋_GB2312" w:eastAsia="仿宋_GB2312" w:cs="仿宋_GB2312"/>
          <w:sz w:val="32"/>
          <w:szCs w:val="32"/>
          <w:u w:val="none"/>
        </w:rPr>
        <w:t xml:space="preserve">，裁量等级为 </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w:t>
      </w:r>
    </w:p>
    <w:p w14:paraId="74800D1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cs="仿宋_GB2312"/>
          <w:sz w:val="32"/>
          <w:szCs w:val="32"/>
          <w:u w:val="none"/>
          <w:lang w:val="en-US" w:eastAsia="zh-CN"/>
        </w:rPr>
        <w:t>B6.</w:t>
      </w:r>
      <w:r>
        <w:rPr>
          <w:rFonts w:hint="eastAsia" w:ascii="仿宋_GB2312" w:hAnsi="仿宋_GB2312" w:eastAsia="仿宋_GB2312" w:cs="仿宋_GB2312"/>
          <w:sz w:val="32"/>
          <w:szCs w:val="32"/>
          <w:u w:val="none"/>
        </w:rPr>
        <w:t>受处罚次数：两年内未受到</w:t>
      </w:r>
      <w:r>
        <w:rPr>
          <w:rFonts w:hint="eastAsia" w:ascii="仿宋_GB2312" w:hAnsi="仿宋_GB2312" w:cs="仿宋_GB2312"/>
          <w:sz w:val="32"/>
          <w:szCs w:val="32"/>
          <w:u w:val="none"/>
          <w:lang w:val="en-US" w:eastAsia="zh-CN"/>
        </w:rPr>
        <w:t>过</w:t>
      </w:r>
      <w:r>
        <w:rPr>
          <w:rFonts w:hint="eastAsia" w:ascii="仿宋_GB2312" w:hAnsi="仿宋_GB2312" w:eastAsia="仿宋_GB2312" w:cs="仿宋_GB2312"/>
          <w:sz w:val="32"/>
          <w:szCs w:val="32"/>
          <w:u w:val="none"/>
        </w:rPr>
        <w:t xml:space="preserve">同类处罚，裁量等级为 1； </w:t>
      </w:r>
    </w:p>
    <w:p w14:paraId="26298F2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w:t>
      </w:r>
      <w:r>
        <w:rPr>
          <w:rFonts w:hint="eastAsia" w:ascii="仿宋_GB2312" w:hAnsi="仿宋_GB2312" w:cs="仿宋_GB2312"/>
          <w:sz w:val="32"/>
          <w:szCs w:val="32"/>
          <w:u w:val="none"/>
          <w:lang w:val="en-US" w:eastAsia="zh-CN"/>
        </w:rPr>
        <w:t>7</w:t>
      </w:r>
      <w:r>
        <w:rPr>
          <w:rFonts w:hint="eastAsia" w:ascii="仿宋_GB2312" w:hAnsi="仿宋_GB2312" w:eastAsia="仿宋_GB2312" w:cs="仿宋_GB2312"/>
          <w:sz w:val="32"/>
          <w:szCs w:val="32"/>
          <w:u w:val="none"/>
        </w:rPr>
        <w:t xml:space="preserve">.是否配合执法检查：配合调查，裁量等级为 1。 </w:t>
      </w:r>
    </w:p>
    <w:p w14:paraId="12B8E15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处罚金额计算 结合本案案情，将各项裁量因素等级套入公式中进行计算得出：</w:t>
      </w:r>
    </w:p>
    <w:tbl>
      <w:tblPr>
        <w:tblStyle w:val="5"/>
        <w:tblW w:w="7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555"/>
        <w:gridCol w:w="780"/>
        <w:gridCol w:w="510"/>
        <w:gridCol w:w="540"/>
        <w:gridCol w:w="555"/>
        <w:gridCol w:w="630"/>
        <w:gridCol w:w="633"/>
        <w:gridCol w:w="732"/>
        <w:gridCol w:w="675"/>
        <w:gridCol w:w="615"/>
        <w:gridCol w:w="600"/>
      </w:tblGrid>
      <w:tr w14:paraId="1E5C4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35" w:type="dxa"/>
            <w:noWrap w:val="0"/>
            <w:vAlign w:val="top"/>
          </w:tcPr>
          <w:p w14:paraId="7064BDAB">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参数</w:t>
            </w:r>
          </w:p>
        </w:tc>
        <w:tc>
          <w:tcPr>
            <w:tcW w:w="555" w:type="dxa"/>
            <w:noWrap w:val="0"/>
            <w:vAlign w:val="top"/>
          </w:tcPr>
          <w:p w14:paraId="6862F697">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N</w:t>
            </w:r>
          </w:p>
        </w:tc>
        <w:tc>
          <w:tcPr>
            <w:tcW w:w="780" w:type="dxa"/>
            <w:noWrap w:val="0"/>
            <w:vAlign w:val="top"/>
          </w:tcPr>
          <w:p w14:paraId="34F9BFB6">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M</w:t>
            </w:r>
          </w:p>
        </w:tc>
        <w:tc>
          <w:tcPr>
            <w:tcW w:w="510" w:type="dxa"/>
            <w:noWrap w:val="0"/>
            <w:vAlign w:val="top"/>
          </w:tcPr>
          <w:p w14:paraId="69F9F6DD">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A</w:t>
            </w:r>
          </w:p>
        </w:tc>
        <w:tc>
          <w:tcPr>
            <w:tcW w:w="540" w:type="dxa"/>
            <w:noWrap w:val="0"/>
            <w:vAlign w:val="top"/>
          </w:tcPr>
          <w:p w14:paraId="0136AFFD">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n</w:t>
            </w:r>
          </w:p>
        </w:tc>
        <w:tc>
          <w:tcPr>
            <w:tcW w:w="555" w:type="dxa"/>
            <w:noWrap w:val="0"/>
            <w:vAlign w:val="top"/>
          </w:tcPr>
          <w:p w14:paraId="390D8029">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eastAsia="zh-CN"/>
              </w:rPr>
            </w:pPr>
            <w:r>
              <w:rPr>
                <w:rFonts w:hint="eastAsia" w:ascii="仿宋_GB2312" w:hAnsi="仿宋_GB2312" w:eastAsia="仿宋_GB2312" w:cs="仿宋_GB2312"/>
                <w:color w:val="3E3E3E"/>
                <w:kern w:val="0"/>
                <w:sz w:val="32"/>
                <w:szCs w:val="32"/>
                <w:u w:val="none"/>
                <w:shd w:val="clear" w:color="auto" w:fill="FFFFFF"/>
              </w:rPr>
              <w:t>B</w:t>
            </w:r>
            <w:r>
              <w:rPr>
                <w:rFonts w:hint="eastAsia" w:ascii="仿宋_GB2312" w:hAnsi="仿宋_GB2312" w:eastAsia="仿宋_GB2312" w:cs="仿宋_GB2312"/>
                <w:color w:val="3E3E3E"/>
                <w:kern w:val="0"/>
                <w:sz w:val="32"/>
                <w:szCs w:val="32"/>
                <w:u w:val="none"/>
                <w:shd w:val="clear" w:color="auto" w:fill="FFFFFF"/>
                <w:lang w:val="en-US" w:eastAsia="zh-CN"/>
              </w:rPr>
              <w:t>1</w:t>
            </w:r>
          </w:p>
        </w:tc>
        <w:tc>
          <w:tcPr>
            <w:tcW w:w="630" w:type="dxa"/>
            <w:noWrap w:val="0"/>
            <w:vAlign w:val="top"/>
          </w:tcPr>
          <w:p w14:paraId="483ED1C9">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eastAsia="zh-CN"/>
              </w:rPr>
            </w:pPr>
            <w:r>
              <w:rPr>
                <w:rFonts w:hint="eastAsia" w:ascii="仿宋_GB2312" w:hAnsi="仿宋_GB2312" w:eastAsia="仿宋_GB2312" w:cs="仿宋_GB2312"/>
                <w:color w:val="3E3E3E"/>
                <w:kern w:val="0"/>
                <w:sz w:val="32"/>
                <w:szCs w:val="32"/>
                <w:u w:val="none"/>
                <w:shd w:val="clear" w:color="auto" w:fill="FFFFFF"/>
              </w:rPr>
              <w:t>B</w:t>
            </w:r>
            <w:r>
              <w:rPr>
                <w:rFonts w:hint="eastAsia" w:ascii="仿宋_GB2312" w:hAnsi="仿宋_GB2312" w:eastAsia="仿宋_GB2312" w:cs="仿宋_GB2312"/>
                <w:color w:val="3E3E3E"/>
                <w:kern w:val="0"/>
                <w:sz w:val="32"/>
                <w:szCs w:val="32"/>
                <w:u w:val="none"/>
                <w:shd w:val="clear" w:color="auto" w:fill="FFFFFF"/>
                <w:lang w:val="en-US" w:eastAsia="zh-CN"/>
              </w:rPr>
              <w:t>2</w:t>
            </w:r>
          </w:p>
        </w:tc>
        <w:tc>
          <w:tcPr>
            <w:tcW w:w="633" w:type="dxa"/>
            <w:noWrap w:val="0"/>
            <w:vAlign w:val="top"/>
          </w:tcPr>
          <w:p w14:paraId="47D1FDE4">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eastAsia="zh-CN"/>
              </w:rPr>
            </w:pPr>
            <w:r>
              <w:rPr>
                <w:rFonts w:hint="eastAsia" w:ascii="仿宋_GB2312" w:hAnsi="仿宋_GB2312" w:eastAsia="仿宋_GB2312" w:cs="仿宋_GB2312"/>
                <w:color w:val="3E3E3E"/>
                <w:kern w:val="0"/>
                <w:sz w:val="32"/>
                <w:szCs w:val="32"/>
                <w:u w:val="none"/>
                <w:shd w:val="clear" w:color="auto" w:fill="FFFFFF"/>
              </w:rPr>
              <w:t>B</w:t>
            </w:r>
            <w:r>
              <w:rPr>
                <w:rFonts w:hint="eastAsia" w:ascii="仿宋_GB2312" w:hAnsi="仿宋_GB2312" w:eastAsia="仿宋_GB2312" w:cs="仿宋_GB2312"/>
                <w:color w:val="3E3E3E"/>
                <w:kern w:val="0"/>
                <w:sz w:val="32"/>
                <w:szCs w:val="32"/>
                <w:u w:val="none"/>
                <w:shd w:val="clear" w:color="auto" w:fill="FFFFFF"/>
                <w:lang w:val="en-US" w:eastAsia="zh-CN"/>
              </w:rPr>
              <w:t>3</w:t>
            </w:r>
          </w:p>
        </w:tc>
        <w:tc>
          <w:tcPr>
            <w:tcW w:w="732" w:type="dxa"/>
            <w:noWrap w:val="0"/>
            <w:vAlign w:val="top"/>
          </w:tcPr>
          <w:p w14:paraId="2DD65C0E">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lang w:val="en-US" w:eastAsia="zh-CN"/>
              </w:rPr>
              <w:t>B4</w:t>
            </w:r>
          </w:p>
        </w:tc>
        <w:tc>
          <w:tcPr>
            <w:tcW w:w="675" w:type="dxa"/>
            <w:noWrap w:val="0"/>
            <w:vAlign w:val="top"/>
          </w:tcPr>
          <w:p w14:paraId="4EDE904B">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lang w:val="en-US" w:eastAsia="zh-CN"/>
              </w:rPr>
              <w:t>B5</w:t>
            </w:r>
          </w:p>
        </w:tc>
        <w:tc>
          <w:tcPr>
            <w:tcW w:w="615" w:type="dxa"/>
            <w:noWrap w:val="0"/>
            <w:vAlign w:val="top"/>
          </w:tcPr>
          <w:p w14:paraId="623A950F">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lang w:val="en-US" w:eastAsia="zh-CN"/>
              </w:rPr>
              <w:t>B6</w:t>
            </w:r>
          </w:p>
        </w:tc>
        <w:tc>
          <w:tcPr>
            <w:tcW w:w="600" w:type="dxa"/>
            <w:noWrap w:val="0"/>
            <w:vAlign w:val="top"/>
          </w:tcPr>
          <w:p w14:paraId="6A33ACCA">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lang w:val="en-US" w:eastAsia="zh-CN"/>
              </w:rPr>
              <w:t>B7</w:t>
            </w:r>
          </w:p>
        </w:tc>
      </w:tr>
      <w:tr w14:paraId="62126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35" w:type="dxa"/>
            <w:noWrap w:val="0"/>
            <w:vAlign w:val="top"/>
          </w:tcPr>
          <w:p w14:paraId="29A2FEDE">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取值</w:t>
            </w:r>
          </w:p>
        </w:tc>
        <w:tc>
          <w:tcPr>
            <w:tcW w:w="555" w:type="dxa"/>
            <w:noWrap w:val="0"/>
            <w:vAlign w:val="top"/>
          </w:tcPr>
          <w:p w14:paraId="642B19D0">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780" w:type="dxa"/>
            <w:noWrap w:val="0"/>
            <w:vAlign w:val="top"/>
          </w:tcPr>
          <w:p w14:paraId="364EEC0D">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5</w:t>
            </w:r>
          </w:p>
        </w:tc>
        <w:tc>
          <w:tcPr>
            <w:tcW w:w="510" w:type="dxa"/>
            <w:noWrap w:val="0"/>
            <w:vAlign w:val="top"/>
          </w:tcPr>
          <w:p w14:paraId="344540F1">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3</w:t>
            </w:r>
          </w:p>
        </w:tc>
        <w:tc>
          <w:tcPr>
            <w:tcW w:w="540" w:type="dxa"/>
            <w:noWrap w:val="0"/>
            <w:vAlign w:val="top"/>
          </w:tcPr>
          <w:p w14:paraId="002EDB6A">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lang w:val="en-US" w:eastAsia="zh-CN"/>
              </w:rPr>
              <w:t>7</w:t>
            </w:r>
          </w:p>
        </w:tc>
        <w:tc>
          <w:tcPr>
            <w:tcW w:w="555" w:type="dxa"/>
            <w:noWrap w:val="0"/>
            <w:vAlign w:val="top"/>
          </w:tcPr>
          <w:p w14:paraId="0DE85DC8">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630" w:type="dxa"/>
            <w:noWrap w:val="0"/>
            <w:vAlign w:val="top"/>
          </w:tcPr>
          <w:p w14:paraId="52F27FDC">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eastAsia="zh-CN"/>
              </w:rPr>
            </w:pPr>
            <w:r>
              <w:rPr>
                <w:rFonts w:hint="eastAsia" w:ascii="仿宋_GB2312" w:hAnsi="仿宋_GB2312" w:eastAsia="仿宋_GB2312" w:cs="仿宋_GB2312"/>
                <w:color w:val="3E3E3E"/>
                <w:kern w:val="0"/>
                <w:sz w:val="32"/>
                <w:szCs w:val="32"/>
                <w:u w:val="none"/>
                <w:shd w:val="clear" w:color="auto" w:fill="FFFFFF"/>
                <w:lang w:val="en-US" w:eastAsia="zh-CN"/>
              </w:rPr>
              <w:t>3</w:t>
            </w:r>
          </w:p>
        </w:tc>
        <w:tc>
          <w:tcPr>
            <w:tcW w:w="633" w:type="dxa"/>
            <w:noWrap w:val="0"/>
            <w:vAlign w:val="top"/>
          </w:tcPr>
          <w:p w14:paraId="1EFCD02E">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732" w:type="dxa"/>
            <w:noWrap w:val="0"/>
            <w:vAlign w:val="top"/>
          </w:tcPr>
          <w:p w14:paraId="498EF02A">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675" w:type="dxa"/>
            <w:noWrap w:val="0"/>
            <w:vAlign w:val="top"/>
          </w:tcPr>
          <w:p w14:paraId="050B4EA3">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615" w:type="dxa"/>
            <w:noWrap w:val="0"/>
            <w:vAlign w:val="top"/>
          </w:tcPr>
          <w:p w14:paraId="164D4D85">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600" w:type="dxa"/>
            <w:noWrap w:val="0"/>
            <w:vAlign w:val="top"/>
          </w:tcPr>
          <w:p w14:paraId="36A1FCF2">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r>
    </w:tbl>
    <w:p w14:paraId="2CA183B6">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left"/>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rPr>
        <w:t>X=</w:t>
      </w:r>
      <w:r>
        <w:rPr>
          <w:rFonts w:hint="eastAsia" w:ascii="仿宋_GB2312" w:hAnsi="仿宋_GB2312" w:cs="仿宋_GB2312"/>
          <w:color w:val="3E3E3E"/>
          <w:kern w:val="0"/>
          <w:sz w:val="32"/>
          <w:szCs w:val="32"/>
          <w:u w:val="none"/>
          <w:shd w:val="clear" w:color="auto" w:fill="FFFFFF"/>
          <w:lang w:val="en-US" w:eastAsia="zh-CN"/>
        </w:rPr>
        <w:t>1</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cs="仿宋_GB2312"/>
          <w:color w:val="3E3E3E"/>
          <w:kern w:val="0"/>
          <w:sz w:val="32"/>
          <w:szCs w:val="32"/>
          <w:u w:val="none"/>
          <w:shd w:val="clear" w:color="auto" w:fill="FFFFFF"/>
          <w:lang w:val="en-US" w:eastAsia="zh-CN"/>
        </w:rPr>
        <w:t>5</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cs="仿宋_GB2312"/>
          <w:color w:val="3E3E3E"/>
          <w:kern w:val="0"/>
          <w:sz w:val="32"/>
          <w:szCs w:val="32"/>
          <w:u w:val="none"/>
          <w:shd w:val="clear" w:color="auto" w:fill="FFFFFF"/>
          <w:lang w:val="en-US" w:eastAsia="zh-CN"/>
        </w:rPr>
        <w:t>1</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eastAsia="仿宋_GB2312" w:cs="仿宋_GB2312"/>
          <w:color w:val="3E3E3E"/>
          <w:kern w:val="0"/>
          <w:sz w:val="32"/>
          <w:szCs w:val="32"/>
          <w:u w:val="none"/>
          <w:shd w:val="clear" w:color="auto" w:fill="FFFFFF"/>
          <w:lang w:val="en-US" w:eastAsia="zh-CN"/>
        </w:rPr>
        <w:t>(</w:t>
      </w:r>
      <w:r>
        <w:rPr>
          <w:rFonts w:hint="eastAsia" w:ascii="仿宋_GB2312" w:hAnsi="仿宋_GB2312" w:cs="仿宋_GB2312"/>
          <w:color w:val="3E3E3E"/>
          <w:kern w:val="0"/>
          <w:sz w:val="32"/>
          <w:szCs w:val="32"/>
          <w:u w:val="none"/>
          <w:shd w:val="clear" w:color="auto" w:fill="FFFFFF"/>
          <w:lang w:val="en-US" w:eastAsia="zh-CN"/>
        </w:rPr>
        <w:t>3</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eastAsia="仿宋_GB2312" w:cs="仿宋_GB2312"/>
          <w:color w:val="3E3E3E"/>
          <w:kern w:val="0"/>
          <w:sz w:val="32"/>
          <w:szCs w:val="32"/>
          <w:u w:val="none"/>
          <w:shd w:val="clear" w:color="auto" w:fill="FFFFFF"/>
          <w:lang w:val="en-US" w:eastAsia="zh-CN"/>
        </w:rPr>
        <w:t>5）</w:t>
      </w:r>
      <w:r>
        <w:rPr>
          <w:rFonts w:hint="eastAsia" w:ascii="仿宋_GB2312" w:hAnsi="仿宋_GB2312" w:eastAsia="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eastAsia="仿宋_GB2312" w:cs="仿宋_GB2312"/>
          <w:color w:val="3E3E3E"/>
          <w:kern w:val="0"/>
          <w:sz w:val="32"/>
          <w:szCs w:val="32"/>
          <w:u w:val="none"/>
          <w:shd w:val="clear" w:color="auto" w:fill="FFFFFF"/>
          <w:lang w:eastAsia="zh-CN"/>
        </w:rPr>
        <w:t>（</w:t>
      </w:r>
      <w:r>
        <w:rPr>
          <w:rFonts w:hint="eastAsia" w:ascii="仿宋_GB2312" w:hAnsi="仿宋_GB2312" w:eastAsia="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w:t>
      </w:r>
      <w:r>
        <w:rPr>
          <w:rFonts w:hint="eastAsia" w:ascii="仿宋_GB2312" w:hAnsi="仿宋_GB2312" w:cs="仿宋_GB2312"/>
          <w:color w:val="3E3E3E"/>
          <w:kern w:val="0"/>
          <w:sz w:val="32"/>
          <w:szCs w:val="32"/>
          <w:u w:val="none"/>
          <w:shd w:val="clear" w:color="auto" w:fill="FFFFFF"/>
          <w:lang w:val="en-US" w:eastAsia="zh-CN"/>
        </w:rPr>
        <w:t>3</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w:t>
      </w:r>
      <w:r>
        <w:rPr>
          <w:rFonts w:hint="eastAsia" w:ascii="仿宋_GB2312" w:hAnsi="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w:t>
      </w:r>
      <w:r>
        <w:rPr>
          <w:rFonts w:hint="eastAsia" w:ascii="仿宋_GB2312" w:hAnsi="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w:t>
      </w:r>
      <w:r>
        <w:rPr>
          <w:rFonts w:hint="eastAsia" w:ascii="仿宋_GB2312" w:hAnsi="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w:t>
      </w:r>
      <w:r>
        <w:rPr>
          <w:rFonts w:hint="eastAsia" w:ascii="仿宋_GB2312" w:hAnsi="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w:t>
      </w:r>
      <w:r>
        <w:rPr>
          <w:rFonts w:hint="eastAsia" w:ascii="仿宋_GB2312" w:hAnsi="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eastAsia="zh-CN"/>
        </w:rPr>
        <w:t>）</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eastAsia="仿宋_GB2312" w:cs="仿宋_GB2312"/>
          <w:color w:val="3E3E3E"/>
          <w:kern w:val="0"/>
          <w:sz w:val="32"/>
          <w:szCs w:val="32"/>
          <w:u w:val="none"/>
          <w:shd w:val="clear" w:color="auto" w:fill="FFFFFF"/>
          <w:lang w:val="en-US" w:eastAsia="zh-CN"/>
        </w:rPr>
        <w:t>5</w:t>
      </w:r>
      <w:r>
        <w:rPr>
          <w:rFonts w:hint="eastAsia" w:ascii="仿宋_GB2312" w:hAnsi="仿宋_GB2312" w:eastAsia="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cs="仿宋_GB2312"/>
          <w:color w:val="3E3E3E"/>
          <w:kern w:val="0"/>
          <w:sz w:val="32"/>
          <w:szCs w:val="32"/>
          <w:u w:val="none"/>
          <w:shd w:val="clear" w:color="auto" w:fill="FFFFFF"/>
          <w:lang w:val="en-US" w:eastAsia="zh-CN"/>
        </w:rPr>
        <w:t>7</w:t>
      </w:r>
      <w:r>
        <w:rPr>
          <w:rFonts w:hint="eastAsia" w:ascii="仿宋_GB2312" w:hAnsi="仿宋_GB2312" w:eastAsia="仿宋_GB2312" w:cs="仿宋_GB2312"/>
          <w:color w:val="3E3E3E"/>
          <w:kern w:val="0"/>
          <w:sz w:val="32"/>
          <w:szCs w:val="32"/>
          <w:u w:val="none"/>
          <w:shd w:val="clear" w:color="auto" w:fill="FFFFFF"/>
        </w:rPr>
        <w:t>）]×50%=</w:t>
      </w:r>
      <w:r>
        <w:rPr>
          <w:rFonts w:hint="eastAsia" w:ascii="仿宋_GB2312" w:hAnsi="仿宋_GB2312" w:eastAsia="仿宋_GB2312" w:cs="仿宋_GB2312"/>
          <w:color w:val="3E3E3E"/>
          <w:kern w:val="0"/>
          <w:sz w:val="32"/>
          <w:szCs w:val="32"/>
          <w:u w:val="none"/>
          <w:shd w:val="clear" w:color="auto" w:fill="FFFFFF"/>
          <w:lang w:val="en-US" w:eastAsia="zh-CN"/>
        </w:rPr>
        <w:t>1.8914万元</w:t>
      </w:r>
    </w:p>
    <w:p w14:paraId="2444CC44">
      <w:pPr>
        <w:keepNext w:val="0"/>
        <w:keepLines w:val="0"/>
        <w:pageBreakBefore w:val="0"/>
        <w:widowControl w:val="0"/>
        <w:kinsoku/>
        <w:wordWrap/>
        <w:overflowPunct/>
        <w:topLinePunct w:val="0"/>
        <w:autoSpaceDE/>
        <w:autoSpaceDN/>
        <w:bidi w:val="0"/>
        <w:adjustRightInd w:val="0"/>
        <w:snapToGrid w:val="0"/>
        <w:spacing w:before="0" w:beforeLines="0" w:line="540" w:lineRule="exact"/>
        <w:ind w:firstLine="640" w:firstLineChars="200"/>
        <w:jc w:val="left"/>
        <w:rPr>
          <w:rFonts w:hint="default" w:ascii="Times New Roman" w:hAnsi="Times New Roman" w:eastAsia="仿宋_GB2312" w:cs="Times New Roman"/>
          <w:sz w:val="32"/>
          <w:szCs w:val="32"/>
        </w:rPr>
      </w:pPr>
      <w:r>
        <w:rPr>
          <w:rFonts w:hint="eastAsia" w:ascii="仿宋_GB2312" w:hAnsi="仿宋_GB2312" w:eastAsia="仿宋_GB2312" w:cs="仿宋_GB2312"/>
          <w:kern w:val="0"/>
          <w:sz w:val="32"/>
          <w:szCs w:val="32"/>
          <w:lang w:val="en-US" w:eastAsia="zh-CN"/>
        </w:rPr>
        <w:t>经集体研究，我局对你单位未按要求启动应急响应操作方案的违法行为作出如下处理决定</w:t>
      </w:r>
      <w:r>
        <w:rPr>
          <w:rFonts w:hint="default" w:ascii="Times New Roman" w:hAnsi="Times New Roman" w:eastAsia="仿宋_GB2312" w:cs="Times New Roman"/>
          <w:sz w:val="32"/>
          <w:szCs w:val="32"/>
        </w:rPr>
        <w:t>：</w:t>
      </w:r>
    </w:p>
    <w:p w14:paraId="61C6CA3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jc w:val="both"/>
        <w:textAlignment w:val="bottom"/>
        <w:rPr>
          <w:rFonts w:hint="eastAsia" w:ascii="仿宋_GB2312" w:hAnsi="仿宋_GB2312" w:eastAsia="仿宋_GB2312"/>
          <w:sz w:val="32"/>
          <w:szCs w:val="32"/>
        </w:rPr>
      </w:pPr>
      <w:r>
        <w:rPr>
          <w:rFonts w:hint="eastAsia" w:ascii="仿宋_GB2312" w:hAnsi="仿宋_GB2312" w:eastAsia="仿宋_GB2312" w:cs="仿宋_GB2312"/>
          <w:color w:val="auto"/>
          <w:sz w:val="32"/>
          <w:szCs w:val="32"/>
          <w:u w:val="none"/>
        </w:rPr>
        <w:t>处壹万</w:t>
      </w:r>
      <w:r>
        <w:rPr>
          <w:rFonts w:hint="eastAsia" w:ascii="仿宋_GB2312" w:hAnsi="仿宋_GB2312" w:eastAsia="仿宋_GB2312" w:cs="仿宋_GB2312"/>
          <w:color w:val="auto"/>
          <w:sz w:val="32"/>
          <w:szCs w:val="32"/>
          <w:u w:val="none"/>
          <w:lang w:val="en-US" w:eastAsia="zh-CN"/>
        </w:rPr>
        <w:t>捌</w:t>
      </w:r>
      <w:r>
        <w:rPr>
          <w:rFonts w:hint="eastAsia" w:ascii="仿宋_GB2312" w:hAnsi="仿宋_GB2312" w:eastAsia="仿宋_GB2312" w:cs="仿宋_GB2312"/>
          <w:color w:val="auto"/>
          <w:sz w:val="32"/>
          <w:szCs w:val="32"/>
          <w:u w:val="none"/>
        </w:rPr>
        <w:t>仟</w:t>
      </w:r>
      <w:r>
        <w:rPr>
          <w:rFonts w:hint="eastAsia" w:ascii="仿宋_GB2312" w:hAnsi="仿宋_GB2312" w:eastAsia="仿宋_GB2312" w:cs="仿宋_GB2312"/>
          <w:color w:val="auto"/>
          <w:sz w:val="32"/>
          <w:szCs w:val="32"/>
          <w:u w:val="none"/>
          <w:lang w:val="en-US" w:eastAsia="zh-CN"/>
        </w:rPr>
        <w:t>玖佰壹拾肆</w:t>
      </w:r>
      <w:r>
        <w:rPr>
          <w:rFonts w:hint="eastAsia" w:ascii="仿宋_GB2312" w:hAnsi="仿宋_GB2312" w:eastAsia="仿宋_GB2312" w:cs="仿宋_GB2312"/>
          <w:color w:val="auto"/>
          <w:sz w:val="32"/>
          <w:szCs w:val="32"/>
          <w:u w:val="none"/>
        </w:rPr>
        <w:t>元罚款（1.</w:t>
      </w:r>
      <w:r>
        <w:rPr>
          <w:rFonts w:hint="eastAsia" w:ascii="仿宋_GB2312" w:hAnsi="仿宋_GB2312" w:eastAsia="仿宋_GB2312" w:cs="仿宋_GB2312"/>
          <w:color w:val="auto"/>
          <w:sz w:val="32"/>
          <w:szCs w:val="32"/>
          <w:u w:val="none"/>
          <w:lang w:val="en-US" w:eastAsia="zh-CN"/>
        </w:rPr>
        <w:t>8914</w:t>
      </w:r>
      <w:r>
        <w:rPr>
          <w:rFonts w:hint="eastAsia" w:ascii="仿宋_GB2312" w:hAnsi="仿宋_GB2312" w:eastAsia="仿宋_GB2312" w:cs="仿宋_GB2312"/>
          <w:color w:val="auto"/>
          <w:sz w:val="32"/>
          <w:szCs w:val="32"/>
          <w:u w:val="none"/>
        </w:rPr>
        <w:t>万元）</w:t>
      </w:r>
      <w:r>
        <w:rPr>
          <w:rFonts w:hint="eastAsia" w:ascii="仿宋_GB2312" w:hAnsi="仿宋_GB2312" w:eastAsia="仿宋_GB2312" w:cs="仿宋_GB2312"/>
          <w:color w:val="auto"/>
          <w:sz w:val="32"/>
          <w:szCs w:val="32"/>
          <w:u w:val="none"/>
          <w:lang w:eastAsia="zh-CN"/>
        </w:rPr>
        <w:t>。</w:t>
      </w:r>
    </w:p>
    <w:p w14:paraId="4D1634AF">
      <w:pPr>
        <w:keepNext w:val="0"/>
        <w:keepLines w:val="0"/>
        <w:pageBreakBefore w:val="0"/>
        <w:widowControl/>
        <w:suppressLineNumbers w:val="0"/>
        <w:kinsoku/>
        <w:wordWrap/>
        <w:overflowPunct/>
        <w:topLinePunct w:val="0"/>
        <w:autoSpaceDE/>
        <w:bidi w:val="0"/>
        <w:spacing w:line="540" w:lineRule="exact"/>
        <w:ind w:firstLine="640" w:firstLineChars="200"/>
        <w:jc w:val="left"/>
        <w:rPr>
          <w:rFonts w:hint="eastAsia" w:ascii="黑体" w:hAnsi="黑体" w:eastAsia="黑体" w:cs="黑体"/>
        </w:rPr>
      </w:pPr>
      <w:r>
        <w:rPr>
          <w:rFonts w:hint="eastAsia" w:ascii="黑体" w:hAnsi="黑体" w:eastAsia="黑体" w:cs="黑体"/>
          <w:color w:val="000000"/>
          <w:kern w:val="0"/>
          <w:sz w:val="32"/>
          <w:szCs w:val="32"/>
          <w:lang w:val="en-US" w:eastAsia="zh-CN" w:bidi="ar"/>
        </w:rPr>
        <w:t xml:space="preserve">三、行政处罚决定的履行方式和期限 </w:t>
      </w:r>
    </w:p>
    <w:p w14:paraId="6D884D7E">
      <w:pPr>
        <w:keepNext w:val="0"/>
        <w:keepLines w:val="0"/>
        <w:pageBreakBefore w:val="0"/>
        <w:widowControl w:val="0"/>
        <w:suppressLineNumbers w:val="0"/>
        <w:kinsoku/>
        <w:wordWrap/>
        <w:overflowPunct/>
        <w:topLinePunct w:val="0"/>
        <w:autoSpaceDE/>
        <w:bidi w:val="0"/>
        <w:adjustRightInd/>
        <w:snapToGrid/>
        <w:spacing w:line="54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color w:val="000000"/>
          <w:kern w:val="0"/>
          <w:sz w:val="32"/>
          <w:szCs w:val="32"/>
          <w:lang w:val="en-US" w:eastAsia="zh-CN" w:bidi="ar"/>
        </w:rPr>
        <w:t>根据《中华人民共和国行政处罚法》和《罚款决定与罚款收缴分离实施办法》的规定，你</w:t>
      </w:r>
      <w:r>
        <w:rPr>
          <w:rFonts w:hint="eastAsia" w:eastAsia="仿宋_GB2312" w:cs="Times New Roman"/>
          <w:color w:val="000000"/>
          <w:kern w:val="0"/>
          <w:sz w:val="32"/>
          <w:szCs w:val="32"/>
          <w:lang w:val="en-US" w:eastAsia="zh-CN" w:bidi="ar"/>
        </w:rPr>
        <w:t>单位</w:t>
      </w:r>
      <w:r>
        <w:rPr>
          <w:rFonts w:hint="default" w:ascii="Times New Roman" w:hAnsi="Times New Roman" w:eastAsia="仿宋_GB2312" w:cs="Times New Roman"/>
          <w:color w:val="000000"/>
          <w:kern w:val="0"/>
          <w:sz w:val="32"/>
          <w:szCs w:val="32"/>
          <w:lang w:val="en-US" w:eastAsia="zh-CN" w:bidi="ar"/>
        </w:rPr>
        <w:t>应当自收到本决定书之日起15日内将罚款缴至指定银行和账号</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 </w:t>
      </w:r>
    </w:p>
    <w:p w14:paraId="317476BD">
      <w:pPr>
        <w:keepNext w:val="0"/>
        <w:keepLines w:val="0"/>
        <w:pageBreakBefore w:val="0"/>
        <w:widowControl w:val="0"/>
        <w:kinsoku/>
        <w:wordWrap/>
        <w:overflowPunct/>
        <w:topLinePunct w:val="0"/>
        <w:autoSpaceDE/>
        <w:bidi w:val="0"/>
        <w:adjustRightInd/>
        <w:snapToGrid/>
        <w:spacing w:before="0" w:beforeLines="0" w:after="0" w:afterLines="0" w:line="540" w:lineRule="exact"/>
        <w:ind w:left="0" w:leftChars="0" w:right="0" w:rightChars="0" w:firstLine="640" w:firstLineChars="200"/>
        <w:textAlignment w:val="auto"/>
        <w:outlineLvl w:val="9"/>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户  名：焦作市财政局非税收入财政专户。</w:t>
      </w:r>
    </w:p>
    <w:p w14:paraId="666A703B">
      <w:pPr>
        <w:keepNext w:val="0"/>
        <w:keepLines w:val="0"/>
        <w:pageBreakBefore w:val="0"/>
        <w:widowControl w:val="0"/>
        <w:kinsoku/>
        <w:wordWrap/>
        <w:overflowPunct/>
        <w:topLinePunct w:val="0"/>
        <w:autoSpaceDE/>
        <w:bidi w:val="0"/>
        <w:adjustRightInd/>
        <w:snapToGrid/>
        <w:spacing w:before="0" w:beforeLines="0" w:after="0" w:afterLines="0" w:line="540" w:lineRule="exact"/>
        <w:ind w:left="0" w:leftChars="0" w:right="0" w:rightChars="0" w:firstLine="640" w:firstLineChars="200"/>
        <w:textAlignment w:val="auto"/>
        <w:outlineLvl w:val="9"/>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开户行：邮政储蓄银行民主南路支行；</w:t>
      </w:r>
    </w:p>
    <w:p w14:paraId="2ED0511E">
      <w:pPr>
        <w:keepNext w:val="0"/>
        <w:keepLines w:val="0"/>
        <w:pageBreakBefore w:val="0"/>
        <w:widowControl w:val="0"/>
        <w:kinsoku/>
        <w:wordWrap/>
        <w:overflowPunct/>
        <w:topLinePunct w:val="0"/>
        <w:autoSpaceDE/>
        <w:bidi w:val="0"/>
        <w:adjustRightInd/>
        <w:snapToGrid/>
        <w:spacing w:before="0" w:beforeLines="0" w:after="0" w:afterLines="0" w:line="540" w:lineRule="exact"/>
        <w:ind w:left="0" w:leftChars="0" w:right="0" w:rightChars="0" w:firstLine="640" w:firstLineChars="200"/>
        <w:textAlignment w:val="auto"/>
        <w:outlineLvl w:val="9"/>
        <w:rPr>
          <w:rFonts w:hint="default" w:ascii="Times New Roman" w:hAnsi="Times New Roman" w:eastAsia="FangSong_GB2312" w:cs="Times New Roman"/>
          <w:sz w:val="32"/>
          <w:szCs w:val="32"/>
          <w:lang w:val="en-US" w:eastAsia="zh-CN"/>
        </w:rPr>
      </w:pPr>
      <w:r>
        <w:rPr>
          <w:rFonts w:hint="default" w:ascii="Times New Roman" w:hAnsi="Times New Roman" w:eastAsia="仿宋_GB2312" w:cs="Times New Roman"/>
          <w:sz w:val="32"/>
          <w:szCs w:val="32"/>
          <w:shd w:val="clear" w:color="auto" w:fill="FFFFFF"/>
        </w:rPr>
        <w:t>银行</w:t>
      </w:r>
      <w:r>
        <w:rPr>
          <w:rFonts w:hint="default" w:ascii="Times New Roman" w:hAnsi="Times New Roman" w:eastAsia="FangSong_GB2312" w:cs="Times New Roman"/>
          <w:sz w:val="32"/>
          <w:szCs w:val="32"/>
          <w:lang w:val="en-US" w:eastAsia="zh-CN"/>
        </w:rPr>
        <w:t>账号：100195545980010001</w:t>
      </w:r>
    </w:p>
    <w:p w14:paraId="2725DE3F">
      <w:pPr>
        <w:keepNext w:val="0"/>
        <w:keepLines w:val="0"/>
        <w:pageBreakBefore w:val="0"/>
        <w:shd w:val="solid" w:color="FFFFFF" w:fill="auto"/>
        <w:kinsoku/>
        <w:wordWrap/>
        <w:overflowPunct/>
        <w:topLinePunct w:val="0"/>
        <w:autoSpaceDE/>
        <w:autoSpaceDN w:val="0"/>
        <w:bidi w:val="0"/>
        <w:spacing w:before="0" w:beforeLines="0" w:after="0" w:afterLines="0" w:line="540" w:lineRule="exact"/>
        <w:ind w:left="0" w:leftChars="0" w:right="0" w:rightChars="0" w:firstLine="640" w:firstLineChars="200"/>
        <w:jc w:val="left"/>
        <w:textAlignment w:val="auto"/>
        <w:outlineLvl w:val="9"/>
        <w:rPr>
          <w:rFonts w:hint="eastAsia" w:ascii="黑体" w:hAnsi="宋体" w:eastAsia="黑体"/>
          <w:sz w:val="32"/>
          <w:szCs w:val="32"/>
        </w:rPr>
      </w:pPr>
      <w:r>
        <w:rPr>
          <w:rFonts w:hint="default" w:ascii="Times New Roman" w:hAnsi="Times New Roman" w:eastAsia="FangSong_GB2312" w:cs="Times New Roman"/>
          <w:sz w:val="32"/>
          <w:szCs w:val="32"/>
          <w:lang w:val="en-US" w:eastAsia="zh-CN"/>
        </w:rPr>
        <w:t>缴纳罚款后，应将缴款凭</w:t>
      </w:r>
      <w:r>
        <w:rPr>
          <w:rFonts w:hint="default" w:ascii="Times New Roman" w:hAnsi="Times New Roman" w:eastAsia="仿宋_GB2312" w:cs="Times New Roman"/>
          <w:color w:val="000000"/>
          <w:sz w:val="32"/>
          <w:szCs w:val="32"/>
          <w:shd w:val="clear" w:color="auto" w:fill="FFFFFF"/>
        </w:rPr>
        <w:t>据报送我局备案。逾期不缴纳罚款的，我局将依法采取行政强制措施。</w:t>
      </w:r>
      <w:r>
        <w:rPr>
          <w:rFonts w:hint="eastAsia" w:ascii="黑体" w:hAnsi="宋体" w:eastAsia="黑体"/>
          <w:sz w:val="32"/>
          <w:szCs w:val="32"/>
        </w:rPr>
        <w:t xml:space="preserve"> </w:t>
      </w:r>
    </w:p>
    <w:p w14:paraId="00772D2D">
      <w:pPr>
        <w:keepNext w:val="0"/>
        <w:keepLines w:val="0"/>
        <w:pageBreakBefore w:val="0"/>
        <w:widowControl/>
        <w:suppressLineNumbers w:val="0"/>
        <w:kinsoku/>
        <w:wordWrap/>
        <w:overflowPunct/>
        <w:topLinePunct w:val="0"/>
        <w:autoSpaceDE/>
        <w:bidi w:val="0"/>
        <w:spacing w:line="540" w:lineRule="exact"/>
        <w:ind w:firstLine="640" w:firstLineChars="200"/>
        <w:jc w:val="left"/>
        <w:rPr>
          <w:rFonts w:hint="eastAsia" w:ascii="黑体" w:hAnsi="黑体" w:eastAsia="黑体" w:cs="黑体"/>
        </w:rPr>
      </w:pPr>
      <w:r>
        <w:rPr>
          <w:rFonts w:hint="eastAsia" w:ascii="黑体" w:hAnsi="黑体" w:eastAsia="黑体" w:cs="黑体"/>
          <w:color w:val="000000"/>
          <w:kern w:val="0"/>
          <w:sz w:val="32"/>
          <w:szCs w:val="32"/>
          <w:lang w:val="en-US" w:eastAsia="zh-CN" w:bidi="ar"/>
        </w:rPr>
        <w:t>四、申请行政复议或提起行政诉讼的途径和期限</w:t>
      </w:r>
    </w:p>
    <w:p w14:paraId="7555538D">
      <w:pPr>
        <w:keepNext w:val="0"/>
        <w:keepLines w:val="0"/>
        <w:pageBreakBefore w:val="0"/>
        <w:shd w:val="solid" w:color="FFFFFF" w:fill="auto"/>
        <w:kinsoku/>
        <w:wordWrap/>
        <w:overflowPunct/>
        <w:topLinePunct w:val="0"/>
        <w:autoSpaceDE/>
        <w:autoSpaceDN w:val="0"/>
        <w:bidi w:val="0"/>
        <w:spacing w:before="0" w:beforeLines="0" w:after="0" w:afterLines="0" w:line="540" w:lineRule="exact"/>
        <w:ind w:left="0" w:leftChars="0" w:right="0" w:rightChars="0" w:firstLine="640" w:firstLineChars="200"/>
        <w:jc w:val="left"/>
        <w:textAlignment w:val="auto"/>
        <w:outlineLvl w:val="9"/>
        <w:rPr>
          <w:rFonts w:hint="eastAsia" w:ascii="Times New Roman" w:hAnsi="Times New Roman" w:eastAsia="FangSong_GB2312" w:cs="Times New Roman"/>
          <w:sz w:val="32"/>
          <w:szCs w:val="32"/>
          <w:lang w:val="en-US" w:eastAsia="zh-CN"/>
        </w:rPr>
      </w:pPr>
      <w:r>
        <w:rPr>
          <w:rFonts w:hint="eastAsia" w:ascii="仿宋_GB2312" w:hAnsi="仿宋_GB2312" w:eastAsia="仿宋_GB2312" w:cs="仿宋_GB2312"/>
          <w:color w:val="000000"/>
          <w:sz w:val="32"/>
          <w:szCs w:val="32"/>
          <w:shd w:val="clear" w:color="auto" w:fill="FFFFFF"/>
          <w:lang w:eastAsia="zh-CN"/>
        </w:rPr>
        <w:t>你</w:t>
      </w:r>
      <w:r>
        <w:rPr>
          <w:rFonts w:hint="eastAsia" w:ascii="仿宋_GB2312" w:hAnsi="仿宋_GB2312" w:eastAsia="仿宋_GB2312" w:cs="仿宋_GB2312"/>
          <w:color w:val="000000"/>
          <w:sz w:val="32"/>
          <w:szCs w:val="32"/>
          <w:shd w:val="clear" w:color="auto" w:fill="FFFFFF"/>
          <w:lang w:val="en-US" w:eastAsia="zh-CN"/>
        </w:rPr>
        <w:t>单位</w:t>
      </w:r>
      <w:r>
        <w:rPr>
          <w:rFonts w:hint="eastAsia" w:ascii="仿宋_GB2312" w:hAnsi="仿宋_GB2312" w:eastAsia="仿宋_GB2312" w:cs="仿宋_GB2312"/>
          <w:color w:val="000000"/>
          <w:sz w:val="32"/>
          <w:szCs w:val="32"/>
          <w:shd w:val="clear" w:color="auto" w:fill="FFFFFF"/>
          <w:lang w:eastAsia="zh-CN"/>
        </w:rPr>
        <w:t>如不服本决定，可以自收到本决定书之日起六十日内向焦作市人民政府申请行政复议；也可以在接到本决定书之日起</w:t>
      </w:r>
      <w:r>
        <w:rPr>
          <w:rFonts w:hint="eastAsia" w:ascii="Times New Roman" w:hAnsi="Times New Roman" w:eastAsia="FangSong_GB2312" w:cs="Times New Roman"/>
          <w:sz w:val="32"/>
          <w:szCs w:val="32"/>
          <w:lang w:val="en-US" w:eastAsia="zh-CN"/>
        </w:rPr>
        <w:t>6个月内向郑州铁路运输法院提起行政诉讼。申请行政复议或者提起行政诉讼，不停止行政处罚决定的执行。</w:t>
      </w:r>
    </w:p>
    <w:p w14:paraId="60BBD873">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40" w:lineRule="exact"/>
        <w:ind w:right="0" w:rightChars="0" w:firstLine="640" w:firstLineChars="200"/>
        <w:jc w:val="both"/>
        <w:textAlignment w:val="bottom"/>
        <w:rPr>
          <w:rFonts w:hint="eastAsia"/>
          <w:sz w:val="32"/>
          <w:lang w:val="en-US" w:eastAsia="zh-CN"/>
        </w:rPr>
      </w:pPr>
      <w:r>
        <w:rPr>
          <w:rFonts w:hint="eastAsia" w:ascii="仿宋_GB2312" w:hAnsi="仿宋_GB2312" w:eastAsia="仿宋_GB2312" w:cs="仿宋_GB2312"/>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4B558C0D">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40" w:lineRule="exact"/>
        <w:ind w:right="0" w:rightChars="0"/>
        <w:jc w:val="both"/>
        <w:textAlignment w:val="bottom"/>
        <w:rPr>
          <w:rFonts w:hint="eastAsia"/>
          <w:sz w:val="32"/>
          <w:lang w:val="en-US" w:eastAsia="zh-CN"/>
        </w:rPr>
      </w:pPr>
    </w:p>
    <w:p w14:paraId="65243B1A">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82" w:lineRule="atLeast"/>
        <w:ind w:right="0" w:rightChars="0"/>
        <w:jc w:val="both"/>
        <w:textAlignment w:val="bottom"/>
        <w:rPr>
          <w:rFonts w:hint="eastAsia"/>
          <w:sz w:val="32"/>
          <w:lang w:val="en-US" w:eastAsia="zh-CN"/>
        </w:rPr>
      </w:pPr>
    </w:p>
    <w:p w14:paraId="67434715">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82" w:lineRule="atLeast"/>
        <w:ind w:right="0" w:rightChars="0"/>
        <w:jc w:val="both"/>
        <w:textAlignment w:val="bottom"/>
        <w:rPr>
          <w:rFonts w:hint="eastAsia"/>
          <w:sz w:val="32"/>
          <w:lang w:val="en-US" w:eastAsia="zh-CN"/>
        </w:rPr>
      </w:pPr>
    </w:p>
    <w:p w14:paraId="759BAB19">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82" w:lineRule="atLeast"/>
        <w:ind w:right="0" w:rightChars="0" w:firstLine="5120" w:firstLineChars="1600"/>
        <w:jc w:val="both"/>
        <w:textAlignment w:val="bottom"/>
        <w:rPr>
          <w:rFonts w:hint="eastAsia"/>
          <w:sz w:val="32"/>
          <w:lang w:val="en-US" w:eastAsia="zh-CN"/>
        </w:rPr>
      </w:pPr>
      <w:r>
        <w:rPr>
          <w:rFonts w:hint="eastAsia"/>
          <w:sz w:val="32"/>
          <w:lang w:val="en-US" w:eastAsia="zh-CN"/>
        </w:rPr>
        <w:t>2026年3月</w:t>
      </w:r>
      <w:r>
        <w:rPr>
          <w:rFonts w:hint="eastAsia" w:cs="Times New Roman"/>
          <w:sz w:val="32"/>
          <w:szCs w:val="32"/>
          <w:lang w:val="en-US" w:eastAsia="zh-CN"/>
        </w:rPr>
        <w:t>20</w:t>
      </w:r>
      <w:r>
        <w:rPr>
          <w:rFonts w:hint="eastAsia"/>
          <w:sz w:val="32"/>
          <w:lang w:val="en-US" w:eastAsia="zh-CN"/>
        </w:rPr>
        <w:t>日</w:t>
      </w:r>
    </w:p>
    <w:p w14:paraId="496182B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right="0" w:rightChars="0"/>
        <w:jc w:val="both"/>
        <w:textAlignment w:val="bottom"/>
        <w:rPr>
          <w:rFonts w:hint="eastAsia"/>
          <w:sz w:val="32"/>
          <w:lang w:val="en-US" w:eastAsia="zh-CN"/>
        </w:rPr>
      </w:pPr>
    </w:p>
    <w:p w14:paraId="6CDD7412">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70" w:lineRule="exact"/>
        <w:ind w:right="0" w:rightChars="0" w:firstLine="4800" w:firstLineChars="1500"/>
        <w:jc w:val="both"/>
        <w:textAlignment w:val="bottom"/>
        <w:rPr>
          <w:rFonts w:hint="eastAsia"/>
          <w:sz w:val="32"/>
          <w:lang w:val="en-US" w:eastAsia="zh-CN"/>
        </w:rPr>
      </w:pPr>
    </w:p>
    <w:sectPr>
      <w:headerReference r:id="rId5" w:type="default"/>
      <w:footerReference r:id="rId6" w:type="default"/>
      <w:footnotePr>
        <w:numFmt w:val="decimalHalfWidth"/>
      </w:footnotePr>
      <w:endnotePr>
        <w:numFmt w:val="chineseCounting"/>
      </w:endnotePr>
      <w:pgSz w:w="11905" w:h="16837"/>
      <w:pgMar w:top="2154" w:right="1474" w:bottom="1417" w:left="1587" w:header="566" w:footer="567" w:gutter="0"/>
      <w:pgNumType w:fmt="decimal"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E4B91">
    <w:pPr>
      <w:spacing w:line="1" w:lineRule="atLeast"/>
      <w:ind w:left="0" w:leftChars="0" w:firstLine="0" w:firstLineChars="0"/>
    </w:pPr>
  </w:p>
  <w:p w14:paraId="16A86651">
    <w:pPr>
      <w:spacing w:line="1" w:lineRule="atLeast"/>
      <w:jc w:val="left"/>
    </w:pPr>
    <w:r>
      <mc:AlternateContent>
        <mc:Choice Requires="wps">
          <w:drawing>
            <wp:anchor distT="0" distB="0" distL="114300" distR="114300" simplePos="0" relativeHeight="251661312" behindDoc="0" locked="1" layoutInCell="1" allowOverlap="1">
              <wp:simplePos x="0" y="0"/>
              <wp:positionH relativeFrom="column">
                <wp:posOffset>1296670</wp:posOffset>
              </wp:positionH>
              <wp:positionV relativeFrom="paragraph">
                <wp:posOffset>0</wp:posOffset>
              </wp:positionV>
              <wp:extent cx="2335530"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335530" cy="251460"/>
                      </a:xfrm>
                      <a:prstGeom prst="rect">
                        <a:avLst/>
                      </a:prstGeom>
                      <a:noFill/>
                      <a:ln w="7200">
                        <a:noFill/>
                      </a:ln>
                    </wps:spPr>
                    <wps:txbx>
                      <w:txbxContent>
                        <w:p w14:paraId="03259744">
                          <w:pPr>
                            <w:ind w:left="0" w:leftChars="0" w:firstLine="0" w:firstLineChars="0"/>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102.1pt;margin-top:0pt;height:19.8pt;width:183.9pt;z-index:251661312;mso-width-relative:page;mso-height-relative:page;" filled="f" stroked="f" coordsize="21600,21600" o:gfxdata="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qnVWL9cAAAAHAQAADwAAAAAAAAABACAAAAAiAAAAZHJzL2Rvd25yZXYu&#10;eG1sUEsBAhQAFAAAAAgAh07iQLUZ+pfDAQAAewMAAA4AAAAAAAAAAQAgAAAAJgEAAGRycy9lMm9E&#10;b2MueG1sUEsFBgAAAAAGAAYAWQEAAFsFAAAAAA==&#10;">
              <v:fill on="f" focussize="0,0"/>
              <v:stroke on="f" weight="0.566929133858268pt"/>
              <v:imagedata o:title=""/>
              <o:lock v:ext="edit" aspectratio="f"/>
              <v:textbox inset="0mm,0mm,0mm,0mm">
                <w:txbxContent>
                  <w:p w14:paraId="03259744">
                    <w:pPr>
                      <w:ind w:left="0" w:leftChars="0" w:firstLine="0" w:firstLineChars="0"/>
                      <w:rPr>
                        <w:rFonts w:hint="eastAsia"/>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97822">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5FD8FD86">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5FD8FD86">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ZWYzZTg1MjgwM2JkYjE3N2EwZmNkZDJhMDc1MWYifQ=="/>
    <w:docVar w:name="KSO_WPS_MARK_KEY" w:val="9dee9a19-ff29-4c73-8f12-6e9ff17e4eac"/>
  </w:docVars>
  <w:rsids>
    <w:rsidRoot w:val="7DC5315A"/>
    <w:rsid w:val="023E59B5"/>
    <w:rsid w:val="03056030"/>
    <w:rsid w:val="0A705454"/>
    <w:rsid w:val="0B696D19"/>
    <w:rsid w:val="0F4D2EE2"/>
    <w:rsid w:val="113C0659"/>
    <w:rsid w:val="136D03B8"/>
    <w:rsid w:val="13EB21F9"/>
    <w:rsid w:val="15771AFC"/>
    <w:rsid w:val="158522BE"/>
    <w:rsid w:val="15BF6185"/>
    <w:rsid w:val="17377504"/>
    <w:rsid w:val="18D80A24"/>
    <w:rsid w:val="19F9518D"/>
    <w:rsid w:val="1B6A132D"/>
    <w:rsid w:val="1C1943F5"/>
    <w:rsid w:val="1EE56B5A"/>
    <w:rsid w:val="1F0855AB"/>
    <w:rsid w:val="20751B7E"/>
    <w:rsid w:val="20825C93"/>
    <w:rsid w:val="211679C4"/>
    <w:rsid w:val="23ED32FC"/>
    <w:rsid w:val="26176E7E"/>
    <w:rsid w:val="26F543A3"/>
    <w:rsid w:val="277C4387"/>
    <w:rsid w:val="28C055AB"/>
    <w:rsid w:val="2B162E29"/>
    <w:rsid w:val="2FA55ECC"/>
    <w:rsid w:val="2FF918ED"/>
    <w:rsid w:val="3044759B"/>
    <w:rsid w:val="30D836AE"/>
    <w:rsid w:val="314279F6"/>
    <w:rsid w:val="320E7DF5"/>
    <w:rsid w:val="340D18C0"/>
    <w:rsid w:val="35C879EF"/>
    <w:rsid w:val="36B92A29"/>
    <w:rsid w:val="37CD3CDB"/>
    <w:rsid w:val="39B71124"/>
    <w:rsid w:val="3FE16C80"/>
    <w:rsid w:val="40CE6F8C"/>
    <w:rsid w:val="417D0085"/>
    <w:rsid w:val="43FB7987"/>
    <w:rsid w:val="44203197"/>
    <w:rsid w:val="44717AD0"/>
    <w:rsid w:val="457F0BF8"/>
    <w:rsid w:val="47486902"/>
    <w:rsid w:val="475F46D7"/>
    <w:rsid w:val="47C47A6D"/>
    <w:rsid w:val="493C25D4"/>
    <w:rsid w:val="4A186A9A"/>
    <w:rsid w:val="4E4361C3"/>
    <w:rsid w:val="4EEF5D9A"/>
    <w:rsid w:val="4FBE01E7"/>
    <w:rsid w:val="4FE2732D"/>
    <w:rsid w:val="51207B48"/>
    <w:rsid w:val="51211B2A"/>
    <w:rsid w:val="51795695"/>
    <w:rsid w:val="52253514"/>
    <w:rsid w:val="52B07B8F"/>
    <w:rsid w:val="532C785A"/>
    <w:rsid w:val="53AB047C"/>
    <w:rsid w:val="563E342F"/>
    <w:rsid w:val="572E3365"/>
    <w:rsid w:val="574F7E8B"/>
    <w:rsid w:val="5A134177"/>
    <w:rsid w:val="5B527D19"/>
    <w:rsid w:val="5C6E5EA1"/>
    <w:rsid w:val="5EFD4BE8"/>
    <w:rsid w:val="5F6C6D3B"/>
    <w:rsid w:val="60236652"/>
    <w:rsid w:val="60D333C6"/>
    <w:rsid w:val="61056FD5"/>
    <w:rsid w:val="62506DE3"/>
    <w:rsid w:val="6380470F"/>
    <w:rsid w:val="63D11C13"/>
    <w:rsid w:val="65B97E2E"/>
    <w:rsid w:val="6C2216A6"/>
    <w:rsid w:val="6CCD205A"/>
    <w:rsid w:val="6DC43E9F"/>
    <w:rsid w:val="6E535B46"/>
    <w:rsid w:val="6F8C5880"/>
    <w:rsid w:val="70D80416"/>
    <w:rsid w:val="7A4D113E"/>
    <w:rsid w:val="7AA85DC8"/>
    <w:rsid w:val="7AD56D72"/>
    <w:rsid w:val="7BB10F6C"/>
    <w:rsid w:val="7DC5315A"/>
    <w:rsid w:val="7E0E6DE9"/>
    <w:rsid w:val="7FAF51E9"/>
    <w:rsid w:val="7FD14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4">
    <w:name w:val="footer"/>
    <w:basedOn w:val="1"/>
    <w:qFormat/>
    <w:uiPriority w:val="0"/>
    <w:pPr>
      <w:tabs>
        <w:tab w:val="center" w:pos="4153"/>
        <w:tab w:val="right" w:pos="8306"/>
      </w:tabs>
      <w:snapToGrid w:val="0"/>
      <w:jc w:val="left"/>
    </w:pPr>
    <w:rPr>
      <w:sz w:val="18"/>
    </w:rPr>
  </w:style>
  <w:style w:type="character" w:styleId="7">
    <w:name w:val="Emphasis"/>
    <w:basedOn w:val="6"/>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2259</Words>
  <Characters>2467</Characters>
  <Lines>0</Lines>
  <Paragraphs>0</Paragraphs>
  <TotalTime>4</TotalTime>
  <ScaleCrop>false</ScaleCrop>
  <LinksUpToDate>false</LinksUpToDate>
  <CharactersWithSpaces>2486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2023-02-25T01:58:00Z</dcterms:created>
  <dc:creator>冯春有</dc:creator>
  <cp:lastModifiedBy>吴坤城</cp:lastModifiedBy>
  <cp:lastPrinted>2026-03-19T01:15:00Z</cp:lastPrinted>
  <dcterms:modified xsi:type="dcterms:W3CDTF">2026-03-20T03:52:48Z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FE2E54576128433787FE913D44812EF7_13</vt:lpwstr>
  </property>
  <property fmtid="{D5CDD505-2E9C-101B-9397-08002B2CF9AE}" pid="4" name="KSOTemplateDocerSaveRecord">
    <vt:lpwstr>eyJoZGlkIjoiZTQyN2M1M2U3YjFhNzg3ZTlhZGQwMGM5ODcyZDJlZWIiLCJ1c2VySWQiOiIxMzg1ODgzMDMyIn0=</vt:lpwstr>
  </property>
</Properties>
</file>