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D75C6">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774FF4C3">
      <w:pPr>
        <w:pStyle w:val="2"/>
        <w:rPr>
          <w:rFonts w:hint="eastAsia"/>
          <w:color w:val="000000" w:themeColor="text1"/>
          <w14:textFill>
            <w14:solidFill>
              <w14:schemeClr w14:val="tx1"/>
            </w14:solidFill>
          </w14:textFill>
        </w:rPr>
      </w:pPr>
    </w:p>
    <w:p w14:paraId="2FF16E5B">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焦作市生态环境局</w:t>
      </w:r>
    </w:p>
    <w:p w14:paraId="68708DFD">
      <w:pPr>
        <w:keepNext w:val="0"/>
        <w:keepLines w:val="0"/>
        <w:pageBreakBefore w:val="0"/>
        <w:widowControl w:val="0"/>
        <w:kinsoku/>
        <w:wordWrap/>
        <w:overflowPunct/>
        <w:topLinePunct w:val="0"/>
        <w:autoSpaceDE/>
        <w:autoSpaceDN/>
        <w:bidi w:val="0"/>
        <w:adjustRightInd/>
        <w:spacing w:before="0" w:beforeLines="0" w:beforeAutospacing="0" w:line="760" w:lineRule="exact"/>
        <w:ind w:left="0" w:leftChars="0" w:firstLine="0" w:firstLineChars="0"/>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行政处罚决定书</w:t>
      </w:r>
    </w:p>
    <w:p w14:paraId="069203EE">
      <w:pPr>
        <w:keepNext w:val="0"/>
        <w:keepLines w:val="0"/>
        <w:pageBreakBefore w:val="0"/>
        <w:widowControl w:val="0"/>
        <w:kinsoku/>
        <w:wordWrap/>
        <w:overflowPunct/>
        <w:topLinePunct w:val="0"/>
        <w:autoSpaceDE/>
        <w:autoSpaceDN/>
        <w:bidi w:val="0"/>
        <w:adjustRightInd/>
        <w:spacing w:before="0" w:beforeLines="0" w:beforeAutospacing="0" w:line="760" w:lineRule="exact"/>
        <w:ind w:left="0" w:leftChars="0" w:firstLine="0" w:firstLineChars="0"/>
        <w:jc w:val="center"/>
        <w:rPr>
          <w:rFonts w:hint="eastAsia" w:ascii="KaiTi_GB2312" w:hAnsi="KaiTi_GB2312" w:eastAsia="KaiTi_GB2312" w:cs="KaiTi_GB2312"/>
          <w:color w:val="000000" w:themeColor="text1"/>
          <w:sz w:val="32"/>
          <w:szCs w:val="32"/>
          <w14:textFill>
            <w14:solidFill>
              <w14:schemeClr w14:val="tx1"/>
            </w14:solidFill>
          </w14:textFill>
        </w:rPr>
      </w:pPr>
      <w:r>
        <w:rPr>
          <w:rFonts w:hint="eastAsia" w:ascii="KaiTi_GB2312" w:hAnsi="KaiTi_GB2312" w:eastAsia="KaiTi_GB2312" w:cs="KaiTi_GB2312"/>
          <w:color w:val="000000" w:themeColor="text1"/>
          <w:sz w:val="32"/>
          <w:szCs w:val="32"/>
          <w:lang w:eastAsia="zh-CN"/>
          <w14:textFill>
            <w14:solidFill>
              <w14:schemeClr w14:val="tx1"/>
            </w14:solidFill>
          </w14:textFill>
        </w:rPr>
        <w:t>焦</w:t>
      </w:r>
      <w:r>
        <w:rPr>
          <w:rFonts w:hint="eastAsia" w:ascii="KaiTi_GB2312" w:hAnsi="KaiTi_GB2312" w:eastAsia="KaiTi_GB2312" w:cs="KaiTi_GB2312"/>
          <w:color w:val="000000" w:themeColor="text1"/>
          <w:sz w:val="32"/>
          <w:szCs w:val="32"/>
          <w14:textFill>
            <w14:solidFill>
              <w14:schemeClr w14:val="tx1"/>
            </w14:solidFill>
          </w14:textFill>
        </w:rPr>
        <w:t>环罚〔</w:t>
      </w:r>
      <w:r>
        <w:rPr>
          <w:rFonts w:hint="eastAsia" w:ascii="KaiTi_GB2312" w:hAnsi="KaiTi_GB2312" w:eastAsia="KaiTi_GB2312" w:cs="KaiTi_GB2312"/>
          <w:color w:val="000000" w:themeColor="text1"/>
          <w:sz w:val="32"/>
          <w:szCs w:val="32"/>
          <w:lang w:val="en-US" w:eastAsia="zh"/>
          <w14:textFill>
            <w14:solidFill>
              <w14:schemeClr w14:val="tx1"/>
            </w14:solidFill>
          </w14:textFill>
        </w:rPr>
        <w:t>202</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6</w:t>
      </w:r>
      <w:r>
        <w:rPr>
          <w:rFonts w:hint="eastAsia" w:ascii="KaiTi_GB2312" w:hAnsi="KaiTi_GB2312" w:eastAsia="KaiTi_GB2312" w:cs="KaiTi_GB2312"/>
          <w:color w:val="000000" w:themeColor="text1"/>
          <w:sz w:val="32"/>
          <w:szCs w:val="32"/>
          <w14:textFill>
            <w14:solidFill>
              <w14:schemeClr w14:val="tx1"/>
            </w14:solidFill>
          </w14:textFill>
        </w:rPr>
        <w:t>〕</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104</w:t>
      </w:r>
      <w:r>
        <w:rPr>
          <w:rFonts w:hint="eastAsia" w:ascii="KaiTi_GB2312" w:hAnsi="KaiTi_GB2312" w:eastAsia="KaiTi_GB2312" w:cs="KaiTi_GB2312"/>
          <w:color w:val="000000" w:themeColor="text1"/>
          <w:sz w:val="32"/>
          <w:szCs w:val="32"/>
          <w14:textFill>
            <w14:solidFill>
              <w14:schemeClr w14:val="tx1"/>
            </w14:solidFill>
          </w14:textFill>
        </w:rPr>
        <w:t>号</w:t>
      </w:r>
    </w:p>
    <w:p w14:paraId="2B2C022F">
      <w:pPr>
        <w:keepNext w:val="0"/>
        <w:keepLines w:val="0"/>
        <w:pageBreakBefore w:val="0"/>
        <w:widowControl w:val="0"/>
        <w:kinsoku/>
        <w:wordWrap/>
        <w:overflowPunct/>
        <w:topLinePunct w:val="0"/>
        <w:autoSpaceDE/>
        <w:autoSpaceDN/>
        <w:bidi w:val="0"/>
        <w:adjustRightInd/>
        <w:snapToGrid/>
        <w:spacing w:line="760" w:lineRule="exact"/>
        <w:ind w:left="0" w:firstLine="0"/>
        <w:jc w:val="both"/>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黑体" w:hAnsi="宋体" w:eastAsia="黑体" w:cs="黑体"/>
          <w:color w:val="000000"/>
          <w:kern w:val="0"/>
          <w:sz w:val="32"/>
          <w:szCs w:val="32"/>
          <w:lang w:val="en-US" w:eastAsia="zh-CN" w:bidi="ar"/>
        </w:rPr>
        <w:t>单位名称：</w:t>
      </w:r>
      <w:r>
        <w:rPr>
          <w:rFonts w:hint="eastAsia" w:ascii="仿宋_GB2312" w:hAnsi="仿宋_GB2312" w:eastAsia="仿宋_GB2312" w:cs="仿宋_GB2312"/>
          <w:color w:val="auto"/>
          <w:kern w:val="2"/>
          <w:sz w:val="32"/>
          <w:szCs w:val="32"/>
          <w:u w:val="none"/>
          <w:lang w:val="en-US" w:eastAsia="zh-CN" w:bidi="ar-SA"/>
        </w:rPr>
        <w:t>温县洪鑫塑料制品厂</w:t>
      </w:r>
    </w:p>
    <w:p w14:paraId="52BAD9A4">
      <w:pPr>
        <w:keepNext w:val="0"/>
        <w:keepLines w:val="0"/>
        <w:pageBreakBefore w:val="0"/>
        <w:widowControl w:val="0"/>
        <w:suppressLineNumbers w:val="0"/>
        <w:kinsoku/>
        <w:wordWrap/>
        <w:overflowPunct/>
        <w:topLinePunct w:val="0"/>
        <w:autoSpaceDE w:val="0"/>
        <w:autoSpaceDN/>
        <w:bidi w:val="0"/>
        <w:spacing w:before="0" w:beforeLines="0" w:beforeAutospacing="0" w:after="0" w:afterLines="0" w:afterAutospacing="0" w:line="560" w:lineRule="exact"/>
        <w:ind w:left="0" w:right="0" w:firstLine="0" w:firstLineChars="0"/>
        <w:jc w:val="both"/>
        <w:textAlignment w:val="bottom"/>
        <w:rPr>
          <w:rFonts w:hint="eastAsia" w:ascii="仿宋_GB2312" w:eastAsia="仿宋_GB2312" w:cs="仿宋_GB2312"/>
          <w:color w:val="000000"/>
          <w:sz w:val="32"/>
          <w:szCs w:val="32"/>
        </w:rPr>
      </w:pPr>
      <w:r>
        <w:rPr>
          <w:rFonts w:hint="eastAsia" w:ascii="黑体" w:hAnsi="宋体" w:eastAsia="黑体" w:cs="黑体"/>
          <w:color w:val="000000"/>
          <w:kern w:val="0"/>
          <w:sz w:val="32"/>
          <w:szCs w:val="32"/>
          <w:lang w:val="en-US" w:eastAsia="zh-CN" w:bidi="ar"/>
        </w:rPr>
        <w:t>统一社会信用代码：</w:t>
      </w:r>
      <w:r>
        <w:rPr>
          <w:rFonts w:hint="eastAsia" w:ascii="仿宋_GB2312" w:hAnsi="仿宋_GB2312" w:eastAsia="仿宋_GB2312" w:cs="仿宋_GB2312"/>
          <w:color w:val="auto"/>
          <w:kern w:val="2"/>
          <w:sz w:val="32"/>
          <w:szCs w:val="32"/>
          <w:u w:val="none"/>
          <w:lang w:val="en-US" w:eastAsia="zh-CN" w:bidi="ar-SA"/>
        </w:rPr>
        <w:t>91410825MA44JBG706</w:t>
      </w:r>
      <w:r>
        <w:rPr>
          <w:rFonts w:hint="eastAsia" w:ascii="仿宋_GB2312" w:hAnsi="仿宋_GB2312" w:eastAsia="仿宋_GB2312" w:cs="仿宋_GB2312"/>
          <w:color w:val="000000"/>
          <w:kern w:val="2"/>
          <w:sz w:val="32"/>
          <w:szCs w:val="32"/>
          <w:u w:val="none"/>
          <w:lang w:val="en-US" w:eastAsia="zh-CN" w:bidi="ar"/>
        </w:rPr>
        <w:t xml:space="preserve"> </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r>
        <w:rPr>
          <w:rFonts w:hint="eastAsia" w:ascii="仿宋_GB2312" w:hAnsi="Times New Roman" w:eastAsia="仿宋_GB2312" w:cs="仿宋_GB2312"/>
          <w:color w:val="000000"/>
          <w:kern w:val="0"/>
          <w:sz w:val="32"/>
          <w:szCs w:val="32"/>
          <w:lang w:val="en-US" w:eastAsia="zh-CN" w:bidi="ar"/>
        </w:rPr>
        <w:t xml:space="preserve">            </w:t>
      </w:r>
    </w:p>
    <w:p w14:paraId="514C4D8E">
      <w:pPr>
        <w:keepNext w:val="0"/>
        <w:keepLines w:val="0"/>
        <w:pageBreakBefore w:val="0"/>
        <w:widowControl w:val="0"/>
        <w:kinsoku/>
        <w:wordWrap/>
        <w:overflowPunct/>
        <w:topLinePunct w:val="0"/>
        <w:autoSpaceDE/>
        <w:autoSpaceDN/>
        <w:bidi w:val="0"/>
        <w:spacing w:line="540" w:lineRule="exact"/>
        <w:ind w:left="0" w:leftChars="0" w:firstLine="0" w:firstLineChars="0"/>
        <w:jc w:val="both"/>
        <w:textAlignment w:val="auto"/>
        <w:rPr>
          <w:rFonts w:hint="eastAsia" w:ascii="仿宋_GB2312" w:eastAsia="仿宋_GB2312" w:cs="仿宋_GB2312"/>
          <w:color w:val="000000"/>
          <w:sz w:val="32"/>
          <w:szCs w:val="32"/>
        </w:rPr>
      </w:pPr>
      <w:r>
        <w:rPr>
          <w:rFonts w:hint="eastAsia" w:ascii="黑体" w:hAnsi="宋体" w:eastAsia="黑体" w:cs="黑体"/>
          <w:color w:val="000000"/>
          <w:kern w:val="0"/>
          <w:sz w:val="32"/>
          <w:szCs w:val="32"/>
          <w:lang w:val="en-US" w:eastAsia="zh-CN" w:bidi="ar"/>
        </w:rPr>
        <w:t>地址：</w:t>
      </w:r>
      <w:r>
        <w:rPr>
          <w:rFonts w:hint="eastAsia" w:ascii="仿宋_GB2312" w:hAnsi="仿宋_GB2312" w:eastAsia="仿宋_GB2312" w:cs="仿宋_GB2312"/>
          <w:color w:val="auto"/>
          <w:kern w:val="2"/>
          <w:sz w:val="32"/>
          <w:szCs w:val="32"/>
          <w:u w:val="none"/>
          <w:lang w:val="en-US" w:eastAsia="zh-CN" w:bidi="ar-SA"/>
        </w:rPr>
        <w:t>温县温泉街道前东南王村城北工业区</w:t>
      </w:r>
    </w:p>
    <w:p w14:paraId="2148E83E">
      <w:pPr>
        <w:keepNext w:val="0"/>
        <w:keepLines w:val="0"/>
        <w:pageBreakBefore w:val="0"/>
        <w:widowControl w:val="0"/>
        <w:suppressLineNumbers w:val="0"/>
        <w:kinsoku/>
        <w:wordWrap/>
        <w:overflowPunct/>
        <w:topLinePunct w:val="0"/>
        <w:autoSpaceDN/>
        <w:bidi w:val="0"/>
        <w:spacing w:before="0" w:beforeLines="0" w:beforeAutospacing="0" w:after="0" w:afterLines="0" w:afterAutospacing="0" w:line="560" w:lineRule="exact"/>
        <w:ind w:left="0" w:leftChars="0" w:right="0" w:firstLine="0" w:firstLineChars="0"/>
        <w:jc w:val="both"/>
        <w:textAlignment w:val="bottom"/>
        <w:rPr>
          <w:rFonts w:hint="eastAsia" w:ascii="FangSong_GB2312" w:hAnsi="FangSong_GB2312" w:eastAsia="FangSong_GB2312" w:cs="FangSong_GB2312"/>
          <w:color w:val="auto"/>
          <w:sz w:val="32"/>
          <w:szCs w:val="32"/>
          <w:lang w:val="en-US" w:eastAsia="zh-CN"/>
        </w:rPr>
      </w:pPr>
      <w:r>
        <w:rPr>
          <w:rFonts w:hint="eastAsia" w:ascii="黑体" w:hAnsi="宋体" w:eastAsia="黑体" w:cs="黑体"/>
          <w:color w:val="000000"/>
          <w:kern w:val="0"/>
          <w:sz w:val="32"/>
          <w:szCs w:val="32"/>
          <w:lang w:val="en-US" w:eastAsia="zh-CN" w:bidi="ar"/>
        </w:rPr>
        <w:t>法定代表人（负责人）：</w:t>
      </w:r>
      <w:r>
        <w:rPr>
          <w:rFonts w:hint="eastAsia" w:ascii="仿宋_GB2312" w:hAnsi="仿宋_GB2312" w:eastAsia="仿宋_GB2312" w:cs="仿宋_GB2312"/>
          <w:color w:val="auto"/>
          <w:kern w:val="2"/>
          <w:sz w:val="32"/>
          <w:szCs w:val="32"/>
          <w:u w:val="none"/>
          <w:lang w:val="en-US" w:eastAsia="zh-CN" w:bidi="ar-SA"/>
        </w:rPr>
        <w:t>刘庆明</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Times New Roman" w:eastAsia="仿宋_GB2312" w:cs="仿宋_GB2312"/>
          <w:color w:val="000000"/>
          <w:kern w:val="0"/>
          <w:sz w:val="32"/>
          <w:szCs w:val="32"/>
          <w:lang w:val="en-US" w:eastAsia="zh-CN" w:bidi="ar"/>
        </w:rPr>
        <w:t xml:space="preserve"> </w:t>
      </w:r>
    </w:p>
    <w:p w14:paraId="604C8EB6">
      <w:pPr>
        <w:pStyle w:val="2"/>
        <w:keepNext w:val="0"/>
        <w:keepLines w:val="0"/>
        <w:pageBreakBefore w:val="0"/>
        <w:widowControl w:val="0"/>
        <w:numPr>
          <w:ilvl w:val="0"/>
          <w:numId w:val="2"/>
        </w:numPr>
        <w:kinsoku/>
        <w:wordWrap/>
        <w:overflowPunct/>
        <w:topLinePunct w:val="0"/>
        <w:autoSpaceDE/>
        <w:autoSpaceDN/>
        <w:bidi w:val="0"/>
        <w:adjustRightInd/>
        <w:snapToGrid/>
        <w:spacing w:before="0" w:beforeLines="0" w:beforeAutospacing="0" w:after="0" w:line="560" w:lineRule="exact"/>
        <w:ind w:left="0" w:leftChars="0" w:firstLine="640" w:firstLineChars="200"/>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环境违法事实和证据</w:t>
      </w:r>
    </w:p>
    <w:p w14:paraId="74616DB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firstLine="640" w:firstLineChars="200"/>
        <w:jc w:val="both"/>
        <w:textAlignment w:val="bottom"/>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sz w:val="32"/>
          <w:szCs w:val="32"/>
          <w:lang w:val="en-US" w:eastAsia="zh-CN"/>
        </w:rPr>
        <w:t>2026年1月24日，我局执法人员对你单位重污染天气橙色预警管控措施情况进行现场检查，焦作市环委会于2026年1月20日12时启动重污染天气橙色预警，按照重污染天气橙色预警管控措施要求，你单位重污染天气橙色预警管控工序或设备为5台注塑机、3台搅拌机、3台破碎机，管控措施为停产3台注塑机、2台搅拌机、2台破碎机；停止使用国四及以下重型载货车辆（含燃气）进行运输。现场检查发现你单位1台注塑机正在生产，搅拌机、破碎机均未生产，第2台注塑机注塑口温度较高，现场询问你单位负责人，你单位负责人承认该注塑机刚停；通过查看你单位监控发现当天10时左右第3台注塑机在生产。你单位负责人承认，2026年1月24日当天3台注塑机生产，未按照你单位《2025年重污染天气应急减排“一厂一策”实施方案》落实管控要求，存在未按要求启动应急响应操作方案的行为。</w:t>
      </w:r>
    </w:p>
    <w:p w14:paraId="561F1BF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你</w:t>
      </w:r>
      <w:r>
        <w:rPr>
          <w:rFonts w:hint="eastAsia" w:ascii="仿宋_GB2312" w:hAnsi="仿宋_GB2312" w:eastAsia="仿宋_GB2312" w:cs="仿宋_GB2312"/>
          <w:color w:val="auto"/>
          <w:sz w:val="32"/>
          <w:szCs w:val="32"/>
          <w:u w:val="none"/>
        </w:rPr>
        <w:t>单位上述行为违反了《焦作市大气污染防治条例》第三十五条“纳入重</w:t>
      </w:r>
      <w:r>
        <w:rPr>
          <w:rFonts w:hint="eastAsia" w:ascii="仿宋_GB2312" w:hAnsi="仿宋_GB2312" w:eastAsia="仿宋_GB2312" w:cs="仿宋_GB2312"/>
          <w:b w:val="0"/>
          <w:bCs w:val="0"/>
          <w:color w:val="auto"/>
          <w:kern w:val="2"/>
          <w:sz w:val="32"/>
          <w:szCs w:val="32"/>
          <w:u w:val="none"/>
          <w:lang w:val="en-US" w:eastAsia="zh-CN" w:bidi="ar-SA"/>
        </w:rPr>
        <w:t>污染天气应急预案的企业应当根据市、县（市、区）人民政府制定的重污染天气应急预案，制定重污染天气应急响应操作方案，并按照规定备案和及时启动应急响应操作方案。”的规定。</w:t>
      </w:r>
    </w:p>
    <w:p w14:paraId="0CECC2B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color w:val="auto"/>
          <w:kern w:val="2"/>
          <w:sz w:val="32"/>
          <w:szCs w:val="32"/>
          <w:u w:val="none" w:color="auto"/>
          <w:lang w:val="en-US" w:eastAsia="zh-CN" w:bidi="ar-SA"/>
        </w:rPr>
      </w:pPr>
      <w:r>
        <w:rPr>
          <w:rFonts w:hint="eastAsia" w:ascii="仿宋_GB2312" w:hAnsi="仿宋_GB2312" w:eastAsia="仿宋_GB2312" w:cs="仿宋_GB2312"/>
          <w:color w:val="auto"/>
          <w:kern w:val="2"/>
          <w:sz w:val="32"/>
          <w:szCs w:val="32"/>
          <w:u w:val="none" w:color="auto"/>
          <w:lang w:val="en-US" w:eastAsia="zh-CN" w:bidi="ar-SA"/>
        </w:rPr>
        <w:t>以上事实，主要有以下证据证明：</w:t>
      </w:r>
    </w:p>
    <w:p w14:paraId="0DA59727">
      <w:pPr>
        <w:keepNext w:val="0"/>
        <w:keepLines w:val="0"/>
        <w:pageBreakBefore w:val="0"/>
        <w:widowControl w:val="0"/>
        <w:numPr>
          <w:ilvl w:val="0"/>
          <w:numId w:val="0"/>
        </w:numPr>
        <w:kinsoku/>
        <w:wordWrap/>
        <w:overflowPunct/>
        <w:topLinePunct w:val="0"/>
        <w:autoSpaceDE/>
        <w:autoSpaceDN/>
        <w:bidi w:val="0"/>
        <w:adjustRightInd w:val="0"/>
        <w:snapToGrid w:val="0"/>
        <w:spacing w:line="55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现场检查</w:t>
      </w:r>
      <w:r>
        <w:rPr>
          <w:rFonts w:hint="eastAsia" w:ascii="仿宋_GB2312" w:hAnsi="仿宋_GB2312" w:eastAsia="仿宋_GB2312" w:cs="仿宋_GB2312"/>
          <w:sz w:val="32"/>
          <w:szCs w:val="20"/>
          <w:lang w:val="en-US" w:eastAsia="zh-CN"/>
        </w:rPr>
        <w:t>（勘察）笔录</w:t>
      </w:r>
      <w:r>
        <w:rPr>
          <w:rFonts w:hint="eastAsia" w:ascii="仿宋_GB2312" w:hAnsi="仿宋_GB2312" w:eastAsia="仿宋_GB2312" w:cs="仿宋_GB2312"/>
          <w:sz w:val="32"/>
          <w:szCs w:val="32"/>
          <w:lang w:val="en-US" w:eastAsia="zh-CN"/>
        </w:rPr>
        <w:t>（202</w:t>
      </w: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lang w:val="en-US" w:eastAsia="zh-CN"/>
        </w:rPr>
        <w:t>年1月</w:t>
      </w:r>
      <w:r>
        <w:rPr>
          <w:rFonts w:hint="eastAsia" w:ascii="仿宋_GB2312" w:hAnsi="仿宋_GB2312" w:cs="仿宋_GB2312"/>
          <w:sz w:val="32"/>
          <w:szCs w:val="32"/>
          <w:lang w:val="en-US" w:eastAsia="zh-CN"/>
        </w:rPr>
        <w:t>24</w:t>
      </w:r>
      <w:r>
        <w:rPr>
          <w:rFonts w:hint="eastAsia" w:ascii="仿宋_GB2312" w:hAnsi="仿宋_GB2312" w:eastAsia="仿宋_GB2312" w:cs="仿宋_GB2312"/>
          <w:sz w:val="32"/>
          <w:szCs w:val="32"/>
          <w:lang w:val="en-US" w:eastAsia="zh-CN"/>
        </w:rPr>
        <w:t>日）</w:t>
      </w:r>
      <w:r>
        <w:rPr>
          <w:rFonts w:hint="eastAsia" w:ascii="仿宋_GB2312" w:hAnsi="仿宋_GB2312" w:eastAsia="仿宋_GB2312" w:cs="仿宋_GB2312"/>
          <w:sz w:val="32"/>
          <w:szCs w:val="20"/>
          <w:lang w:val="en-US" w:eastAsia="zh-CN"/>
        </w:rPr>
        <w:t>，证明你单位存在</w:t>
      </w:r>
      <w:r>
        <w:rPr>
          <w:rFonts w:hint="eastAsia" w:ascii="仿宋_GB2312" w:hAnsi="仿宋_GB2312" w:eastAsia="仿宋_GB2312" w:cs="仿宋_GB2312"/>
          <w:sz w:val="32"/>
          <w:szCs w:val="32"/>
          <w:lang w:val="en-US" w:eastAsia="zh-CN"/>
        </w:rPr>
        <w:t>未按照制定的《2025年重污染天气应急减排“一厂一策”实施方案》落实管控要求，未启动应急响应操作方案的行为；</w:t>
      </w:r>
    </w:p>
    <w:p w14:paraId="72B802FB">
      <w:pPr>
        <w:keepNext w:val="0"/>
        <w:keepLines w:val="0"/>
        <w:pageBreakBefore w:val="0"/>
        <w:widowControl w:val="0"/>
        <w:kinsoku/>
        <w:wordWrap/>
        <w:overflowPunct/>
        <w:topLinePunct w:val="0"/>
        <w:autoSpaceDE/>
        <w:autoSpaceDN/>
        <w:bidi w:val="0"/>
        <w:adjustRightInd/>
        <w:snapToGrid/>
        <w:spacing w:line="55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调查询问笔录</w:t>
      </w:r>
      <w:r>
        <w:rPr>
          <w:rFonts w:hint="eastAsia" w:ascii="仿宋_GB2312" w:hAnsi="仿宋_GB2312" w:eastAsia="仿宋_GB2312" w:cs="仿宋_GB2312"/>
          <w:sz w:val="32"/>
          <w:szCs w:val="32"/>
          <w:lang w:val="en-US" w:eastAsia="zh-CN"/>
        </w:rPr>
        <w:t>（202</w:t>
      </w: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lang w:val="en-US" w:eastAsia="zh-CN"/>
        </w:rPr>
        <w:t>年1月</w:t>
      </w:r>
      <w:r>
        <w:rPr>
          <w:rFonts w:hint="eastAsia" w:ascii="仿宋_GB2312" w:hAnsi="仿宋_GB2312" w:cs="仿宋_GB2312"/>
          <w:sz w:val="32"/>
          <w:szCs w:val="32"/>
          <w:lang w:val="en-US" w:eastAsia="zh-CN"/>
        </w:rPr>
        <w:t>26</w:t>
      </w:r>
      <w:r>
        <w:rPr>
          <w:rFonts w:hint="eastAsia" w:ascii="仿宋_GB2312" w:hAnsi="仿宋_GB2312" w:eastAsia="仿宋_GB2312" w:cs="仿宋_GB2312"/>
          <w:sz w:val="32"/>
          <w:szCs w:val="32"/>
          <w:lang w:val="en-US" w:eastAsia="zh-CN"/>
        </w:rPr>
        <w:t>日</w:t>
      </w:r>
      <w:r>
        <w:rPr>
          <w:rFonts w:hint="eastAsia" w:ascii="仿宋_GB2312" w:hAnsi="仿宋_GB2312" w:eastAsia="仿宋_GB2312" w:cs="仿宋_GB2312"/>
          <w:sz w:val="32"/>
          <w:szCs w:val="20"/>
          <w:lang w:val="en-US" w:eastAsia="zh-CN"/>
        </w:rPr>
        <w:t>对你单</w:t>
      </w:r>
      <w:r>
        <w:rPr>
          <w:rFonts w:hint="eastAsia" w:ascii="仿宋_GB2312" w:hAnsi="仿宋_GB2312" w:eastAsia="仿宋_GB2312" w:cs="仿宋_GB2312"/>
          <w:sz w:val="32"/>
          <w:szCs w:val="32"/>
          <w:lang w:val="en-US" w:eastAsia="zh-CN"/>
        </w:rPr>
        <w:t>位厂长刘庆明的调查询问笔录），证明你单位未按照制定的《2025年重污染天气应急减排“一厂一策”实施方案》落实管控要求，未启动应急响应操作方案</w:t>
      </w:r>
      <w:r>
        <w:rPr>
          <w:rFonts w:hint="eastAsia" w:ascii="仿宋_GB2312" w:hAnsi="仿宋_GB2312" w:eastAsia="仿宋_GB2312" w:cs="仿宋_GB2312"/>
          <w:sz w:val="32"/>
          <w:szCs w:val="32"/>
          <w:u w:val="none"/>
          <w:lang w:val="en-US" w:eastAsia="zh-CN"/>
        </w:rPr>
        <w:t>的事实</w:t>
      </w:r>
      <w:r>
        <w:rPr>
          <w:rFonts w:hint="eastAsia" w:ascii="仿宋_GB2312" w:hAnsi="仿宋_GB2312" w:eastAsia="仿宋_GB2312" w:cs="仿宋_GB2312"/>
          <w:sz w:val="32"/>
          <w:szCs w:val="32"/>
        </w:rPr>
        <w:t>；</w:t>
      </w:r>
    </w:p>
    <w:p w14:paraId="04654464">
      <w:pPr>
        <w:keepNext w:val="0"/>
        <w:keepLines w:val="0"/>
        <w:pageBreakBefore w:val="0"/>
        <w:widowControl w:val="0"/>
        <w:numPr>
          <w:ilvl w:val="0"/>
          <w:numId w:val="0"/>
        </w:numPr>
        <w:kinsoku/>
        <w:wordWrap/>
        <w:overflowPunct/>
        <w:topLinePunct w:val="0"/>
        <w:autoSpaceDE/>
        <w:autoSpaceDN/>
        <w:bidi w:val="0"/>
        <w:adjustRightInd w:val="0"/>
        <w:snapToGrid w:val="0"/>
        <w:spacing w:line="55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现场勘查示意图</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（202</w:t>
      </w: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lang w:val="en-US" w:eastAsia="zh-CN"/>
        </w:rPr>
        <w:t>年</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lang w:val="en-US" w:eastAsia="zh-CN"/>
        </w:rPr>
        <w:t>月</w:t>
      </w:r>
      <w:r>
        <w:rPr>
          <w:rFonts w:hint="eastAsia" w:ascii="仿宋_GB2312" w:hAnsi="仿宋_GB2312" w:cs="仿宋_GB2312"/>
          <w:sz w:val="32"/>
          <w:szCs w:val="32"/>
          <w:lang w:val="en-US" w:eastAsia="zh-CN"/>
        </w:rPr>
        <w:t>24</w:t>
      </w:r>
      <w:r>
        <w:rPr>
          <w:rFonts w:hint="eastAsia" w:ascii="仿宋_GB2312" w:hAnsi="仿宋_GB2312" w:eastAsia="仿宋_GB2312" w:cs="仿宋_GB2312"/>
          <w:sz w:val="32"/>
          <w:szCs w:val="32"/>
          <w:lang w:val="en-US" w:eastAsia="zh-CN"/>
        </w:rPr>
        <w:t>日）；</w:t>
      </w:r>
    </w:p>
    <w:p w14:paraId="0D3C70A5">
      <w:pPr>
        <w:keepNext w:val="0"/>
        <w:keepLines w:val="0"/>
        <w:pageBreakBefore w:val="0"/>
        <w:widowControl w:val="0"/>
        <w:numPr>
          <w:ilvl w:val="0"/>
          <w:numId w:val="0"/>
        </w:numPr>
        <w:kinsoku/>
        <w:wordWrap/>
        <w:overflowPunct/>
        <w:topLinePunct w:val="0"/>
        <w:autoSpaceDE/>
        <w:autoSpaceDN/>
        <w:bidi w:val="0"/>
        <w:adjustRightInd w:val="0"/>
        <w:snapToGrid w:val="0"/>
        <w:spacing w:line="55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营业执照</w:t>
      </w:r>
      <w:r>
        <w:rPr>
          <w:rFonts w:hint="eastAsia" w:ascii="仿宋_GB2312" w:hAnsi="仿宋_GB2312" w:eastAsia="仿宋_GB2312" w:cs="仿宋_GB2312"/>
          <w:sz w:val="32"/>
          <w:szCs w:val="32"/>
          <w:lang w:val="en-US" w:eastAsia="zh-CN"/>
        </w:rPr>
        <w:t>复印件。证明你单位法人主体资格；</w:t>
      </w:r>
    </w:p>
    <w:p w14:paraId="1E88C682">
      <w:pPr>
        <w:keepNext w:val="0"/>
        <w:keepLines w:val="0"/>
        <w:pageBreakBefore w:val="0"/>
        <w:widowControl w:val="0"/>
        <w:numPr>
          <w:ilvl w:val="0"/>
          <w:numId w:val="0"/>
        </w:numPr>
        <w:kinsoku/>
        <w:wordWrap/>
        <w:overflowPunct/>
        <w:topLinePunct w:val="0"/>
        <w:autoSpaceDE/>
        <w:autoSpaceDN/>
        <w:bidi w:val="0"/>
        <w:adjustRightInd w:val="0"/>
        <w:snapToGrid w:val="0"/>
        <w:spacing w:line="55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5.现场照片，证明执法过程现场情况；</w:t>
      </w:r>
    </w:p>
    <w:p w14:paraId="56C13058">
      <w:pPr>
        <w:keepNext w:val="0"/>
        <w:keepLines w:val="0"/>
        <w:pageBreakBefore w:val="0"/>
        <w:widowControl w:val="0"/>
        <w:numPr>
          <w:ilvl w:val="0"/>
          <w:numId w:val="0"/>
        </w:numPr>
        <w:kinsoku/>
        <w:wordWrap/>
        <w:overflowPunct/>
        <w:topLinePunct w:val="0"/>
        <w:autoSpaceDE/>
        <w:autoSpaceDN/>
        <w:bidi w:val="0"/>
        <w:adjustRightInd w:val="0"/>
        <w:snapToGrid w:val="0"/>
        <w:spacing w:line="55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6.年产20万双凉拖鞋项目环境影响报告表证明你单位主要生产设备、产污环节以及要求配套的污染防治设施及建设情况；</w:t>
      </w:r>
    </w:p>
    <w:p w14:paraId="646810B0">
      <w:pPr>
        <w:keepNext w:val="0"/>
        <w:keepLines w:val="0"/>
        <w:pageBreakBefore w:val="0"/>
        <w:widowControl w:val="0"/>
        <w:numPr>
          <w:ilvl w:val="0"/>
          <w:numId w:val="0"/>
        </w:numPr>
        <w:kinsoku/>
        <w:wordWrap/>
        <w:overflowPunct/>
        <w:topLinePunct w:val="0"/>
        <w:autoSpaceDE/>
        <w:autoSpaceDN/>
        <w:bidi w:val="0"/>
        <w:adjustRightInd w:val="0"/>
        <w:snapToGrid w:val="0"/>
        <w:spacing w:line="55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7.固定污染源排污许可登记回执，证明你单位排污许可管理类别；</w:t>
      </w:r>
    </w:p>
    <w:p w14:paraId="1686E3D9">
      <w:pPr>
        <w:keepNext w:val="0"/>
        <w:keepLines w:val="0"/>
        <w:pageBreakBefore w:val="0"/>
        <w:widowControl w:val="0"/>
        <w:numPr>
          <w:ilvl w:val="0"/>
          <w:numId w:val="0"/>
        </w:numPr>
        <w:kinsoku/>
        <w:wordWrap/>
        <w:overflowPunct/>
        <w:topLinePunct w:val="0"/>
        <w:autoSpaceDE/>
        <w:autoSpaceDN/>
        <w:bidi w:val="0"/>
        <w:adjustRightInd w:val="0"/>
        <w:snapToGrid w:val="0"/>
        <w:spacing w:line="55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8.重污染天气管控工业源清单和《2025年重污染天气应急减排“一厂一策”实施方案》；</w:t>
      </w:r>
    </w:p>
    <w:p w14:paraId="0B2D90C1">
      <w:pPr>
        <w:keepNext w:val="0"/>
        <w:keepLines w:val="0"/>
        <w:pageBreakBefore w:val="0"/>
        <w:widowControl w:val="0"/>
        <w:numPr>
          <w:ilvl w:val="0"/>
          <w:numId w:val="0"/>
        </w:numPr>
        <w:kinsoku/>
        <w:wordWrap/>
        <w:overflowPunct/>
        <w:topLinePunct w:val="0"/>
        <w:autoSpaceDE/>
        <w:autoSpaceDN/>
        <w:bidi w:val="0"/>
        <w:adjustRightInd w:val="0"/>
        <w:snapToGrid w:val="0"/>
        <w:spacing w:line="55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9.焦环委办〔2026〕4号文件，证明启动重污染天气橙色预警（Ⅱ级响应）的时间；</w:t>
      </w:r>
    </w:p>
    <w:p w14:paraId="08BA5988">
      <w:pPr>
        <w:keepNext w:val="0"/>
        <w:keepLines w:val="0"/>
        <w:pageBreakBefore w:val="0"/>
        <w:widowControl w:val="0"/>
        <w:numPr>
          <w:ilvl w:val="0"/>
          <w:numId w:val="0"/>
        </w:numPr>
        <w:kinsoku/>
        <w:wordWrap/>
        <w:overflowPunct/>
        <w:topLinePunct w:val="0"/>
        <w:autoSpaceDE/>
        <w:autoSpaceDN/>
        <w:bidi w:val="0"/>
        <w:adjustRightInd w:val="0"/>
        <w:snapToGrid w:val="0"/>
        <w:spacing w:line="55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10.温县2025年工业源清单(节选)，证明你单位被列入2025-2026年秋冬季重污染天气应急减排清单名单中；</w:t>
      </w:r>
    </w:p>
    <w:p w14:paraId="4AD1C6D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0"/>
          <w:szCs w:val="30"/>
          <w:u w:val="none"/>
          <w:lang w:eastAsia="zh-CN"/>
        </w:rPr>
      </w:pPr>
      <w:r>
        <w:rPr>
          <w:rFonts w:hint="eastAsia" w:ascii="仿宋_GB2312" w:hAnsi="仿宋_GB2312" w:eastAsia="仿宋_GB2312" w:cs="仿宋_GB2312"/>
          <w:sz w:val="32"/>
          <w:szCs w:val="32"/>
          <w:lang w:val="en-US" w:eastAsia="zh-CN"/>
        </w:rPr>
        <w:t>11.其他证据材料。</w:t>
      </w:r>
      <w:r>
        <w:rPr>
          <w:rFonts w:hint="eastAsia" w:ascii="仿宋_GB2312" w:hAnsi="仿宋_GB2312" w:eastAsia="仿宋_GB2312" w:cs="仿宋_GB2312"/>
          <w:color w:val="000000"/>
          <w:sz w:val="30"/>
          <w:szCs w:val="30"/>
          <w:u w:val="none"/>
          <w:lang w:eastAsia="zh-CN"/>
        </w:rPr>
        <w:t xml:space="preserve">   </w:t>
      </w:r>
    </w:p>
    <w:p w14:paraId="7382B57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00" w:firstLineChars="200"/>
        <w:jc w:val="both"/>
        <w:textAlignment w:val="bottom"/>
        <w:outlineLvl w:val="9"/>
        <w:rPr>
          <w:rFonts w:hint="eastAsia" w:ascii="仿宋_GB2312" w:hAnsi="仿宋_GB2312" w:eastAsia="仿宋_GB2312" w:cs="仿宋_GB2312"/>
          <w:color w:val="000000"/>
          <w:sz w:val="30"/>
          <w:szCs w:val="30"/>
          <w:u w:val="none"/>
          <w:lang w:eastAsia="zh-CN"/>
        </w:rPr>
      </w:pPr>
      <w:r>
        <w:rPr>
          <w:rFonts w:hint="eastAsia" w:ascii="仿宋_GB2312" w:hAnsi="仿宋_GB2312" w:eastAsia="仿宋_GB2312" w:cs="仿宋_GB2312"/>
          <w:color w:val="000000"/>
          <w:sz w:val="30"/>
          <w:szCs w:val="30"/>
          <w:u w:val="none"/>
          <w:lang w:val="en-US" w:eastAsia="zh-CN"/>
        </w:rPr>
        <w:t>我局于202</w:t>
      </w:r>
      <w:r>
        <w:rPr>
          <w:rFonts w:hint="eastAsia" w:ascii="仿宋_GB2312" w:hAnsi="仿宋_GB2312" w:cs="仿宋_GB2312"/>
          <w:color w:val="000000"/>
          <w:sz w:val="30"/>
          <w:szCs w:val="30"/>
          <w:u w:val="none"/>
          <w:lang w:val="en-US" w:eastAsia="zh-CN"/>
        </w:rPr>
        <w:t>6</w:t>
      </w:r>
      <w:r>
        <w:rPr>
          <w:rFonts w:hint="eastAsia" w:ascii="仿宋_GB2312" w:hAnsi="仿宋_GB2312" w:eastAsia="仿宋_GB2312" w:cs="仿宋_GB2312"/>
          <w:color w:val="000000"/>
          <w:sz w:val="30"/>
          <w:szCs w:val="30"/>
          <w:u w:val="none"/>
          <w:lang w:val="en-US" w:eastAsia="zh-CN"/>
        </w:rPr>
        <w:t>年</w:t>
      </w:r>
      <w:r>
        <w:rPr>
          <w:rFonts w:hint="eastAsia" w:ascii="仿宋_GB2312" w:hAnsi="仿宋_GB2312" w:cs="仿宋_GB2312"/>
          <w:color w:val="000000"/>
          <w:sz w:val="30"/>
          <w:szCs w:val="30"/>
          <w:u w:val="none"/>
          <w:lang w:val="en-US" w:eastAsia="zh-CN"/>
        </w:rPr>
        <w:t>2</w:t>
      </w:r>
      <w:r>
        <w:rPr>
          <w:rFonts w:hint="eastAsia" w:ascii="仿宋_GB2312" w:hAnsi="仿宋_GB2312" w:eastAsia="仿宋_GB2312" w:cs="仿宋_GB2312"/>
          <w:color w:val="000000"/>
          <w:sz w:val="30"/>
          <w:szCs w:val="30"/>
          <w:u w:val="none"/>
          <w:lang w:val="en-US" w:eastAsia="zh-CN"/>
        </w:rPr>
        <w:t>月</w:t>
      </w:r>
      <w:r>
        <w:rPr>
          <w:rFonts w:hint="eastAsia" w:ascii="仿宋_GB2312" w:hAnsi="仿宋_GB2312" w:cs="仿宋_GB2312"/>
          <w:color w:val="000000"/>
          <w:sz w:val="30"/>
          <w:szCs w:val="30"/>
          <w:u w:val="none"/>
          <w:lang w:val="en-US" w:eastAsia="zh-CN"/>
        </w:rPr>
        <w:t>3</w:t>
      </w:r>
      <w:r>
        <w:rPr>
          <w:rFonts w:hint="eastAsia" w:ascii="仿宋_GB2312" w:hAnsi="仿宋_GB2312" w:eastAsia="仿宋_GB2312" w:cs="仿宋_GB2312"/>
          <w:color w:val="000000"/>
          <w:sz w:val="30"/>
          <w:szCs w:val="30"/>
          <w:u w:val="none"/>
          <w:lang w:val="en-US" w:eastAsia="zh-CN"/>
        </w:rPr>
        <w:t>日向你单位送达《焦作市生态环境局行政处罚事先</w:t>
      </w:r>
      <w:r>
        <w:rPr>
          <w:rFonts w:hint="eastAsia" w:ascii="仿宋_GB2312" w:hAnsi="仿宋_GB2312" w:eastAsia="仿宋_GB2312" w:cs="仿宋_GB2312"/>
          <w:color w:val="000000"/>
          <w:sz w:val="32"/>
          <w:szCs w:val="32"/>
          <w:lang w:val="en"/>
        </w:rPr>
        <w:t>（</w:t>
      </w:r>
      <w:r>
        <w:rPr>
          <w:rFonts w:hint="eastAsia" w:ascii="仿宋_GB2312" w:hAnsi="仿宋_GB2312" w:eastAsia="仿宋_GB2312" w:cs="仿宋_GB2312"/>
          <w:color w:val="000000"/>
          <w:sz w:val="30"/>
          <w:szCs w:val="30"/>
          <w:u w:val="none"/>
          <w:lang w:val="en-US" w:eastAsia="zh-CN"/>
        </w:rPr>
        <w:t>听证</w:t>
      </w:r>
      <w:r>
        <w:rPr>
          <w:rFonts w:hint="eastAsia" w:ascii="仿宋_GB2312" w:hAnsi="仿宋_GB2312" w:eastAsia="仿宋_GB2312" w:cs="仿宋_GB2312"/>
          <w:color w:val="000000"/>
          <w:sz w:val="32"/>
          <w:szCs w:val="32"/>
          <w:lang w:val="en"/>
        </w:rPr>
        <w:t>）</w:t>
      </w:r>
      <w:r>
        <w:rPr>
          <w:rFonts w:hint="eastAsia" w:ascii="仿宋_GB2312" w:hAnsi="仿宋_GB2312" w:eastAsia="仿宋_GB2312" w:cs="仿宋_GB2312"/>
          <w:color w:val="000000"/>
          <w:sz w:val="30"/>
          <w:szCs w:val="30"/>
          <w:u w:val="none"/>
          <w:lang w:val="en-US" w:eastAsia="zh-CN"/>
        </w:rPr>
        <w:t>告知书》（焦温环先告</w:t>
      </w:r>
      <w:r>
        <w:rPr>
          <w:rFonts w:hint="eastAsia" w:ascii="仿宋_GB2312" w:hAnsi="仿宋_GB2312" w:eastAsia="仿宋_GB2312" w:cs="仿宋_GB2312"/>
          <w:color w:val="000000"/>
          <w:sz w:val="32"/>
          <w:szCs w:val="32"/>
          <w:u w:val="none"/>
        </w:rPr>
        <w:t>〔</w:t>
      </w:r>
      <w:r>
        <w:rPr>
          <w:rFonts w:hint="eastAsia" w:ascii="仿宋_GB2312" w:hAnsi="仿宋_GB2312" w:eastAsia="仿宋_GB2312" w:cs="仿宋_GB2312"/>
          <w:color w:val="000000"/>
          <w:sz w:val="30"/>
          <w:szCs w:val="30"/>
          <w:u w:val="none"/>
          <w:lang w:val="en-US" w:eastAsia="zh-CN"/>
        </w:rPr>
        <w:t>202</w:t>
      </w:r>
      <w:r>
        <w:rPr>
          <w:rFonts w:hint="eastAsia" w:ascii="仿宋_GB2312" w:hAnsi="仿宋_GB2312" w:cs="仿宋_GB2312"/>
          <w:color w:val="000000"/>
          <w:sz w:val="30"/>
          <w:szCs w:val="30"/>
          <w:u w:val="none"/>
          <w:lang w:val="en-US" w:eastAsia="zh-CN"/>
        </w:rPr>
        <w:t>6</w:t>
      </w:r>
      <w:r>
        <w:rPr>
          <w:rFonts w:hint="eastAsia" w:ascii="仿宋_GB2312" w:hAnsi="仿宋_GB2312" w:eastAsia="仿宋_GB2312" w:cs="仿宋_GB2312"/>
          <w:color w:val="000000"/>
          <w:sz w:val="32"/>
          <w:szCs w:val="32"/>
          <w:u w:val="none"/>
        </w:rPr>
        <w:t>〕</w:t>
      </w:r>
      <w:r>
        <w:rPr>
          <w:rFonts w:hint="eastAsia" w:ascii="仿宋_GB2312" w:hAnsi="仿宋_GB2312" w:cs="仿宋_GB2312"/>
          <w:color w:val="000000"/>
          <w:sz w:val="30"/>
          <w:szCs w:val="30"/>
          <w:u w:val="none"/>
          <w:lang w:val="en-US" w:eastAsia="zh-CN"/>
        </w:rPr>
        <w:t>1</w:t>
      </w:r>
      <w:r>
        <w:rPr>
          <w:rFonts w:hint="eastAsia" w:ascii="仿宋_GB2312" w:hAnsi="仿宋_GB2312" w:eastAsia="仿宋_GB2312" w:cs="仿宋_GB2312"/>
          <w:color w:val="000000"/>
          <w:sz w:val="30"/>
          <w:szCs w:val="30"/>
          <w:u w:val="none"/>
          <w:lang w:val="en-US" w:eastAsia="zh-CN"/>
        </w:rPr>
        <w:t>号）文书后，在规定的时间内未进行陈述、申辨。</w:t>
      </w:r>
    </w:p>
    <w:p w14:paraId="7295FC6A">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黑体" w:hAnsi="黑体" w:eastAsia="黑体" w:cs="黑体"/>
          <w:b w:val="0"/>
          <w:bCs w:val="0"/>
          <w:color w:val="000000" w:themeColor="text1"/>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二、行政处罚的依据、种类</w:t>
      </w:r>
    </w:p>
    <w:p w14:paraId="77CACF8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color w:val="auto"/>
          <w:sz w:val="32"/>
          <w:szCs w:val="32"/>
          <w:u w:val="none" w:color="auto"/>
        </w:rPr>
      </w:pPr>
      <w:r>
        <w:rPr>
          <w:rFonts w:hint="eastAsia" w:ascii="仿宋_GB2312" w:hAnsi="仿宋_GB2312" w:eastAsia="仿宋_GB2312" w:cs="仿宋_GB2312"/>
          <w:sz w:val="32"/>
          <w:szCs w:val="32"/>
          <w:u w:val="none"/>
          <w:lang w:val="en-US" w:eastAsia="zh-CN"/>
        </w:rPr>
        <w:t>依据《中华人民共和国行政处罚法》第二十八条第一款和《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w:t>
      </w:r>
      <w:r>
        <w:rPr>
          <w:rFonts w:hint="eastAsia" w:ascii="仿宋_GB2312" w:hAnsi="仿宋_GB2312" w:cs="仿宋_GB2312"/>
          <w:sz w:val="32"/>
          <w:szCs w:val="32"/>
          <w:u w:val="none"/>
          <w:lang w:val="en-US" w:eastAsia="zh-CN"/>
        </w:rPr>
        <w:t>”</w:t>
      </w:r>
      <w:r>
        <w:rPr>
          <w:rFonts w:hint="eastAsia" w:ascii="仿宋_GB2312" w:hAnsi="仿宋_GB2312" w:eastAsia="仿宋_GB2312" w:cs="仿宋_GB2312"/>
          <w:sz w:val="32"/>
          <w:szCs w:val="32"/>
          <w:u w:val="none"/>
        </w:rPr>
        <w:t>的规定，根据</w:t>
      </w:r>
      <w:r>
        <w:rPr>
          <w:rFonts w:hint="eastAsia" w:ascii="仿宋_GB2312" w:hAnsi="仿宋_GB2312" w:cs="仿宋_GB2312"/>
          <w:sz w:val="32"/>
          <w:szCs w:val="32"/>
          <w:u w:val="none"/>
          <w:lang w:eastAsia="zh-CN"/>
        </w:rPr>
        <w:t>你</w:t>
      </w:r>
      <w:r>
        <w:rPr>
          <w:rFonts w:hint="eastAsia" w:ascii="仿宋_GB2312" w:hAnsi="仿宋_GB2312" w:eastAsia="仿宋_GB2312" w:cs="仿宋_GB2312"/>
          <w:sz w:val="32"/>
          <w:szCs w:val="32"/>
          <w:u w:val="none"/>
        </w:rPr>
        <w:t>单位违法行为的事实、性质、情节、社会危害程度和相关证据，参照《</w:t>
      </w:r>
      <w:r>
        <w:rPr>
          <w:rFonts w:hint="eastAsia" w:ascii="仿宋_GB2312" w:hAnsi="仿宋_GB2312" w:cs="仿宋_GB2312"/>
          <w:sz w:val="32"/>
          <w:szCs w:val="32"/>
          <w:u w:val="none"/>
          <w:lang w:val="en-US" w:eastAsia="zh-CN"/>
        </w:rPr>
        <w:t>焦作市</w:t>
      </w:r>
      <w:r>
        <w:rPr>
          <w:rFonts w:hint="eastAsia" w:ascii="仿宋_GB2312" w:hAnsi="仿宋_GB2312" w:eastAsia="仿宋_GB2312" w:cs="仿宋_GB2312"/>
          <w:sz w:val="32"/>
          <w:szCs w:val="32"/>
          <w:u w:val="none"/>
        </w:rPr>
        <w:t>生态环境行政处罚裁量基准》（</w:t>
      </w:r>
      <w:r>
        <w:rPr>
          <w:rFonts w:hint="eastAsia" w:ascii="仿宋_GB2312" w:hAnsi="仿宋_GB2312" w:cs="仿宋_GB2312"/>
          <w:sz w:val="32"/>
          <w:szCs w:val="32"/>
          <w:u w:val="none"/>
          <w:lang w:val="en-US" w:eastAsia="zh-CN"/>
        </w:rPr>
        <w:t>焦</w:t>
      </w:r>
      <w:r>
        <w:rPr>
          <w:rFonts w:hint="eastAsia" w:ascii="仿宋_GB2312" w:hAnsi="仿宋_GB2312" w:eastAsia="仿宋_GB2312" w:cs="仿宋_GB2312"/>
          <w:sz w:val="32"/>
          <w:szCs w:val="32"/>
          <w:u w:val="none"/>
        </w:rPr>
        <w:t>环</w:t>
      </w:r>
      <w:r>
        <w:rPr>
          <w:rFonts w:hint="eastAsia" w:ascii="仿宋_GB2312" w:hAnsi="仿宋_GB2312" w:cs="仿宋_GB2312"/>
          <w:sz w:val="32"/>
          <w:szCs w:val="32"/>
          <w:u w:val="none"/>
          <w:lang w:val="en-US" w:eastAsia="zh-CN"/>
        </w:rPr>
        <w:t>文</w:t>
      </w:r>
      <w:r>
        <w:rPr>
          <w:rFonts w:hint="eastAsia" w:ascii="仿宋_GB2312" w:hAnsi="仿宋_GB2312" w:eastAsia="仿宋_GB2312" w:cs="仿宋_GB2312"/>
          <w:sz w:val="32"/>
          <w:szCs w:val="32"/>
          <w:u w:val="none"/>
        </w:rPr>
        <w:t>〔202</w:t>
      </w:r>
      <w:r>
        <w:rPr>
          <w:rFonts w:hint="eastAsia" w:ascii="仿宋_GB2312" w:hAnsi="仿宋_GB2312" w:cs="仿宋_GB2312"/>
          <w:sz w:val="32"/>
          <w:szCs w:val="32"/>
          <w:u w:val="none"/>
          <w:lang w:val="en-US" w:eastAsia="zh-CN"/>
        </w:rPr>
        <w:t>5</w:t>
      </w:r>
      <w:r>
        <w:rPr>
          <w:rFonts w:hint="eastAsia" w:ascii="仿宋_GB2312" w:hAnsi="仿宋_GB2312" w:eastAsia="仿宋_GB2312" w:cs="仿宋_GB2312"/>
          <w:sz w:val="32"/>
          <w:szCs w:val="32"/>
          <w:u w:val="none"/>
        </w:rPr>
        <w:t>〕</w:t>
      </w:r>
      <w:r>
        <w:rPr>
          <w:rFonts w:hint="eastAsia" w:ascii="仿宋_GB2312" w:hAnsi="仿宋_GB2312" w:cs="仿宋_GB2312"/>
          <w:sz w:val="32"/>
          <w:szCs w:val="32"/>
          <w:u w:val="none"/>
          <w:lang w:val="en-US" w:eastAsia="zh-CN"/>
        </w:rPr>
        <w:t>31</w:t>
      </w:r>
      <w:r>
        <w:rPr>
          <w:rFonts w:hint="eastAsia" w:ascii="仿宋_GB2312" w:hAnsi="仿宋_GB2312" w:eastAsia="仿宋_GB2312" w:cs="仿宋_GB2312"/>
          <w:sz w:val="32"/>
          <w:szCs w:val="32"/>
          <w:u w:val="none"/>
        </w:rPr>
        <w:t>号），结合当事人违法行为事实，裁量内容如下：</w:t>
      </w:r>
    </w:p>
    <w:p w14:paraId="6954789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cs="仿宋_GB2312"/>
          <w:sz w:val="32"/>
          <w:szCs w:val="32"/>
          <w:u w:val="none"/>
          <w:lang w:val="en-US" w:eastAsia="zh-CN"/>
        </w:rPr>
      </w:pPr>
      <w:r>
        <w:rPr>
          <w:rFonts w:hint="eastAsia" w:ascii="仿宋_GB2312" w:hAnsi="仿宋_GB2312" w:cs="仿宋_GB2312"/>
          <w:sz w:val="32"/>
          <w:szCs w:val="32"/>
          <w:u w:val="none"/>
          <w:lang w:val="en-US" w:eastAsia="zh-CN"/>
        </w:rPr>
        <w:t xml:space="preserve">A.★违法行为发生时期敏感度：重污染天气橙色预警期间，裁量等级为3； </w:t>
      </w:r>
    </w:p>
    <w:p w14:paraId="1D7C023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cs="仿宋_GB2312"/>
          <w:sz w:val="32"/>
          <w:szCs w:val="32"/>
          <w:u w:val="none"/>
          <w:lang w:val="en-US" w:eastAsia="zh-CN"/>
        </w:rPr>
      </w:pPr>
      <w:r>
        <w:rPr>
          <w:rFonts w:hint="eastAsia" w:ascii="仿宋_GB2312" w:hAnsi="仿宋_GB2312" w:cs="仿宋_GB2312"/>
          <w:sz w:val="32"/>
          <w:szCs w:val="32"/>
          <w:u w:val="none"/>
          <w:lang w:val="en-US" w:eastAsia="zh-CN"/>
        </w:rPr>
        <w:t>B1.污染防治设施：按规定使用污染防治措施或无污染防治要求的，裁量等级为1；</w:t>
      </w:r>
    </w:p>
    <w:p w14:paraId="0E247EB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B2.</w:t>
      </w:r>
      <w:r>
        <w:rPr>
          <w:rFonts w:hint="eastAsia" w:ascii="仿宋_GB2312" w:hAnsi="仿宋_GB2312" w:cs="仿宋_GB2312"/>
          <w:sz w:val="32"/>
          <w:szCs w:val="32"/>
          <w:u w:val="none"/>
          <w:lang w:val="en-US" w:eastAsia="zh-CN"/>
        </w:rPr>
        <w:t>企业规模：微型企业</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w:t>
      </w:r>
    </w:p>
    <w:p w14:paraId="3FAB1FE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B3.违法行为持续时间：</w:t>
      </w:r>
      <w:r>
        <w:rPr>
          <w:rFonts w:hint="eastAsia" w:ascii="仿宋_GB2312" w:hAnsi="仿宋_GB2312" w:cs="仿宋_GB2312"/>
          <w:sz w:val="32"/>
          <w:szCs w:val="32"/>
          <w:u w:val="none"/>
          <w:lang w:val="en-US" w:eastAsia="zh-CN"/>
        </w:rPr>
        <w:t>2</w:t>
      </w:r>
      <w:r>
        <w:rPr>
          <w:rFonts w:hint="eastAsia" w:ascii="仿宋_GB2312" w:hAnsi="仿宋_GB2312" w:cs="仿宋_GB2312"/>
          <w:sz w:val="32"/>
          <w:szCs w:val="32"/>
          <w:u w:val="none"/>
          <w:lang w:eastAsia="zh-CN"/>
        </w:rPr>
        <w:t>天</w:t>
      </w:r>
      <w:r>
        <w:rPr>
          <w:rFonts w:hint="eastAsia" w:ascii="仿宋_GB2312" w:hAnsi="仿宋_GB2312" w:eastAsia="仿宋_GB2312" w:cs="仿宋_GB2312"/>
          <w:sz w:val="32"/>
          <w:szCs w:val="32"/>
          <w:u w:val="none"/>
        </w:rPr>
        <w:t xml:space="preserve">以下，裁量等级为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5C14DD8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cs="仿宋_GB2312"/>
          <w:sz w:val="32"/>
          <w:szCs w:val="32"/>
          <w:u w:val="none"/>
          <w:lang w:val="en-US" w:eastAsia="zh-CN"/>
        </w:rPr>
      </w:pPr>
      <w:r>
        <w:rPr>
          <w:rFonts w:hint="eastAsia" w:ascii="仿宋_GB2312" w:hAnsi="仿宋_GB2312" w:eastAsia="仿宋_GB2312" w:cs="仿宋_GB2312"/>
          <w:sz w:val="32"/>
          <w:szCs w:val="32"/>
          <w:u w:val="none"/>
        </w:rPr>
        <w:t>B4.</w:t>
      </w:r>
      <w:r>
        <w:rPr>
          <w:rFonts w:hint="eastAsia" w:ascii="仿宋_GB2312" w:hAnsi="仿宋_GB2312" w:cs="仿宋_GB2312"/>
          <w:sz w:val="32"/>
          <w:szCs w:val="32"/>
          <w:u w:val="none"/>
          <w:lang w:val="en-US" w:eastAsia="zh-CN"/>
        </w:rPr>
        <w:t>违法行为发生地：符合环境功能规划，裁量等级为1；</w:t>
      </w:r>
    </w:p>
    <w:p w14:paraId="3BE2BFB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B5.</w:t>
      </w:r>
      <w:r>
        <w:rPr>
          <w:rFonts w:hint="eastAsia" w:ascii="仿宋_GB2312" w:hAnsi="仿宋_GB2312" w:cs="仿宋_GB2312"/>
          <w:sz w:val="32"/>
          <w:szCs w:val="32"/>
          <w:u w:val="none"/>
          <w:lang w:val="en-US" w:eastAsia="zh-CN"/>
        </w:rPr>
        <w:t>超过限期改正时间</w:t>
      </w:r>
      <w:r>
        <w:rPr>
          <w:rFonts w:hint="eastAsia" w:ascii="仿宋_GB2312" w:hAnsi="仿宋_GB2312" w:eastAsia="仿宋_GB2312" w:cs="仿宋_GB2312"/>
          <w:sz w:val="32"/>
          <w:szCs w:val="32"/>
          <w:u w:val="none"/>
        </w:rPr>
        <w:t>：</w:t>
      </w:r>
      <w:r>
        <w:rPr>
          <w:rFonts w:hint="eastAsia" w:ascii="仿宋_GB2312" w:hAnsi="仿宋_GB2312" w:cs="仿宋_GB2312"/>
          <w:color w:val="auto"/>
          <w:sz w:val="32"/>
          <w:szCs w:val="32"/>
          <w:u w:val="none"/>
          <w:shd w:val="clear" w:color="auto" w:fill="auto"/>
          <w:lang w:val="en-US" w:eastAsia="zh-CN"/>
        </w:rPr>
        <w:t>限期改正</w:t>
      </w:r>
      <w:r>
        <w:rPr>
          <w:rFonts w:hint="eastAsia" w:ascii="仿宋_GB2312" w:hAnsi="仿宋_GB2312" w:eastAsia="仿宋_GB2312" w:cs="仿宋_GB2312"/>
          <w:sz w:val="32"/>
          <w:szCs w:val="32"/>
          <w:u w:val="none"/>
        </w:rPr>
        <w:t xml:space="preserve">，裁量等级为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w:t>
      </w:r>
      <w:r>
        <w:rPr>
          <w:rFonts w:hint="eastAsia" w:ascii="仿宋_GB2312" w:hAnsi="仿宋_GB2312" w:cs="仿宋_GB2312"/>
          <w:sz w:val="32"/>
          <w:szCs w:val="32"/>
          <w:u w:val="none"/>
          <w:lang w:val="en-US" w:eastAsia="zh-CN"/>
        </w:rPr>
        <w:t>违法行为发生频次</w:t>
      </w:r>
      <w:r>
        <w:rPr>
          <w:rFonts w:hint="eastAsia" w:ascii="仿宋_GB2312" w:hAnsi="仿宋_GB2312" w:eastAsia="仿宋_GB2312" w:cs="仿宋_GB2312"/>
          <w:sz w:val="32"/>
          <w:szCs w:val="32"/>
          <w:u w:val="none"/>
        </w:rPr>
        <w:t>：</w:t>
      </w:r>
      <w:r>
        <w:rPr>
          <w:rFonts w:hint="eastAsia" w:ascii="仿宋_GB2312" w:hAnsi="仿宋_GB2312" w:cs="仿宋_GB2312"/>
          <w:sz w:val="32"/>
          <w:szCs w:val="32"/>
          <w:u w:val="none"/>
          <w:lang w:val="en-US" w:eastAsia="zh-CN"/>
        </w:rPr>
        <w:t>1次</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5B4A8D5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cs="仿宋_GB2312"/>
          <w:sz w:val="32"/>
          <w:szCs w:val="32"/>
          <w:u w:val="none"/>
          <w:lang w:val="en-US" w:eastAsia="zh-CN"/>
        </w:rPr>
        <w:t>B6.</w:t>
      </w:r>
      <w:r>
        <w:rPr>
          <w:rFonts w:hint="eastAsia" w:ascii="仿宋_GB2312" w:hAnsi="仿宋_GB2312" w:eastAsia="仿宋_GB2312" w:cs="仿宋_GB2312"/>
          <w:sz w:val="32"/>
          <w:szCs w:val="32"/>
          <w:u w:val="none"/>
        </w:rPr>
        <w:t xml:space="preserve">受处罚次数：两年内未受到同类处罚，裁量等级为 1； </w:t>
      </w:r>
    </w:p>
    <w:p w14:paraId="3921B33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w:t>
      </w:r>
      <w:r>
        <w:rPr>
          <w:rFonts w:hint="eastAsia" w:ascii="仿宋_GB2312" w:hAnsi="仿宋_GB2312" w:cs="仿宋_GB2312"/>
          <w:sz w:val="32"/>
          <w:szCs w:val="32"/>
          <w:u w:val="none"/>
          <w:lang w:val="en-US" w:eastAsia="zh-CN"/>
        </w:rPr>
        <w:t>7</w:t>
      </w:r>
      <w:r>
        <w:rPr>
          <w:rFonts w:hint="eastAsia" w:ascii="仿宋_GB2312" w:hAnsi="仿宋_GB2312" w:eastAsia="仿宋_GB2312" w:cs="仿宋_GB2312"/>
          <w:sz w:val="32"/>
          <w:szCs w:val="32"/>
          <w:u w:val="none"/>
        </w:rPr>
        <w:t xml:space="preserve">.是否配合执法检查：配合调查，裁量等级为 1。 </w:t>
      </w:r>
    </w:p>
    <w:p w14:paraId="767C468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处罚金额计算结合本案案情，将各项裁量因素等级套入公式中进行计算得出：</w:t>
      </w:r>
    </w:p>
    <w:tbl>
      <w:tblPr>
        <w:tblStyle w:val="6"/>
        <w:tblW w:w="7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555"/>
        <w:gridCol w:w="780"/>
        <w:gridCol w:w="510"/>
        <w:gridCol w:w="540"/>
        <w:gridCol w:w="555"/>
        <w:gridCol w:w="630"/>
        <w:gridCol w:w="633"/>
        <w:gridCol w:w="732"/>
        <w:gridCol w:w="675"/>
        <w:gridCol w:w="615"/>
        <w:gridCol w:w="600"/>
      </w:tblGrid>
      <w:tr w14:paraId="40907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5" w:type="dxa"/>
            <w:noWrap w:val="0"/>
            <w:vAlign w:val="top"/>
          </w:tcPr>
          <w:p w14:paraId="748A19FC">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参数</w:t>
            </w:r>
          </w:p>
        </w:tc>
        <w:tc>
          <w:tcPr>
            <w:tcW w:w="555" w:type="dxa"/>
            <w:noWrap w:val="0"/>
            <w:vAlign w:val="top"/>
          </w:tcPr>
          <w:p w14:paraId="0B8EC6AA">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N</w:t>
            </w:r>
          </w:p>
        </w:tc>
        <w:tc>
          <w:tcPr>
            <w:tcW w:w="780" w:type="dxa"/>
            <w:noWrap w:val="0"/>
            <w:vAlign w:val="top"/>
          </w:tcPr>
          <w:p w14:paraId="26EF2E79">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M</w:t>
            </w:r>
          </w:p>
        </w:tc>
        <w:tc>
          <w:tcPr>
            <w:tcW w:w="510" w:type="dxa"/>
            <w:noWrap w:val="0"/>
            <w:vAlign w:val="top"/>
          </w:tcPr>
          <w:p w14:paraId="30007D23">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A</w:t>
            </w:r>
          </w:p>
        </w:tc>
        <w:tc>
          <w:tcPr>
            <w:tcW w:w="540" w:type="dxa"/>
            <w:noWrap w:val="0"/>
            <w:vAlign w:val="top"/>
          </w:tcPr>
          <w:p w14:paraId="69A03758">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n</w:t>
            </w:r>
          </w:p>
        </w:tc>
        <w:tc>
          <w:tcPr>
            <w:tcW w:w="555" w:type="dxa"/>
            <w:noWrap w:val="0"/>
            <w:vAlign w:val="top"/>
          </w:tcPr>
          <w:p w14:paraId="30F581B1">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eastAsia="仿宋_GB2312" w:cs="仿宋_GB2312"/>
                <w:color w:val="3E3E3E"/>
                <w:kern w:val="0"/>
                <w:sz w:val="32"/>
                <w:szCs w:val="32"/>
                <w:u w:val="none"/>
                <w:shd w:val="clear" w:color="auto" w:fill="FFFFFF"/>
              </w:rPr>
              <w:t>B</w:t>
            </w:r>
            <w:r>
              <w:rPr>
                <w:rFonts w:hint="eastAsia" w:ascii="仿宋_GB2312" w:hAnsi="仿宋_GB2312" w:eastAsia="仿宋_GB2312" w:cs="仿宋_GB2312"/>
                <w:color w:val="3E3E3E"/>
                <w:kern w:val="0"/>
                <w:sz w:val="32"/>
                <w:szCs w:val="32"/>
                <w:u w:val="none"/>
                <w:shd w:val="clear" w:color="auto" w:fill="FFFFFF"/>
                <w:lang w:val="en-US" w:eastAsia="zh-CN"/>
              </w:rPr>
              <w:t>1</w:t>
            </w:r>
          </w:p>
        </w:tc>
        <w:tc>
          <w:tcPr>
            <w:tcW w:w="630" w:type="dxa"/>
            <w:noWrap w:val="0"/>
            <w:vAlign w:val="top"/>
          </w:tcPr>
          <w:p w14:paraId="2E9577C1">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eastAsia="仿宋_GB2312" w:cs="仿宋_GB2312"/>
                <w:color w:val="3E3E3E"/>
                <w:kern w:val="0"/>
                <w:sz w:val="32"/>
                <w:szCs w:val="32"/>
                <w:u w:val="none"/>
                <w:shd w:val="clear" w:color="auto" w:fill="FFFFFF"/>
              </w:rPr>
              <w:t>B</w:t>
            </w:r>
            <w:r>
              <w:rPr>
                <w:rFonts w:hint="eastAsia" w:ascii="仿宋_GB2312" w:hAnsi="仿宋_GB2312" w:eastAsia="仿宋_GB2312" w:cs="仿宋_GB2312"/>
                <w:color w:val="3E3E3E"/>
                <w:kern w:val="0"/>
                <w:sz w:val="32"/>
                <w:szCs w:val="32"/>
                <w:u w:val="none"/>
                <w:shd w:val="clear" w:color="auto" w:fill="FFFFFF"/>
                <w:lang w:val="en-US" w:eastAsia="zh-CN"/>
              </w:rPr>
              <w:t>2</w:t>
            </w:r>
          </w:p>
        </w:tc>
        <w:tc>
          <w:tcPr>
            <w:tcW w:w="633" w:type="dxa"/>
            <w:noWrap w:val="0"/>
            <w:vAlign w:val="top"/>
          </w:tcPr>
          <w:p w14:paraId="2E7507C7">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eastAsia="仿宋_GB2312" w:cs="仿宋_GB2312"/>
                <w:color w:val="3E3E3E"/>
                <w:kern w:val="0"/>
                <w:sz w:val="32"/>
                <w:szCs w:val="32"/>
                <w:u w:val="none"/>
                <w:shd w:val="clear" w:color="auto" w:fill="FFFFFF"/>
              </w:rPr>
              <w:t>B</w:t>
            </w:r>
            <w:r>
              <w:rPr>
                <w:rFonts w:hint="eastAsia" w:ascii="仿宋_GB2312" w:hAnsi="仿宋_GB2312" w:eastAsia="仿宋_GB2312" w:cs="仿宋_GB2312"/>
                <w:color w:val="3E3E3E"/>
                <w:kern w:val="0"/>
                <w:sz w:val="32"/>
                <w:szCs w:val="32"/>
                <w:u w:val="none"/>
                <w:shd w:val="clear" w:color="auto" w:fill="FFFFFF"/>
                <w:lang w:val="en-US" w:eastAsia="zh-CN"/>
              </w:rPr>
              <w:t>3</w:t>
            </w:r>
          </w:p>
        </w:tc>
        <w:tc>
          <w:tcPr>
            <w:tcW w:w="732" w:type="dxa"/>
            <w:noWrap w:val="0"/>
            <w:vAlign w:val="top"/>
          </w:tcPr>
          <w:p w14:paraId="68C39CA0">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B4</w:t>
            </w:r>
          </w:p>
        </w:tc>
        <w:tc>
          <w:tcPr>
            <w:tcW w:w="675" w:type="dxa"/>
            <w:noWrap w:val="0"/>
            <w:vAlign w:val="top"/>
          </w:tcPr>
          <w:p w14:paraId="25E88AC0">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B5</w:t>
            </w:r>
          </w:p>
        </w:tc>
        <w:tc>
          <w:tcPr>
            <w:tcW w:w="615" w:type="dxa"/>
            <w:noWrap w:val="0"/>
            <w:vAlign w:val="top"/>
          </w:tcPr>
          <w:p w14:paraId="5A690182">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B6</w:t>
            </w:r>
          </w:p>
        </w:tc>
        <w:tc>
          <w:tcPr>
            <w:tcW w:w="600" w:type="dxa"/>
            <w:noWrap w:val="0"/>
            <w:vAlign w:val="top"/>
          </w:tcPr>
          <w:p w14:paraId="1EB4F38F">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B7</w:t>
            </w:r>
          </w:p>
        </w:tc>
      </w:tr>
      <w:tr w14:paraId="43CCC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35" w:type="dxa"/>
            <w:noWrap w:val="0"/>
            <w:vAlign w:val="top"/>
          </w:tcPr>
          <w:p w14:paraId="16DA90F5">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取值</w:t>
            </w:r>
          </w:p>
        </w:tc>
        <w:tc>
          <w:tcPr>
            <w:tcW w:w="555" w:type="dxa"/>
            <w:noWrap w:val="0"/>
            <w:vAlign w:val="top"/>
          </w:tcPr>
          <w:p w14:paraId="57735165">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780" w:type="dxa"/>
            <w:noWrap w:val="0"/>
            <w:vAlign w:val="top"/>
          </w:tcPr>
          <w:p w14:paraId="37756A37">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5</w:t>
            </w:r>
          </w:p>
        </w:tc>
        <w:tc>
          <w:tcPr>
            <w:tcW w:w="510" w:type="dxa"/>
            <w:noWrap w:val="0"/>
            <w:vAlign w:val="top"/>
          </w:tcPr>
          <w:p w14:paraId="1A4FBDC4">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3</w:t>
            </w:r>
          </w:p>
        </w:tc>
        <w:tc>
          <w:tcPr>
            <w:tcW w:w="540" w:type="dxa"/>
            <w:noWrap w:val="0"/>
            <w:vAlign w:val="top"/>
          </w:tcPr>
          <w:p w14:paraId="4AB36BB4">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7</w:t>
            </w:r>
          </w:p>
        </w:tc>
        <w:tc>
          <w:tcPr>
            <w:tcW w:w="555" w:type="dxa"/>
            <w:noWrap w:val="0"/>
            <w:vAlign w:val="top"/>
          </w:tcPr>
          <w:p w14:paraId="04CBC16A">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30" w:type="dxa"/>
            <w:noWrap w:val="0"/>
            <w:vAlign w:val="top"/>
          </w:tcPr>
          <w:p w14:paraId="4AC7B51E">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1</w:t>
            </w:r>
          </w:p>
        </w:tc>
        <w:tc>
          <w:tcPr>
            <w:tcW w:w="633" w:type="dxa"/>
            <w:noWrap w:val="0"/>
            <w:vAlign w:val="top"/>
          </w:tcPr>
          <w:p w14:paraId="67D08A16">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732" w:type="dxa"/>
            <w:noWrap w:val="0"/>
            <w:vAlign w:val="top"/>
          </w:tcPr>
          <w:p w14:paraId="5A11E473">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75" w:type="dxa"/>
            <w:noWrap w:val="0"/>
            <w:vAlign w:val="top"/>
          </w:tcPr>
          <w:p w14:paraId="5E3C25AE">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15" w:type="dxa"/>
            <w:noWrap w:val="0"/>
            <w:vAlign w:val="top"/>
          </w:tcPr>
          <w:p w14:paraId="670A276C">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00" w:type="dxa"/>
            <w:noWrap w:val="0"/>
            <w:vAlign w:val="top"/>
          </w:tcPr>
          <w:p w14:paraId="7A62B689">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r>
    </w:tbl>
    <w:p w14:paraId="62E8D913">
      <w:pPr>
        <w:keepNext w:val="0"/>
        <w:keepLines w:val="0"/>
        <w:pageBreakBefore w:val="0"/>
        <w:widowControl w:val="0"/>
        <w:kinsoku/>
        <w:wordWrap/>
        <w:overflowPunct/>
        <w:topLinePunct w:val="0"/>
        <w:autoSpaceDE/>
        <w:autoSpaceDN/>
        <w:bidi w:val="0"/>
        <w:adjustRightInd/>
        <w:snapToGrid/>
        <w:spacing w:before="0" w:beforeLines="0" w:beforeAutospacing="0" w:after="0" w:line="560" w:lineRule="exact"/>
        <w:ind w:left="0" w:firstLine="640" w:firstLineChars="200"/>
        <w:jc w:val="both"/>
        <w:textAlignment w:val="auto"/>
        <w:outlineLvl w:val="9"/>
        <w:rPr>
          <w:rFonts w:hint="eastAsia"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rPr>
        <w:t>X=</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eastAsia="zh-CN"/>
        </w:rPr>
        <w:t>（</w:t>
      </w:r>
      <w:r>
        <w:rPr>
          <w:rFonts w:hint="eastAsia" w:ascii="仿宋_GB2312" w:hAnsi="仿宋_GB2312" w:cs="仿宋_GB2312"/>
          <w:color w:val="3E3E3E"/>
          <w:kern w:val="0"/>
          <w:sz w:val="32"/>
          <w:szCs w:val="32"/>
          <w:u w:val="none"/>
          <w:shd w:val="clear" w:color="auto" w:fill="FFFFFF"/>
          <w:lang w:val="en-US" w:eastAsia="zh-CN"/>
        </w:rPr>
        <w:t>3</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eastAsia="zh-CN"/>
        </w:rPr>
        <w:t>（</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eastAsia="zh-CN"/>
        </w:rPr>
        <w:t>）</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7</w:t>
      </w:r>
      <w:r>
        <w:rPr>
          <w:rFonts w:hint="eastAsia" w:ascii="仿宋_GB2312" w:hAnsi="仿宋_GB2312" w:eastAsia="仿宋_GB2312" w:cs="仿宋_GB2312"/>
          <w:color w:val="3E3E3E"/>
          <w:kern w:val="0"/>
          <w:sz w:val="32"/>
          <w:szCs w:val="32"/>
          <w:u w:val="none"/>
          <w:shd w:val="clear" w:color="auto" w:fill="FFFFFF"/>
        </w:rPr>
        <w:t>）]×50%=</w:t>
      </w:r>
      <w:r>
        <w:rPr>
          <w:rFonts w:hint="eastAsia" w:ascii="仿宋_GB2312" w:hAnsi="仿宋_GB2312" w:eastAsia="仿宋_GB2312" w:cs="仿宋_GB2312"/>
          <w:color w:val="3E3E3E"/>
          <w:kern w:val="0"/>
          <w:sz w:val="32"/>
          <w:szCs w:val="32"/>
          <w:u w:val="none"/>
          <w:shd w:val="clear" w:color="auto" w:fill="FFFFFF"/>
          <w:lang w:val="en-US" w:eastAsia="zh-CN"/>
        </w:rPr>
        <w:t>1.8万元</w:t>
      </w:r>
      <w:bookmarkStart w:id="0" w:name="_GoBack"/>
      <w:bookmarkEnd w:id="0"/>
    </w:p>
    <w:p w14:paraId="1D4CA36B">
      <w:pPr>
        <w:keepNext w:val="0"/>
        <w:keepLines w:val="0"/>
        <w:pageBreakBefore w:val="0"/>
        <w:widowControl w:val="0"/>
        <w:kinsoku/>
        <w:wordWrap/>
        <w:overflowPunct/>
        <w:topLinePunct w:val="0"/>
        <w:autoSpaceDE/>
        <w:autoSpaceDN/>
        <w:bidi w:val="0"/>
        <w:adjustRightInd/>
        <w:snapToGrid/>
        <w:spacing w:before="0" w:beforeLines="0" w:beforeAutospacing="0" w:after="0" w:line="560" w:lineRule="exact"/>
        <w:ind w:left="0" w:firstLine="640" w:firstLineChars="200"/>
        <w:jc w:val="both"/>
        <w:textAlignment w:val="auto"/>
        <w:outlineLvl w:val="9"/>
        <w:rPr>
          <w:rFonts w:hint="default"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经裁量计算，我局决定对你</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单位</w:t>
      </w:r>
      <w:r>
        <w:rPr>
          <w:rFonts w:hint="eastAsia" w:ascii="仿宋_GB2312" w:hAnsi="宋体" w:eastAsia="仿宋_GB2312" w:cs="Times New Roman"/>
          <w:color w:val="000000" w:themeColor="text1"/>
          <w:sz w:val="32"/>
          <w:szCs w:val="32"/>
          <w:lang w:val="en-US" w:eastAsia="zh-CN"/>
          <w14:textFill>
            <w14:solidFill>
              <w14:schemeClr w14:val="tx1"/>
            </w14:solidFill>
          </w14:textFill>
        </w:rPr>
        <w:t>作出以下处理决定：</w:t>
      </w:r>
      <w:r>
        <w:rPr>
          <w:rFonts w:hint="eastAsia" w:ascii="仿宋_GB2312" w:hAnsi="仿宋_GB2312" w:eastAsia="仿宋_GB2312" w:cs="仿宋_GB2312"/>
          <w:color w:val="auto"/>
          <w:sz w:val="32"/>
          <w:szCs w:val="32"/>
          <w:u w:val="none"/>
        </w:rPr>
        <w:t>处</w:t>
      </w:r>
      <w:r>
        <w:rPr>
          <w:rFonts w:hint="eastAsia" w:ascii="仿宋_GB2312" w:hAnsi="仿宋_GB2312" w:eastAsia="仿宋_GB2312" w:cs="仿宋_GB2312"/>
          <w:color w:val="auto"/>
          <w:sz w:val="32"/>
          <w:szCs w:val="32"/>
          <w:u w:val="none"/>
          <w:lang w:val="en-US" w:eastAsia="zh-CN"/>
        </w:rPr>
        <w:t>壹万捌仟元</w:t>
      </w:r>
      <w:r>
        <w:rPr>
          <w:rFonts w:hint="eastAsia" w:ascii="仿宋_GB2312" w:hAnsi="仿宋_GB2312" w:eastAsia="仿宋_GB2312" w:cs="仿宋_GB2312"/>
          <w:color w:val="auto"/>
          <w:sz w:val="32"/>
          <w:szCs w:val="32"/>
          <w:u w:val="none"/>
        </w:rPr>
        <w:t>罚款（</w:t>
      </w:r>
      <w:r>
        <w:rPr>
          <w:rFonts w:hint="eastAsia" w:ascii="仿宋_GB2312" w:hAnsi="仿宋_GB2312" w:eastAsia="仿宋_GB2312" w:cs="仿宋_GB2312"/>
          <w:color w:val="auto"/>
          <w:sz w:val="32"/>
          <w:szCs w:val="32"/>
          <w:u w:val="none"/>
          <w:lang w:val="en-US" w:eastAsia="zh-CN"/>
        </w:rPr>
        <w:t>1.8</w:t>
      </w:r>
      <w:r>
        <w:rPr>
          <w:rFonts w:hint="eastAsia" w:ascii="仿宋_GB2312" w:hAnsi="仿宋_GB2312" w:eastAsia="仿宋_GB2312" w:cs="仿宋_GB2312"/>
          <w:color w:val="auto"/>
          <w:sz w:val="32"/>
          <w:szCs w:val="32"/>
          <w:u w:val="none"/>
        </w:rPr>
        <w:t>万元）</w:t>
      </w:r>
      <w:r>
        <w:rPr>
          <w:rFonts w:hint="eastAsia" w:ascii="仿宋_GB2312" w:hAnsi="仿宋_GB2312" w:cs="仿宋_GB2312"/>
          <w:color w:val="000000" w:themeColor="text1"/>
          <w:sz w:val="32"/>
          <w:szCs w:val="32"/>
          <w:u w:val="single" w:color="FFFFFF" w:themeColor="background1"/>
          <w:lang w:val="en-US" w:eastAsia="zh-CN"/>
          <w14:textFill>
            <w14:solidFill>
              <w14:schemeClr w14:val="tx1"/>
            </w14:solidFill>
          </w14:textFill>
        </w:rPr>
        <w:t>。</w:t>
      </w:r>
    </w:p>
    <w:p w14:paraId="5F4B80F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Chars="200" w:right="0" w:rightChars="0"/>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三、行政处罚决定的履行方式和期限</w:t>
      </w:r>
    </w:p>
    <w:p w14:paraId="2CE6A47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right="0" w:rightChars="0" w:firstLine="640" w:firstLineChars="200"/>
        <w:rPr>
          <w:rFonts w:hint="eastAsia" w:ascii="微软雅黑" w:hAnsi="微软雅黑" w:eastAsia="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根据《中华人民共和国行政处罚法》和《罚款决定与罚款收缴分离实施办法》的规定，你单位应当自收到本决定书之日起 15 日内将罚款缴至指定银行和账号</w:t>
      </w:r>
      <w:r>
        <w:rPr>
          <w:rFonts w:hint="eastAsia" w:ascii="仿宋_GB2312" w:hAnsi="Times New Roman" w:eastAsia="仿宋_GB2312"/>
          <w:color w:val="000000" w:themeColor="text1"/>
          <w:sz w:val="32"/>
          <w:szCs w:val="32"/>
          <w14:textFill>
            <w14:solidFill>
              <w14:schemeClr w14:val="tx1"/>
            </w14:solidFill>
          </w14:textFill>
        </w:rPr>
        <w:t>：</w:t>
      </w:r>
      <w:r>
        <w:rPr>
          <w:rFonts w:hint="eastAsia" w:ascii="微软雅黑" w:hAnsi="微软雅黑" w:eastAsia="仿宋_GB2312"/>
          <w:color w:val="000000" w:themeColor="text1"/>
          <w:sz w:val="32"/>
          <w:szCs w:val="32"/>
          <w:shd w:val="clear" w:color="auto" w:fill="FFFFFF"/>
          <w14:textFill>
            <w14:solidFill>
              <w14:schemeClr w14:val="tx1"/>
            </w14:solidFill>
          </w14:textFill>
        </w:rPr>
        <w:t> </w:t>
      </w:r>
    </w:p>
    <w:p w14:paraId="34F399C3">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户  名：焦作市财政局非税收入财政专户。</w:t>
      </w:r>
    </w:p>
    <w:p w14:paraId="647FAE66">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开户行：邮政储蓄银行民主南路支行；</w:t>
      </w:r>
    </w:p>
    <w:p w14:paraId="5FB10ACB">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银行账号：100195545980010001</w:t>
      </w:r>
    </w:p>
    <w:p w14:paraId="61BBED7F">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缴款时，当事人需在缴款备注栏注明“生态环境行政处罚款”及具体的处罚决定书编号等信息，以便准确核对缴款记录。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缴纳罚款后，应将缴款凭据报送我局备案。</w:t>
      </w:r>
    </w:p>
    <w:p w14:paraId="53AFFF5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黑体" w:hAnsi="黑体" w:eastAsia="黑体" w:cs="黑体"/>
          <w:b w:val="0"/>
          <w:bCs w:val="0"/>
          <w:color w:val="000000" w:themeColor="text1"/>
          <w:sz w:val="32"/>
          <w:szCs w:val="32"/>
          <w:lang w:val="en-US" w:eastAsia="zh-CN"/>
          <w14:textFill>
            <w14:solidFill>
              <w14:schemeClr w14:val="tx1"/>
            </w14:solidFill>
          </w14:textFill>
        </w:rPr>
      </w:pPr>
      <w:r>
        <w:rPr>
          <w:rFonts w:hint="default" w:ascii="黑体" w:hAnsi="黑体" w:eastAsia="黑体" w:cs="黑体"/>
          <w:b w:val="0"/>
          <w:bCs w:val="0"/>
          <w:color w:val="000000" w:themeColor="text1"/>
          <w:sz w:val="32"/>
          <w:szCs w:val="32"/>
          <w:lang w:val="en-US" w:eastAsia="zh-CN"/>
          <w14:textFill>
            <w14:solidFill>
              <w14:schemeClr w14:val="tx1"/>
            </w14:solidFill>
          </w14:textFill>
        </w:rPr>
        <w:t>四、申请行政复议或提起行政诉讼的途径和期限</w:t>
      </w:r>
    </w:p>
    <w:p w14:paraId="0DFD0B6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单位</w:t>
      </w:r>
      <w:r>
        <w:rPr>
          <w:rFonts w:hint="default" w:ascii="仿宋_GB2312" w:hAnsi="仿宋_GB2312" w:cs="仿宋_GB2312"/>
          <w:color w:val="000000" w:themeColor="text1"/>
          <w:sz w:val="32"/>
          <w:szCs w:val="32"/>
          <w:lang w:val="en-US" w:eastAsia="zh-CN"/>
          <w14:textFill>
            <w14:solidFill>
              <w14:schemeClr w14:val="tx1"/>
            </w14:solidFill>
          </w14:textFill>
        </w:rPr>
        <w:t>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5DA0D42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3DFC24A9">
      <w:pPr>
        <w:pStyle w:val="3"/>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 xml:space="preserve">                                         </w:t>
      </w:r>
    </w:p>
    <w:p w14:paraId="74BD535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5120" w:firstLineChars="1600"/>
        <w:rPr>
          <w:rFonts w:hint="eastAsia" w:ascii="仿宋_GB2312" w:hAnsi="仿宋_GB2312" w:cs="仿宋_GB2312"/>
          <w:color w:val="000000" w:themeColor="text1"/>
          <w:sz w:val="32"/>
          <w:szCs w:val="32"/>
          <w:lang w:val="en-US" w:eastAsia="zh-CN"/>
          <w14:textFill>
            <w14:solidFill>
              <w14:schemeClr w14:val="tx1"/>
            </w14:solidFill>
          </w14:textFill>
        </w:rPr>
      </w:pPr>
    </w:p>
    <w:p w14:paraId="2C3F887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5120" w:firstLineChars="16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焦作市生态环境局</w:t>
      </w:r>
    </w:p>
    <w:p w14:paraId="41941B81">
      <w:pPr>
        <w:pStyle w:val="3"/>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right="0" w:rightChars="0" w:firstLine="5120" w:firstLineChars="1600"/>
        <w:rPr>
          <w:color w:val="000000" w:themeColor="text1"/>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2026年3月26日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1928" w:right="1417" w:bottom="1757" w:left="1531" w:header="566" w:footer="1474"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Song_GB2312">
    <w:altName w:val="仿宋_GB2312"/>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KaiTi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B4756">
    <w:pPr>
      <w:spacing w:line="1" w:lineRule="atLeast"/>
    </w:pPr>
    <w:r>
      <w:rPr>
        <w:sz w:val="32"/>
      </w:rPr>
      <mc:AlternateContent>
        <mc:Choice Requires="wps">
          <w:drawing>
            <wp:anchor distT="0" distB="0" distL="114300" distR="114300" simplePos="0" relativeHeight="251664384" behindDoc="0" locked="0" layoutInCell="1" allowOverlap="1">
              <wp:simplePos x="0" y="0"/>
              <wp:positionH relativeFrom="margin">
                <wp:posOffset>2594610</wp:posOffset>
              </wp:positionH>
              <wp:positionV relativeFrom="paragraph">
                <wp:posOffset>-10160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107DFD">
                          <w:pPr>
                            <w:pStyle w:val="4"/>
                            <w:rPr>
                              <w:rFonts w:hint="eastAsia"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3pt;margin-top:-0.8pt;height:144pt;width:144pt;mso-position-horizontal-relative:margin;mso-wrap-style:none;z-index:251664384;mso-width-relative:page;mso-height-relative:page;" filled="f" stroked="f" coordsize="21600,21600" o:gfxdata="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7473d1wAAAAoBAAAPAAAAAAAAAAEAIAAAACIAAABkcnMvZG93bnJldi54bWxQ&#10;SwECFAAUAAAACACHTuJAa4X5+zECAABhBAAADgAAAAAAAAABACAAAAAmAQAAZHJzL2Uyb0RvYy54&#10;bWxQSwUGAAAAAAYABgBZAQAAyQUAAAAA&#10;">
              <v:fill on="f" focussize="0,0"/>
              <v:stroke on="f" weight="0.5pt"/>
              <v:imagedata o:title=""/>
              <o:lock v:ext="edit" aspectratio="f"/>
              <v:textbox inset="0mm,0mm,0mm,0mm" style="mso-fit-shape-to-text:t;">
                <w:txbxContent>
                  <w:p w14:paraId="5B107DFD">
                    <w:pPr>
                      <w:pStyle w:val="4"/>
                      <w:rPr>
                        <w:rFonts w:hint="eastAsia" w:asciiTheme="minorEastAsia" w:hAnsiTheme="minorEastAsia" w:eastAsiaTheme="minorEastAsia" w:cstheme="minorEastAsia"/>
                        <w:sz w:val="28"/>
                        <w:szCs w:val="28"/>
                      </w:rPr>
                    </w:pPr>
                  </w:p>
                </w:txbxContent>
              </v:textbox>
            </v:shape>
          </w:pict>
        </mc:Fallback>
      </mc:AlternateContent>
    </w: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5D30C0EE">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5D30C0EE">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32D10">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51A1AA63">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51A1AA63">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919FA">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36D3C07">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36D3C07">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C7503">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4D52F809">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4D52F809">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EB4E08"/>
    <w:multiLevelType w:val="singleLevel"/>
    <w:tmpl w:val="F5EB4E08"/>
    <w:lvl w:ilvl="0" w:tentative="0">
      <w:start w:val="1"/>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5D4603"/>
    <w:rsid w:val="00D9637F"/>
    <w:rsid w:val="00FE4338"/>
    <w:rsid w:val="027A666A"/>
    <w:rsid w:val="02B26E88"/>
    <w:rsid w:val="057A3B2F"/>
    <w:rsid w:val="06135E8F"/>
    <w:rsid w:val="07A33243"/>
    <w:rsid w:val="07DD1DB1"/>
    <w:rsid w:val="08AB6F60"/>
    <w:rsid w:val="09242B63"/>
    <w:rsid w:val="0B79041E"/>
    <w:rsid w:val="0BB51E86"/>
    <w:rsid w:val="0BFA364D"/>
    <w:rsid w:val="0C813921"/>
    <w:rsid w:val="0D64615A"/>
    <w:rsid w:val="0D8A22A8"/>
    <w:rsid w:val="0D906017"/>
    <w:rsid w:val="0E195ADB"/>
    <w:rsid w:val="0F5F0397"/>
    <w:rsid w:val="108F3402"/>
    <w:rsid w:val="10CA7A92"/>
    <w:rsid w:val="12015736"/>
    <w:rsid w:val="12DB7D35"/>
    <w:rsid w:val="134D2F31"/>
    <w:rsid w:val="13531FC1"/>
    <w:rsid w:val="13FD3CDB"/>
    <w:rsid w:val="14427189"/>
    <w:rsid w:val="15213D69"/>
    <w:rsid w:val="15A40959"/>
    <w:rsid w:val="172F7E9F"/>
    <w:rsid w:val="17EC7A44"/>
    <w:rsid w:val="18647C7D"/>
    <w:rsid w:val="19A075E2"/>
    <w:rsid w:val="1AC7CB04"/>
    <w:rsid w:val="1B1F6DEE"/>
    <w:rsid w:val="1B4D3B04"/>
    <w:rsid w:val="1BA83CBF"/>
    <w:rsid w:val="1CAB69CA"/>
    <w:rsid w:val="1D7126C9"/>
    <w:rsid w:val="1E564C4E"/>
    <w:rsid w:val="1E7E1EBC"/>
    <w:rsid w:val="1F2FF017"/>
    <w:rsid w:val="1F578693"/>
    <w:rsid w:val="1F5A5839"/>
    <w:rsid w:val="1FBF0319"/>
    <w:rsid w:val="1FDE1689"/>
    <w:rsid w:val="1FEF0825"/>
    <w:rsid w:val="20FB72B3"/>
    <w:rsid w:val="20FF1092"/>
    <w:rsid w:val="224A458F"/>
    <w:rsid w:val="227F3D22"/>
    <w:rsid w:val="23002C86"/>
    <w:rsid w:val="2367400B"/>
    <w:rsid w:val="252217F3"/>
    <w:rsid w:val="253416D6"/>
    <w:rsid w:val="253D8A0F"/>
    <w:rsid w:val="268A0303"/>
    <w:rsid w:val="274C6FFB"/>
    <w:rsid w:val="275B2D9A"/>
    <w:rsid w:val="27F3419F"/>
    <w:rsid w:val="28724840"/>
    <w:rsid w:val="28A349F9"/>
    <w:rsid w:val="28B41057"/>
    <w:rsid w:val="2922287F"/>
    <w:rsid w:val="294FB27F"/>
    <w:rsid w:val="296F6FD1"/>
    <w:rsid w:val="2A244EDE"/>
    <w:rsid w:val="2A666797"/>
    <w:rsid w:val="2A783C63"/>
    <w:rsid w:val="2B041349"/>
    <w:rsid w:val="2B162E29"/>
    <w:rsid w:val="2BFF15E0"/>
    <w:rsid w:val="2C416438"/>
    <w:rsid w:val="2C935267"/>
    <w:rsid w:val="2CD535EF"/>
    <w:rsid w:val="2DBE0B43"/>
    <w:rsid w:val="2DDCB953"/>
    <w:rsid w:val="2ED43FD4"/>
    <w:rsid w:val="2F9B28CE"/>
    <w:rsid w:val="2FFFC9A7"/>
    <w:rsid w:val="306C7DC6"/>
    <w:rsid w:val="327C4DBB"/>
    <w:rsid w:val="329BFC8A"/>
    <w:rsid w:val="33FB514C"/>
    <w:rsid w:val="340920F5"/>
    <w:rsid w:val="34403D92"/>
    <w:rsid w:val="34F51D13"/>
    <w:rsid w:val="35F3DA56"/>
    <w:rsid w:val="371422F1"/>
    <w:rsid w:val="37367E1B"/>
    <w:rsid w:val="38DB3D3B"/>
    <w:rsid w:val="390D66F3"/>
    <w:rsid w:val="395D0899"/>
    <w:rsid w:val="39DA600C"/>
    <w:rsid w:val="3A44036E"/>
    <w:rsid w:val="3B5B1ACD"/>
    <w:rsid w:val="3BC60A9D"/>
    <w:rsid w:val="3C1A7270"/>
    <w:rsid w:val="3C8F2D11"/>
    <w:rsid w:val="3CD6EEC9"/>
    <w:rsid w:val="3D375BF2"/>
    <w:rsid w:val="3E2578E2"/>
    <w:rsid w:val="3E47FB1D"/>
    <w:rsid w:val="3E990920"/>
    <w:rsid w:val="3EB30AAA"/>
    <w:rsid w:val="3EB5188C"/>
    <w:rsid w:val="3EBF2556"/>
    <w:rsid w:val="3F1A7BAE"/>
    <w:rsid w:val="3F237562"/>
    <w:rsid w:val="3F8E34A5"/>
    <w:rsid w:val="3FDE2B12"/>
    <w:rsid w:val="3FEB17F6"/>
    <w:rsid w:val="3FF53436"/>
    <w:rsid w:val="402A5650"/>
    <w:rsid w:val="42440BA3"/>
    <w:rsid w:val="429F792A"/>
    <w:rsid w:val="43754386"/>
    <w:rsid w:val="449A0075"/>
    <w:rsid w:val="44BF705C"/>
    <w:rsid w:val="44FD82B5"/>
    <w:rsid w:val="4588524B"/>
    <w:rsid w:val="476E14BB"/>
    <w:rsid w:val="47CA0235"/>
    <w:rsid w:val="47DBB9C4"/>
    <w:rsid w:val="47F5EBD9"/>
    <w:rsid w:val="485B747D"/>
    <w:rsid w:val="49311E92"/>
    <w:rsid w:val="493E1CA1"/>
    <w:rsid w:val="493E586F"/>
    <w:rsid w:val="49706E83"/>
    <w:rsid w:val="4AE20311"/>
    <w:rsid w:val="4BE3142D"/>
    <w:rsid w:val="4BF6D037"/>
    <w:rsid w:val="4BF76A89"/>
    <w:rsid w:val="4C0D20F5"/>
    <w:rsid w:val="4D1347BD"/>
    <w:rsid w:val="4F2F9A41"/>
    <w:rsid w:val="4F634A24"/>
    <w:rsid w:val="4FA15887"/>
    <w:rsid w:val="4FCFE5B0"/>
    <w:rsid w:val="4FDDF5EE"/>
    <w:rsid w:val="4FFB2E20"/>
    <w:rsid w:val="4FFBE0F3"/>
    <w:rsid w:val="51DC4954"/>
    <w:rsid w:val="524353A3"/>
    <w:rsid w:val="526359BE"/>
    <w:rsid w:val="539C4FEA"/>
    <w:rsid w:val="53CE651E"/>
    <w:rsid w:val="53FB18C1"/>
    <w:rsid w:val="54502B4E"/>
    <w:rsid w:val="555E744F"/>
    <w:rsid w:val="55F840E4"/>
    <w:rsid w:val="565F3E59"/>
    <w:rsid w:val="569F41A2"/>
    <w:rsid w:val="56E75176"/>
    <w:rsid w:val="56FE009F"/>
    <w:rsid w:val="573963A5"/>
    <w:rsid w:val="57EC3417"/>
    <w:rsid w:val="57FDD9BA"/>
    <w:rsid w:val="585B62F1"/>
    <w:rsid w:val="5A9B86DF"/>
    <w:rsid w:val="5ABF613D"/>
    <w:rsid w:val="5B76259D"/>
    <w:rsid w:val="5BEF5AAF"/>
    <w:rsid w:val="5C5A1297"/>
    <w:rsid w:val="5C6B8B4B"/>
    <w:rsid w:val="5CB73908"/>
    <w:rsid w:val="5CDFC78A"/>
    <w:rsid w:val="5DFB65D6"/>
    <w:rsid w:val="5E911167"/>
    <w:rsid w:val="5F067824"/>
    <w:rsid w:val="5F2E07B9"/>
    <w:rsid w:val="5F5F21FF"/>
    <w:rsid w:val="5F77BD67"/>
    <w:rsid w:val="5F7D704B"/>
    <w:rsid w:val="5FB3CDE1"/>
    <w:rsid w:val="5FE30CBD"/>
    <w:rsid w:val="5FF7F2A0"/>
    <w:rsid w:val="5FFF31BC"/>
    <w:rsid w:val="601B0D3D"/>
    <w:rsid w:val="623256AA"/>
    <w:rsid w:val="62BC0916"/>
    <w:rsid w:val="639B7BD6"/>
    <w:rsid w:val="63D71080"/>
    <w:rsid w:val="647E1E99"/>
    <w:rsid w:val="651B533C"/>
    <w:rsid w:val="65FF0AEA"/>
    <w:rsid w:val="665B420E"/>
    <w:rsid w:val="6674153C"/>
    <w:rsid w:val="67784E0F"/>
    <w:rsid w:val="677C7366"/>
    <w:rsid w:val="677F7E04"/>
    <w:rsid w:val="67FD2463"/>
    <w:rsid w:val="67FFF1E3"/>
    <w:rsid w:val="68FF0E6F"/>
    <w:rsid w:val="6A687275"/>
    <w:rsid w:val="6AFA5023"/>
    <w:rsid w:val="6B6F26A1"/>
    <w:rsid w:val="6BC75ACD"/>
    <w:rsid w:val="6BEE3329"/>
    <w:rsid w:val="6BFBADAB"/>
    <w:rsid w:val="6BFDF7D8"/>
    <w:rsid w:val="6BFECFAA"/>
    <w:rsid w:val="6C025952"/>
    <w:rsid w:val="6CEF0BB5"/>
    <w:rsid w:val="6D26144E"/>
    <w:rsid w:val="6D96418D"/>
    <w:rsid w:val="6DB9D2E2"/>
    <w:rsid w:val="6DEFF66C"/>
    <w:rsid w:val="6EA16E48"/>
    <w:rsid w:val="6EF8049C"/>
    <w:rsid w:val="6F35C912"/>
    <w:rsid w:val="6F9FCCA2"/>
    <w:rsid w:val="6FBFB198"/>
    <w:rsid w:val="6FBFCF44"/>
    <w:rsid w:val="6FBFD7F9"/>
    <w:rsid w:val="6FD37122"/>
    <w:rsid w:val="6FF9B198"/>
    <w:rsid w:val="6FFBFD5A"/>
    <w:rsid w:val="6FFF790A"/>
    <w:rsid w:val="71035A94"/>
    <w:rsid w:val="72DE438D"/>
    <w:rsid w:val="72F83160"/>
    <w:rsid w:val="733E0B1C"/>
    <w:rsid w:val="73FB8F7A"/>
    <w:rsid w:val="74962C31"/>
    <w:rsid w:val="753E7556"/>
    <w:rsid w:val="757FF35B"/>
    <w:rsid w:val="758B689E"/>
    <w:rsid w:val="759F81AF"/>
    <w:rsid w:val="761402B1"/>
    <w:rsid w:val="76226B94"/>
    <w:rsid w:val="76BC6698"/>
    <w:rsid w:val="76ED7F5C"/>
    <w:rsid w:val="773F8DC5"/>
    <w:rsid w:val="777244FC"/>
    <w:rsid w:val="777FEEDD"/>
    <w:rsid w:val="77947590"/>
    <w:rsid w:val="779F93BF"/>
    <w:rsid w:val="77BFB2DF"/>
    <w:rsid w:val="77D62445"/>
    <w:rsid w:val="77EF50EB"/>
    <w:rsid w:val="77F35692"/>
    <w:rsid w:val="77F740C6"/>
    <w:rsid w:val="77FE4860"/>
    <w:rsid w:val="783D8208"/>
    <w:rsid w:val="791D56CF"/>
    <w:rsid w:val="796ED8FC"/>
    <w:rsid w:val="79754E9F"/>
    <w:rsid w:val="79E74E84"/>
    <w:rsid w:val="79FD44CF"/>
    <w:rsid w:val="7A55094A"/>
    <w:rsid w:val="7A8B0BA1"/>
    <w:rsid w:val="7A9F42A7"/>
    <w:rsid w:val="7AF20495"/>
    <w:rsid w:val="7B31E931"/>
    <w:rsid w:val="7B7DA536"/>
    <w:rsid w:val="7BB730BA"/>
    <w:rsid w:val="7BEF3733"/>
    <w:rsid w:val="7BF28304"/>
    <w:rsid w:val="7BFBD578"/>
    <w:rsid w:val="7BFD6D3F"/>
    <w:rsid w:val="7BFE514B"/>
    <w:rsid w:val="7D5F78C1"/>
    <w:rsid w:val="7D634AB7"/>
    <w:rsid w:val="7D770EA1"/>
    <w:rsid w:val="7D7E12DA"/>
    <w:rsid w:val="7D983576"/>
    <w:rsid w:val="7DB6AB2B"/>
    <w:rsid w:val="7DBBDB1D"/>
    <w:rsid w:val="7DC5315A"/>
    <w:rsid w:val="7DEC0221"/>
    <w:rsid w:val="7DEFBB05"/>
    <w:rsid w:val="7DF78C5C"/>
    <w:rsid w:val="7DFDBF70"/>
    <w:rsid w:val="7E6F240E"/>
    <w:rsid w:val="7EBDC440"/>
    <w:rsid w:val="7ECF788C"/>
    <w:rsid w:val="7EE8E827"/>
    <w:rsid w:val="7EED55A5"/>
    <w:rsid w:val="7EEEE334"/>
    <w:rsid w:val="7EF7085B"/>
    <w:rsid w:val="7EFBAB0A"/>
    <w:rsid w:val="7F1FB74A"/>
    <w:rsid w:val="7F2FB0CE"/>
    <w:rsid w:val="7F3BD060"/>
    <w:rsid w:val="7F6BA90E"/>
    <w:rsid w:val="7F7D297D"/>
    <w:rsid w:val="7F7D4B43"/>
    <w:rsid w:val="7FAB95C0"/>
    <w:rsid w:val="7FAEB9F6"/>
    <w:rsid w:val="7FBF3861"/>
    <w:rsid w:val="7FBF96FE"/>
    <w:rsid w:val="7FBFF8A8"/>
    <w:rsid w:val="7FC9A0F3"/>
    <w:rsid w:val="7FDF19E5"/>
    <w:rsid w:val="7FDF8641"/>
    <w:rsid w:val="7FEFAA2B"/>
    <w:rsid w:val="7FF81EDF"/>
    <w:rsid w:val="7FF86792"/>
    <w:rsid w:val="7FFB66CA"/>
    <w:rsid w:val="7FFD30B5"/>
    <w:rsid w:val="7FFF28E3"/>
    <w:rsid w:val="7FFF309E"/>
    <w:rsid w:val="7FFF50A8"/>
    <w:rsid w:val="7FFFAB99"/>
    <w:rsid w:val="7FFFD837"/>
    <w:rsid w:val="897B4B3D"/>
    <w:rsid w:val="8FBDB79B"/>
    <w:rsid w:val="93FF24CE"/>
    <w:rsid w:val="9A4848C3"/>
    <w:rsid w:val="9C3F5738"/>
    <w:rsid w:val="9DF12117"/>
    <w:rsid w:val="A5F7A9AE"/>
    <w:rsid w:val="AA34AA7D"/>
    <w:rsid w:val="ABEE5341"/>
    <w:rsid w:val="ABFFF7D5"/>
    <w:rsid w:val="AC3FA2BA"/>
    <w:rsid w:val="ADFFE666"/>
    <w:rsid w:val="AF0DE260"/>
    <w:rsid w:val="AF1F7F6E"/>
    <w:rsid w:val="AF3F0D63"/>
    <w:rsid w:val="B2FF9F0F"/>
    <w:rsid w:val="B6CBA13D"/>
    <w:rsid w:val="B6E75A35"/>
    <w:rsid w:val="B6FFB5B0"/>
    <w:rsid w:val="B7FD3370"/>
    <w:rsid w:val="B7FF9D49"/>
    <w:rsid w:val="BBBE4E94"/>
    <w:rsid w:val="BC9F4B72"/>
    <w:rsid w:val="BCBA6586"/>
    <w:rsid w:val="BDEB9EFE"/>
    <w:rsid w:val="BDFE6AB4"/>
    <w:rsid w:val="BF4C3C8D"/>
    <w:rsid w:val="BF6B8F63"/>
    <w:rsid w:val="BF7E25C2"/>
    <w:rsid w:val="BFB66ED3"/>
    <w:rsid w:val="BFDEE33C"/>
    <w:rsid w:val="BFFDCB4F"/>
    <w:rsid w:val="BFFE819E"/>
    <w:rsid w:val="C56C77CB"/>
    <w:rsid w:val="C5F2F9BE"/>
    <w:rsid w:val="C6FC4CD0"/>
    <w:rsid w:val="C6FDB2D1"/>
    <w:rsid w:val="C77B31C3"/>
    <w:rsid w:val="CB5736E5"/>
    <w:rsid w:val="CBF35ACF"/>
    <w:rsid w:val="CDF786C6"/>
    <w:rsid w:val="CF9ACE2B"/>
    <w:rsid w:val="CFEF0640"/>
    <w:rsid w:val="D3AB412E"/>
    <w:rsid w:val="D3FB8036"/>
    <w:rsid w:val="D53B4355"/>
    <w:rsid w:val="D65ECD92"/>
    <w:rsid w:val="D7FF2EE5"/>
    <w:rsid w:val="DABEE28D"/>
    <w:rsid w:val="DB3D29DC"/>
    <w:rsid w:val="DBB7EC3C"/>
    <w:rsid w:val="DBCDDFC5"/>
    <w:rsid w:val="DBDEA60F"/>
    <w:rsid w:val="DBFF7843"/>
    <w:rsid w:val="DCFAA7E5"/>
    <w:rsid w:val="DDFF5532"/>
    <w:rsid w:val="DEB7D2CA"/>
    <w:rsid w:val="DEBD7787"/>
    <w:rsid w:val="DEBF4056"/>
    <w:rsid w:val="DEF6D8F4"/>
    <w:rsid w:val="DF77640A"/>
    <w:rsid w:val="DF7797A7"/>
    <w:rsid w:val="DF7BB42C"/>
    <w:rsid w:val="DF8F2448"/>
    <w:rsid w:val="DFBE5B2B"/>
    <w:rsid w:val="DFEF4B05"/>
    <w:rsid w:val="DFFAA832"/>
    <w:rsid w:val="E1A76AF1"/>
    <w:rsid w:val="E1BD40EC"/>
    <w:rsid w:val="E3FFEAD2"/>
    <w:rsid w:val="E75ECD30"/>
    <w:rsid w:val="E76EE975"/>
    <w:rsid w:val="E77FB84E"/>
    <w:rsid w:val="E7B6D9B0"/>
    <w:rsid w:val="E7B7BA65"/>
    <w:rsid w:val="E7F3FB23"/>
    <w:rsid w:val="E9E780C0"/>
    <w:rsid w:val="E9FC9CDC"/>
    <w:rsid w:val="EA4F2426"/>
    <w:rsid w:val="EB331DEC"/>
    <w:rsid w:val="EBBB5C8B"/>
    <w:rsid w:val="EBDBC23C"/>
    <w:rsid w:val="EBFFA3F5"/>
    <w:rsid w:val="EC6FFCE4"/>
    <w:rsid w:val="EDDF40AD"/>
    <w:rsid w:val="EDFFB04E"/>
    <w:rsid w:val="EEEF4FD2"/>
    <w:rsid w:val="EEF62AF2"/>
    <w:rsid w:val="EEFEA47F"/>
    <w:rsid w:val="EF57D666"/>
    <w:rsid w:val="EF6A62D1"/>
    <w:rsid w:val="EFDE6FA3"/>
    <w:rsid w:val="EFE72E87"/>
    <w:rsid w:val="EFE74D85"/>
    <w:rsid w:val="EFFA6C98"/>
    <w:rsid w:val="EFFBF659"/>
    <w:rsid w:val="EFFF4059"/>
    <w:rsid w:val="F16FC098"/>
    <w:rsid w:val="F1B66B73"/>
    <w:rsid w:val="F27BB2DE"/>
    <w:rsid w:val="F2F6F815"/>
    <w:rsid w:val="F3EE6666"/>
    <w:rsid w:val="F3FBBC3D"/>
    <w:rsid w:val="F5FB8B31"/>
    <w:rsid w:val="F6E68F84"/>
    <w:rsid w:val="F77B0189"/>
    <w:rsid w:val="F77FDEC8"/>
    <w:rsid w:val="F79F4DF5"/>
    <w:rsid w:val="F7DE0C95"/>
    <w:rsid w:val="F7FC78B6"/>
    <w:rsid w:val="F9B7A365"/>
    <w:rsid w:val="F9FA62C8"/>
    <w:rsid w:val="F9FDA610"/>
    <w:rsid w:val="FAFD258F"/>
    <w:rsid w:val="FB774621"/>
    <w:rsid w:val="FBBD7C70"/>
    <w:rsid w:val="FBDFDCD8"/>
    <w:rsid w:val="FBED9DB9"/>
    <w:rsid w:val="FBEE4562"/>
    <w:rsid w:val="FBFA8F1F"/>
    <w:rsid w:val="FBFD176F"/>
    <w:rsid w:val="FC755146"/>
    <w:rsid w:val="FD77F19D"/>
    <w:rsid w:val="FD7D0B2C"/>
    <w:rsid w:val="FD7F3C39"/>
    <w:rsid w:val="FD9E0F87"/>
    <w:rsid w:val="FDBFAAEB"/>
    <w:rsid w:val="FDFACCB6"/>
    <w:rsid w:val="FDFE8009"/>
    <w:rsid w:val="FDFFB57B"/>
    <w:rsid w:val="FDFFE89B"/>
    <w:rsid w:val="FE3E1D92"/>
    <w:rsid w:val="FE6D5CB9"/>
    <w:rsid w:val="FE7ECFD2"/>
    <w:rsid w:val="FEBB9681"/>
    <w:rsid w:val="FED7E22A"/>
    <w:rsid w:val="FEEB37BD"/>
    <w:rsid w:val="FEEFF743"/>
    <w:rsid w:val="FEF5A2DC"/>
    <w:rsid w:val="FEFE4C8E"/>
    <w:rsid w:val="FF593415"/>
    <w:rsid w:val="FF5F2649"/>
    <w:rsid w:val="FF77193D"/>
    <w:rsid w:val="FF77C7F0"/>
    <w:rsid w:val="FF7E4B8A"/>
    <w:rsid w:val="FF7FB7F5"/>
    <w:rsid w:val="FFB5719E"/>
    <w:rsid w:val="FFBAAAE0"/>
    <w:rsid w:val="FFBB529F"/>
    <w:rsid w:val="FFBC8D5E"/>
    <w:rsid w:val="FFBFB584"/>
    <w:rsid w:val="FFCB4F5B"/>
    <w:rsid w:val="FFCF6008"/>
    <w:rsid w:val="FFCFAF0B"/>
    <w:rsid w:val="FFD77A67"/>
    <w:rsid w:val="FFE7140D"/>
    <w:rsid w:val="FFFA7DD3"/>
    <w:rsid w:val="FFFB3A95"/>
    <w:rsid w:val="FFFBA578"/>
    <w:rsid w:val="FFFF7781"/>
    <w:rsid w:val="FFFFB02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rPr>
      <w:sz w:val="24"/>
    </w:rPr>
  </w:style>
  <w:style w:type="paragraph" w:customStyle="1" w:styleId="8">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9">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2135</Words>
  <Characters>2313</Characters>
  <Lines>1</Lines>
  <Paragraphs>1</Paragraphs>
  <TotalTime>5</TotalTime>
  <ScaleCrop>false</ScaleCrop>
  <LinksUpToDate>false</LinksUpToDate>
  <CharactersWithSpaces>2389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2023-03-10T17:58:00Z</dcterms:created>
  <dc:creator>冯春有</dc:creator>
  <cp:lastModifiedBy>吴坤城</cp:lastModifiedBy>
  <cp:lastPrinted>2025-12-14T03:44:00Z</cp:lastPrinted>
  <dcterms:modified xsi:type="dcterms:W3CDTF">2026-03-26T03:49:05Z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CB4E253722074C1CBEBCA8D0F20BF970_13</vt:lpwstr>
  </property>
  <property fmtid="{D5CDD505-2E9C-101B-9397-08002B2CF9AE}" pid="4" name="KSOTemplateDocerSaveRecord">
    <vt:lpwstr>eyJoZGlkIjoiZTQyN2M1M2U3YjFhNzg3ZTlhZGQwMGM5ODcyZDJlZWIiLCJ1c2VySWQiOiIxMzg1ODgzMDMyIn0=</vt:lpwstr>
  </property>
</Properties>
</file>