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FFFFFF"/>
        <w:kinsoku/>
        <w:wordWrap w:val="0"/>
        <w:overflowPunct/>
        <w:topLinePunct w:val="0"/>
        <w:autoSpaceDE/>
        <w:autoSpaceDN/>
        <w:bidi w:val="0"/>
        <w:adjustRightInd/>
        <w:snapToGrid/>
        <w:spacing w:beforeAutospacing="0" w:afterAutospacing="0" w:line="56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pPr>
        <w:keepNext w:val="0"/>
        <w:keepLines w:val="0"/>
        <w:pageBreakBefore w:val="0"/>
        <w:widowControl w:val="0"/>
        <w:shd w:val="clear" w:color="auto" w:fill="FFFFFF"/>
        <w:kinsoku/>
        <w:wordWrap w:val="0"/>
        <w:overflowPunct/>
        <w:topLinePunct w:val="0"/>
        <w:autoSpaceDE/>
        <w:autoSpaceDN/>
        <w:bidi w:val="0"/>
        <w:adjustRightInd/>
        <w:snapToGrid/>
        <w:spacing w:beforeAutospacing="0" w:afterAutospacing="0" w:line="56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pPr>
        <w:keepNext w:val="0"/>
        <w:keepLines w:val="0"/>
        <w:pageBreakBefore w:val="0"/>
        <w:widowControl w:val="0"/>
        <w:shd w:val="clear" w:color="auto" w:fill="FFFFFF"/>
        <w:kinsoku/>
        <w:wordWrap w:val="0"/>
        <w:overflowPunct/>
        <w:topLinePunct w:val="0"/>
        <w:autoSpaceDE/>
        <w:autoSpaceDN/>
        <w:bidi w:val="0"/>
        <w:adjustRightInd/>
        <w:snapToGrid/>
        <w:spacing w:beforeAutospacing="0" w:afterAutospacing="0" w:line="56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pPr>
        <w:keepNext w:val="0"/>
        <w:keepLines w:val="0"/>
        <w:pageBreakBefore w:val="0"/>
        <w:widowControl w:val="0"/>
        <w:shd w:val="clear" w:color="auto" w:fill="FFFFFF"/>
        <w:kinsoku/>
        <w:wordWrap w:val="0"/>
        <w:overflowPunct/>
        <w:topLinePunct w:val="0"/>
        <w:autoSpaceDE/>
        <w:autoSpaceDN/>
        <w:bidi w:val="0"/>
        <w:adjustRightInd/>
        <w:snapToGrid/>
        <w:spacing w:beforeAutospacing="0" w:afterAutospacing="0" w:line="56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pPr>
        <w:keepNext w:val="0"/>
        <w:keepLines w:val="0"/>
        <w:pageBreakBefore w:val="0"/>
        <w:widowControl w:val="0"/>
        <w:numPr>
          <w:ilvl w:val="0"/>
          <w:numId w:val="0"/>
        </w:numPr>
        <w:kinsoku/>
        <w:wordWrap w:val="0"/>
        <w:overflowPunct/>
        <w:topLinePunct w:val="0"/>
        <w:autoSpaceDE/>
        <w:autoSpaceDN/>
        <w:bidi w:val="0"/>
        <w:adjustRightInd/>
        <w:snapToGrid/>
        <w:spacing w:after="0" w:line="560" w:lineRule="exact"/>
        <w:ind w:left="0" w:right="0"/>
        <w:jc w:val="center"/>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焦环罚〔2026〕115号</w:t>
      </w:r>
    </w:p>
    <w:p>
      <w:pPr>
        <w:keepNext w:val="0"/>
        <w:keepLines w:val="0"/>
        <w:pageBreakBefore w:val="0"/>
        <w:widowControl w:val="0"/>
        <w:numPr>
          <w:ilvl w:val="0"/>
          <w:numId w:val="0"/>
        </w:numPr>
        <w:kinsoku/>
        <w:wordWrap w:val="0"/>
        <w:overflowPunct/>
        <w:topLinePunct w:val="0"/>
        <w:autoSpaceDE/>
        <w:autoSpaceDN/>
        <w:bidi w:val="0"/>
        <w:adjustRightInd/>
        <w:snapToGrid/>
        <w:spacing w:after="0" w:line="56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pPr>
        <w:keepNext w:val="0"/>
        <w:keepLines w:val="0"/>
        <w:pageBreakBefore w:val="0"/>
        <w:widowControl w:val="0"/>
        <w:kinsoku/>
        <w:wordWrap w:val="0"/>
        <w:overflowPunct/>
        <w:topLinePunct w:val="0"/>
        <w:autoSpaceDE/>
        <w:autoSpaceDN/>
        <w:bidi w:val="0"/>
        <w:adjustRightInd w:val="0"/>
        <w:snapToGrid w:val="0"/>
        <w:spacing w:line="560" w:lineRule="exact"/>
        <w:jc w:val="both"/>
        <w:textAlignment w:val="auto"/>
        <w:outlineLvl w:val="9"/>
        <w:rPr>
          <w:rFonts w:hint="eastAsia" w:ascii="CESI仿宋-GB2312" w:hAnsi="CESI仿宋-GB2312" w:eastAsia="CESI仿宋-GB2312" w:cs="CESI仿宋-GB2312"/>
          <w:snapToGrid/>
          <w:color w:val="000000"/>
          <w:kern w:val="2"/>
          <w:sz w:val="32"/>
          <w:szCs w:val="32"/>
          <w:lang w:val="en-US" w:eastAsia="zh-CN"/>
        </w:rPr>
      </w:pPr>
      <w:r>
        <w:rPr>
          <w:rFonts w:hint="eastAsia" w:ascii="CESI仿宋-GB2312" w:hAnsi="CESI仿宋-GB2312" w:eastAsia="CESI仿宋-GB2312" w:cs="CESI仿宋-GB2312"/>
          <w:snapToGrid/>
          <w:color w:val="000000"/>
          <w:kern w:val="2"/>
          <w:sz w:val="32"/>
          <w:szCs w:val="32"/>
          <w:lang w:val="en-US" w:eastAsia="zh-CN"/>
        </w:rPr>
        <w:t>沁阳市鑫诚精铸有限公司：</w:t>
      </w:r>
    </w:p>
    <w:p>
      <w:pPr>
        <w:keepNext w:val="0"/>
        <w:keepLines w:val="0"/>
        <w:pageBreakBefore w:val="0"/>
        <w:widowControl w:val="0"/>
        <w:kinsoku/>
        <w:wordWrap w:val="0"/>
        <w:overflowPunct/>
        <w:topLinePunct w:val="0"/>
        <w:autoSpaceDE/>
        <w:autoSpaceDN/>
        <w:bidi w:val="0"/>
        <w:adjustRightInd w:val="0"/>
        <w:snapToGrid w:val="0"/>
        <w:spacing w:line="560" w:lineRule="exact"/>
        <w:jc w:val="both"/>
        <w:textAlignment w:val="auto"/>
        <w:outlineLvl w:val="9"/>
        <w:rPr>
          <w:rFonts w:hint="eastAsia" w:ascii="CESI仿宋-GB2312" w:hAnsi="CESI仿宋-GB2312" w:eastAsia="CESI仿宋-GB2312" w:cs="CESI仿宋-GB2312"/>
          <w:snapToGrid/>
          <w:color w:val="000000"/>
          <w:kern w:val="2"/>
          <w:sz w:val="32"/>
          <w:szCs w:val="32"/>
          <w:lang w:val="en-US" w:eastAsia="zh-CN"/>
        </w:rPr>
      </w:pPr>
      <w:r>
        <w:rPr>
          <w:rFonts w:hint="eastAsia" w:ascii="CESI仿宋-GB2312" w:hAnsi="CESI仿宋-GB2312" w:eastAsia="CESI仿宋-GB2312" w:cs="CESI仿宋-GB2312"/>
          <w:snapToGrid/>
          <w:color w:val="000000"/>
          <w:kern w:val="2"/>
          <w:sz w:val="32"/>
          <w:szCs w:val="32"/>
          <w:lang w:val="en-US" w:eastAsia="zh-CN"/>
        </w:rPr>
        <w:t>社会统一信用代码：91410882MA44U01AXM</w:t>
      </w:r>
    </w:p>
    <w:p>
      <w:pPr>
        <w:keepNext w:val="0"/>
        <w:keepLines w:val="0"/>
        <w:pageBreakBefore w:val="0"/>
        <w:widowControl w:val="0"/>
        <w:kinsoku/>
        <w:wordWrap w:val="0"/>
        <w:overflowPunct/>
        <w:topLinePunct w:val="0"/>
        <w:autoSpaceDE/>
        <w:autoSpaceDN/>
        <w:bidi w:val="0"/>
        <w:adjustRightInd w:val="0"/>
        <w:snapToGrid w:val="0"/>
        <w:spacing w:line="560" w:lineRule="exact"/>
        <w:jc w:val="both"/>
        <w:textAlignment w:val="auto"/>
        <w:outlineLvl w:val="9"/>
        <w:rPr>
          <w:rFonts w:hint="eastAsia" w:ascii="CESI仿宋-GB2312" w:hAnsi="CESI仿宋-GB2312" w:eastAsia="CESI仿宋-GB2312" w:cs="CESI仿宋-GB2312"/>
          <w:snapToGrid/>
          <w:color w:val="000000"/>
          <w:kern w:val="2"/>
          <w:sz w:val="32"/>
          <w:szCs w:val="32"/>
          <w:lang w:val="en-US" w:eastAsia="zh-CN"/>
        </w:rPr>
      </w:pPr>
      <w:r>
        <w:rPr>
          <w:rFonts w:hint="eastAsia" w:ascii="CESI仿宋-GB2312" w:hAnsi="CESI仿宋-GB2312" w:eastAsia="CESI仿宋-GB2312" w:cs="CESI仿宋-GB2312"/>
          <w:snapToGrid/>
          <w:color w:val="000000"/>
          <w:kern w:val="2"/>
          <w:sz w:val="32"/>
          <w:szCs w:val="32"/>
          <w:lang w:val="en-US" w:eastAsia="zh-CN"/>
        </w:rPr>
        <w:t>地址：沁阳市山王庄镇</w:t>
      </w:r>
    </w:p>
    <w:p>
      <w:pPr>
        <w:keepNext w:val="0"/>
        <w:keepLines w:val="0"/>
        <w:pageBreakBefore w:val="0"/>
        <w:widowControl w:val="0"/>
        <w:kinsoku/>
        <w:wordWrap w:val="0"/>
        <w:overflowPunct/>
        <w:topLinePunct w:val="0"/>
        <w:autoSpaceDE/>
        <w:autoSpaceDN/>
        <w:bidi w:val="0"/>
        <w:adjustRightInd w:val="0"/>
        <w:snapToGrid w:val="0"/>
        <w:spacing w:line="560" w:lineRule="exact"/>
        <w:jc w:val="both"/>
        <w:textAlignment w:val="auto"/>
        <w:outlineLvl w:val="9"/>
        <w:rPr>
          <w:rFonts w:hint="eastAsia" w:ascii="CESI仿宋-GB2312" w:hAnsi="CESI仿宋-GB2312" w:eastAsia="CESI仿宋-GB2312" w:cs="CESI仿宋-GB2312"/>
          <w:snapToGrid/>
          <w:color w:val="000000"/>
          <w:kern w:val="2"/>
          <w:sz w:val="32"/>
          <w:szCs w:val="32"/>
          <w:lang w:val="en-US" w:eastAsia="zh-CN"/>
        </w:rPr>
      </w:pPr>
      <w:r>
        <w:rPr>
          <w:rFonts w:hint="eastAsia" w:ascii="CESI仿宋-GB2312" w:hAnsi="CESI仿宋-GB2312" w:eastAsia="CESI仿宋-GB2312" w:cs="CESI仿宋-GB2312"/>
          <w:snapToGrid/>
          <w:color w:val="000000"/>
          <w:kern w:val="2"/>
          <w:sz w:val="32"/>
          <w:szCs w:val="32"/>
          <w:lang w:val="en-US" w:eastAsia="zh-CN"/>
        </w:rPr>
        <w:t>法定代表人（负责人）：候小兵</w:t>
      </w:r>
    </w:p>
    <w:p>
      <w:pPr>
        <w:pStyle w:val="6"/>
        <w:keepNext w:val="0"/>
        <w:keepLines w:val="0"/>
        <w:pageBreakBefore w:val="0"/>
        <w:widowControl w:val="0"/>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firstLine="320" w:firstLineChars="100"/>
        <w:textAlignment w:val="auto"/>
        <w:rPr>
          <w:rFonts w:hint="eastAsia" w:ascii="CESI仿宋-GB2312" w:hAnsi="CESI仿宋-GB2312" w:eastAsia="CESI仿宋-GB2312" w:cs="CESI仿宋-GB2312"/>
          <w:color w:val="000000"/>
          <w:sz w:val="32"/>
          <w:szCs w:val="32"/>
          <w:lang w:val="en-US" w:eastAsia="zh-CN"/>
        </w:rPr>
      </w:pPr>
      <w:r>
        <w:rPr>
          <w:rFonts w:hint="eastAsia" w:ascii="CESI黑体-GB2312" w:hAnsi="CESI黑体-GB2312" w:eastAsia="CESI黑体-GB2312" w:cs="CESI黑体-GB2312"/>
          <w:color w:val="auto"/>
          <w:sz w:val="32"/>
          <w:szCs w:val="32"/>
          <w:lang w:eastAsia="zh-CN"/>
        </w:rPr>
        <w:t>一、</w:t>
      </w:r>
      <w:r>
        <w:rPr>
          <w:rFonts w:hint="eastAsia" w:ascii="CESI黑体-GB2312" w:hAnsi="CESI黑体-GB2312" w:eastAsia="CESI黑体-GB2312" w:cs="CESI黑体-GB2312"/>
          <w:color w:val="auto"/>
          <w:sz w:val="32"/>
          <w:szCs w:val="32"/>
        </w:rPr>
        <w:t>环境违法事实和证据</w:t>
      </w:r>
    </w:p>
    <w:p>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2026年1月30日，焦作市生态环境局沁阳分局执法人员在对沁阳市鑫诚精铸有限公司检查时，发现该单位生产车间内新建了4台的全自动射芯机，该设备主要用于模具制作，通过调查该单位环评报告表不包括现场的4台设备。该项目环境影响报告表未经批准擅自开工建设。</w:t>
      </w:r>
    </w:p>
    <w:p>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color w:val="000000"/>
          <w:sz w:val="32"/>
          <w:szCs w:val="32"/>
          <w:lang w:val="en-US" w:eastAsia="zh-CN"/>
        </w:rPr>
        <w:t>你单位的</w:t>
      </w:r>
      <w:r>
        <w:rPr>
          <w:rFonts w:hint="eastAsia" w:ascii="CESI仿宋-GB2312" w:hAnsi="CESI仿宋-GB2312" w:eastAsia="CESI仿宋-GB2312" w:cs="CESI仿宋-GB2312"/>
          <w:color w:val="000000"/>
          <w:sz w:val="32"/>
          <w:szCs w:val="32"/>
        </w:rPr>
        <w:t>上述行为违反了《中华人民共和国环境影响评价法》第二十五条：“建设项目的环境影响评价文件未依法经审批部门审查或者审查后未予批准的，建设单位不得开工建设。”的规定。</w:t>
      </w:r>
    </w:p>
    <w:p>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000000"/>
          <w:sz w:val="32"/>
          <w:szCs w:val="32"/>
        </w:rPr>
        <w:t>以上事实</w:t>
      </w:r>
      <w:r>
        <w:rPr>
          <w:rFonts w:hint="eastAsia" w:ascii="CESI仿宋-GB2312" w:hAnsi="CESI仿宋-GB2312" w:eastAsia="CESI仿宋-GB2312" w:cs="CESI仿宋-GB2312"/>
          <w:color w:val="000000"/>
          <w:sz w:val="32"/>
          <w:szCs w:val="32"/>
          <w:lang w:eastAsia="zh-CN"/>
        </w:rPr>
        <w:t>，</w:t>
      </w:r>
      <w:r>
        <w:rPr>
          <w:rFonts w:hint="eastAsia" w:ascii="CESI仿宋-GB2312" w:hAnsi="CESI仿宋-GB2312" w:eastAsia="CESI仿宋-GB2312" w:cs="CESI仿宋-GB2312"/>
          <w:color w:val="auto"/>
          <w:sz w:val="32"/>
          <w:szCs w:val="32"/>
          <w:lang w:val="en-US" w:eastAsia="zh-CN"/>
        </w:rPr>
        <w:t>主要有以下证据证明：</w:t>
      </w:r>
    </w:p>
    <w:p>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auto"/>
          <w:sz w:val="32"/>
          <w:szCs w:val="32"/>
        </w:rPr>
        <w:t>1</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color w:val="000000"/>
          <w:sz w:val="32"/>
          <w:szCs w:val="32"/>
          <w:u w:val="none"/>
          <w:lang w:val="en-US" w:eastAsia="zh-CN"/>
        </w:rPr>
        <w:t>现场检查（勘察）笔录及现场照片/视频（2026年1月30日），证明你单位4台的全自动射芯机已经建成并投入生产的事实；</w:t>
      </w:r>
    </w:p>
    <w:p>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2.调查询问笔录（2026年2月2日对候小兵的调查询问），证明你单位</w:t>
      </w:r>
      <w:r>
        <w:rPr>
          <w:rFonts w:hint="eastAsia" w:ascii="CESI仿宋-GB2312" w:hAnsi="CESI仿宋-GB2312" w:eastAsia="CESI仿宋-GB2312" w:cs="CESI仿宋-GB2312"/>
          <w:snapToGrid/>
          <w:color w:val="000000"/>
          <w:kern w:val="2"/>
          <w:sz w:val="32"/>
          <w:szCs w:val="32"/>
          <w:lang w:val="en-US" w:eastAsia="zh-CN"/>
        </w:rPr>
        <w:t>环境影响报告表未经批准擅自开工建设</w:t>
      </w:r>
      <w:r>
        <w:rPr>
          <w:rFonts w:hint="eastAsia" w:ascii="CESI仿宋-GB2312" w:hAnsi="CESI仿宋-GB2312" w:eastAsia="CESI仿宋-GB2312" w:cs="CESI仿宋-GB2312"/>
          <w:color w:val="000000"/>
          <w:sz w:val="32"/>
          <w:szCs w:val="32"/>
          <w:u w:val="none"/>
          <w:lang w:val="en-US" w:eastAsia="zh-CN"/>
        </w:rPr>
        <w:t>的事实；</w:t>
      </w:r>
    </w:p>
    <w:p>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3.营业执照复印件,证明你单位法人主体资格；</w:t>
      </w:r>
    </w:p>
    <w:p>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4.法人身份证复印件，证明被询问人候小兵的身份信息；</w:t>
      </w:r>
    </w:p>
    <w:p>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5.固定污染源排污登记回执复印件，证明你单位依法办理排污许可手续；</w:t>
      </w:r>
    </w:p>
    <w:p>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6.环境影响报告表（2018年2月编制），证明你单位建设项目依法编制并通过审批；</w:t>
      </w:r>
    </w:p>
    <w:p>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7.禹州市金尧覆膜砂有限公司收据，证明你单位4台的全自动射芯机的市场价值；</w:t>
      </w:r>
    </w:p>
    <w:p>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8.执法人员的执法证复印，证明执法人</w:t>
      </w:r>
      <w:bookmarkStart w:id="0" w:name="_GoBack"/>
      <w:bookmarkEnd w:id="0"/>
      <w:r>
        <w:rPr>
          <w:rFonts w:hint="eastAsia" w:ascii="CESI仿宋-GB2312" w:hAnsi="CESI仿宋-GB2312" w:eastAsia="CESI仿宋-GB2312" w:cs="CESI仿宋-GB2312"/>
          <w:color w:val="000000"/>
          <w:sz w:val="32"/>
          <w:szCs w:val="32"/>
          <w:u w:val="none"/>
          <w:lang w:val="en-US" w:eastAsia="zh-CN"/>
        </w:rPr>
        <w:t>员的身份和资格；</w:t>
      </w:r>
    </w:p>
    <w:p>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9.其他证据。</w:t>
      </w:r>
    </w:p>
    <w:p>
      <w:pPr>
        <w:pStyle w:val="6"/>
        <w:keepNext w:val="0"/>
        <w:keepLines w:val="0"/>
        <w:pageBreakBefore w:val="0"/>
        <w:widowControl w:val="0"/>
        <w:kinsoku/>
        <w:wordWrap w:val="0"/>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lang w:val="en-US" w:eastAsia="zh-CN"/>
        </w:rPr>
        <w:t>3</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日直接送达《行政处罚事先告知书》（焦</w:t>
      </w:r>
      <w:r>
        <w:rPr>
          <w:rFonts w:hint="eastAsia" w:ascii="CESI仿宋-GB2312" w:hAnsi="CESI仿宋-GB2312" w:eastAsia="CESI仿宋-GB2312" w:cs="CESI仿宋-GB2312"/>
          <w:color w:val="auto"/>
          <w:sz w:val="32"/>
          <w:szCs w:val="32"/>
          <w:lang w:val="en-US" w:eastAsia="zh-CN"/>
        </w:rPr>
        <w:t>沁</w:t>
      </w:r>
      <w:r>
        <w:rPr>
          <w:rFonts w:hint="eastAsia" w:ascii="CESI仿宋-GB2312" w:hAnsi="CESI仿宋-GB2312" w:eastAsia="CESI仿宋-GB2312" w:cs="CESI仿宋-GB2312"/>
          <w:color w:val="auto"/>
          <w:sz w:val="32"/>
          <w:szCs w:val="32"/>
          <w:lang w:val="en-US" w:eastAsia="en-US"/>
        </w:rPr>
        <w:t>环</w:t>
      </w:r>
      <w:r>
        <w:rPr>
          <w:rFonts w:hint="eastAsia" w:ascii="CESI仿宋-GB2312" w:hAnsi="CESI仿宋-GB2312" w:eastAsia="CESI仿宋-GB2312" w:cs="CESI仿宋-GB2312"/>
          <w:color w:val="auto"/>
          <w:sz w:val="32"/>
          <w:szCs w:val="32"/>
          <w:lang w:val="en-US" w:eastAsia="zh-CN"/>
        </w:rPr>
        <w:t>先</w:t>
      </w:r>
      <w:r>
        <w:rPr>
          <w:rFonts w:hint="eastAsia" w:ascii="CESI仿宋-GB2312" w:hAnsi="CESI仿宋-GB2312" w:eastAsia="CESI仿宋-GB2312" w:cs="CESI仿宋-GB2312"/>
          <w:color w:val="auto"/>
          <w:sz w:val="32"/>
          <w:szCs w:val="32"/>
          <w:lang w:val="en-US" w:eastAsia="en-US"/>
        </w:rPr>
        <w:t>告</w:t>
      </w:r>
      <w:r>
        <w:rPr>
          <w:rFonts w:hint="eastAsia" w:ascii="CESI仿宋-GB2312" w:hAnsi="CESI仿宋-GB2312" w:eastAsia="CESI仿宋-GB2312" w:cs="CESI仿宋-GB2312"/>
          <w:color w:val="auto"/>
          <w:sz w:val="32"/>
          <w:szCs w:val="32"/>
          <w:lang w:val="en-US" w:eastAsia="zh-CN"/>
        </w:rPr>
        <w:t>字</w:t>
      </w:r>
      <w:r>
        <w:rPr>
          <w:rFonts w:hint="eastAsia" w:ascii="CESI仿宋-GB2312" w:hAnsi="CESI仿宋-GB2312" w:eastAsia="CESI仿宋-GB2312" w:cs="CESI仿宋-GB2312"/>
          <w:color w:val="auto"/>
          <w:sz w:val="32"/>
          <w:szCs w:val="32"/>
          <w:lang w:val="en-US" w:eastAsia="en-US"/>
        </w:rPr>
        <w:t>〔202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10</w:t>
      </w:r>
      <w:r>
        <w:rPr>
          <w:rFonts w:hint="eastAsia" w:ascii="CESI仿宋-GB2312" w:hAnsi="CESI仿宋-GB2312" w:eastAsia="CESI仿宋-GB2312" w:cs="CESI仿宋-GB2312"/>
          <w:color w:val="auto"/>
          <w:sz w:val="32"/>
          <w:szCs w:val="32"/>
          <w:lang w:val="en-US" w:eastAsia="en-US"/>
        </w:rPr>
        <w:t>号），</w:t>
      </w:r>
      <w:r>
        <w:rPr>
          <w:rFonts w:hint="eastAsia" w:ascii="CESI仿宋-GB2312" w:hAnsi="CESI仿宋-GB2312" w:eastAsia="CESI仿宋-GB2312" w:cs="CESI仿宋-GB2312"/>
          <w:color w:val="auto"/>
          <w:sz w:val="32"/>
          <w:szCs w:val="32"/>
          <w:lang w:val="en-US" w:eastAsia="zh-CN"/>
        </w:rPr>
        <w:t>告知书告知你单位</w:t>
      </w:r>
      <w:r>
        <w:rPr>
          <w:rFonts w:hint="eastAsia" w:ascii="CESI仿宋-GB2312" w:hAnsi="CESI仿宋-GB2312" w:eastAsia="CESI仿宋-GB2312" w:cs="CESI仿宋-GB2312"/>
          <w:color w:val="auto"/>
          <w:sz w:val="32"/>
          <w:szCs w:val="32"/>
          <w:lang w:val="en-US" w:eastAsia="en-US"/>
        </w:rPr>
        <w:t>陈述申辩权。你</w:t>
      </w:r>
      <w:r>
        <w:rPr>
          <w:rFonts w:hint="eastAsia" w:ascii="CESI仿宋-GB2312" w:hAnsi="CESI仿宋-GB2312" w:eastAsia="CESI仿宋-GB2312" w:cs="CESI仿宋-GB2312"/>
          <w:color w:val="auto"/>
          <w:sz w:val="32"/>
          <w:szCs w:val="32"/>
          <w:lang w:val="en-US" w:eastAsia="zh-CN"/>
        </w:rPr>
        <w:t>单位在</w:t>
      </w:r>
      <w:r>
        <w:rPr>
          <w:rFonts w:hint="eastAsia" w:ascii="CESI仿宋-GB2312" w:hAnsi="CESI仿宋-GB2312" w:eastAsia="CESI仿宋-GB2312" w:cs="CESI仿宋-GB2312"/>
          <w:color w:val="auto"/>
          <w:sz w:val="32"/>
          <w:szCs w:val="32"/>
          <w:lang w:val="en-US" w:eastAsia="en-US"/>
        </w:rPr>
        <w:t>法定期限内未提出陈述申辩</w:t>
      </w:r>
      <w:r>
        <w:rPr>
          <w:rFonts w:hint="eastAsia" w:ascii="CESI仿宋-GB2312" w:hAnsi="CESI仿宋-GB2312" w:eastAsia="CESI仿宋-GB2312" w:cs="CESI仿宋-GB2312"/>
          <w:color w:val="auto"/>
          <w:sz w:val="32"/>
          <w:szCs w:val="32"/>
          <w:lang w:val="en-US" w:eastAsia="zh-CN"/>
        </w:rPr>
        <w:t>，视为你单位放弃</w:t>
      </w:r>
      <w:r>
        <w:rPr>
          <w:rFonts w:hint="eastAsia" w:ascii="CESI仿宋-GB2312" w:hAnsi="CESI仿宋-GB2312" w:eastAsia="CESI仿宋-GB2312" w:cs="CESI仿宋-GB2312"/>
          <w:color w:val="auto"/>
          <w:sz w:val="32"/>
          <w:szCs w:val="32"/>
          <w:lang w:val="en-US" w:eastAsia="en-US"/>
        </w:rPr>
        <w:t>陈述申辩</w:t>
      </w:r>
      <w:r>
        <w:rPr>
          <w:rFonts w:hint="eastAsia" w:ascii="CESI仿宋-GB2312" w:hAnsi="CESI仿宋-GB2312" w:eastAsia="CESI仿宋-GB2312" w:cs="CESI仿宋-GB2312"/>
          <w:color w:val="auto"/>
          <w:sz w:val="32"/>
          <w:szCs w:val="32"/>
          <w:lang w:val="en-US" w:eastAsia="zh-CN"/>
        </w:rPr>
        <w:t>权利。</w:t>
      </w:r>
    </w:p>
    <w:p>
      <w:pPr>
        <w:keepNext w:val="0"/>
        <w:keepLines w:val="0"/>
        <w:pageBreakBefore w:val="0"/>
        <w:widowControl w:val="0"/>
        <w:kinsoku/>
        <w:wordWrap w:val="0"/>
        <w:overflowPunct/>
        <w:topLinePunct w:val="0"/>
        <w:autoSpaceDE/>
        <w:autoSpaceDN/>
        <w:bidi w:val="0"/>
        <w:adjustRightInd w:val="0"/>
        <w:snapToGrid w:val="0"/>
        <w:spacing w:line="560" w:lineRule="exact"/>
        <w:ind w:left="0" w:firstLine="624" w:firstLineChars="200"/>
        <w:jc w:val="left"/>
        <w:textAlignment w:val="baseline"/>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二、行政处罚的依据、种类</w:t>
      </w:r>
    </w:p>
    <w:p>
      <w:pPr>
        <w:keepNext w:val="0"/>
        <w:keepLines w:val="0"/>
        <w:pageBreakBefore w:val="0"/>
        <w:widowControl w:val="0"/>
        <w:numPr>
          <w:ilvl w:val="0"/>
          <w:numId w:val="0"/>
        </w:numPr>
        <w:tabs>
          <w:tab w:val="left" w:pos="300"/>
          <w:tab w:val="center" w:pos="4365"/>
          <w:tab w:val="left" w:pos="6345"/>
        </w:tabs>
        <w:kinsoku/>
        <w:wordWrap w:val="0"/>
        <w:overflowPunct/>
        <w:topLinePunct w:val="0"/>
        <w:autoSpaceDE/>
        <w:autoSpaceDN/>
        <w:bidi w:val="0"/>
        <w:adjustRightInd/>
        <w:snapToGrid/>
        <w:spacing w:line="560" w:lineRule="exact"/>
        <w:ind w:right="0" w:rightChars="0" w:firstLine="640" w:firstLineChars="200"/>
        <w:jc w:val="both"/>
        <w:textAlignment w:val="auto"/>
        <w:rPr>
          <w:rFonts w:hint="eastAsia" w:ascii="CESI仿宋-GB2312" w:hAnsi="CESI仿宋-GB2312" w:eastAsia="CESI仿宋-GB2312" w:cs="CESI仿宋-GB2312"/>
          <w:color w:val="000000"/>
          <w:kern w:val="0"/>
          <w:sz w:val="32"/>
          <w:szCs w:val="32"/>
          <w:lang w:val="en-US" w:eastAsia="zh-CN" w:bidi="ar"/>
        </w:rPr>
      </w:pPr>
      <w:r>
        <w:rPr>
          <w:rFonts w:hint="eastAsia" w:ascii="CESI仿宋-GB2312" w:hAnsi="CESI仿宋-GB2312" w:eastAsia="CESI仿宋-GB2312" w:cs="CESI仿宋-GB2312"/>
          <w:color w:val="000000"/>
          <w:kern w:val="0"/>
          <w:sz w:val="32"/>
          <w:szCs w:val="32"/>
          <w:u w:val="none"/>
          <w:lang w:val="en-US" w:eastAsia="zh-CN"/>
        </w:rPr>
        <w:t>根据你单位违法行为的事实、性质、情节、社会危害程度和相关证据，</w:t>
      </w:r>
      <w:r>
        <w:rPr>
          <w:rFonts w:hint="eastAsia" w:ascii="CESI仿宋-GB2312" w:hAnsi="CESI仿宋-GB2312" w:eastAsia="CESI仿宋-GB2312" w:cs="CESI仿宋-GB2312"/>
          <w:color w:val="000000"/>
          <w:kern w:val="0"/>
          <w:sz w:val="32"/>
          <w:szCs w:val="32"/>
          <w:lang w:val="en-US" w:eastAsia="zh-CN" w:bidi="ar"/>
        </w:rPr>
        <w:t>参照《河南省生态环境行政处罚裁量基准》：裁量因素：项目建设情况：主体工程已建成但尚未投入生产或者使用的，裁量等级：3，裁量因素：项目应报批的环评文件类别，内容：报告表，裁量等级：1，裁量因素：项目建设地点，内容：符合环境功能规划，裁量等级：1，裁量因素：违法行为持续时间，内容：1个月以下，裁量等级：1，裁量因素：超过限期改正时间，内容：限期改正，裁量等级：1，裁量因素：是否配合执法检查，内容：配合调查，裁量等级：1，法定处罚金额上限(M)：5000，法定处罚金额下限(N)：1000，首要裁量因素裁量等级(A)：3，其余裁量因素个数(n)：5，其余裁量因素裁量等级(Bi)：[1,1,1,1,1],处罚金额(X)：1800元,代入公式：</w:t>
      </w:r>
      <w:r>
        <w:rPr>
          <w:rFonts w:hint="eastAsia" w:ascii="CESI仿宋-GB2312" w:hAnsi="CESI仿宋-GB2312" w:eastAsia="CESI仿宋-GB2312" w:cs="CESI仿宋-GB2312"/>
          <w:color w:val="000000"/>
          <w:spacing w:val="20"/>
          <w:kern w:val="0"/>
          <w:sz w:val="32"/>
          <w:szCs w:val="32"/>
          <w:lang w:val="en-US" w:eastAsia="zh-CN" w:bidi="ar"/>
        </w:rPr>
        <w:t>1800=1000+(5000-1000)x[（3/5）</w:t>
      </w:r>
      <w:r>
        <w:rPr>
          <w:rFonts w:hint="eastAsia" w:ascii="CESI仿宋-GB2312" w:hAnsi="CESI仿宋-GB2312" w:eastAsia="CESI仿宋-GB2312" w:cs="CESI仿宋-GB2312"/>
          <w:color w:val="000000"/>
          <w:spacing w:val="20"/>
          <w:kern w:val="0"/>
          <w:sz w:val="32"/>
          <w:szCs w:val="32"/>
          <w:vertAlign w:val="superscript"/>
          <w:lang w:val="en-US" w:eastAsia="zh-CN" w:bidi="ar"/>
        </w:rPr>
        <w:t>2</w:t>
      </w:r>
      <w:r>
        <w:rPr>
          <w:rFonts w:hint="eastAsia" w:ascii="CESI仿宋-GB2312" w:hAnsi="CESI仿宋-GB2312" w:eastAsia="CESI仿宋-GB2312" w:cs="CESI仿宋-GB2312"/>
          <w:color w:val="000000"/>
          <w:spacing w:val="20"/>
          <w:kern w:val="0"/>
          <w:sz w:val="32"/>
          <w:szCs w:val="32"/>
          <w:lang w:val="en-US" w:eastAsia="zh-CN" w:bidi="ar"/>
        </w:rPr>
        <w:t>+</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+1</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)/(5</w:t>
      </w:r>
      <w:r>
        <w:rPr>
          <w:rFonts w:hint="eastAsia" w:ascii="CESI仿宋-GB2312" w:hAnsi="CESI仿宋-GB2312" w:eastAsia="CESI仿宋-GB2312" w:cs="CESI仿宋-GB2312"/>
          <w:color w:val="000000"/>
          <w:kern w:val="0"/>
          <w:sz w:val="32"/>
          <w:szCs w:val="32"/>
          <w:vertAlign w:val="superscript"/>
          <w:lang w:val="en-US" w:eastAsia="zh-CN" w:bidi="ar"/>
        </w:rPr>
        <w:t>2</w:t>
      </w:r>
      <w:r>
        <w:rPr>
          <w:rFonts w:hint="eastAsia" w:ascii="CESI仿宋-GB2312" w:hAnsi="CESI仿宋-GB2312" w:eastAsia="CESI仿宋-GB2312" w:cs="CESI仿宋-GB2312"/>
          <w:color w:val="000000"/>
          <w:kern w:val="0"/>
          <w:sz w:val="32"/>
          <w:szCs w:val="32"/>
          <w:lang w:val="en-US" w:eastAsia="zh-CN" w:bidi="ar"/>
        </w:rPr>
        <w:t>x5)]x50%，最终裁量金额：1800元。</w:t>
      </w:r>
    </w:p>
    <w:p>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textAlignment w:val="auto"/>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bCs/>
          <w:color w:val="000000"/>
          <w:kern w:val="0"/>
          <w:sz w:val="32"/>
          <w:szCs w:val="32"/>
          <w:u w:val="none"/>
          <w:lang w:val="en-US" w:eastAsia="zh-CN"/>
        </w:rPr>
        <w:t>根据</w:t>
      </w:r>
      <w:r>
        <w:rPr>
          <w:rFonts w:hint="eastAsia" w:ascii="CESI仿宋-GB2312" w:hAnsi="CESI仿宋-GB2312" w:eastAsia="CESI仿宋-GB2312" w:cs="CESI仿宋-GB2312"/>
          <w:snapToGrid/>
          <w:color w:val="000000"/>
          <w:kern w:val="2"/>
          <w:sz w:val="32"/>
          <w:szCs w:val="32"/>
          <w:lang w:val="en-US" w:eastAsia="zh-CN"/>
        </w:rPr>
        <w:t>《中华人民共和国环境影响评价法》第三十一条第一款：“建设单位未依法报批建设项目环境影响报告书、报告表，或者未依照本法第二十四条的规定重新报批或者报请重新审核环境影响报告书、报告表，擅自开工建设的，由县级以上生态环境主管部门责令停止建设，根据违法情节和危害后果，处建设项目总投资额百分之一以上百分之五以下的罚款，并可以责令恢复原状;对建设单位直接负责的主管人员和其他直接责任人员，依法给予行政处分。”的规定</w:t>
      </w:r>
      <w:r>
        <w:rPr>
          <w:rFonts w:hint="eastAsia" w:ascii="CESI仿宋-GB2312" w:hAnsi="CESI仿宋-GB2312" w:eastAsia="CESI仿宋-GB2312" w:cs="CESI仿宋-GB2312"/>
          <w:color w:val="000000"/>
          <w:kern w:val="0"/>
          <w:sz w:val="32"/>
          <w:szCs w:val="32"/>
          <w:u w:val="none"/>
          <w:lang w:val="en-US" w:eastAsia="zh-CN"/>
        </w:rPr>
        <w:t>，我局对你单位未经批准</w:t>
      </w:r>
      <w:r>
        <w:rPr>
          <w:rFonts w:hint="eastAsia" w:ascii="CESI仿宋-GB2312" w:hAnsi="CESI仿宋-GB2312" w:eastAsia="CESI仿宋-GB2312" w:cs="CESI仿宋-GB2312"/>
          <w:snapToGrid/>
          <w:color w:val="000000"/>
          <w:kern w:val="2"/>
          <w:sz w:val="32"/>
          <w:szCs w:val="32"/>
          <w:lang w:val="en-US" w:eastAsia="zh-CN"/>
        </w:rPr>
        <w:t>擅自开工建设</w:t>
      </w:r>
      <w:r>
        <w:rPr>
          <w:rFonts w:hint="eastAsia" w:ascii="CESI仿宋-GB2312" w:hAnsi="CESI仿宋-GB2312" w:eastAsia="CESI仿宋-GB2312" w:cs="CESI仿宋-GB2312"/>
          <w:color w:val="000000"/>
          <w:kern w:val="0"/>
          <w:sz w:val="32"/>
          <w:szCs w:val="32"/>
          <w:u w:val="none"/>
          <w:lang w:val="en-US" w:eastAsia="zh-CN"/>
        </w:rPr>
        <w:t>的违法行为作出以下处理决定：</w:t>
      </w:r>
    </w:p>
    <w:p>
      <w:pPr>
        <w:keepNext w:val="0"/>
        <w:keepLines w:val="0"/>
        <w:pageBreakBefore w:val="0"/>
        <w:widowControl w:val="0"/>
        <w:kinsoku/>
        <w:wordWrap w:val="0"/>
        <w:overflowPunct/>
        <w:topLinePunct w:val="0"/>
        <w:autoSpaceDE/>
        <w:autoSpaceDN/>
        <w:bidi w:val="0"/>
        <w:adjustRightInd w:val="0"/>
        <w:snapToGrid w:val="0"/>
        <w:spacing w:line="560" w:lineRule="exact"/>
        <w:ind w:left="0" w:firstLine="640" w:firstLineChars="200"/>
        <w:textAlignment w:val="auto"/>
        <w:rPr>
          <w:rFonts w:hint="eastAsia" w:ascii="CESI仿宋-GB2312" w:hAnsi="CESI仿宋-GB2312" w:eastAsia="CESI仿宋-GB2312" w:cs="CESI仿宋-GB2312"/>
          <w:color w:val="000000"/>
          <w:kern w:val="0"/>
          <w:sz w:val="32"/>
          <w:szCs w:val="32"/>
          <w:u w:val="none"/>
          <w:lang w:val="en-US" w:eastAsia="zh-CN"/>
        </w:rPr>
      </w:pPr>
      <w:r>
        <w:rPr>
          <w:rFonts w:hint="eastAsia" w:ascii="CESI仿宋-GB2312" w:hAnsi="CESI仿宋-GB2312" w:eastAsia="CESI仿宋-GB2312" w:cs="CESI仿宋-GB2312"/>
          <w:color w:val="000000"/>
          <w:kern w:val="0"/>
          <w:sz w:val="32"/>
          <w:szCs w:val="32"/>
          <w:u w:val="none"/>
          <w:lang w:val="en-US" w:eastAsia="zh-CN"/>
        </w:rPr>
        <w:t>给予罚款壹仟捌佰元（1800元）的行政处罚。</w:t>
      </w:r>
    </w:p>
    <w:p>
      <w:pPr>
        <w:keepNext w:val="0"/>
        <w:keepLines w:val="0"/>
        <w:pageBreakBefore w:val="0"/>
        <w:widowControl w:val="0"/>
        <w:kinsoku/>
        <w:wordWrap w:val="0"/>
        <w:overflowPunct/>
        <w:topLinePunct w:val="0"/>
        <w:autoSpaceDE/>
        <w:autoSpaceDN/>
        <w:bidi w:val="0"/>
        <w:adjustRightInd w:val="0"/>
        <w:snapToGrid w:val="0"/>
        <w:spacing w:line="560" w:lineRule="exact"/>
        <w:ind w:left="0" w:firstLine="624" w:firstLineChars="200"/>
        <w:jc w:val="left"/>
        <w:textAlignment w:val="baseline"/>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三、行政处罚决定的履行方式和期限</w:t>
      </w:r>
    </w:p>
    <w:p>
      <w:pPr>
        <w:keepNext w:val="0"/>
        <w:keepLines w:val="0"/>
        <w:pageBreakBefore w:val="0"/>
        <w:widowControl w:val="0"/>
        <w:numPr>
          <w:ilvl w:val="0"/>
          <w:numId w:val="0"/>
        </w:numPr>
        <w:kinsoku/>
        <w:wordWrap w:val="0"/>
        <w:overflowPunct/>
        <w:topLinePunct w:val="0"/>
        <w:autoSpaceDE/>
        <w:autoSpaceDN/>
        <w:bidi w:val="0"/>
        <w:adjustRightInd/>
        <w:snapToGrid/>
        <w:spacing w:after="0" w:line="56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单位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pPr>
        <w:keepNext w:val="0"/>
        <w:keepLines w:val="0"/>
        <w:pageBreakBefore w:val="0"/>
        <w:widowControl w:val="0"/>
        <w:kinsoku/>
        <w:wordWrap w:val="0"/>
        <w:overflowPunct/>
        <w:topLinePunct w:val="0"/>
        <w:autoSpaceDE/>
        <w:autoSpaceDN/>
        <w:bidi w:val="0"/>
        <w:adjustRightInd w:val="0"/>
        <w:snapToGrid w:val="0"/>
        <w:spacing w:line="560" w:lineRule="exact"/>
        <w:ind w:left="0" w:firstLine="624" w:firstLineChars="200"/>
        <w:jc w:val="left"/>
        <w:textAlignment w:val="baseline"/>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四、申请行政复议或提起行政诉讼的途径和期限</w:t>
      </w:r>
    </w:p>
    <w:p>
      <w:pPr>
        <w:keepNext w:val="0"/>
        <w:keepLines w:val="0"/>
        <w:pageBreakBefore w:val="0"/>
        <w:widowControl w:val="0"/>
        <w:kinsoku/>
        <w:wordWrap w:val="0"/>
        <w:overflowPunct/>
        <w:topLinePunct w:val="0"/>
        <w:autoSpaceDE/>
        <w:autoSpaceDN/>
        <w:bidi w:val="0"/>
        <w:adjustRightInd w:val="0"/>
        <w:snapToGrid w:val="0"/>
        <w:spacing w:line="560" w:lineRule="exact"/>
        <w:ind w:left="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单位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pPr>
        <w:keepNext w:val="0"/>
        <w:keepLines w:val="0"/>
        <w:pageBreakBefore w:val="0"/>
        <w:widowControl w:val="0"/>
        <w:numPr>
          <w:ilvl w:val="0"/>
          <w:numId w:val="0"/>
        </w:numPr>
        <w:kinsoku/>
        <w:wordWrap w:val="0"/>
        <w:overflowPunct/>
        <w:topLinePunct w:val="0"/>
        <w:autoSpaceDE/>
        <w:autoSpaceDN/>
        <w:bidi w:val="0"/>
        <w:adjustRightInd/>
        <w:snapToGrid/>
        <w:spacing w:after="0" w:line="560" w:lineRule="exact"/>
        <w:ind w:left="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after="0" w:line="560" w:lineRule="exact"/>
        <w:ind w:left="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after="0" w:line="560" w:lineRule="exact"/>
        <w:ind w:left="0" w:right="0" w:firstLine="5120" w:firstLineChars="16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after="0" w:line="560" w:lineRule="exact"/>
        <w:ind w:left="0" w:right="0" w:firstLine="5120" w:firstLineChars="160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color="auto"/>
          <w:lang w:val="en-US" w:eastAsia="zh-CN"/>
        </w:rPr>
        <w:t>2026年4月9日</w:t>
      </w:r>
    </w:p>
    <w:sectPr>
      <w:footerReference r:id="rId3"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文泉驿微米黑"/>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CESI黑体-GB2312">
    <w:panose1 w:val="02000500000000000000"/>
    <w:charset w:val="86"/>
    <w:family w:val="auto"/>
    <w:pitch w:val="default"/>
    <w:sig w:usb0="800002BF" w:usb1="184F6CF8" w:usb2="00000012" w:usb3="00000000" w:csb0="0004000F" w:csb1="0000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ascii="Calibri" w:hAnsi="Calibri" w:eastAsia="宋体" w:cs="黑体"/>
        <w:kern w:val="2"/>
        <w:sz w:val="18"/>
        <w:szCs w:val="18"/>
        <w:lang w:val="en-US" w:eastAsia="zh-CN" w:bidi="ar-SA"/>
      </w:rPr>
      <w:pict>
        <v:rect id="文本框 1" o:spid="_x0000_s4097" o:spt="1"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5"/>
                  <w:rPr>
                    <w:sz w:val="28"/>
                    <w:szCs w:val="28"/>
                  </w:rPr>
                </w:pP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69494216"/>
    <w:rsid w:val="04795A27"/>
    <w:rsid w:val="04D8694C"/>
    <w:rsid w:val="065D906F"/>
    <w:rsid w:val="06DB5F0F"/>
    <w:rsid w:val="0870581B"/>
    <w:rsid w:val="097A7FD3"/>
    <w:rsid w:val="0AC60045"/>
    <w:rsid w:val="0B963B10"/>
    <w:rsid w:val="0D755681"/>
    <w:rsid w:val="12434112"/>
    <w:rsid w:val="142938DC"/>
    <w:rsid w:val="164A75BB"/>
    <w:rsid w:val="169545F4"/>
    <w:rsid w:val="17516817"/>
    <w:rsid w:val="17BC0000"/>
    <w:rsid w:val="1AB25442"/>
    <w:rsid w:val="1AB74894"/>
    <w:rsid w:val="1B7B3A8A"/>
    <w:rsid w:val="1D640352"/>
    <w:rsid w:val="1EED00E4"/>
    <w:rsid w:val="1F7E5515"/>
    <w:rsid w:val="1FDA683E"/>
    <w:rsid w:val="20002274"/>
    <w:rsid w:val="22066450"/>
    <w:rsid w:val="2374861F"/>
    <w:rsid w:val="23F65BDB"/>
    <w:rsid w:val="265F57EE"/>
    <w:rsid w:val="26FE1DEC"/>
    <w:rsid w:val="28C00B1B"/>
    <w:rsid w:val="2A781BD2"/>
    <w:rsid w:val="2B7FDE67"/>
    <w:rsid w:val="2CAB3160"/>
    <w:rsid w:val="2D7E4035"/>
    <w:rsid w:val="2DBF0F9F"/>
    <w:rsid w:val="30B221FC"/>
    <w:rsid w:val="31DC5891"/>
    <w:rsid w:val="32C21B63"/>
    <w:rsid w:val="34C44175"/>
    <w:rsid w:val="36DF7B44"/>
    <w:rsid w:val="377FA655"/>
    <w:rsid w:val="37C16C4A"/>
    <w:rsid w:val="38194CD8"/>
    <w:rsid w:val="381F26FA"/>
    <w:rsid w:val="394713D0"/>
    <w:rsid w:val="3B123C17"/>
    <w:rsid w:val="3D54DFC2"/>
    <w:rsid w:val="3D864BBD"/>
    <w:rsid w:val="3E19AE4E"/>
    <w:rsid w:val="3E374268"/>
    <w:rsid w:val="3F5B9A4C"/>
    <w:rsid w:val="3F95733A"/>
    <w:rsid w:val="3FFD8EBD"/>
    <w:rsid w:val="40DE491A"/>
    <w:rsid w:val="42395E28"/>
    <w:rsid w:val="44320A04"/>
    <w:rsid w:val="458D1810"/>
    <w:rsid w:val="46CFE917"/>
    <w:rsid w:val="47673D9F"/>
    <w:rsid w:val="47FFC21A"/>
    <w:rsid w:val="49647D7D"/>
    <w:rsid w:val="4AAD4422"/>
    <w:rsid w:val="4ABF34BD"/>
    <w:rsid w:val="4AC46D25"/>
    <w:rsid w:val="4D2E2816"/>
    <w:rsid w:val="4DF96577"/>
    <w:rsid w:val="4EC2CB95"/>
    <w:rsid w:val="4FE7BACD"/>
    <w:rsid w:val="509108A7"/>
    <w:rsid w:val="50E023DF"/>
    <w:rsid w:val="523D116B"/>
    <w:rsid w:val="52F97B59"/>
    <w:rsid w:val="54071DAE"/>
    <w:rsid w:val="55D63DB0"/>
    <w:rsid w:val="563E2A36"/>
    <w:rsid w:val="56D36B56"/>
    <w:rsid w:val="56E4774D"/>
    <w:rsid w:val="5761658A"/>
    <w:rsid w:val="576C3088"/>
    <w:rsid w:val="5780200F"/>
    <w:rsid w:val="599E4BE5"/>
    <w:rsid w:val="5BF3746A"/>
    <w:rsid w:val="5D796EED"/>
    <w:rsid w:val="5DB3B9C8"/>
    <w:rsid w:val="5DBBF2B6"/>
    <w:rsid w:val="5EC738F0"/>
    <w:rsid w:val="5EEF22FE"/>
    <w:rsid w:val="5EF4C7E6"/>
    <w:rsid w:val="5F0F3539"/>
    <w:rsid w:val="5F43E1A2"/>
    <w:rsid w:val="5F702BE4"/>
    <w:rsid w:val="5FBF8C48"/>
    <w:rsid w:val="636B3D8A"/>
    <w:rsid w:val="64BC23C3"/>
    <w:rsid w:val="653B66AE"/>
    <w:rsid w:val="66A47BB4"/>
    <w:rsid w:val="66FD7324"/>
    <w:rsid w:val="69131650"/>
    <w:rsid w:val="69494216"/>
    <w:rsid w:val="6B7FA5F9"/>
    <w:rsid w:val="6DBC5D6D"/>
    <w:rsid w:val="6EF711A9"/>
    <w:rsid w:val="6EFE4309"/>
    <w:rsid w:val="6F3BFCF4"/>
    <w:rsid w:val="72693B8A"/>
    <w:rsid w:val="727701DB"/>
    <w:rsid w:val="72EC6569"/>
    <w:rsid w:val="742770C0"/>
    <w:rsid w:val="743A38AB"/>
    <w:rsid w:val="74570DBE"/>
    <w:rsid w:val="75210DC6"/>
    <w:rsid w:val="765608C9"/>
    <w:rsid w:val="77DFE647"/>
    <w:rsid w:val="77F75EB7"/>
    <w:rsid w:val="795F396C"/>
    <w:rsid w:val="797F7E8E"/>
    <w:rsid w:val="7A7F57A2"/>
    <w:rsid w:val="7ADFBFB4"/>
    <w:rsid w:val="7B5D7422"/>
    <w:rsid w:val="7BCB0A6E"/>
    <w:rsid w:val="7BE64AD6"/>
    <w:rsid w:val="7BEF629F"/>
    <w:rsid w:val="7C152FAD"/>
    <w:rsid w:val="7D7988FE"/>
    <w:rsid w:val="7D97E883"/>
    <w:rsid w:val="7D9C70D4"/>
    <w:rsid w:val="7DFBC00A"/>
    <w:rsid w:val="7DFBF250"/>
    <w:rsid w:val="7E5B36C4"/>
    <w:rsid w:val="7E777503"/>
    <w:rsid w:val="7E7F693C"/>
    <w:rsid w:val="7EB92419"/>
    <w:rsid w:val="7EF74D99"/>
    <w:rsid w:val="7F531E4A"/>
    <w:rsid w:val="7F9FAA5E"/>
    <w:rsid w:val="7FBE8819"/>
    <w:rsid w:val="7FE5492C"/>
    <w:rsid w:val="7FF94B93"/>
    <w:rsid w:val="7FFE7FFD"/>
    <w:rsid w:val="7FFF06D0"/>
    <w:rsid w:val="8EF74955"/>
    <w:rsid w:val="977D67C4"/>
    <w:rsid w:val="97F2A3FD"/>
    <w:rsid w:val="AEFC1C5E"/>
    <w:rsid w:val="AEFF6ECF"/>
    <w:rsid w:val="B4BE2919"/>
    <w:rsid w:val="B5E7598D"/>
    <w:rsid w:val="B6BE2F16"/>
    <w:rsid w:val="B76ADEC8"/>
    <w:rsid w:val="B7EF1382"/>
    <w:rsid w:val="BBBF0948"/>
    <w:rsid w:val="BDFF9C73"/>
    <w:rsid w:val="BEDF9A4C"/>
    <w:rsid w:val="BEFFE1CD"/>
    <w:rsid w:val="BF335460"/>
    <w:rsid w:val="BF777DE0"/>
    <w:rsid w:val="BFBF3ACC"/>
    <w:rsid w:val="BFDF881F"/>
    <w:rsid w:val="BFF5EE63"/>
    <w:rsid w:val="C74BCC9C"/>
    <w:rsid w:val="CBEE7583"/>
    <w:rsid w:val="CDFF0FF3"/>
    <w:rsid w:val="D7B7028B"/>
    <w:rsid w:val="D7EB23EF"/>
    <w:rsid w:val="DBA7FFF3"/>
    <w:rsid w:val="DBCF6CAD"/>
    <w:rsid w:val="DE7BB4C6"/>
    <w:rsid w:val="DEEB87C9"/>
    <w:rsid w:val="DF3D7F9E"/>
    <w:rsid w:val="DFBF4923"/>
    <w:rsid w:val="DFF74832"/>
    <w:rsid w:val="E7704FED"/>
    <w:rsid w:val="E77C0199"/>
    <w:rsid w:val="E7EE46D9"/>
    <w:rsid w:val="EAAFBA06"/>
    <w:rsid w:val="EE7CF78A"/>
    <w:rsid w:val="EF6F1B90"/>
    <w:rsid w:val="EF7437D7"/>
    <w:rsid w:val="EFFB5451"/>
    <w:rsid w:val="F5BF8A59"/>
    <w:rsid w:val="F5F522D3"/>
    <w:rsid w:val="F65DCEF8"/>
    <w:rsid w:val="F73E11DB"/>
    <w:rsid w:val="F76F3DFD"/>
    <w:rsid w:val="F7B7840B"/>
    <w:rsid w:val="F7B81B7B"/>
    <w:rsid w:val="F7EF8682"/>
    <w:rsid w:val="F7F7AA1D"/>
    <w:rsid w:val="F7FEDF52"/>
    <w:rsid w:val="F9E79DE6"/>
    <w:rsid w:val="FB9759D9"/>
    <w:rsid w:val="FBB15F72"/>
    <w:rsid w:val="FD5DB323"/>
    <w:rsid w:val="FD5F4CDA"/>
    <w:rsid w:val="FD7C595D"/>
    <w:rsid w:val="FEFFA951"/>
    <w:rsid w:val="FFBDA71D"/>
    <w:rsid w:val="FFEF38CD"/>
    <w:rsid w:val="FFF72883"/>
    <w:rsid w:val="FFFFE32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pacing w:after="120"/>
      <w:ind w:left="420" w:leftChars="200"/>
    </w:pPr>
  </w:style>
  <w:style w:type="paragraph" w:styleId="4">
    <w:name w:val="Body Text"/>
    <w:basedOn w:val="1"/>
    <w:next w:val="1"/>
    <w:qFormat/>
    <w:uiPriority w:val="0"/>
    <w:pPr>
      <w:jc w:val="center"/>
    </w:pPr>
    <w:rPr>
      <w:rFonts w:ascii="华文中宋" w:eastAsia="华文中宋"/>
      <w:b/>
      <w:bCs/>
      <w:sz w:val="44"/>
      <w:szCs w:val="36"/>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rPr>
  </w:style>
  <w:style w:type="paragraph" w:customStyle="1" w:styleId="9">
    <w:name w:val="Table Text"/>
    <w:basedOn w:val="1"/>
    <w:semiHidden/>
    <w:qFormat/>
    <w:uiPriority w:val="0"/>
    <w:rPr>
      <w:rFonts w:ascii="宋体" w:hAnsi="宋体" w:eastAsia="宋体" w:cs="宋体"/>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1617</Words>
  <Characters>1781</Characters>
  <Lines>0</Lines>
  <Paragraphs>0</Paragraphs>
  <TotalTime>12</TotalTime>
  <ScaleCrop>false</ScaleCrop>
  <LinksUpToDate>false</LinksUpToDate>
  <CharactersWithSpaces>1783</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2023-05-28T18:46:00Z</dcterms:created>
  <dc:creator>Administrator</dc:creator>
  <cp:lastModifiedBy>未来</cp:lastModifiedBy>
  <cp:lastPrinted>2026-04-09T11:47:35Z</cp:lastPrinted>
  <dcterms:modified xsi:type="dcterms:W3CDTF">2026-04-09T11:48:00Z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B3C3E372B6D742108616B40DBD63EAFC_13</vt:lpwstr>
  </property>
  <property fmtid="{D5CDD505-2E9C-101B-9397-08002B2CF9AE}" pid="4" name="KSOTemplateDocerSaveRecord">
    <vt:lpwstr>eyJoZGlkIjoiYmViMDNiNDM1M2UzNTJmYjI0MDE2NWRjMWI5MTc1YmMiLCJ1c2VySWQiOiI0MjYwNTU1MDYifQ==</vt:lpwstr>
  </property>
</Properties>
</file>