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112373">
      <w:pPr>
        <w:keepNext w:val="0"/>
        <w:keepLines w:val="0"/>
        <w:pageBreakBefore w:val="0"/>
        <w:widowControl w:val="0"/>
        <w:shd w:val="clear" w:color="auto" w:fill="FFFFFF"/>
        <w:kinsoku/>
        <w:wordWrap w:val="0"/>
        <w:overflowPunct/>
        <w:topLinePunct w:val="0"/>
        <w:autoSpaceDN w:val="0"/>
        <w:bidi w:val="0"/>
        <w:adjustRightInd/>
        <w:snapToGrid/>
        <w:spacing w:beforeAutospacing="0" w:afterAutospacing="0" w:line="58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3F1B5E6C">
      <w:pPr>
        <w:keepNext w:val="0"/>
        <w:keepLines w:val="0"/>
        <w:pageBreakBefore w:val="0"/>
        <w:widowControl w:val="0"/>
        <w:shd w:val="clear" w:color="auto" w:fill="FFFFFF"/>
        <w:kinsoku/>
        <w:wordWrap w:val="0"/>
        <w:overflowPunct/>
        <w:topLinePunct w:val="0"/>
        <w:autoSpaceDN w:val="0"/>
        <w:bidi w:val="0"/>
        <w:adjustRightInd/>
        <w:snapToGrid/>
        <w:spacing w:beforeAutospacing="0" w:afterAutospacing="0" w:line="58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p>
    <w:p w14:paraId="03EE321B">
      <w:pPr>
        <w:keepNext w:val="0"/>
        <w:keepLines w:val="0"/>
        <w:pageBreakBefore w:val="0"/>
        <w:widowControl w:val="0"/>
        <w:shd w:val="clear" w:color="auto" w:fill="FFFFFF"/>
        <w:kinsoku/>
        <w:wordWrap w:val="0"/>
        <w:overflowPunct/>
        <w:topLinePunct w:val="0"/>
        <w:autoSpaceDN w:val="0"/>
        <w:bidi w:val="0"/>
        <w:adjustRightInd/>
        <w:snapToGrid/>
        <w:spacing w:beforeAutospacing="0" w:afterAutospacing="0" w:line="58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焦作市生态环境局</w:t>
      </w:r>
    </w:p>
    <w:p w14:paraId="160A24DC">
      <w:pPr>
        <w:keepNext w:val="0"/>
        <w:keepLines w:val="0"/>
        <w:pageBreakBefore w:val="0"/>
        <w:widowControl w:val="0"/>
        <w:shd w:val="clear" w:color="auto" w:fill="FFFFFF"/>
        <w:kinsoku/>
        <w:wordWrap w:val="0"/>
        <w:overflowPunct/>
        <w:topLinePunct w:val="0"/>
        <w:autoSpaceDN w:val="0"/>
        <w:bidi w:val="0"/>
        <w:adjustRightInd/>
        <w:snapToGrid/>
        <w:spacing w:beforeAutospacing="0" w:afterAutospacing="0" w:line="580" w:lineRule="exact"/>
        <w:ind w:left="0" w:leftChars="0"/>
        <w:jc w:val="center"/>
        <w:textAlignment w:val="auto"/>
        <w:rPr>
          <w:rFonts w:hint="eastAsia" w:ascii="方正小标宋简体" w:hAnsi="Times New Roman" w:eastAsia="方正小标宋简体" w:cs="Times New Roman"/>
          <w:b w:val="0"/>
          <w:bCs/>
          <w:color w:val="000000"/>
          <w:kern w:val="0"/>
          <w:sz w:val="44"/>
          <w:szCs w:val="44"/>
          <w:shd w:val="clear" w:color="auto" w:fill="FFFFFF"/>
          <w:lang w:val="en-US" w:eastAsia="zh-CN" w:bidi="ar-SA"/>
        </w:rPr>
      </w:pPr>
      <w:r>
        <w:rPr>
          <w:rFonts w:hint="eastAsia" w:ascii="方正小标宋简体" w:hAnsi="Times New Roman" w:eastAsia="方正小标宋简体" w:cs="Times New Roman"/>
          <w:b w:val="0"/>
          <w:bCs/>
          <w:color w:val="000000"/>
          <w:kern w:val="0"/>
          <w:sz w:val="44"/>
          <w:szCs w:val="44"/>
          <w:shd w:val="clear" w:color="auto" w:fill="FFFFFF"/>
          <w:lang w:val="en-US" w:eastAsia="zh-CN" w:bidi="ar-SA"/>
        </w:rPr>
        <w:t>行政处罚决定书</w:t>
      </w:r>
    </w:p>
    <w:p w14:paraId="07A2623F">
      <w:pPr>
        <w:keepNext w:val="0"/>
        <w:keepLines w:val="0"/>
        <w:pageBreakBefore w:val="0"/>
        <w:widowControl w:val="0"/>
        <w:numPr>
          <w:ilvl w:val="0"/>
          <w:numId w:val="0"/>
        </w:numPr>
        <w:kinsoku/>
        <w:wordWrap w:val="0"/>
        <w:overflowPunct/>
        <w:topLinePunct w:val="0"/>
        <w:bidi w:val="0"/>
        <w:adjustRightInd/>
        <w:snapToGrid/>
        <w:spacing w:before="0" w:line="580" w:lineRule="exact"/>
        <w:ind w:left="0" w:leftChars="0" w:right="0"/>
        <w:jc w:val="center"/>
        <w:textAlignment w:val="auto"/>
        <w:outlineLvl w:val="9"/>
        <w:rPr>
          <w:rFonts w:hint="eastAsia" w:ascii="CESI仿宋-GB2312" w:hAnsi="CESI仿宋-GB2312" w:eastAsia="CESI仿宋-GB2312" w:cs="CESI仿宋-GB2312"/>
          <w:color w:val="000000"/>
          <w:sz w:val="32"/>
          <w:szCs w:val="32"/>
          <w:u w:val="none" w:color="auto"/>
          <w:lang w:val="en-US" w:eastAsia="zh-CN"/>
        </w:rPr>
      </w:pPr>
      <w:r>
        <w:rPr>
          <w:rFonts w:hint="eastAsia" w:ascii="CESI仿宋-GB2312" w:hAnsi="CESI仿宋-GB2312" w:eastAsia="CESI仿宋-GB2312" w:cs="CESI仿宋-GB2312"/>
          <w:color w:val="000000"/>
          <w:sz w:val="32"/>
          <w:szCs w:val="32"/>
          <w:u w:val="none" w:color="auto"/>
          <w:lang w:val="en-US" w:eastAsia="zh-CN"/>
        </w:rPr>
        <w:t>焦环罚〔2026〕119号</w:t>
      </w:r>
    </w:p>
    <w:p w14:paraId="05EE233A">
      <w:pPr>
        <w:keepNext w:val="0"/>
        <w:keepLines w:val="0"/>
        <w:pageBreakBefore w:val="0"/>
        <w:widowControl w:val="0"/>
        <w:numPr>
          <w:ilvl w:val="0"/>
          <w:numId w:val="0"/>
        </w:numPr>
        <w:kinsoku/>
        <w:wordWrap w:val="0"/>
        <w:overflowPunct/>
        <w:topLinePunct w:val="0"/>
        <w:bidi w:val="0"/>
        <w:adjustRightInd/>
        <w:snapToGrid/>
        <w:spacing w:before="0" w:line="580" w:lineRule="exact"/>
        <w:ind w:left="0" w:leftChars="0" w:right="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693B3368">
      <w:pPr>
        <w:pStyle w:val="5"/>
        <w:keepNext w:val="0"/>
        <w:keepLines w:val="0"/>
        <w:pageBreakBefore w:val="0"/>
        <w:widowControl w:val="0"/>
        <w:kinsoku/>
        <w:wordWrap w:val="0"/>
        <w:overflowPunct/>
        <w:topLinePunct w:val="0"/>
        <w:bidi w:val="0"/>
        <w:adjustRightInd/>
        <w:snapToGrid/>
        <w:spacing w:before="0" w:beforeAutospacing="0" w:after="0" w:afterAutospacing="0" w:line="58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刘斌：</w:t>
      </w:r>
    </w:p>
    <w:p w14:paraId="3EEF249D">
      <w:pPr>
        <w:pStyle w:val="5"/>
        <w:keepNext w:val="0"/>
        <w:keepLines w:val="0"/>
        <w:pageBreakBefore w:val="0"/>
        <w:widowControl w:val="0"/>
        <w:kinsoku/>
        <w:wordWrap w:val="0"/>
        <w:overflowPunct/>
        <w:topLinePunct w:val="0"/>
        <w:bidi w:val="0"/>
        <w:adjustRightInd/>
        <w:snapToGrid/>
        <w:spacing w:before="0" w:beforeAutospacing="0" w:after="0" w:afterAutospacing="0" w:line="58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身份证号码：4108*****4091*****</w:t>
      </w:r>
    </w:p>
    <w:p w14:paraId="1B176E1F">
      <w:pPr>
        <w:pStyle w:val="5"/>
        <w:keepNext w:val="0"/>
        <w:keepLines w:val="0"/>
        <w:pageBreakBefore w:val="0"/>
        <w:widowControl w:val="0"/>
        <w:kinsoku/>
        <w:wordWrap w:val="0"/>
        <w:overflowPunct/>
        <w:topLinePunct w:val="0"/>
        <w:bidi w:val="0"/>
        <w:adjustRightInd/>
        <w:snapToGrid/>
        <w:spacing w:before="0" w:beforeAutospacing="0" w:after="0" w:afterAutospacing="0" w:line="580" w:lineRule="exact"/>
        <w:textAlignment w:val="auto"/>
        <w:rPr>
          <w:rFonts w:hint="eastAsia" w:ascii="CESI仿宋-GB2312" w:hAnsi="CESI仿宋-GB2312" w:eastAsia="CESI仿宋-GB2312" w:cs="CESI仿宋-GB2312"/>
          <w:color w:val="000000"/>
          <w:sz w:val="32"/>
          <w:szCs w:val="32"/>
          <w:lang w:val="en-US" w:eastAsia="zh-CN"/>
        </w:rPr>
      </w:pPr>
      <w:r>
        <w:rPr>
          <w:rFonts w:hint="eastAsia" w:ascii="CESI仿宋-GB2312" w:hAnsi="CESI仿宋-GB2312" w:eastAsia="CESI仿宋-GB2312" w:cs="CESI仿宋-GB2312"/>
          <w:color w:val="000000"/>
          <w:sz w:val="32"/>
          <w:szCs w:val="32"/>
          <w:lang w:val="en-US" w:eastAsia="zh-CN"/>
        </w:rPr>
        <w:t>住址：沁阳市*****</w:t>
      </w:r>
      <w:bookmarkStart w:id="0" w:name="_GoBack"/>
      <w:bookmarkEnd w:id="0"/>
    </w:p>
    <w:p w14:paraId="757655E2">
      <w:pPr>
        <w:keepNext w:val="0"/>
        <w:keepLines w:val="0"/>
        <w:pageBreakBefore w:val="0"/>
        <w:widowControl w:val="0"/>
        <w:kinsoku/>
        <w:wordWrap/>
        <w:overflowPunct/>
        <w:topLinePunct w:val="0"/>
        <w:autoSpaceDE/>
        <w:autoSpaceDN/>
        <w:bidi w:val="0"/>
        <w:adjustRightInd/>
        <w:snapToGrid w:val="0"/>
        <w:spacing w:line="580" w:lineRule="exact"/>
        <w:ind w:right="0" w:firstLine="640" w:firstLineChars="200"/>
        <w:textAlignment w:val="auto"/>
        <w:outlineLvl w:val="9"/>
        <w:rPr>
          <w:rFonts w:hint="eastAsia" w:ascii="CESI黑体-GB2312" w:hAnsi="CESI黑体-GB2312" w:eastAsia="CESI黑体-GB2312" w:cs="CESI黑体-GB2312"/>
          <w:color w:val="auto"/>
          <w:sz w:val="32"/>
          <w:szCs w:val="32"/>
        </w:rPr>
      </w:pPr>
      <w:r>
        <w:rPr>
          <w:rFonts w:hint="eastAsia" w:ascii="CESI黑体-GB2312" w:hAnsi="CESI黑体-GB2312" w:eastAsia="CESI黑体-GB2312" w:cs="CESI黑体-GB2312"/>
          <w:color w:val="auto"/>
          <w:sz w:val="32"/>
          <w:szCs w:val="32"/>
        </w:rPr>
        <w:t>一、环境违法事实和证据</w:t>
      </w:r>
    </w:p>
    <w:p w14:paraId="328C904D">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ind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color w:val="000000"/>
          <w:sz w:val="32"/>
          <w:szCs w:val="32"/>
          <w:lang w:val="en-US" w:eastAsia="zh-CN"/>
        </w:rPr>
        <w:t>2026年1月15日，焦作市生态环境局执法人员在山王庄镇焦克路北一处空闲大院检查时，</w:t>
      </w:r>
      <w:r>
        <w:rPr>
          <w:rFonts w:hint="eastAsia" w:ascii="CESI仿宋-GB2312" w:hAnsi="CESI仿宋-GB2312" w:eastAsia="CESI仿宋-GB2312" w:cs="CESI仿宋-GB2312"/>
          <w:b w:val="0"/>
          <w:bCs w:val="0"/>
          <w:color w:val="auto"/>
          <w:sz w:val="32"/>
          <w:szCs w:val="32"/>
          <w:lang w:val="en-US" w:eastAsia="zh-CN"/>
        </w:rPr>
        <w:t>发现该大院有晾晒煤渣的现象，经现场勘察，该大院地面已硬化，周边设立有围挡，其中有一堆煤渣虽然采取防尘措施，但仍有覆盖不严导致现场地面积尘较大。执法人员现场对晾晒后的煤渣进行测量，堆放的煤渣堆长12米，宽6米，高1.8米，约90吨。</w:t>
      </w:r>
    </w:p>
    <w:p w14:paraId="55ED8A94">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ind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color w:val="000000"/>
          <w:sz w:val="32"/>
          <w:szCs w:val="32"/>
          <w:lang w:val="en-US" w:eastAsia="zh-CN"/>
        </w:rPr>
        <w:t>你的</w:t>
      </w:r>
      <w:r>
        <w:rPr>
          <w:rFonts w:hint="eastAsia" w:ascii="CESI仿宋-GB2312" w:hAnsi="CESI仿宋-GB2312" w:eastAsia="CESI仿宋-GB2312" w:cs="CESI仿宋-GB2312"/>
          <w:b w:val="0"/>
          <w:bCs w:val="0"/>
          <w:color w:val="auto"/>
          <w:sz w:val="32"/>
          <w:szCs w:val="32"/>
          <w:lang w:val="en-US" w:eastAsia="zh-CN"/>
        </w:rPr>
        <w:t>上述行为违反了《焦作市北山生态环境保护条例》第二十八条：“在北山从事生产、加工、贮存、运输等易产生扬尘污染活动的，应当符合下列要求:（二）“堆放易产生扬尘污染的物料、垃圾的，应当采取喷淋、封闭、遮盖等防尘措施；”的规定。</w:t>
      </w:r>
    </w:p>
    <w:p w14:paraId="4C1A69F5">
      <w:pPr>
        <w:pStyle w:val="5"/>
        <w:keepNext w:val="0"/>
        <w:keepLines w:val="0"/>
        <w:pageBreakBefore w:val="0"/>
        <w:widowControl w:val="0"/>
        <w:kinsoku/>
        <w:wordWrap w:val="0"/>
        <w:overflowPunct/>
        <w:topLinePunct w:val="0"/>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color w:val="000000"/>
          <w:sz w:val="32"/>
          <w:szCs w:val="32"/>
          <w:u w:val="none"/>
          <w:lang w:val="en-US" w:eastAsia="zh-CN"/>
        </w:rPr>
      </w:pPr>
      <w:r>
        <w:rPr>
          <w:rFonts w:hint="eastAsia" w:ascii="CESI仿宋-GB2312" w:hAnsi="CESI仿宋-GB2312" w:eastAsia="CESI仿宋-GB2312" w:cs="CESI仿宋-GB2312"/>
          <w:color w:val="000000"/>
          <w:sz w:val="32"/>
          <w:szCs w:val="32"/>
          <w:u w:val="none"/>
          <w:lang w:val="en-US" w:eastAsia="zh-CN"/>
        </w:rPr>
        <w:t>以上事实有，主要有以下证据证明：</w:t>
      </w:r>
    </w:p>
    <w:p w14:paraId="57247E44">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1.现场检查（勘察）笔录及现场照片/视频（2026年1月15日），证明刘斌在山王庄村焦克路北晾晒煤渣的事实；</w:t>
      </w:r>
    </w:p>
    <w:p w14:paraId="7E57B4C7">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2.调查询问笔录（2026年1月16日对刘斌的调查询问），证明刘斌晾晒煤渣及数量的事实；</w:t>
      </w:r>
    </w:p>
    <w:p w14:paraId="1F7C16CA">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3.身份证复印件，证明被询问人刘斌的身份信息；</w:t>
      </w:r>
    </w:p>
    <w:p w14:paraId="7C3347E2">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4.执法人员的执法证复印件，证明执法人员的身份和资格；</w:t>
      </w:r>
    </w:p>
    <w:p w14:paraId="3BCE14FB">
      <w:pPr>
        <w:pStyle w:val="5"/>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580" w:lineRule="exact"/>
        <w:ind w:left="0" w:leftChars="0" w:firstLine="640" w:firstLineChars="200"/>
        <w:textAlignment w:val="auto"/>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b w:val="0"/>
          <w:bCs w:val="0"/>
          <w:color w:val="auto"/>
          <w:sz w:val="32"/>
          <w:szCs w:val="32"/>
          <w:lang w:val="en-US" w:eastAsia="zh-CN"/>
        </w:rPr>
        <w:t>5.其他证据。</w:t>
      </w:r>
    </w:p>
    <w:p w14:paraId="4718FC1D">
      <w:pPr>
        <w:keepNext w:val="0"/>
        <w:keepLines w:val="0"/>
        <w:pageBreakBefore w:val="0"/>
        <w:widowControl w:val="0"/>
        <w:kinsoku/>
        <w:wordWrap w:val="0"/>
        <w:overflowPunct/>
        <w:topLinePunct w:val="0"/>
        <w:autoSpaceDE w:val="0"/>
        <w:autoSpaceDN w:val="0"/>
        <w:bidi w:val="0"/>
        <w:adjustRightInd w:val="0"/>
        <w:snapToGrid w:val="0"/>
        <w:spacing w:line="580" w:lineRule="exact"/>
        <w:ind w:left="0" w:leftChars="0" w:firstLine="640" w:firstLineChars="200"/>
        <w:jc w:val="both"/>
        <w:textAlignment w:val="baseline"/>
        <w:rPr>
          <w:rFonts w:hint="eastAsia" w:ascii="仿宋_GB2312" w:hAnsi="仿宋_GB2312" w:eastAsia="仿宋_GB2312" w:cs="仿宋_GB2312"/>
          <w:color w:val="auto"/>
          <w:sz w:val="32"/>
          <w:szCs w:val="32"/>
          <w:lang w:val="en-US" w:eastAsia="zh-CN"/>
        </w:rPr>
      </w:pPr>
      <w:r>
        <w:rPr>
          <w:rFonts w:hint="eastAsia" w:ascii="CESI仿宋-GB2312" w:hAnsi="CESI仿宋-GB2312" w:eastAsia="CESI仿宋-GB2312" w:cs="CESI仿宋-GB2312"/>
          <w:color w:val="auto"/>
          <w:sz w:val="32"/>
          <w:szCs w:val="32"/>
          <w:lang w:val="en-US" w:eastAsia="en-US"/>
        </w:rPr>
        <w:t>我局于202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年</w:t>
      </w:r>
      <w:r>
        <w:rPr>
          <w:rFonts w:hint="eastAsia" w:ascii="CESI仿宋-GB2312" w:hAnsi="CESI仿宋-GB2312" w:eastAsia="CESI仿宋-GB2312" w:cs="CESI仿宋-GB2312"/>
          <w:color w:val="auto"/>
          <w:sz w:val="32"/>
          <w:szCs w:val="32"/>
          <w:lang w:val="en-US" w:eastAsia="zh-CN"/>
        </w:rPr>
        <w:t>2</w:t>
      </w:r>
      <w:r>
        <w:rPr>
          <w:rFonts w:hint="eastAsia" w:ascii="CESI仿宋-GB2312" w:hAnsi="CESI仿宋-GB2312" w:eastAsia="CESI仿宋-GB2312" w:cs="CESI仿宋-GB2312"/>
          <w:color w:val="auto"/>
          <w:sz w:val="32"/>
          <w:szCs w:val="32"/>
          <w:lang w:val="en-US" w:eastAsia="en-US"/>
        </w:rPr>
        <w:t>月</w:t>
      </w:r>
      <w:r>
        <w:rPr>
          <w:rFonts w:hint="eastAsia" w:ascii="CESI仿宋-GB2312" w:hAnsi="CESI仿宋-GB2312" w:eastAsia="CESI仿宋-GB2312" w:cs="CESI仿宋-GB2312"/>
          <w:color w:val="auto"/>
          <w:sz w:val="32"/>
          <w:szCs w:val="32"/>
          <w:lang w:val="en-US" w:eastAsia="zh-CN"/>
        </w:rPr>
        <w:t>4</w:t>
      </w:r>
      <w:r>
        <w:rPr>
          <w:rFonts w:hint="eastAsia" w:ascii="CESI仿宋-GB2312" w:hAnsi="CESI仿宋-GB2312" w:eastAsia="CESI仿宋-GB2312" w:cs="CESI仿宋-GB2312"/>
          <w:color w:val="auto"/>
          <w:sz w:val="32"/>
          <w:szCs w:val="32"/>
          <w:lang w:val="en-US" w:eastAsia="en-US"/>
        </w:rPr>
        <w:t>日直接送达《行政处罚事先</w:t>
      </w:r>
      <w:r>
        <w:rPr>
          <w:rFonts w:hint="eastAsia" w:ascii="CESI仿宋-GB2312" w:hAnsi="CESI仿宋-GB2312" w:eastAsia="CESI仿宋-GB2312" w:cs="CESI仿宋-GB2312"/>
          <w:color w:val="auto"/>
          <w:sz w:val="32"/>
          <w:szCs w:val="32"/>
          <w:lang w:val="en-US" w:eastAsia="zh-CN"/>
        </w:rPr>
        <w:t>（听证）</w:t>
      </w:r>
      <w:r>
        <w:rPr>
          <w:rFonts w:hint="eastAsia" w:ascii="CESI仿宋-GB2312" w:hAnsi="CESI仿宋-GB2312" w:eastAsia="CESI仿宋-GB2312" w:cs="CESI仿宋-GB2312"/>
          <w:color w:val="auto"/>
          <w:sz w:val="32"/>
          <w:szCs w:val="32"/>
          <w:lang w:val="en-US" w:eastAsia="en-US"/>
        </w:rPr>
        <w:t>告知书》（焦</w:t>
      </w:r>
      <w:r>
        <w:rPr>
          <w:rFonts w:hint="eastAsia" w:ascii="CESI仿宋-GB2312" w:hAnsi="CESI仿宋-GB2312" w:eastAsia="CESI仿宋-GB2312" w:cs="CESI仿宋-GB2312"/>
          <w:color w:val="auto"/>
          <w:sz w:val="32"/>
          <w:szCs w:val="32"/>
          <w:lang w:val="en-US" w:eastAsia="zh-CN"/>
        </w:rPr>
        <w:t>沁</w:t>
      </w:r>
      <w:r>
        <w:rPr>
          <w:rFonts w:hint="eastAsia" w:ascii="CESI仿宋-GB2312" w:hAnsi="CESI仿宋-GB2312" w:eastAsia="CESI仿宋-GB2312" w:cs="CESI仿宋-GB2312"/>
          <w:color w:val="auto"/>
          <w:sz w:val="32"/>
          <w:szCs w:val="32"/>
          <w:lang w:val="en-US" w:eastAsia="en-US"/>
        </w:rPr>
        <w:t>环</w:t>
      </w:r>
      <w:r>
        <w:rPr>
          <w:rFonts w:hint="eastAsia" w:ascii="CESI仿宋-GB2312" w:hAnsi="CESI仿宋-GB2312" w:eastAsia="CESI仿宋-GB2312" w:cs="CESI仿宋-GB2312"/>
          <w:color w:val="auto"/>
          <w:sz w:val="32"/>
          <w:szCs w:val="32"/>
          <w:lang w:val="en-US" w:eastAsia="zh-CN"/>
        </w:rPr>
        <w:t>先</w:t>
      </w:r>
      <w:r>
        <w:rPr>
          <w:rFonts w:hint="eastAsia" w:ascii="CESI仿宋-GB2312" w:hAnsi="CESI仿宋-GB2312" w:eastAsia="CESI仿宋-GB2312" w:cs="CESI仿宋-GB2312"/>
          <w:color w:val="auto"/>
          <w:sz w:val="32"/>
          <w:szCs w:val="32"/>
          <w:lang w:val="en-US" w:eastAsia="en-US"/>
        </w:rPr>
        <w:t>告</w:t>
      </w:r>
      <w:r>
        <w:rPr>
          <w:rFonts w:hint="eastAsia" w:ascii="CESI仿宋-GB2312" w:hAnsi="CESI仿宋-GB2312" w:eastAsia="CESI仿宋-GB2312" w:cs="CESI仿宋-GB2312"/>
          <w:color w:val="auto"/>
          <w:sz w:val="32"/>
          <w:szCs w:val="32"/>
          <w:lang w:val="en-US" w:eastAsia="zh-CN"/>
        </w:rPr>
        <w:t>字</w:t>
      </w:r>
      <w:r>
        <w:rPr>
          <w:rFonts w:hint="eastAsia" w:ascii="CESI仿宋-GB2312" w:hAnsi="CESI仿宋-GB2312" w:eastAsia="CESI仿宋-GB2312" w:cs="CESI仿宋-GB2312"/>
          <w:color w:val="auto"/>
          <w:sz w:val="32"/>
          <w:szCs w:val="32"/>
          <w:lang w:val="en-US" w:eastAsia="en-US"/>
        </w:rPr>
        <w:t>〔202</w:t>
      </w:r>
      <w:r>
        <w:rPr>
          <w:rFonts w:hint="eastAsia" w:ascii="CESI仿宋-GB2312" w:hAnsi="CESI仿宋-GB2312" w:eastAsia="CESI仿宋-GB2312" w:cs="CESI仿宋-GB2312"/>
          <w:color w:val="auto"/>
          <w:sz w:val="32"/>
          <w:szCs w:val="32"/>
          <w:lang w:val="en-US" w:eastAsia="zh-CN"/>
        </w:rPr>
        <w:t>6</w:t>
      </w:r>
      <w:r>
        <w:rPr>
          <w:rFonts w:hint="eastAsia" w:ascii="CESI仿宋-GB2312" w:hAnsi="CESI仿宋-GB2312" w:eastAsia="CESI仿宋-GB2312" w:cs="CESI仿宋-GB2312"/>
          <w:color w:val="auto"/>
          <w:sz w:val="32"/>
          <w:szCs w:val="32"/>
          <w:lang w:val="en-US" w:eastAsia="en-US"/>
        </w:rPr>
        <w:t>〕</w:t>
      </w:r>
      <w:r>
        <w:rPr>
          <w:rFonts w:hint="eastAsia" w:ascii="CESI仿宋-GB2312" w:hAnsi="CESI仿宋-GB2312" w:eastAsia="CESI仿宋-GB2312" w:cs="CESI仿宋-GB2312"/>
          <w:color w:val="auto"/>
          <w:sz w:val="32"/>
          <w:szCs w:val="32"/>
          <w:lang w:val="en-US" w:eastAsia="zh-CN"/>
        </w:rPr>
        <w:t>5</w:t>
      </w:r>
      <w:r>
        <w:rPr>
          <w:rFonts w:hint="eastAsia" w:ascii="CESI仿宋-GB2312" w:hAnsi="CESI仿宋-GB2312" w:eastAsia="CESI仿宋-GB2312" w:cs="CESI仿宋-GB2312"/>
          <w:color w:val="auto"/>
          <w:sz w:val="32"/>
          <w:szCs w:val="32"/>
          <w:lang w:val="en-US" w:eastAsia="en-US"/>
        </w:rPr>
        <w:t>号），</w:t>
      </w:r>
      <w:r>
        <w:rPr>
          <w:rFonts w:hint="eastAsia" w:ascii="CESI仿宋-GB2312" w:hAnsi="CESI仿宋-GB2312" w:eastAsia="CESI仿宋-GB2312" w:cs="CESI仿宋-GB2312"/>
          <w:color w:val="auto"/>
          <w:sz w:val="32"/>
          <w:szCs w:val="32"/>
        </w:rPr>
        <w:t>告知</w:t>
      </w:r>
      <w:r>
        <w:rPr>
          <w:rFonts w:hint="eastAsia" w:ascii="CESI仿宋-GB2312" w:hAnsi="CESI仿宋-GB2312" w:eastAsia="CESI仿宋-GB2312" w:cs="CESI仿宋-GB2312"/>
          <w:color w:val="auto"/>
          <w:sz w:val="32"/>
          <w:szCs w:val="32"/>
          <w:lang w:eastAsia="zh-CN"/>
        </w:rPr>
        <w:t>书告知</w:t>
      </w:r>
      <w:r>
        <w:rPr>
          <w:rFonts w:hint="eastAsia" w:ascii="CESI仿宋-GB2312" w:hAnsi="CESI仿宋-GB2312" w:eastAsia="CESI仿宋-GB2312" w:cs="CESI仿宋-GB2312"/>
          <w:color w:val="auto"/>
          <w:sz w:val="32"/>
          <w:szCs w:val="32"/>
        </w:rPr>
        <w:t>你陈述申辩权（听证申请权）</w:t>
      </w:r>
      <w:r>
        <w:rPr>
          <w:rFonts w:hint="eastAsia" w:ascii="CESI仿宋-GB2312" w:hAnsi="CESI仿宋-GB2312" w:eastAsia="CESI仿宋-GB2312" w:cs="CESI仿宋-GB2312"/>
          <w:color w:val="auto"/>
          <w:sz w:val="32"/>
          <w:szCs w:val="32"/>
          <w:lang w:eastAsia="zh-CN"/>
        </w:rPr>
        <w:t>。</w:t>
      </w:r>
      <w:r>
        <w:rPr>
          <w:rFonts w:hint="eastAsia" w:ascii="仿宋_GB2312" w:hAnsi="仿宋_GB2312" w:eastAsia="仿宋_GB2312" w:cs="仿宋_GB2312"/>
          <w:snapToGrid w:val="0"/>
          <w:color w:val="auto"/>
          <w:kern w:val="0"/>
          <w:sz w:val="32"/>
          <w:szCs w:val="32"/>
          <w:lang w:val="en-US" w:eastAsia="en-US"/>
        </w:rPr>
        <w:t>你</w:t>
      </w:r>
      <w:r>
        <w:rPr>
          <w:rFonts w:hint="eastAsia" w:ascii="仿宋_GB2312" w:hAnsi="仿宋_GB2312" w:eastAsia="仿宋_GB2312" w:cs="仿宋_GB2312"/>
          <w:snapToGrid w:val="0"/>
          <w:color w:val="auto"/>
          <w:kern w:val="0"/>
          <w:sz w:val="32"/>
          <w:szCs w:val="32"/>
          <w:lang w:val="en-US" w:eastAsia="zh-CN"/>
        </w:rPr>
        <w:t>在</w:t>
      </w:r>
      <w:r>
        <w:rPr>
          <w:rFonts w:hint="eastAsia" w:ascii="仿宋_GB2312" w:hAnsi="仿宋_GB2312" w:eastAsia="仿宋_GB2312" w:cs="仿宋_GB2312"/>
          <w:snapToGrid w:val="0"/>
          <w:color w:val="auto"/>
          <w:kern w:val="0"/>
          <w:sz w:val="32"/>
          <w:szCs w:val="32"/>
          <w:lang w:val="en-US" w:eastAsia="en-US"/>
        </w:rPr>
        <w:t>法定期限内未提出陈述申辩，也未要求听证</w:t>
      </w:r>
      <w:r>
        <w:rPr>
          <w:rFonts w:hint="eastAsia" w:ascii="仿宋_GB2312" w:hAnsi="仿宋_GB2312" w:eastAsia="仿宋_GB2312" w:cs="仿宋_GB2312"/>
          <w:snapToGrid w:val="0"/>
          <w:color w:val="auto"/>
          <w:kern w:val="0"/>
          <w:sz w:val="32"/>
          <w:szCs w:val="32"/>
          <w:lang w:val="en-US" w:eastAsia="zh-CN"/>
        </w:rPr>
        <w:t>，视为你放弃</w:t>
      </w:r>
      <w:r>
        <w:rPr>
          <w:rFonts w:hint="eastAsia" w:ascii="仿宋_GB2312" w:hAnsi="仿宋_GB2312" w:eastAsia="仿宋_GB2312" w:cs="仿宋_GB2312"/>
          <w:snapToGrid w:val="0"/>
          <w:color w:val="auto"/>
          <w:kern w:val="0"/>
          <w:sz w:val="32"/>
          <w:szCs w:val="32"/>
          <w:lang w:val="en-US" w:eastAsia="en-US"/>
        </w:rPr>
        <w:t>陈述申辩</w:t>
      </w:r>
      <w:r>
        <w:rPr>
          <w:rFonts w:hint="eastAsia" w:ascii="仿宋_GB2312" w:hAnsi="仿宋_GB2312" w:eastAsia="仿宋_GB2312" w:cs="仿宋_GB2312"/>
          <w:snapToGrid w:val="0"/>
          <w:color w:val="auto"/>
          <w:kern w:val="0"/>
          <w:sz w:val="32"/>
          <w:szCs w:val="32"/>
          <w:lang w:val="en-US" w:eastAsia="zh-CN"/>
        </w:rPr>
        <w:t>和</w:t>
      </w:r>
      <w:r>
        <w:rPr>
          <w:rFonts w:hint="eastAsia" w:ascii="仿宋_GB2312" w:hAnsi="仿宋_GB2312" w:eastAsia="仿宋_GB2312" w:cs="仿宋_GB2312"/>
          <w:snapToGrid w:val="0"/>
          <w:color w:val="auto"/>
          <w:kern w:val="0"/>
          <w:sz w:val="32"/>
          <w:szCs w:val="32"/>
          <w:lang w:val="en-US" w:eastAsia="en-US"/>
        </w:rPr>
        <w:t>听</w:t>
      </w:r>
      <w:r>
        <w:rPr>
          <w:rFonts w:hint="eastAsia" w:ascii="仿宋_GB2312" w:hAnsi="仿宋_GB2312" w:eastAsia="仿宋_GB2312" w:cs="仿宋_GB2312"/>
          <w:snapToGrid w:val="0"/>
          <w:color w:val="auto"/>
          <w:kern w:val="0"/>
          <w:sz w:val="32"/>
          <w:szCs w:val="32"/>
          <w:lang w:val="en-US" w:eastAsia="zh-CN"/>
        </w:rPr>
        <w:t>证权利。</w:t>
      </w:r>
    </w:p>
    <w:p w14:paraId="46EDB70D">
      <w:pPr>
        <w:keepNext w:val="0"/>
        <w:keepLines w:val="0"/>
        <w:pageBreakBefore w:val="0"/>
        <w:widowControl w:val="0"/>
        <w:tabs>
          <w:tab w:val="left" w:pos="300"/>
          <w:tab w:val="center" w:pos="4365"/>
          <w:tab w:val="left" w:pos="6345"/>
        </w:tabs>
        <w:kinsoku/>
        <w:wordWrap w:val="0"/>
        <w:overflowPunct/>
        <w:topLinePunct w:val="0"/>
        <w:bidi w:val="0"/>
        <w:adjustRightInd/>
        <w:snapToGrid/>
        <w:spacing w:line="580" w:lineRule="exact"/>
        <w:ind w:left="0" w:leftChars="0" w:right="0" w:firstLine="640" w:firstLineChars="200"/>
        <w:jc w:val="both"/>
        <w:textAlignment w:val="auto"/>
        <w:rPr>
          <w:rFonts w:hint="default" w:ascii="仿宋_GB2312" w:hAnsi="仿宋_GB2312" w:eastAsia="仿宋_GB2312" w:cs="仿宋_GB2312"/>
          <w:b w:val="0"/>
          <w:color w:val="auto"/>
          <w:sz w:val="32"/>
          <w:szCs w:val="32"/>
          <w:lang w:val="en-US" w:eastAsia="zh-CN"/>
        </w:rPr>
      </w:pPr>
      <w:r>
        <w:rPr>
          <w:rFonts w:hint="eastAsia" w:ascii="黑体" w:hAnsi="黑体" w:eastAsia="黑体" w:cs="黑体"/>
          <w:b w:val="0"/>
          <w:bCs w:val="0"/>
          <w:color w:val="auto"/>
          <w:sz w:val="32"/>
          <w:szCs w:val="32"/>
          <w:u w:val="none" w:color="auto"/>
          <w:lang w:val="en-US" w:eastAsia="zh-CN"/>
        </w:rPr>
        <w:t>二、</w:t>
      </w:r>
      <w:r>
        <w:rPr>
          <w:rFonts w:hint="eastAsia" w:ascii="黑体" w:hAnsi="黑体" w:eastAsia="黑体" w:cs="黑体"/>
          <w:b w:val="0"/>
          <w:bCs w:val="0"/>
          <w:color w:val="auto"/>
          <w:sz w:val="32"/>
          <w:szCs w:val="32"/>
          <w:lang w:val="en-US" w:eastAsia="zh-CN"/>
        </w:rPr>
        <w:t>政处罚的依据、种类</w:t>
      </w:r>
    </w:p>
    <w:p w14:paraId="71AD25E2">
      <w:pPr>
        <w:keepNext w:val="0"/>
        <w:keepLines w:val="0"/>
        <w:pageBreakBefore w:val="0"/>
        <w:widowControl w:val="0"/>
        <w:numPr>
          <w:ilvl w:val="0"/>
          <w:numId w:val="0"/>
        </w:numPr>
        <w:tabs>
          <w:tab w:val="left" w:pos="300"/>
          <w:tab w:val="center" w:pos="4365"/>
          <w:tab w:val="left" w:pos="6345"/>
        </w:tabs>
        <w:kinsoku/>
        <w:wordWrap w:val="0"/>
        <w:overflowPunct/>
        <w:topLinePunct w:val="0"/>
        <w:bidi w:val="0"/>
        <w:adjustRightInd/>
        <w:snapToGrid/>
        <w:spacing w:line="580" w:lineRule="exact"/>
        <w:ind w:right="0" w:firstLine="640" w:firstLineChars="200"/>
        <w:jc w:val="both"/>
        <w:textAlignment w:val="auto"/>
        <w:outlineLvl w:val="9"/>
        <w:rPr>
          <w:rFonts w:hint="eastAsia" w:ascii="CESI仿宋-GB2312" w:hAnsi="CESI仿宋-GB2312" w:eastAsia="CESI仿宋-GB2312" w:cs="CESI仿宋-GB2312"/>
          <w:b w:val="0"/>
          <w:bCs w:val="0"/>
          <w:color w:val="auto"/>
          <w:sz w:val="32"/>
          <w:szCs w:val="32"/>
          <w:lang w:val="en-US" w:eastAsia="zh-CN"/>
        </w:rPr>
      </w:pPr>
      <w:r>
        <w:rPr>
          <w:rFonts w:hint="eastAsia" w:ascii="CESI仿宋-GB2312" w:hAnsi="CESI仿宋-GB2312" w:eastAsia="CESI仿宋-GB2312" w:cs="CESI仿宋-GB2312"/>
          <w:color w:val="auto"/>
          <w:sz w:val="32"/>
          <w:szCs w:val="32"/>
          <w:lang w:val="en-US" w:eastAsia="en-US"/>
        </w:rPr>
        <w:t>根据</w:t>
      </w:r>
      <w:r>
        <w:rPr>
          <w:rFonts w:hint="eastAsia" w:ascii="CESI仿宋-GB2312" w:hAnsi="CESI仿宋-GB2312" w:eastAsia="CESI仿宋-GB2312" w:cs="CESI仿宋-GB2312"/>
          <w:color w:val="auto"/>
          <w:sz w:val="32"/>
          <w:szCs w:val="32"/>
          <w:lang w:val="en-US" w:eastAsia="zh-CN"/>
        </w:rPr>
        <w:t>你</w:t>
      </w:r>
      <w:r>
        <w:rPr>
          <w:rFonts w:hint="eastAsia" w:ascii="CESI仿宋-GB2312" w:hAnsi="CESI仿宋-GB2312" w:eastAsia="CESI仿宋-GB2312" w:cs="CESI仿宋-GB2312"/>
          <w:color w:val="auto"/>
          <w:sz w:val="32"/>
          <w:szCs w:val="32"/>
          <w:lang w:val="en-US" w:eastAsia="en-US"/>
        </w:rPr>
        <w:t>违法行为的事实、性质、情节、社会危害程度和相关证据，</w:t>
      </w:r>
      <w:r>
        <w:rPr>
          <w:rFonts w:hint="eastAsia" w:ascii="CESI仿宋-GB2312" w:hAnsi="CESI仿宋-GB2312" w:eastAsia="CESI仿宋-GB2312" w:cs="CESI仿宋-GB2312"/>
          <w:b w:val="0"/>
          <w:bCs w:val="0"/>
          <w:color w:val="auto"/>
          <w:sz w:val="32"/>
          <w:szCs w:val="32"/>
          <w:lang w:val="en-US" w:eastAsia="zh-CN"/>
        </w:rPr>
        <w:t>参照《焦作市生态环境行政处罚裁量基准》中处罚裁量基准：裁量因素：违法事实，内容：已采取密闭措施但密闭不严导致扬尘污染的，裁量等级：1；裁量因素：易产生扬尘的物料量，内容：未密闭，易产生扬尘的物料100吨以下，裁量等级：1；裁量因素：项目建设地点，内容：三类保护区，裁量等级：1；裁量因素：超过限期改正时间，内容：限期改正，裁量等级：1；裁量因素：受处罚次数，内容：两年内未受过同类处罚，裁量等级：1，裁量因素：是否配合执法检查，内容：配合检查，裁量等级：1；法定处罚金额上限（M）：100000；法定处罚金额下限（N）：20000；首要裁量因素裁量等级（A）：1；其余裁量因素个数（n）5；其余裁量因素裁量等级（Bi）:[1,1,1,1,1]；处罚金额（X）：23200，代入公式：23200=20000+（100000-20000）×[（1/5）²+（1</w:t>
      </w:r>
      <w:r>
        <w:rPr>
          <w:rFonts w:hint="eastAsia" w:ascii="CESI仿宋-GB2312" w:hAnsi="CESI仿宋-GB2312" w:eastAsia="CESI仿宋-GB2312" w:cs="CESI仿宋-GB2312"/>
          <w:b w:val="0"/>
          <w:bCs w:val="0"/>
          <w:color w:val="auto"/>
          <w:sz w:val="32"/>
          <w:szCs w:val="32"/>
          <w:vertAlign w:val="superscript"/>
          <w:lang w:val="en-US" w:eastAsia="zh-CN"/>
        </w:rPr>
        <w:t>2</w:t>
      </w:r>
      <w:r>
        <w:rPr>
          <w:rFonts w:hint="eastAsia" w:ascii="CESI仿宋-GB2312" w:hAnsi="CESI仿宋-GB2312" w:eastAsia="CESI仿宋-GB2312" w:cs="CESI仿宋-GB2312"/>
          <w:b w:val="0"/>
          <w:bCs w:val="0"/>
          <w:color w:val="auto"/>
          <w:sz w:val="32"/>
          <w:szCs w:val="32"/>
          <w:lang w:val="en-US" w:eastAsia="zh-CN"/>
        </w:rPr>
        <w:t>+1</w:t>
      </w:r>
      <w:r>
        <w:rPr>
          <w:rFonts w:hint="eastAsia" w:ascii="CESI仿宋-GB2312" w:hAnsi="CESI仿宋-GB2312" w:eastAsia="CESI仿宋-GB2312" w:cs="CESI仿宋-GB2312"/>
          <w:b w:val="0"/>
          <w:bCs w:val="0"/>
          <w:color w:val="auto"/>
          <w:sz w:val="32"/>
          <w:szCs w:val="32"/>
          <w:vertAlign w:val="superscript"/>
          <w:lang w:val="en-US" w:eastAsia="zh-CN"/>
        </w:rPr>
        <w:t>2</w:t>
      </w:r>
      <w:r>
        <w:rPr>
          <w:rFonts w:hint="eastAsia" w:ascii="CESI仿宋-GB2312" w:hAnsi="CESI仿宋-GB2312" w:eastAsia="CESI仿宋-GB2312" w:cs="CESI仿宋-GB2312"/>
          <w:b w:val="0"/>
          <w:bCs w:val="0"/>
          <w:color w:val="auto"/>
          <w:sz w:val="32"/>
          <w:szCs w:val="32"/>
          <w:lang w:val="en-US" w:eastAsia="zh-CN"/>
        </w:rPr>
        <w:t>+1</w:t>
      </w:r>
      <w:r>
        <w:rPr>
          <w:rFonts w:hint="eastAsia" w:ascii="CESI仿宋-GB2312" w:hAnsi="CESI仿宋-GB2312" w:eastAsia="CESI仿宋-GB2312" w:cs="CESI仿宋-GB2312"/>
          <w:b w:val="0"/>
          <w:bCs w:val="0"/>
          <w:color w:val="auto"/>
          <w:sz w:val="32"/>
          <w:szCs w:val="32"/>
          <w:vertAlign w:val="superscript"/>
          <w:lang w:val="en-US" w:eastAsia="zh-CN"/>
        </w:rPr>
        <w:t>2</w:t>
      </w:r>
      <w:r>
        <w:rPr>
          <w:rFonts w:hint="eastAsia" w:ascii="CESI仿宋-GB2312" w:hAnsi="CESI仿宋-GB2312" w:eastAsia="CESI仿宋-GB2312" w:cs="CESI仿宋-GB2312"/>
          <w:b w:val="0"/>
          <w:bCs w:val="0"/>
          <w:color w:val="auto"/>
          <w:sz w:val="32"/>
          <w:szCs w:val="32"/>
          <w:lang w:val="en-US" w:eastAsia="zh-CN"/>
        </w:rPr>
        <w:t>+1</w:t>
      </w:r>
      <w:r>
        <w:rPr>
          <w:rFonts w:hint="eastAsia" w:ascii="CESI仿宋-GB2312" w:hAnsi="CESI仿宋-GB2312" w:eastAsia="CESI仿宋-GB2312" w:cs="CESI仿宋-GB2312"/>
          <w:b w:val="0"/>
          <w:bCs w:val="0"/>
          <w:color w:val="auto"/>
          <w:sz w:val="32"/>
          <w:szCs w:val="32"/>
          <w:vertAlign w:val="superscript"/>
          <w:lang w:val="en-US" w:eastAsia="zh-CN"/>
        </w:rPr>
        <w:t>2</w:t>
      </w:r>
      <w:r>
        <w:rPr>
          <w:rFonts w:hint="eastAsia" w:ascii="CESI仿宋-GB2312" w:hAnsi="CESI仿宋-GB2312" w:eastAsia="CESI仿宋-GB2312" w:cs="CESI仿宋-GB2312"/>
          <w:b w:val="0"/>
          <w:bCs w:val="0"/>
          <w:color w:val="auto"/>
          <w:sz w:val="32"/>
          <w:szCs w:val="32"/>
          <w:lang w:val="en-US" w:eastAsia="zh-CN"/>
        </w:rPr>
        <w:t>+1</w:t>
      </w:r>
      <w:r>
        <w:rPr>
          <w:rFonts w:hint="eastAsia" w:ascii="CESI仿宋-GB2312" w:hAnsi="CESI仿宋-GB2312" w:eastAsia="CESI仿宋-GB2312" w:cs="CESI仿宋-GB2312"/>
          <w:b w:val="0"/>
          <w:bCs w:val="0"/>
          <w:color w:val="auto"/>
          <w:sz w:val="32"/>
          <w:szCs w:val="32"/>
          <w:vertAlign w:val="superscript"/>
          <w:lang w:val="en-US" w:eastAsia="zh-CN"/>
        </w:rPr>
        <w:t>2</w:t>
      </w:r>
      <w:r>
        <w:rPr>
          <w:rFonts w:hint="eastAsia" w:ascii="CESI仿宋-GB2312" w:hAnsi="CESI仿宋-GB2312" w:eastAsia="CESI仿宋-GB2312" w:cs="CESI仿宋-GB2312"/>
          <w:b w:val="0"/>
          <w:bCs w:val="0"/>
          <w:color w:val="auto"/>
          <w:sz w:val="32"/>
          <w:szCs w:val="32"/>
          <w:lang w:val="en-US" w:eastAsia="zh-CN"/>
        </w:rPr>
        <w:t>）/（5</w:t>
      </w:r>
      <w:r>
        <w:rPr>
          <w:rFonts w:hint="eastAsia" w:ascii="CESI仿宋-GB2312" w:hAnsi="CESI仿宋-GB2312" w:eastAsia="CESI仿宋-GB2312" w:cs="CESI仿宋-GB2312"/>
          <w:b w:val="0"/>
          <w:bCs w:val="0"/>
          <w:color w:val="auto"/>
          <w:sz w:val="32"/>
          <w:szCs w:val="32"/>
          <w:vertAlign w:val="superscript"/>
          <w:lang w:val="en-US" w:eastAsia="zh-CN"/>
        </w:rPr>
        <w:t>2</w:t>
      </w:r>
      <w:r>
        <w:rPr>
          <w:rFonts w:hint="eastAsia" w:ascii="CESI仿宋-GB2312" w:hAnsi="CESI仿宋-GB2312" w:eastAsia="CESI仿宋-GB2312" w:cs="CESI仿宋-GB2312"/>
          <w:b w:val="0"/>
          <w:bCs w:val="0"/>
          <w:color w:val="auto"/>
          <w:sz w:val="32"/>
          <w:szCs w:val="32"/>
          <w:lang w:val="en-US" w:eastAsia="zh-CN"/>
        </w:rPr>
        <w:t>×5）]×50％，自定义裁量计算值：0，最终裁量金额：23200元。</w:t>
      </w:r>
    </w:p>
    <w:p w14:paraId="308DA2C4">
      <w:pPr>
        <w:keepNext w:val="0"/>
        <w:keepLines w:val="0"/>
        <w:pageBreakBefore w:val="0"/>
        <w:widowControl w:val="0"/>
        <w:numPr>
          <w:ilvl w:val="0"/>
          <w:numId w:val="0"/>
        </w:numPr>
        <w:tabs>
          <w:tab w:val="left" w:pos="300"/>
          <w:tab w:val="center" w:pos="4365"/>
          <w:tab w:val="left" w:pos="6345"/>
        </w:tabs>
        <w:kinsoku/>
        <w:wordWrap w:val="0"/>
        <w:overflowPunct/>
        <w:topLinePunct w:val="0"/>
        <w:bidi w:val="0"/>
        <w:adjustRightInd/>
        <w:snapToGrid/>
        <w:spacing w:line="580" w:lineRule="exact"/>
        <w:ind w:right="0" w:firstLine="640" w:firstLineChars="200"/>
        <w:jc w:val="both"/>
        <w:textAlignment w:val="auto"/>
        <w:outlineLvl w:val="9"/>
        <w:rPr>
          <w:rFonts w:hint="eastAsia" w:ascii="CESI仿宋-GB2312" w:hAnsi="CESI仿宋-GB2312" w:eastAsia="CESI仿宋-GB2312" w:cs="CESI仿宋-GB2312"/>
          <w:color w:val="auto"/>
          <w:sz w:val="32"/>
          <w:szCs w:val="32"/>
          <w:lang w:val="en-US" w:eastAsia="en-US"/>
        </w:rPr>
      </w:pPr>
      <w:r>
        <w:rPr>
          <w:rFonts w:hint="eastAsia" w:ascii="CESI仿宋-GB2312" w:hAnsi="CESI仿宋-GB2312" w:eastAsia="CESI仿宋-GB2312" w:cs="CESI仿宋-GB2312"/>
          <w:b w:val="0"/>
          <w:bCs w:val="0"/>
          <w:color w:val="auto"/>
          <w:sz w:val="32"/>
          <w:szCs w:val="32"/>
          <w:lang w:val="en-US" w:eastAsia="zh-CN"/>
        </w:rPr>
        <w:t>依据《焦作市北山生态环境保护条例》第四十三条第一款：“违反本条例第二十八条第一项、第二项规定，生产、建设等场地未采取喷淋、密闭、围挡等防尘措施，或者堆放物料、垃圾未采取喷淋、封闭、遮盖等防尘措施的，由生态环境、住房和城乡建设等主管部门按照职责责令整改，并处以二万元以上十万元以下的罚款；拒不改正的，可以自责令整改之日的次日起，按照原处罚数额按日连续处罚。”的规定，</w:t>
      </w:r>
      <w:r>
        <w:rPr>
          <w:rFonts w:hint="eastAsia" w:ascii="CESI仿宋-GB2312" w:hAnsi="CESI仿宋-GB2312" w:eastAsia="CESI仿宋-GB2312" w:cs="CESI仿宋-GB2312"/>
          <w:b w:val="0"/>
          <w:bCs w:val="0"/>
          <w:color w:val="auto"/>
          <w:kern w:val="2"/>
          <w:sz w:val="32"/>
          <w:szCs w:val="32"/>
          <w:lang w:val="en-US" w:eastAsia="zh-CN" w:bidi="ar-SA"/>
        </w:rPr>
        <w:t>我局对你露天未采取密闭措施晾晒煤渣的违法行为作出如下处理决定：</w:t>
      </w:r>
    </w:p>
    <w:p w14:paraId="73406F3D">
      <w:pPr>
        <w:keepNext w:val="0"/>
        <w:keepLines w:val="0"/>
        <w:pageBreakBefore w:val="0"/>
        <w:widowControl w:val="0"/>
        <w:tabs>
          <w:tab w:val="left" w:pos="300"/>
          <w:tab w:val="center" w:pos="4365"/>
          <w:tab w:val="left" w:pos="6345"/>
        </w:tabs>
        <w:kinsoku/>
        <w:wordWrap w:val="0"/>
        <w:overflowPunct/>
        <w:topLinePunct w:val="0"/>
        <w:bidi w:val="0"/>
        <w:adjustRightInd/>
        <w:snapToGrid/>
        <w:spacing w:line="580" w:lineRule="exact"/>
        <w:ind w:left="0" w:leftChars="0" w:right="0" w:firstLine="640" w:firstLineChars="200"/>
        <w:jc w:val="both"/>
        <w:textAlignment w:val="auto"/>
        <w:outlineLvl w:val="9"/>
        <w:rPr>
          <w:rFonts w:hint="eastAsia" w:ascii="CESI仿宋-GB2312" w:hAnsi="CESI仿宋-GB2312" w:eastAsia="CESI仿宋-GB2312" w:cs="CESI仿宋-GB2312"/>
          <w:color w:val="000000"/>
          <w:kern w:val="0"/>
          <w:sz w:val="32"/>
          <w:szCs w:val="32"/>
          <w:lang w:val="en-US" w:eastAsia="zh-CN"/>
        </w:rPr>
      </w:pPr>
      <w:r>
        <w:rPr>
          <w:rFonts w:hint="eastAsia" w:ascii="CESI仿宋-GB2312" w:hAnsi="CESI仿宋-GB2312" w:eastAsia="CESI仿宋-GB2312" w:cs="CESI仿宋-GB2312"/>
          <w:color w:val="000000"/>
          <w:kern w:val="0"/>
          <w:sz w:val="32"/>
          <w:szCs w:val="32"/>
          <w:lang w:val="en-US" w:eastAsia="zh-CN"/>
        </w:rPr>
        <w:t>给予罚款</w:t>
      </w:r>
      <w:r>
        <w:rPr>
          <w:rFonts w:hint="eastAsia" w:ascii="CESI仿宋-GB2312" w:hAnsi="CESI仿宋-GB2312" w:eastAsia="CESI仿宋-GB2312" w:cs="CESI仿宋-GB2312"/>
          <w:color w:val="000000"/>
          <w:kern w:val="0"/>
          <w:sz w:val="32"/>
          <w:szCs w:val="32"/>
          <w:u w:val="none"/>
          <w:lang w:val="en-US" w:eastAsia="zh-CN" w:bidi="ar"/>
        </w:rPr>
        <w:t>贰万叁仟贰佰元</w:t>
      </w:r>
      <w:r>
        <w:rPr>
          <w:rFonts w:hint="eastAsia" w:ascii="CESI仿宋-GB2312" w:hAnsi="CESI仿宋-GB2312" w:eastAsia="CESI仿宋-GB2312" w:cs="CESI仿宋-GB2312"/>
          <w:color w:val="auto"/>
          <w:kern w:val="0"/>
          <w:sz w:val="32"/>
          <w:szCs w:val="32"/>
          <w:lang w:val="en-US" w:eastAsia="zh-CN"/>
        </w:rPr>
        <w:t>（23200元）</w:t>
      </w:r>
      <w:r>
        <w:rPr>
          <w:rFonts w:hint="eastAsia" w:ascii="CESI仿宋-GB2312" w:hAnsi="CESI仿宋-GB2312" w:eastAsia="CESI仿宋-GB2312" w:cs="CESI仿宋-GB2312"/>
          <w:color w:val="000000"/>
          <w:kern w:val="0"/>
          <w:sz w:val="32"/>
          <w:szCs w:val="32"/>
          <w:lang w:val="en-US" w:eastAsia="zh-CN"/>
        </w:rPr>
        <w:t>的行政处罚。</w:t>
      </w:r>
    </w:p>
    <w:p w14:paraId="59084123">
      <w:pPr>
        <w:keepNext w:val="0"/>
        <w:keepLines w:val="0"/>
        <w:pageBreakBefore w:val="0"/>
        <w:widowControl w:val="0"/>
        <w:numPr>
          <w:ilvl w:val="0"/>
          <w:numId w:val="0"/>
        </w:numPr>
        <w:kinsoku/>
        <w:wordWrap w:val="0"/>
        <w:overflowPunct/>
        <w:topLinePunct w:val="0"/>
        <w:bidi w:val="0"/>
        <w:adjustRightInd/>
        <w:snapToGrid/>
        <w:spacing w:line="580" w:lineRule="exact"/>
        <w:ind w:left="0" w:leftChars="0" w:right="0" w:firstLine="640" w:firstLineChars="200"/>
        <w:jc w:val="both"/>
        <w:textAlignment w:val="auto"/>
        <w:outlineLvl w:val="9"/>
        <w:rPr>
          <w:rFonts w:hint="eastAsia" w:ascii="仿宋_GB2312" w:hAnsi="Times New Roman" w:eastAsia="仿宋_GB2312" w:cs="宋体"/>
          <w:color w:val="auto"/>
          <w:sz w:val="32"/>
          <w:szCs w:val="32"/>
          <w:u w:val="none" w:color="auto"/>
          <w:lang w:val="en-US" w:eastAsia="zh-CN"/>
        </w:rPr>
      </w:pPr>
      <w:r>
        <w:rPr>
          <w:rFonts w:hint="eastAsia" w:ascii="黑体" w:hAnsi="黑体" w:eastAsia="黑体" w:cs="黑体"/>
          <w:color w:val="auto"/>
          <w:sz w:val="32"/>
          <w:szCs w:val="32"/>
          <w:u w:val="none" w:color="auto"/>
          <w:lang w:val="en-US" w:eastAsia="zh-CN"/>
        </w:rPr>
        <w:t>三、行政处罚决定的履行方式和期限</w:t>
      </w:r>
    </w:p>
    <w:p w14:paraId="62E7685D">
      <w:pPr>
        <w:keepNext w:val="0"/>
        <w:keepLines w:val="0"/>
        <w:pageBreakBefore w:val="0"/>
        <w:widowControl w:val="0"/>
        <w:numPr>
          <w:ilvl w:val="0"/>
          <w:numId w:val="0"/>
        </w:numPr>
        <w:kinsoku/>
        <w:wordWrap w:val="0"/>
        <w:overflowPunct/>
        <w:topLinePunct w:val="0"/>
        <w:bidi w:val="0"/>
        <w:adjustRightInd/>
        <w:snapToGrid/>
        <w:spacing w:line="580" w:lineRule="exact"/>
        <w:ind w:left="0" w:leftChars="0" w:right="0" w:firstLine="640" w:firstLineChars="2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r>
        <w:rPr>
          <w:rFonts w:hint="eastAsia" w:ascii="CESI仿宋-GB2312" w:hAnsi="CESI仿宋-GB2312" w:eastAsia="CESI仿宋-GB2312" w:cs="CESI仿宋-GB2312"/>
          <w:color w:val="auto"/>
          <w:sz w:val="32"/>
          <w:szCs w:val="32"/>
          <w:u w:val="none" w:color="auto"/>
          <w:lang w:val="en-US" w:eastAsia="zh-CN"/>
        </w:rPr>
        <w:t>根据《中华人民共和国行政处罚法》和《罚款决定与罚款收缴分离实施办法》的规定，你应当自收到本处罚决定书之日起15日内将罚款缴至焦作市财政局非税收入财政专户(开户行：邮政储蓄银行民主南路支行；银行账号：100195545980010001)。缴款时，当事人需在缴款备注栏注明“生态环境行政处罚款”及具体的处罚决定书编号等信息，以便准确核对缴款记录。</w:t>
      </w:r>
    </w:p>
    <w:p w14:paraId="2B0C35DC">
      <w:pPr>
        <w:keepNext w:val="0"/>
        <w:keepLines w:val="0"/>
        <w:pageBreakBefore w:val="0"/>
        <w:widowControl w:val="0"/>
        <w:kinsoku/>
        <w:wordWrap w:val="0"/>
        <w:overflowPunct/>
        <w:topLinePunct w:val="0"/>
        <w:autoSpaceDE w:val="0"/>
        <w:autoSpaceDN w:val="0"/>
        <w:bidi w:val="0"/>
        <w:adjustRightInd w:val="0"/>
        <w:snapToGrid w:val="0"/>
        <w:spacing w:line="580" w:lineRule="exact"/>
        <w:ind w:left="0" w:leftChars="0" w:right="0" w:firstLine="624" w:firstLineChars="200"/>
        <w:jc w:val="left"/>
        <w:textAlignment w:val="baseline"/>
        <w:outlineLvl w:val="9"/>
        <w:rPr>
          <w:rFonts w:hint="eastAsia" w:ascii="黑体" w:hAnsi="黑体" w:eastAsia="黑体" w:cs="黑体"/>
          <w:snapToGrid w:val="0"/>
          <w:color w:val="000000"/>
          <w:spacing w:val="-4"/>
          <w:kern w:val="0"/>
          <w:sz w:val="32"/>
          <w:szCs w:val="32"/>
          <w:lang w:val="en-US" w:eastAsia="zh-CN"/>
        </w:rPr>
      </w:pPr>
      <w:r>
        <w:rPr>
          <w:rFonts w:hint="eastAsia" w:ascii="黑体" w:hAnsi="黑体" w:eastAsia="黑体" w:cs="黑体"/>
          <w:snapToGrid w:val="0"/>
          <w:color w:val="000000"/>
          <w:spacing w:val="-4"/>
          <w:kern w:val="0"/>
          <w:sz w:val="32"/>
          <w:szCs w:val="32"/>
          <w:lang w:val="en-US" w:eastAsia="zh-CN"/>
        </w:rPr>
        <w:t>四、申请行政复议或提起行政诉讼的途径和期限</w:t>
      </w:r>
    </w:p>
    <w:p w14:paraId="2F74A4E7">
      <w:pPr>
        <w:keepNext w:val="0"/>
        <w:keepLines w:val="0"/>
        <w:pageBreakBefore w:val="0"/>
        <w:widowControl w:val="0"/>
        <w:kinsoku/>
        <w:wordWrap w:val="0"/>
        <w:overflowPunct/>
        <w:topLinePunct w:val="0"/>
        <w:bidi w:val="0"/>
        <w:adjustRightInd w:val="0"/>
        <w:snapToGrid w:val="0"/>
        <w:spacing w:line="580" w:lineRule="exact"/>
        <w:ind w:left="0" w:leftChars="0" w:firstLine="640" w:firstLineChars="200"/>
        <w:textAlignment w:val="auto"/>
        <w:rPr>
          <w:rFonts w:hint="eastAsia" w:ascii="CESI仿宋-GB2312" w:hAnsi="CESI仿宋-GB2312" w:eastAsia="CESI仿宋-GB2312" w:cs="CESI仿宋-GB2312"/>
          <w:b w:val="0"/>
          <w:color w:val="auto"/>
          <w:sz w:val="32"/>
          <w:szCs w:val="32"/>
          <w:lang w:val="en-US" w:eastAsia="zh-CN"/>
        </w:rPr>
      </w:pPr>
      <w:r>
        <w:rPr>
          <w:rFonts w:hint="eastAsia" w:ascii="CESI仿宋-GB2312" w:hAnsi="CESI仿宋-GB2312" w:eastAsia="CESI仿宋-GB2312" w:cs="CESI仿宋-GB2312"/>
          <w:b w:val="0"/>
          <w:color w:val="auto"/>
          <w:sz w:val="32"/>
          <w:szCs w:val="32"/>
          <w:lang w:val="en-US" w:eastAsia="zh-CN"/>
        </w:rPr>
        <w:t>你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14:paraId="79517A09">
      <w:pPr>
        <w:keepNext w:val="0"/>
        <w:keepLines w:val="0"/>
        <w:pageBreakBefore w:val="0"/>
        <w:widowControl w:val="0"/>
        <w:numPr>
          <w:ilvl w:val="0"/>
          <w:numId w:val="0"/>
        </w:numPr>
        <w:kinsoku/>
        <w:wordWrap w:val="0"/>
        <w:overflowPunct/>
        <w:topLinePunct w:val="0"/>
        <w:bidi w:val="0"/>
        <w:adjustRightInd/>
        <w:snapToGrid/>
        <w:spacing w:before="0" w:line="580" w:lineRule="exact"/>
        <w:ind w:left="0" w:leftChars="0" w:right="0" w:firstLine="3520" w:firstLineChars="1100"/>
        <w:jc w:val="both"/>
        <w:textAlignment w:val="auto"/>
        <w:outlineLvl w:val="9"/>
        <w:rPr>
          <w:rFonts w:hint="eastAsia" w:ascii="CESI仿宋-GB2312" w:hAnsi="CESI仿宋-GB2312" w:eastAsia="CESI仿宋-GB2312" w:cs="CESI仿宋-GB2312"/>
          <w:color w:val="auto"/>
          <w:sz w:val="32"/>
          <w:szCs w:val="32"/>
          <w:u w:val="none" w:color="auto"/>
          <w:lang w:val="en-US" w:eastAsia="zh-CN"/>
        </w:rPr>
      </w:pPr>
    </w:p>
    <w:p w14:paraId="77E8F373">
      <w:pPr>
        <w:keepNext w:val="0"/>
        <w:keepLines w:val="0"/>
        <w:pageBreakBefore w:val="0"/>
        <w:widowControl w:val="0"/>
        <w:numPr>
          <w:ilvl w:val="0"/>
          <w:numId w:val="0"/>
        </w:numPr>
        <w:kinsoku/>
        <w:wordWrap w:val="0"/>
        <w:overflowPunct/>
        <w:topLinePunct w:val="0"/>
        <w:bidi w:val="0"/>
        <w:adjustRightInd/>
        <w:snapToGrid/>
        <w:spacing w:before="0" w:line="580" w:lineRule="exact"/>
        <w:ind w:left="0" w:leftChars="0" w:right="0" w:firstLine="4160" w:firstLineChars="1300"/>
        <w:jc w:val="both"/>
        <w:textAlignment w:val="auto"/>
        <w:outlineLvl w:val="9"/>
        <w:rPr>
          <w:rFonts w:hint="eastAsia" w:ascii="CESI仿宋-GB2312" w:hAnsi="CESI仿宋-GB2312" w:eastAsia="CESI仿宋-GB2312" w:cs="CESI仿宋-GB2312"/>
          <w:color w:val="FF0000"/>
          <w:sz w:val="32"/>
          <w:szCs w:val="32"/>
          <w:u w:val="none" w:color="auto"/>
          <w:lang w:val="en-US" w:eastAsia="zh-CN"/>
        </w:rPr>
      </w:pPr>
    </w:p>
    <w:p w14:paraId="4FBC1FAA">
      <w:pPr>
        <w:pStyle w:val="6"/>
        <w:keepNext w:val="0"/>
        <w:keepLines w:val="0"/>
        <w:pageBreakBefore w:val="0"/>
        <w:widowControl w:val="0"/>
        <w:kinsoku/>
        <w:wordWrap w:val="0"/>
        <w:overflowPunct/>
        <w:topLinePunct w:val="0"/>
        <w:bidi w:val="0"/>
        <w:spacing w:after="0" w:line="580" w:lineRule="exact"/>
        <w:ind w:left="0" w:leftChars="0"/>
        <w:rPr>
          <w:rFonts w:hint="eastAsia" w:ascii="CESI仿宋-GB2312" w:hAnsi="CESI仿宋-GB2312" w:eastAsia="CESI仿宋-GB2312" w:cs="CESI仿宋-GB2312"/>
          <w:sz w:val="32"/>
          <w:szCs w:val="32"/>
          <w:lang w:val="en-US" w:eastAsia="zh-CN"/>
        </w:rPr>
      </w:pPr>
    </w:p>
    <w:p w14:paraId="64032BE0">
      <w:pPr>
        <w:keepNext w:val="0"/>
        <w:keepLines w:val="0"/>
        <w:pageBreakBefore w:val="0"/>
        <w:widowControl w:val="0"/>
        <w:numPr>
          <w:ilvl w:val="0"/>
          <w:numId w:val="0"/>
        </w:numPr>
        <w:kinsoku/>
        <w:wordWrap w:val="0"/>
        <w:overflowPunct/>
        <w:topLinePunct w:val="0"/>
        <w:bidi w:val="0"/>
        <w:adjustRightInd/>
        <w:snapToGrid/>
        <w:spacing w:before="0" w:line="580" w:lineRule="exact"/>
        <w:ind w:right="0" w:firstLine="5120" w:firstLineChars="1600"/>
        <w:jc w:val="both"/>
        <w:textAlignment w:val="auto"/>
        <w:outlineLvl w:val="9"/>
        <w:rPr>
          <w:rFonts w:hint="eastAsia" w:ascii="CESI仿宋-GB2312" w:hAnsi="CESI仿宋-GB2312" w:eastAsia="CESI仿宋-GB2312" w:cs="CESI仿宋-GB2312"/>
          <w:color w:val="auto"/>
          <w:sz w:val="32"/>
          <w:szCs w:val="32"/>
        </w:rPr>
      </w:pPr>
      <w:r>
        <w:rPr>
          <w:rFonts w:hint="eastAsia" w:ascii="CESI仿宋-GB2312" w:hAnsi="CESI仿宋-GB2312" w:eastAsia="CESI仿宋-GB2312" w:cs="CESI仿宋-GB2312"/>
          <w:color w:val="auto"/>
          <w:sz w:val="32"/>
          <w:szCs w:val="32"/>
          <w:u w:val="none" w:color="auto"/>
          <w:lang w:val="en-US" w:eastAsia="zh-CN"/>
        </w:rPr>
        <w:t>2026年4月17日</w:t>
      </w:r>
    </w:p>
    <w:sectPr>
      <w:footerReference r:id="rId3" w:type="default"/>
      <w:pgSz w:w="11906" w:h="16838"/>
      <w:pgMar w:top="1814" w:right="1474" w:bottom="147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C13CB58-FB37-4509-9916-24878E25FE0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00000001" w:usb1="08000000" w:usb2="00000000" w:usb3="00000000" w:csb0="00040000" w:csb1="00000000"/>
    <w:embedRegular r:id="rId2" w:fontKey="{40F8DB61-9885-4C89-B672-D7A82D5E1B1A}"/>
  </w:font>
  <w:font w:name="CESI仿宋-GB2312">
    <w:altName w:val="仿宋"/>
    <w:panose1 w:val="02000500000000000000"/>
    <w:charset w:val="86"/>
    <w:family w:val="auto"/>
    <w:pitch w:val="default"/>
    <w:sig w:usb0="00000000" w:usb1="00000000" w:usb2="00000010" w:usb3="00000000" w:csb0="0004000F" w:csb1="00000000"/>
    <w:embedRegular r:id="rId3" w:fontKey="{C77E6630-1E88-4D9B-810E-F258B7A4AD16}"/>
  </w:font>
  <w:font w:name="CESI黑体-GB2312">
    <w:altName w:val="黑体"/>
    <w:panose1 w:val="02000500000000000000"/>
    <w:charset w:val="86"/>
    <w:family w:val="auto"/>
    <w:pitch w:val="default"/>
    <w:sig w:usb0="00000000" w:usb1="00000000" w:usb2="00000012" w:usb3="00000000" w:csb0="0004000F" w:csb1="00000000"/>
    <w:embedRegular r:id="rId4" w:fontKey="{AAA4FA9E-FD61-4E86-A1ED-AFB782229F4B}"/>
  </w:font>
  <w:font w:name="仿宋_GB2312">
    <w:altName w:val="仿宋"/>
    <w:panose1 w:val="02010609030101010101"/>
    <w:charset w:val="86"/>
    <w:family w:val="auto"/>
    <w:pitch w:val="default"/>
    <w:sig w:usb0="00000000" w:usb1="00000000" w:usb2="00000000" w:usb3="00000000" w:csb0="00040000" w:csb1="00000000"/>
    <w:embedRegular r:id="rId5" w:fontKey="{C6B771CE-C0A4-40ED-883F-1C08A7EFCFD5}"/>
  </w:font>
  <w:font w:name="方正仿宋_GBK">
    <w:panose1 w:val="02000000000000000000"/>
    <w:charset w:val="86"/>
    <w:family w:val="auto"/>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 w:name="KSOF557087D0">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E5134A">
    <w:pPr>
      <w:pStyle w:val="4"/>
    </w:pPr>
    <w:r>
      <w:rPr>
        <w:rFonts w:ascii="Calibri" w:hAnsi="Calibri" w:eastAsia="宋体" w:cs="黑体"/>
        <w:kern w:val="2"/>
        <w:sz w:val="18"/>
        <w:szCs w:val="18"/>
        <w:lang w:val="en-US" w:eastAsia="zh-CN" w:bidi="ar-SA"/>
      </w:rPr>
      <w:pict>
        <v:rect id="文本框 1" o:spid="_x0000_s4097" o:spt="1"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71A4A0E2">
                <w:pPr>
                  <w:pStyle w:val="4"/>
                  <w:rPr>
                    <w:sz w:val="28"/>
                    <w:szCs w:val="28"/>
                  </w:rPr>
                </w:pP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docVars>
    <w:docVar w:name="commondata" w:val="eyJoZGlkIjoiMjRlMjYzYjY0NDc3YWQ3MmM5M2UxZWVhYzAzYmFjZDQifQ=="/>
  </w:docVars>
  <w:rsids>
    <w:rsidRoot w:val="69494216"/>
    <w:rsid w:val="04795A27"/>
    <w:rsid w:val="06DB5F0F"/>
    <w:rsid w:val="0870581B"/>
    <w:rsid w:val="097A7FD3"/>
    <w:rsid w:val="0B963B10"/>
    <w:rsid w:val="0D27212E"/>
    <w:rsid w:val="0D755681"/>
    <w:rsid w:val="142938DC"/>
    <w:rsid w:val="14CE6FB2"/>
    <w:rsid w:val="15604A5E"/>
    <w:rsid w:val="164A75BB"/>
    <w:rsid w:val="169545F4"/>
    <w:rsid w:val="17516817"/>
    <w:rsid w:val="17BC0000"/>
    <w:rsid w:val="19F263F5"/>
    <w:rsid w:val="1AB25442"/>
    <w:rsid w:val="1BF97792"/>
    <w:rsid w:val="1C72149E"/>
    <w:rsid w:val="1C7A4FFB"/>
    <w:rsid w:val="1D640352"/>
    <w:rsid w:val="1E695884"/>
    <w:rsid w:val="20002274"/>
    <w:rsid w:val="20E10B93"/>
    <w:rsid w:val="22066450"/>
    <w:rsid w:val="22D43600"/>
    <w:rsid w:val="265F57EE"/>
    <w:rsid w:val="26FE1DEC"/>
    <w:rsid w:val="288C4BC7"/>
    <w:rsid w:val="28C00B1B"/>
    <w:rsid w:val="29BA1194"/>
    <w:rsid w:val="2D7E4035"/>
    <w:rsid w:val="30B221FC"/>
    <w:rsid w:val="31DC5891"/>
    <w:rsid w:val="34C44175"/>
    <w:rsid w:val="37372B3C"/>
    <w:rsid w:val="37C16C4A"/>
    <w:rsid w:val="38194CD8"/>
    <w:rsid w:val="394713D0"/>
    <w:rsid w:val="3AEC462E"/>
    <w:rsid w:val="3B7AF637"/>
    <w:rsid w:val="3D864BBD"/>
    <w:rsid w:val="3F95733A"/>
    <w:rsid w:val="3FF75C58"/>
    <w:rsid w:val="42395E28"/>
    <w:rsid w:val="44320A04"/>
    <w:rsid w:val="458D1810"/>
    <w:rsid w:val="48EB2F0C"/>
    <w:rsid w:val="49647D7D"/>
    <w:rsid w:val="4ABF34BD"/>
    <w:rsid w:val="4AC46D25"/>
    <w:rsid w:val="4D2E2816"/>
    <w:rsid w:val="4D3601D9"/>
    <w:rsid w:val="4DF96577"/>
    <w:rsid w:val="4F183ACA"/>
    <w:rsid w:val="509108A7"/>
    <w:rsid w:val="50E023DF"/>
    <w:rsid w:val="523D116B"/>
    <w:rsid w:val="54071DAE"/>
    <w:rsid w:val="55D63DB0"/>
    <w:rsid w:val="563E2A36"/>
    <w:rsid w:val="56D36B56"/>
    <w:rsid w:val="5761658A"/>
    <w:rsid w:val="5780200F"/>
    <w:rsid w:val="599E4BE5"/>
    <w:rsid w:val="5A1656BE"/>
    <w:rsid w:val="5B183EB3"/>
    <w:rsid w:val="5BF3746A"/>
    <w:rsid w:val="5D796EED"/>
    <w:rsid w:val="5DA1443D"/>
    <w:rsid w:val="5F1B4729"/>
    <w:rsid w:val="5FABBC5E"/>
    <w:rsid w:val="636B3D8A"/>
    <w:rsid w:val="64BC23C3"/>
    <w:rsid w:val="66A47BB4"/>
    <w:rsid w:val="683F18F9"/>
    <w:rsid w:val="69494216"/>
    <w:rsid w:val="6DBC5D6D"/>
    <w:rsid w:val="6E2C1160"/>
    <w:rsid w:val="6E3D7694"/>
    <w:rsid w:val="6E7B44CD"/>
    <w:rsid w:val="6EA145E1"/>
    <w:rsid w:val="72693B8A"/>
    <w:rsid w:val="72EC6569"/>
    <w:rsid w:val="743A38AB"/>
    <w:rsid w:val="74A26099"/>
    <w:rsid w:val="74CA34D5"/>
    <w:rsid w:val="74EE2AFA"/>
    <w:rsid w:val="75210DC6"/>
    <w:rsid w:val="76BD3D48"/>
    <w:rsid w:val="77DFE647"/>
    <w:rsid w:val="795F396C"/>
    <w:rsid w:val="7AF14014"/>
    <w:rsid w:val="7D9C70D4"/>
    <w:rsid w:val="7E5B36C4"/>
    <w:rsid w:val="7F531E4A"/>
    <w:rsid w:val="7FFFAC00"/>
    <w:rsid w:val="B95785FC"/>
    <w:rsid w:val="BCF7A89D"/>
    <w:rsid w:val="DA7A938F"/>
    <w:rsid w:val="DBFBDFDA"/>
    <w:rsid w:val="DE7BB4C6"/>
    <w:rsid w:val="DE8926DB"/>
    <w:rsid w:val="E3F69ECD"/>
    <w:rsid w:val="EB7FD019"/>
    <w:rsid w:val="EF278855"/>
    <w:rsid w:val="F5E9F07B"/>
    <w:rsid w:val="F7EF81F1"/>
    <w:rsid w:val="FB77714F"/>
    <w:rsid w:val="FBFF21A0"/>
    <w:rsid w:val="FDFFAFD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华文中宋" w:eastAsia="华文中宋"/>
      <w:b/>
      <w:bCs/>
      <w:sz w:val="44"/>
      <w:szCs w:val="36"/>
    </w:rPr>
  </w:style>
  <w:style w:type="paragraph" w:styleId="3">
    <w:name w:val="Body Text Indent"/>
    <w:basedOn w:val="1"/>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paragraph" w:styleId="6">
    <w:name w:val="Body Text First Indent 2"/>
    <w:basedOn w:val="3"/>
    <w:qFormat/>
    <w:uiPriority w:val="99"/>
    <w:pPr>
      <w:ind w:firstLine="420" w:firstLineChars="200"/>
    </w:pPr>
  </w:style>
  <w:style w:type="paragraph" w:customStyle="1" w:styleId="9">
    <w:name w:val="Table Text"/>
    <w:basedOn w:val="1"/>
    <w:semiHidden/>
    <w:qFormat/>
    <w:uiPriority w:val="0"/>
    <w:rPr>
      <w:rFonts w:ascii="宋体" w:hAnsi="宋体" w:eastAsia="宋体" w:cs="宋体"/>
      <w:sz w:val="32"/>
      <w:szCs w:val="32"/>
      <w:lang w:val="en-US" w:eastAsia="en-US" w:bidi="ar-SA"/>
    </w:rPr>
  </w:style>
  <w:style w:type="table" w:customStyle="1" w:styleId="10">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1557</Words>
  <Characters>1704</Characters>
  <Lines>0</Lines>
  <Paragraphs>0</Paragraphs>
  <TotalTime>0</TotalTime>
  <ScaleCrop>false</ScaleCrop>
  <LinksUpToDate>false</LinksUpToDate>
  <CharactersWithSpaces>1704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2023-05-28T02:46:00Z</dcterms:created>
  <dc:creator>Administrator</dc:creator>
  <cp:lastModifiedBy>吴嘉嘉</cp:lastModifiedBy>
  <cp:lastPrinted>2026-04-17T00:43:00Z</cp:lastPrinted>
  <dcterms:modified xsi:type="dcterms:W3CDTF">2026-04-21T00:14:42Z</dcterms:modified>
  <dc:title>焦作市生态环境局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16B3BEB3B285484C8B25093799112899_13</vt:lpwstr>
  </property>
  <property fmtid="{D5CDD505-2E9C-101B-9397-08002B2CF9AE}" pid="4" name="KSOTemplateDocerSaveRecord">
    <vt:lpwstr>eyJoZGlkIjoiYmViMDNiNDM1M2UzNTJmYjI0MDE2NWRjMWI5MTc1YmMiLCJ1c2VySWQiOiI0MjYwNTU1MDYifQ==</vt:lpwstr>
  </property>
</Properties>
</file>