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1BFCC">
      <w:pPr>
        <w:keepNext w:val="0"/>
        <w:keepLines w:val="0"/>
        <w:pageBreakBefore w:val="0"/>
        <w:widowControl w:val="0"/>
        <w:kinsoku/>
        <w:wordWrap/>
        <w:overflowPunct/>
        <w:topLinePunct w:val="0"/>
        <w:autoSpaceDE/>
        <w:autoSpaceDN/>
        <w:bidi w:val="0"/>
        <w:spacing w:after="0" w:line="56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01285062">
      <w:pPr>
        <w:bidi w:val="0"/>
        <w:rPr>
          <w:rFonts w:hint="eastAsia"/>
          <w:lang w:val="en-US" w:eastAsia="zh-CN"/>
        </w:rPr>
      </w:pPr>
    </w:p>
    <w:p w14:paraId="74FEE3F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02EA0270">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158B92C8">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lang w:val="en-US" w:eastAsia="zh-CN"/>
        </w:rPr>
      </w:pPr>
      <w:r>
        <w:rPr>
          <w:rFonts w:hint="eastAsia" w:ascii="仿宋_GB2312" w:hAnsi="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焦环</w:t>
      </w:r>
      <w:r>
        <w:rPr>
          <w:rFonts w:hint="eastAsia" w:ascii="仿宋_GB2312" w:hAnsi="仿宋_GB2312" w:cs="仿宋_GB2312"/>
          <w:color w:val="auto"/>
          <w:sz w:val="32"/>
          <w:szCs w:val="32"/>
          <w:lang w:val="en-US" w:eastAsia="zh-CN"/>
        </w:rPr>
        <w:t>罚</w:t>
      </w: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w:t>
      </w:r>
      <w:r>
        <w:rPr>
          <w:rFonts w:hint="eastAsia" w:cs="仿宋"/>
          <w:sz w:val="32"/>
          <w:szCs w:val="20"/>
          <w:lang w:val="en-US" w:eastAsia="zh-CN"/>
        </w:rPr>
        <w:t>128</w:t>
      </w:r>
      <w:bookmarkStart w:id="0" w:name="_GoBack"/>
      <w:bookmarkEnd w:id="0"/>
      <w:r>
        <w:rPr>
          <w:rFonts w:hint="eastAsia" w:ascii="仿宋_GB2312" w:hAnsi="仿宋_GB2312" w:eastAsia="仿宋_GB2312" w:cs="仿宋_GB2312"/>
          <w:color w:val="auto"/>
          <w:sz w:val="32"/>
          <w:szCs w:val="32"/>
          <w:lang w:val="en-US" w:eastAsia="zh-CN"/>
        </w:rPr>
        <w:t>号</w:t>
      </w:r>
    </w:p>
    <w:p w14:paraId="0A70312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焦作市信慧实业有限公司</w:t>
      </w:r>
    </w:p>
    <w:p w14:paraId="75EB88C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统一社会信用代码：914108256150645619</w:t>
      </w:r>
    </w:p>
    <w:p w14:paraId="01D496B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地址：温县番田镇西城外村</w:t>
      </w:r>
    </w:p>
    <w:p w14:paraId="63C14EC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法定代表人（负责人）：白慧兵</w:t>
      </w:r>
    </w:p>
    <w:p w14:paraId="39799CF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一、违法事实和证据</w:t>
      </w:r>
    </w:p>
    <w:p w14:paraId="367E04E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2025年8月25日，我局执法人员对你单位进行了现场检查，并委托洛阳市绿源环保技术有限公司对你企排放的废水按照废水采样规范要求进行了采样分析。检查时你企业正在生产，你单位年产150万张裘皮革制品建设项目生产过程中主要产污环节和污染物有：废水主要分为含铬废水和无铬废水，其中含铬废水主要来自鞣制和一次清洗工序;无铬废水主要产生在洗皮、去肉、脱脂等工序;固体废物主要有去肉产生的肉渣及剪毛等无铬固体废物和边角料、革屑及磨革革灰等含铬固体废物;噪声主要来自剪毛机、各类泵和空压机等。配套的污染防治设有污水处理站，设计日处理量2000吨。你企业污水处理站已安装污水在线监控设施，已联网，正常运行。2025年8月27日，洛阳市绿源环保技术有限公司出具了检测报告，检测报告编号LYHB2508128D，检测报告显示化学需氧量38mg/L、氨氮0.415mg/L、总磷2.31mg/L、总氮8.71mg/L、氟化物2.29mg/L，根据河南省黄河流域水污染物排放标准（DB41/2087-2021）和你单位排污许可证限值要求，污染物总磷的排放标准为0.5mg/L，你单位废水污染物总磷排放已超过排放标准限值。</w:t>
      </w:r>
    </w:p>
    <w:p w14:paraId="3D510C7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你单位上述行为违反了《中华人民共和国水污染防治法》第十条“排放水污染物，不得超过国家或者地方规定的水污染物排放标准和重点水污染物排放总量控制指标。”的有关规定。</w:t>
      </w:r>
    </w:p>
    <w:p w14:paraId="651CFD1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以上事实有以下证据：</w:t>
      </w:r>
    </w:p>
    <w:p w14:paraId="2451307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1.现场检查（勘察）笔录（2025年8月25日），证明你单位生产过程中排放废水的行为和洛阳市绿源环保技术有限公司对你单位放的废水采样的事实；</w:t>
      </w:r>
    </w:p>
    <w:p w14:paraId="5DA0AC6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2.洛阳市绿源环保技术有限公司出具的编号为LYHB2508128D的检测报告及送达回执，证明你单位废水排放已超过排放标准限值。</w:t>
      </w:r>
    </w:p>
    <w:p w14:paraId="6D20F53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3.调查询问笔录（2025年8月28日对你单位经理马承志的调查询问笔录）证明你单位废水排放已超过排放标准限值的事实；</w:t>
      </w:r>
    </w:p>
    <w:p w14:paraId="35B0AE7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4.现场勘查示意图（2025年8月25日）；</w:t>
      </w:r>
    </w:p>
    <w:p w14:paraId="4B1E84B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5.营业执照复印件。证明你单位法人主体资格；</w:t>
      </w:r>
    </w:p>
    <w:p w14:paraId="36F71DD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6.现场照片，证明执法过程现场情况；</w:t>
      </w:r>
    </w:p>
    <w:p w14:paraId="234062C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7.建设项目环境影响报告表（摘录）及批复文件证明你单位的污染防治设施建设要求；</w:t>
      </w:r>
    </w:p>
    <w:p w14:paraId="7EF21D4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8.建设项目环境影响报告表验收文件（摘录）证明你单位实际的污染防治设施建设情况；</w:t>
      </w:r>
    </w:p>
    <w:p w14:paraId="08A1FD7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9.排污许可证（摘录）证明你单位应执行的废水排放标准限值；</w:t>
      </w:r>
    </w:p>
    <w:p w14:paraId="401BF4E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10.河南省黄河流域水污染物排放标准（DB41/2087-2021），证明你单位应执行的废水排放标准限值；</w:t>
      </w:r>
    </w:p>
    <w:p w14:paraId="32320DD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11.水污染源在线监测系统月报表证明你单位日排水量；</w:t>
      </w:r>
    </w:p>
    <w:p w14:paraId="26B7062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Times New Roman" w:hAnsi="Times New Roman" w:eastAsia="仿宋_GB2312" w:cs="仿宋"/>
          <w:sz w:val="32"/>
          <w:szCs w:val="20"/>
          <w:lang w:val="en-US" w:eastAsia="zh-CN"/>
        </w:rPr>
        <w:t xml:space="preserve">12.其他证据材料。         </w:t>
      </w:r>
      <w:r>
        <w:rPr>
          <w:rFonts w:hint="eastAsia" w:ascii="仿宋_GB2312" w:hAnsi="仿宋_GB2312" w:cs="仿宋_GB2312"/>
          <w:sz w:val="32"/>
          <w:szCs w:val="32"/>
          <w:lang w:val="en-US" w:eastAsia="zh-CN"/>
        </w:rPr>
        <w:t xml:space="preserve">。                             </w:t>
      </w:r>
    </w:p>
    <w:p w14:paraId="1995900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2</w:t>
      </w:r>
      <w:r>
        <w:rPr>
          <w:rFonts w:hint="eastAsia" w:ascii="Times New Roman" w:hAnsi="Times New Roman" w:eastAsia="仿宋_GB2312" w:cs="仿宋"/>
          <w:sz w:val="32"/>
          <w:szCs w:val="20"/>
          <w:lang w:val="en-US" w:eastAsia="zh-CN"/>
        </w:rPr>
        <w:t>025年10月</w:t>
      </w:r>
      <w:r>
        <w:rPr>
          <w:rFonts w:hint="eastAsia" w:cs="仿宋"/>
          <w:sz w:val="32"/>
          <w:szCs w:val="20"/>
          <w:lang w:val="en-US" w:eastAsia="zh-CN"/>
        </w:rPr>
        <w:t>9</w:t>
      </w:r>
      <w:r>
        <w:rPr>
          <w:rFonts w:hint="eastAsia" w:ascii="Times New Roman" w:hAnsi="Times New Roman" w:eastAsia="仿宋_GB2312" w:cs="仿宋"/>
          <w:sz w:val="32"/>
          <w:szCs w:val="20"/>
          <w:lang w:val="en-US" w:eastAsia="zh-CN"/>
        </w:rPr>
        <w:t>日我局向你单位送达了《行政处罚事先（听证）告知书》（焦温环先告〔2025〕</w:t>
      </w:r>
      <w:r>
        <w:rPr>
          <w:rFonts w:hint="eastAsia" w:cs="仿宋"/>
          <w:sz w:val="32"/>
          <w:szCs w:val="20"/>
          <w:lang w:val="en-US" w:eastAsia="zh-CN"/>
        </w:rPr>
        <w:t>10</w:t>
      </w:r>
      <w:r>
        <w:rPr>
          <w:rFonts w:hint="eastAsia" w:ascii="Times New Roman" w:hAnsi="Times New Roman" w:eastAsia="仿宋_GB2312" w:cs="仿宋"/>
          <w:sz w:val="32"/>
          <w:szCs w:val="20"/>
          <w:lang w:val="en-US" w:eastAsia="zh-CN"/>
        </w:rPr>
        <w:t>号)，告</w:t>
      </w:r>
      <w:r>
        <w:rPr>
          <w:rFonts w:hint="eastAsia" w:ascii="仿宋_GB2312" w:hAnsi="仿宋_GB2312" w:cs="仿宋_GB2312"/>
          <w:sz w:val="32"/>
          <w:szCs w:val="32"/>
          <w:lang w:val="en-US" w:eastAsia="zh-CN"/>
        </w:rPr>
        <w:t>知你单位对我局拟作出的行政处罚有权进行陈述申辩。以上事实有《行政处罚事先（听证）告</w:t>
      </w:r>
      <w:r>
        <w:rPr>
          <w:rFonts w:hint="eastAsia" w:ascii="Times New Roman" w:hAnsi="Times New Roman" w:eastAsia="仿宋_GB2312" w:cs="仿宋"/>
          <w:sz w:val="32"/>
          <w:szCs w:val="20"/>
          <w:lang w:val="en-US" w:eastAsia="zh-CN"/>
        </w:rPr>
        <w:t>知书》（焦温环先告〔2025〕</w:t>
      </w:r>
      <w:r>
        <w:rPr>
          <w:rFonts w:hint="eastAsia" w:cs="仿宋"/>
          <w:sz w:val="32"/>
          <w:szCs w:val="20"/>
          <w:lang w:val="en-US" w:eastAsia="zh-CN"/>
        </w:rPr>
        <w:t>10</w:t>
      </w:r>
      <w:r>
        <w:rPr>
          <w:rFonts w:hint="eastAsia" w:ascii="Times New Roman" w:hAnsi="Times New Roman" w:eastAsia="仿宋_GB2312" w:cs="仿宋"/>
          <w:sz w:val="32"/>
          <w:szCs w:val="20"/>
          <w:lang w:val="en-US" w:eastAsia="zh-CN"/>
        </w:rPr>
        <w:t>号)和《送达回执》等为证，你单位在收到告知书之后于2025年10月9日向我单位提交了申辩材料，申辩材料中提出：</w:t>
      </w:r>
      <w:r>
        <w:rPr>
          <w:rFonts w:hint="eastAsia" w:cs="仿宋"/>
          <w:sz w:val="32"/>
          <w:szCs w:val="20"/>
          <w:lang w:val="en-US" w:eastAsia="zh-CN"/>
        </w:rPr>
        <w:t>“</w:t>
      </w:r>
      <w:r>
        <w:rPr>
          <w:rFonts w:hint="eastAsia" w:ascii="Times New Roman" w:hAnsi="Times New Roman" w:eastAsia="仿宋_GB2312" w:cs="仿宋"/>
          <w:sz w:val="32"/>
          <w:szCs w:val="20"/>
          <w:lang w:val="en-US" w:eastAsia="zh-CN"/>
        </w:rPr>
        <w:t>根据《河南省生态环境行政处罚裁量基准适用规则》第7条、第8条的规定，对我公司作出可以不子处罚的决定。1、贵局 2025年9月1日给我公司下达的焦温环责〔2025〕</w:t>
      </w:r>
      <w:r>
        <w:rPr>
          <w:rFonts w:hint="eastAsia" w:cs="仿宋"/>
          <w:sz w:val="32"/>
          <w:szCs w:val="20"/>
          <w:lang w:val="en-US" w:eastAsia="zh-CN"/>
        </w:rPr>
        <w:t>10</w:t>
      </w:r>
      <w:r>
        <w:rPr>
          <w:rFonts w:hint="eastAsia" w:ascii="Times New Roman" w:hAnsi="Times New Roman" w:eastAsia="仿宋_GB2312" w:cs="仿宋"/>
          <w:sz w:val="32"/>
          <w:szCs w:val="20"/>
          <w:lang w:val="en-US" w:eastAsia="zh-CN"/>
        </w:rPr>
        <w:t>号《责令改正违法行为决定书》“责令我公司立即改正，未实现达标排放之前不得排放水污染物”。事实上，我公司2025年8月30日已对排污水总磷含量超标问题通过聘请专家进行了整改，且聘请巩义市腾龙水处理材料检测公司对专家处理后的水样进行检测，报告显示“总磷含量为每升 0.1毫克，低于排污许可的每升 0.5 毫克标准”，并及时将这些情况书面报告给了贵局。在贵局未下达《责令改正违法行为决定书》之前我公司已对水总磷超标问题进行了整改。2、在贵局工作人员对我公司历次监督检查工作中，我们始终秉持提供方便，积极配合的态度。十几年来，从未受到过同类处罚。3、我公司有配套污水处理设施，并实现了 24 小时在线传输。同时，我公司对防止环境污染工作高度重视，每年投入大量资金进行生产工艺改进和污水处理。此次排放废水中总磷超标是我们为积极响应生态环境部《制革皮毛工业污染防治政策》“提倡低铬吸收铬鞣和无铬鞣剂，在复鞣过程中不用或少用含铬复鞣剂”的号召，采用清洁生产新工艺，在使用无铬鞣剂过程中由于操作不当才发生的偶然行为，并非是我公司的主观故意。4、本次违法行为是初次发生，也未给生态环境造成破坏，也未造成重大社会影响。5、我公司是外贸进出口企业，主要原料皮需从澳大利亚进口，产成品的50%出口欧美地区。如果对我公司进行行政处罚，将会给我公司的征信尤其是进出口业务造成巨大影响。</w:t>
      </w:r>
      <w:r>
        <w:rPr>
          <w:rFonts w:hint="eastAsia" w:cs="仿宋"/>
          <w:sz w:val="32"/>
          <w:szCs w:val="20"/>
          <w:lang w:val="en-US" w:eastAsia="zh-CN"/>
        </w:rPr>
        <w:t>”</w:t>
      </w:r>
    </w:p>
    <w:p w14:paraId="2439091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二、行政处罚的依据、种类 </w:t>
      </w:r>
    </w:p>
    <w:p w14:paraId="648C50F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lang w:val="en-US" w:eastAsia="zh-CN"/>
        </w:rPr>
        <w:t>依据《中华人民共和国行政处罚法》第二十八条第一款和《中华人民共和国水污染防治法》第八十三条第（二）项</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违反本法规定，有下列行为之一的，由县级以上人民政府环境保护主管部门责令改正或者责令限制生产、停产整治，并处十万元以上一百万元以下的罚款；情节严重的，报经有批准权的人民政府批准，责令停业、关闭：（二）超过水污染物排放标准或者超过重点水污染物排放总量控制指标排放水污染物的。</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的规定，</w:t>
      </w:r>
      <w:r>
        <w:rPr>
          <w:rFonts w:hint="eastAsia" w:ascii="仿宋_GB2312" w:hAnsi="仿宋_GB2312" w:eastAsia="仿宋_GB2312" w:cs="仿宋_GB2312"/>
          <w:sz w:val="32"/>
          <w:szCs w:val="32"/>
          <w:u w:val="none"/>
        </w:rPr>
        <w:t xml:space="preserve"> 根据</w:t>
      </w:r>
      <w:r>
        <w:rPr>
          <w:rFonts w:hint="eastAsia" w:ascii="仿宋_GB2312" w:hAnsi="仿宋_GB2312" w:cs="仿宋_GB2312"/>
          <w:sz w:val="32"/>
          <w:szCs w:val="32"/>
          <w:u w:val="none"/>
          <w:lang w:eastAsia="zh-CN"/>
        </w:rPr>
        <w:t>你</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单位违法行为的事实、性质、情节、社会危害程度和相关证据，参照《河南省生态环境行政处罚裁量基准》（豫环</w:t>
      </w:r>
      <w:r>
        <w:rPr>
          <w:rFonts w:hint="eastAsia" w:ascii="仿宋_GB2312" w:hAnsi="仿宋_GB2312" w:cs="仿宋_GB2312"/>
          <w:sz w:val="32"/>
          <w:szCs w:val="32"/>
          <w:u w:val="none"/>
          <w:lang w:val="en-US" w:eastAsia="zh-CN"/>
        </w:rPr>
        <w:t>办</w:t>
      </w:r>
      <w:r>
        <w:rPr>
          <w:rFonts w:hint="eastAsia" w:ascii="仿宋_GB2312" w:hAnsi="仿宋_GB2312" w:eastAsia="仿宋_GB2312" w:cs="仿宋_GB2312"/>
          <w:sz w:val="32"/>
          <w:szCs w:val="32"/>
          <w:u w:val="none"/>
        </w:rPr>
        <w:t xml:space="preserve"> 〔</w:t>
      </w:r>
      <w:r>
        <w:rPr>
          <w:rFonts w:hint="eastAsia" w:ascii="Times New Roman" w:hAnsi="Times New Roman"/>
          <w:sz w:val="32"/>
          <w:lang w:val="en-US" w:eastAsia="zh-CN"/>
        </w:rPr>
        <w:t>2022</w:t>
      </w:r>
      <w:r>
        <w:rPr>
          <w:rFonts w:hint="eastAsia" w:ascii="仿宋_GB2312" w:hAnsi="仿宋_GB2312" w:eastAsia="仿宋_GB2312" w:cs="仿宋_GB2312"/>
          <w:sz w:val="32"/>
          <w:szCs w:val="32"/>
          <w:u w:val="none"/>
        </w:rPr>
        <w:t>〕</w:t>
      </w:r>
      <w:r>
        <w:rPr>
          <w:rFonts w:hint="eastAsia" w:ascii="Times New Roman" w:hAnsi="Times New Roman"/>
          <w:sz w:val="32"/>
          <w:lang w:val="en-US" w:eastAsia="zh-CN"/>
        </w:rPr>
        <w:t xml:space="preserve">72 </w:t>
      </w:r>
      <w:r>
        <w:rPr>
          <w:rFonts w:hint="eastAsia" w:ascii="仿宋_GB2312" w:hAnsi="仿宋_GB2312" w:eastAsia="仿宋_GB2312" w:cs="仿宋_GB2312"/>
          <w:sz w:val="32"/>
          <w:szCs w:val="32"/>
          <w:u w:val="none"/>
        </w:rPr>
        <w:t>号），结合当事人</w:t>
      </w:r>
      <w:r>
        <w:rPr>
          <w:rFonts w:hint="eastAsia" w:ascii="仿宋_GB2312" w:hAnsi="仿宋_GB2312" w:cs="仿宋_GB2312"/>
          <w:sz w:val="32"/>
          <w:szCs w:val="32"/>
          <w:u w:val="none"/>
          <w:lang w:eastAsia="zh-CN"/>
        </w:rPr>
        <w:t>你</w:t>
      </w:r>
      <w:r>
        <w:rPr>
          <w:rFonts w:hint="eastAsia" w:ascii="仿宋_GB2312" w:hAnsi="仿宋_GB2312" w:eastAsia="仿宋_GB2312" w:cs="仿宋_GB2312"/>
          <w:sz w:val="32"/>
          <w:szCs w:val="32"/>
          <w:u w:val="none"/>
        </w:rPr>
        <w:t>违法行为事实，裁量内容如下：</w:t>
      </w:r>
    </w:p>
    <w:p w14:paraId="0966234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A.★排污超标状况：超标3倍以上，裁量等级为</w:t>
      </w:r>
      <w:r>
        <w:rPr>
          <w:rFonts w:hint="eastAsia" w:ascii="仿宋_GB2312" w:hAnsi="仿宋_GB2312" w:cs="仿宋_GB2312"/>
          <w:sz w:val="32"/>
          <w:szCs w:val="32"/>
          <w:u w:val="none"/>
          <w:lang w:val="en-US" w:eastAsia="zh-CN"/>
        </w:rPr>
        <w:t>5</w:t>
      </w:r>
      <w:r>
        <w:rPr>
          <w:rFonts w:hint="eastAsia" w:ascii="仿宋_GB2312" w:hAnsi="仿宋_GB2312" w:eastAsia="仿宋_GB2312" w:cs="仿宋_GB2312"/>
          <w:sz w:val="32"/>
          <w:szCs w:val="32"/>
          <w:u w:val="none"/>
        </w:rPr>
        <w:t xml:space="preserve">； </w:t>
      </w:r>
    </w:p>
    <w:p w14:paraId="7157165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B1.废水类别</w:t>
      </w:r>
      <w:r>
        <w:rPr>
          <w:rFonts w:hint="eastAsia" w:ascii="仿宋_GB2312" w:hAnsi="仿宋_GB2312" w:cs="仿宋_GB2312"/>
          <w:sz w:val="32"/>
          <w:szCs w:val="32"/>
          <w:u w:val="none"/>
          <w:lang w:eastAsia="zh-CN"/>
        </w:rPr>
        <w:t>：一般工业废水，裁量等级为 3；</w:t>
      </w:r>
    </w:p>
    <w:p w14:paraId="4A3859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rPr>
        <w:t>B2.超标因子</w:t>
      </w:r>
      <w:r>
        <w:rPr>
          <w:rFonts w:hint="eastAsia" w:ascii="仿宋_GB2312" w:hAnsi="仿宋_GB2312" w:cs="仿宋_GB2312"/>
          <w:sz w:val="32"/>
          <w:szCs w:val="32"/>
          <w:u w:val="none"/>
          <w:lang w:val="en-US" w:eastAsia="zh-CN"/>
        </w:rPr>
        <w:t>:1个</w:t>
      </w:r>
      <w:r>
        <w:rPr>
          <w:rFonts w:hint="eastAsia" w:ascii="仿宋_GB2312" w:hAnsi="仿宋_GB2312" w:cs="仿宋_GB2312"/>
          <w:sz w:val="32"/>
          <w:szCs w:val="32"/>
          <w:u w:val="none"/>
          <w:lang w:eastAsia="zh-CN"/>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cs="仿宋_GB2312"/>
          <w:sz w:val="32"/>
          <w:szCs w:val="32"/>
          <w:u w:val="none"/>
          <w:lang w:eastAsia="zh-CN"/>
        </w:rPr>
        <w:t>；</w:t>
      </w:r>
    </w:p>
    <w:p w14:paraId="17AD79F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rPr>
        <w:t>B3</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水日排放量</w:t>
      </w:r>
      <w:r>
        <w:rPr>
          <w:rFonts w:hint="eastAsia" w:ascii="仿宋_GB2312" w:hAnsi="仿宋_GB2312" w:cs="仿宋_GB2312"/>
          <w:sz w:val="32"/>
          <w:szCs w:val="32"/>
          <w:u w:val="none"/>
          <w:lang w:val="en-US" w:eastAsia="zh-CN"/>
        </w:rPr>
        <w:t>:100吨以上500吨以下（一般排污单位）</w:t>
      </w:r>
      <w:r>
        <w:rPr>
          <w:rFonts w:hint="eastAsia" w:ascii="仿宋_GB2312" w:hAnsi="仿宋_GB2312" w:cs="仿宋_GB2312"/>
          <w:sz w:val="32"/>
          <w:szCs w:val="32"/>
          <w:u w:val="none"/>
          <w:lang w:eastAsia="zh-CN"/>
        </w:rPr>
        <w:t>，裁量等级为 3；</w:t>
      </w:r>
    </w:p>
    <w:p w14:paraId="01197C4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4</w:t>
      </w:r>
      <w:r>
        <w:rPr>
          <w:rFonts w:hint="eastAsia" w:ascii="仿宋_GB2312" w:hAnsi="仿宋_GB2312" w:eastAsia="仿宋_GB2312" w:cs="仿宋_GB2312"/>
          <w:sz w:val="32"/>
          <w:szCs w:val="32"/>
          <w:u w:val="none"/>
        </w:rPr>
        <w:t>.超过限期改正时间</w:t>
      </w:r>
      <w:r>
        <w:rPr>
          <w:rFonts w:hint="eastAsia" w:ascii="仿宋_GB2312" w:hAnsi="仿宋_GB2312" w:cs="仿宋_GB2312"/>
          <w:sz w:val="32"/>
          <w:szCs w:val="32"/>
          <w:u w:val="none"/>
          <w:lang w:eastAsia="zh-CN"/>
        </w:rPr>
        <w:t xml:space="preserve">：限期改正，裁量等级为 </w:t>
      </w:r>
      <w:r>
        <w:rPr>
          <w:rFonts w:hint="eastAsia" w:ascii="仿宋_GB2312" w:hAnsi="仿宋_GB2312" w:cs="仿宋_GB2312"/>
          <w:sz w:val="32"/>
          <w:szCs w:val="32"/>
          <w:u w:val="none"/>
          <w:lang w:val="en-US" w:eastAsia="zh-CN"/>
        </w:rPr>
        <w:t>1</w:t>
      </w:r>
      <w:r>
        <w:rPr>
          <w:rFonts w:hint="eastAsia" w:ascii="仿宋_GB2312" w:hAnsi="仿宋_GB2312" w:cs="仿宋_GB2312"/>
          <w:sz w:val="32"/>
          <w:szCs w:val="32"/>
          <w:u w:val="none"/>
          <w:lang w:eastAsia="zh-CN"/>
        </w:rPr>
        <w:t>；</w:t>
      </w:r>
    </w:p>
    <w:p w14:paraId="17D3D7F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cs="仿宋_GB2312"/>
          <w:sz w:val="32"/>
          <w:szCs w:val="32"/>
          <w:u w:val="none"/>
          <w:lang w:val="en-US" w:eastAsia="zh-CN"/>
        </w:rPr>
        <w:t>B5.</w:t>
      </w:r>
      <w:r>
        <w:rPr>
          <w:rFonts w:hint="eastAsia" w:ascii="仿宋_GB2312" w:hAnsi="仿宋_GB2312" w:eastAsia="仿宋_GB2312" w:cs="仿宋_GB2312"/>
          <w:sz w:val="32"/>
          <w:szCs w:val="32"/>
          <w:u w:val="none"/>
        </w:rPr>
        <w:t>违法行为持续时间</w:t>
      </w:r>
      <w:r>
        <w:rPr>
          <w:rFonts w:hint="eastAsia" w:ascii="仿宋_GB2312" w:hAnsi="仿宋_GB2312" w:cs="仿宋_GB2312"/>
          <w:sz w:val="32"/>
          <w:szCs w:val="32"/>
          <w:u w:val="none"/>
          <w:lang w:eastAsia="zh-CN"/>
        </w:rPr>
        <w:t xml:space="preserve">：1个月以下，裁量等级为 </w:t>
      </w:r>
      <w:r>
        <w:rPr>
          <w:rFonts w:hint="eastAsia" w:ascii="仿宋_GB2312" w:hAnsi="仿宋_GB2312" w:cs="仿宋_GB2312"/>
          <w:sz w:val="32"/>
          <w:szCs w:val="32"/>
          <w:u w:val="none"/>
          <w:lang w:val="en-US" w:eastAsia="zh-CN"/>
        </w:rPr>
        <w:t>1</w:t>
      </w:r>
      <w:r>
        <w:rPr>
          <w:rFonts w:hint="eastAsia" w:ascii="仿宋_GB2312" w:hAnsi="仿宋_GB2312" w:cs="仿宋_GB2312"/>
          <w:sz w:val="32"/>
          <w:szCs w:val="32"/>
          <w:u w:val="none"/>
          <w:lang w:eastAsia="zh-CN"/>
        </w:rPr>
        <w:t>；</w:t>
      </w:r>
    </w:p>
    <w:p w14:paraId="0B56173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cs="仿宋_GB2312"/>
          <w:sz w:val="32"/>
          <w:szCs w:val="32"/>
          <w:u w:val="none"/>
          <w:lang w:val="en-US" w:eastAsia="zh-CN"/>
        </w:rPr>
        <w:t>B6.</w:t>
      </w:r>
      <w:r>
        <w:rPr>
          <w:rFonts w:hint="eastAsia" w:ascii="仿宋_GB2312" w:hAnsi="仿宋_GB2312" w:eastAsia="仿宋_GB2312" w:cs="仿宋_GB2312"/>
          <w:sz w:val="32"/>
          <w:szCs w:val="32"/>
          <w:u w:val="none"/>
        </w:rPr>
        <w:t>企业规模</w:t>
      </w:r>
      <w:r>
        <w:rPr>
          <w:rFonts w:hint="eastAsia" w:ascii="仿宋_GB2312" w:hAnsi="仿宋_GB2312" w:cs="仿宋_GB2312"/>
          <w:sz w:val="32"/>
          <w:szCs w:val="32"/>
          <w:u w:val="none"/>
          <w:lang w:eastAsia="zh-CN"/>
        </w:rPr>
        <w:t xml:space="preserve">：小型企业，裁量等级为 </w:t>
      </w:r>
      <w:r>
        <w:rPr>
          <w:rFonts w:hint="eastAsia" w:ascii="仿宋_GB2312" w:hAnsi="仿宋_GB2312" w:cs="仿宋_GB2312"/>
          <w:sz w:val="32"/>
          <w:szCs w:val="32"/>
          <w:u w:val="none"/>
          <w:lang w:val="en-US" w:eastAsia="zh-CN"/>
        </w:rPr>
        <w:t>2</w:t>
      </w:r>
      <w:r>
        <w:rPr>
          <w:rFonts w:hint="eastAsia" w:ascii="仿宋_GB2312" w:hAnsi="仿宋_GB2312" w:cs="仿宋_GB2312"/>
          <w:sz w:val="32"/>
          <w:szCs w:val="32"/>
          <w:u w:val="none"/>
          <w:lang w:eastAsia="zh-CN"/>
        </w:rPr>
        <w:t>；</w:t>
      </w:r>
    </w:p>
    <w:p w14:paraId="5C07A7A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cs="仿宋_GB2312"/>
          <w:sz w:val="32"/>
          <w:szCs w:val="32"/>
          <w:u w:val="none"/>
          <w:lang w:val="en-US" w:eastAsia="zh-CN"/>
        </w:rPr>
        <w:t>B7.</w:t>
      </w:r>
      <w:r>
        <w:rPr>
          <w:rFonts w:hint="eastAsia" w:ascii="仿宋_GB2312" w:hAnsi="仿宋_GB2312" w:eastAsia="仿宋_GB2312" w:cs="仿宋_GB2312"/>
          <w:sz w:val="32"/>
          <w:szCs w:val="32"/>
          <w:u w:val="none"/>
        </w:rPr>
        <w:t>管理类别</w:t>
      </w:r>
      <w:r>
        <w:rPr>
          <w:rFonts w:hint="eastAsia" w:ascii="仿宋_GB2312" w:hAnsi="仿宋_GB2312" w:cs="仿宋_GB2312"/>
          <w:sz w:val="32"/>
          <w:szCs w:val="32"/>
          <w:u w:val="none"/>
          <w:lang w:eastAsia="zh-CN"/>
        </w:rPr>
        <w:t>：重点管理，裁量等级为 3；</w:t>
      </w:r>
    </w:p>
    <w:p w14:paraId="34FC92F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cs="仿宋_GB2312"/>
          <w:sz w:val="32"/>
          <w:szCs w:val="32"/>
          <w:u w:val="none"/>
          <w:lang w:val="en-US" w:eastAsia="zh-CN"/>
        </w:rPr>
        <w:t>B8.</w:t>
      </w:r>
      <w:r>
        <w:rPr>
          <w:rFonts w:hint="eastAsia" w:ascii="仿宋_GB2312" w:hAnsi="仿宋_GB2312" w:eastAsia="仿宋_GB2312" w:cs="仿宋_GB2312"/>
          <w:sz w:val="32"/>
          <w:szCs w:val="32"/>
          <w:u w:val="none"/>
        </w:rPr>
        <w:t>污染防治设施建设情况</w:t>
      </w:r>
      <w:r>
        <w:rPr>
          <w:rFonts w:hint="eastAsia" w:ascii="仿宋_GB2312" w:hAnsi="仿宋_GB2312" w:cs="仿宋_GB2312"/>
          <w:sz w:val="32"/>
          <w:szCs w:val="32"/>
          <w:u w:val="none"/>
          <w:lang w:eastAsia="zh-CN"/>
        </w:rPr>
        <w:t>：配套污染防治设施已建成的</w:t>
      </w:r>
      <w:r>
        <w:rPr>
          <w:rFonts w:hint="eastAsia" w:ascii="仿宋_GB2312" w:hAnsi="仿宋_GB2312" w:eastAsia="仿宋_GB2312" w:cs="仿宋_GB2312"/>
          <w:sz w:val="32"/>
          <w:szCs w:val="32"/>
          <w:u w:val="none"/>
        </w:rPr>
        <w:t>，裁量等级为 1；</w:t>
      </w:r>
    </w:p>
    <w:p w14:paraId="02B4265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cs="仿宋_GB2312"/>
          <w:sz w:val="32"/>
          <w:szCs w:val="32"/>
          <w:u w:val="none"/>
          <w:lang w:val="en-US" w:eastAsia="zh-CN"/>
        </w:rPr>
        <w:t>B9.</w:t>
      </w:r>
      <w:r>
        <w:rPr>
          <w:rFonts w:hint="eastAsia" w:ascii="仿宋_GB2312" w:hAnsi="仿宋_GB2312" w:eastAsia="仿宋_GB2312" w:cs="仿宋_GB2312"/>
          <w:sz w:val="32"/>
          <w:szCs w:val="32"/>
          <w:u w:val="none"/>
        </w:rPr>
        <w:t>受处罚次数</w:t>
      </w:r>
      <w:r>
        <w:rPr>
          <w:rFonts w:hint="eastAsia" w:ascii="仿宋_GB2312" w:hAnsi="仿宋_GB2312" w:cs="仿宋_GB2312"/>
          <w:sz w:val="32"/>
          <w:szCs w:val="32"/>
          <w:u w:val="none"/>
          <w:lang w:eastAsia="zh-CN"/>
        </w:rPr>
        <w:t>：</w:t>
      </w:r>
      <w:r>
        <w:rPr>
          <w:rFonts w:hint="eastAsia" w:ascii="仿宋_GB2312" w:hAnsi="仿宋_GB2312" w:eastAsia="仿宋_GB2312" w:cs="仿宋_GB2312"/>
          <w:sz w:val="32"/>
          <w:szCs w:val="32"/>
          <w:u w:val="none"/>
        </w:rPr>
        <w:t>两年内未受到同类处罚，裁量等级为 1；</w:t>
      </w:r>
    </w:p>
    <w:p w14:paraId="7243FEE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cs="仿宋_GB2312"/>
          <w:sz w:val="32"/>
          <w:szCs w:val="32"/>
          <w:u w:val="none"/>
          <w:lang w:val="en-US" w:eastAsia="zh-CN"/>
        </w:rPr>
        <w:t>B10.</w:t>
      </w:r>
      <w:r>
        <w:rPr>
          <w:rFonts w:hint="eastAsia" w:ascii="仿宋_GB2312" w:hAnsi="仿宋_GB2312" w:eastAsia="仿宋_GB2312" w:cs="仿宋_GB2312"/>
          <w:sz w:val="32"/>
          <w:szCs w:val="32"/>
          <w:u w:val="none"/>
        </w:rPr>
        <w:t>是否配合执法检查</w:t>
      </w:r>
      <w:r>
        <w:rPr>
          <w:rFonts w:hint="eastAsia" w:ascii="仿宋_GB2312" w:hAnsi="仿宋_GB2312" w:cs="仿宋_GB2312"/>
          <w:sz w:val="32"/>
          <w:szCs w:val="32"/>
          <w:u w:val="none"/>
          <w:lang w:eastAsia="zh-CN"/>
        </w:rPr>
        <w:t>：</w:t>
      </w:r>
      <w:r>
        <w:rPr>
          <w:rFonts w:hint="eastAsia" w:ascii="仿宋_GB2312" w:hAnsi="仿宋_GB2312" w:eastAsia="仿宋_GB2312" w:cs="仿宋_GB2312"/>
          <w:sz w:val="32"/>
          <w:szCs w:val="32"/>
          <w:u w:val="none"/>
        </w:rPr>
        <w:t xml:space="preserve">配合调查，裁量等级为 1。 </w:t>
      </w:r>
    </w:p>
    <w:tbl>
      <w:tblPr>
        <w:tblStyle w:val="5"/>
        <w:tblpPr w:leftFromText="180" w:rightFromText="180" w:vertAnchor="text" w:horzAnchor="page" w:tblpX="1289" w:tblpY="1265"/>
        <w:tblOverlap w:val="never"/>
        <w:tblW w:w="99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555"/>
        <w:gridCol w:w="780"/>
        <w:gridCol w:w="510"/>
        <w:gridCol w:w="540"/>
        <w:gridCol w:w="555"/>
        <w:gridCol w:w="630"/>
        <w:gridCol w:w="633"/>
        <w:gridCol w:w="732"/>
        <w:gridCol w:w="732"/>
        <w:gridCol w:w="732"/>
        <w:gridCol w:w="617"/>
        <w:gridCol w:w="655"/>
        <w:gridCol w:w="641"/>
        <w:gridCol w:w="713"/>
      </w:tblGrid>
      <w:tr w14:paraId="4A230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935" w:type="dxa"/>
            <w:noWrap w:val="0"/>
            <w:vAlign w:val="top"/>
          </w:tcPr>
          <w:p w14:paraId="6486DB40">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参数</w:t>
            </w:r>
          </w:p>
        </w:tc>
        <w:tc>
          <w:tcPr>
            <w:tcW w:w="555" w:type="dxa"/>
            <w:noWrap w:val="0"/>
            <w:vAlign w:val="top"/>
          </w:tcPr>
          <w:p w14:paraId="68A3DCF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780" w:type="dxa"/>
            <w:noWrap w:val="0"/>
            <w:vAlign w:val="top"/>
          </w:tcPr>
          <w:p w14:paraId="0AF59E3E">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M</w:t>
            </w:r>
          </w:p>
        </w:tc>
        <w:tc>
          <w:tcPr>
            <w:tcW w:w="510" w:type="dxa"/>
            <w:noWrap w:val="0"/>
            <w:vAlign w:val="top"/>
          </w:tcPr>
          <w:p w14:paraId="6497BF2C">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A</w:t>
            </w:r>
          </w:p>
        </w:tc>
        <w:tc>
          <w:tcPr>
            <w:tcW w:w="540" w:type="dxa"/>
            <w:noWrap w:val="0"/>
            <w:vAlign w:val="top"/>
          </w:tcPr>
          <w:p w14:paraId="4D95567D">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555" w:type="dxa"/>
            <w:noWrap w:val="0"/>
            <w:vAlign w:val="top"/>
          </w:tcPr>
          <w:p w14:paraId="68DDADA4">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30" w:type="dxa"/>
            <w:noWrap w:val="0"/>
            <w:vAlign w:val="top"/>
          </w:tcPr>
          <w:p w14:paraId="551543ED">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2</w:t>
            </w:r>
          </w:p>
        </w:tc>
        <w:tc>
          <w:tcPr>
            <w:tcW w:w="633" w:type="dxa"/>
            <w:noWrap w:val="0"/>
            <w:vAlign w:val="top"/>
          </w:tcPr>
          <w:p w14:paraId="4443CF6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732" w:type="dxa"/>
            <w:noWrap w:val="0"/>
            <w:vAlign w:val="top"/>
          </w:tcPr>
          <w:p w14:paraId="2D55E17E">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B4</w:t>
            </w:r>
          </w:p>
        </w:tc>
        <w:tc>
          <w:tcPr>
            <w:tcW w:w="732" w:type="dxa"/>
            <w:noWrap w:val="0"/>
            <w:vAlign w:val="top"/>
          </w:tcPr>
          <w:p w14:paraId="7C019569">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B5</w:t>
            </w:r>
          </w:p>
        </w:tc>
        <w:tc>
          <w:tcPr>
            <w:tcW w:w="732" w:type="dxa"/>
            <w:noWrap w:val="0"/>
            <w:vAlign w:val="top"/>
          </w:tcPr>
          <w:p w14:paraId="48F8D15E">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B6</w:t>
            </w:r>
          </w:p>
        </w:tc>
        <w:tc>
          <w:tcPr>
            <w:tcW w:w="617" w:type="dxa"/>
            <w:noWrap w:val="0"/>
            <w:vAlign w:val="top"/>
          </w:tcPr>
          <w:p w14:paraId="795C85CA">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B7</w:t>
            </w:r>
          </w:p>
        </w:tc>
        <w:tc>
          <w:tcPr>
            <w:tcW w:w="655" w:type="dxa"/>
            <w:noWrap w:val="0"/>
            <w:vAlign w:val="top"/>
          </w:tcPr>
          <w:p w14:paraId="5F789EAC">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B8</w:t>
            </w:r>
          </w:p>
        </w:tc>
        <w:tc>
          <w:tcPr>
            <w:tcW w:w="641" w:type="dxa"/>
            <w:noWrap w:val="0"/>
            <w:vAlign w:val="top"/>
          </w:tcPr>
          <w:p w14:paraId="54ED9AD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B9</w:t>
            </w:r>
          </w:p>
        </w:tc>
        <w:tc>
          <w:tcPr>
            <w:tcW w:w="713" w:type="dxa"/>
            <w:noWrap w:val="0"/>
            <w:vAlign w:val="top"/>
          </w:tcPr>
          <w:p w14:paraId="11A9457F">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B10</w:t>
            </w:r>
          </w:p>
        </w:tc>
      </w:tr>
      <w:tr w14:paraId="3CF6D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5" w:type="dxa"/>
            <w:noWrap w:val="0"/>
            <w:vAlign w:val="top"/>
          </w:tcPr>
          <w:p w14:paraId="5F50E151">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取值</w:t>
            </w:r>
          </w:p>
        </w:tc>
        <w:tc>
          <w:tcPr>
            <w:tcW w:w="555" w:type="dxa"/>
            <w:noWrap w:val="0"/>
            <w:vAlign w:val="top"/>
          </w:tcPr>
          <w:p w14:paraId="58E7CFDE">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10</w:t>
            </w:r>
          </w:p>
        </w:tc>
        <w:tc>
          <w:tcPr>
            <w:tcW w:w="780" w:type="dxa"/>
            <w:noWrap w:val="0"/>
            <w:vAlign w:val="top"/>
          </w:tcPr>
          <w:p w14:paraId="3A7DB5E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100</w:t>
            </w:r>
          </w:p>
        </w:tc>
        <w:tc>
          <w:tcPr>
            <w:tcW w:w="510" w:type="dxa"/>
            <w:noWrap w:val="0"/>
            <w:vAlign w:val="top"/>
          </w:tcPr>
          <w:p w14:paraId="0E6B755A">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5</w:t>
            </w:r>
          </w:p>
        </w:tc>
        <w:tc>
          <w:tcPr>
            <w:tcW w:w="540" w:type="dxa"/>
            <w:noWrap w:val="0"/>
            <w:vAlign w:val="top"/>
          </w:tcPr>
          <w:p w14:paraId="437BE7C4">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10</w:t>
            </w:r>
          </w:p>
        </w:tc>
        <w:tc>
          <w:tcPr>
            <w:tcW w:w="555" w:type="dxa"/>
            <w:noWrap w:val="0"/>
            <w:vAlign w:val="top"/>
          </w:tcPr>
          <w:p w14:paraId="65505F28">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3</w:t>
            </w:r>
          </w:p>
        </w:tc>
        <w:tc>
          <w:tcPr>
            <w:tcW w:w="630" w:type="dxa"/>
            <w:noWrap w:val="0"/>
            <w:vAlign w:val="top"/>
          </w:tcPr>
          <w:p w14:paraId="79BC1383">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1</w:t>
            </w:r>
          </w:p>
        </w:tc>
        <w:tc>
          <w:tcPr>
            <w:tcW w:w="633" w:type="dxa"/>
            <w:noWrap w:val="0"/>
            <w:vAlign w:val="top"/>
          </w:tcPr>
          <w:p w14:paraId="50ED3C61">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cs="FangSong_GB2312"/>
                <w:color w:val="3E3E3E"/>
                <w:kern w:val="0"/>
                <w:sz w:val="32"/>
                <w:szCs w:val="32"/>
                <w:u w:val="none"/>
                <w:shd w:val="clear" w:color="auto" w:fill="FFFFFF"/>
                <w:lang w:val="en-US" w:eastAsia="zh-CN"/>
              </w:rPr>
              <w:t>3</w:t>
            </w:r>
          </w:p>
        </w:tc>
        <w:tc>
          <w:tcPr>
            <w:tcW w:w="732" w:type="dxa"/>
            <w:noWrap w:val="0"/>
            <w:vAlign w:val="top"/>
          </w:tcPr>
          <w:p w14:paraId="6A06BBD7">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732" w:type="dxa"/>
            <w:noWrap w:val="0"/>
            <w:vAlign w:val="top"/>
          </w:tcPr>
          <w:p w14:paraId="05115AB7">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732" w:type="dxa"/>
            <w:noWrap w:val="0"/>
            <w:vAlign w:val="top"/>
          </w:tcPr>
          <w:p w14:paraId="5B2297C4">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617" w:type="dxa"/>
            <w:noWrap w:val="0"/>
            <w:vAlign w:val="top"/>
          </w:tcPr>
          <w:p w14:paraId="6CD2765A">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3</w:t>
            </w:r>
          </w:p>
        </w:tc>
        <w:tc>
          <w:tcPr>
            <w:tcW w:w="655" w:type="dxa"/>
            <w:noWrap w:val="0"/>
            <w:vAlign w:val="top"/>
          </w:tcPr>
          <w:p w14:paraId="1B48C51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41" w:type="dxa"/>
            <w:noWrap w:val="0"/>
            <w:vAlign w:val="top"/>
          </w:tcPr>
          <w:p w14:paraId="016D068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713" w:type="dxa"/>
            <w:noWrap w:val="0"/>
            <w:vAlign w:val="top"/>
          </w:tcPr>
          <w:p w14:paraId="77EDE89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FangSong_GB2312" w:hAnsi="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r>
    </w:tbl>
    <w:p w14:paraId="762FDE7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p w14:paraId="0573B184">
      <w:pPr>
        <w:keepNext w:val="0"/>
        <w:keepLines w:val="0"/>
        <w:pageBreakBefore w:val="0"/>
        <w:widowControl w:val="0"/>
        <w:kinsoku/>
        <w:wordWrap/>
        <w:overflowPunct/>
        <w:topLinePunct w:val="0"/>
        <w:autoSpaceDE/>
        <w:autoSpaceDN/>
        <w:bidi w:val="0"/>
        <w:adjustRightInd w:val="0"/>
        <w:snapToGrid w:val="0"/>
        <w:spacing w:before="0" w:beforeLines="50" w:after="0" w:afterLines="0" w:line="570" w:lineRule="exact"/>
        <w:ind w:left="0" w:right="0" w:rightChars="0" w:firstLine="420"/>
        <w:jc w:val="left"/>
        <w:textAlignment w:val="auto"/>
        <w:outlineLvl w:val="9"/>
        <w:rPr>
          <w:rFonts w:hint="eastAsia" w:ascii="黑体" w:hAnsi="黑体" w:eastAsia="黑体" w:cs="黑体"/>
          <w:color w:val="auto"/>
          <w:sz w:val="32"/>
          <w:szCs w:val="32"/>
          <w:u w:val="none"/>
          <w:lang w:val="en-US" w:eastAsia="zh-CN"/>
        </w:rPr>
      </w:pPr>
      <w:r>
        <w:rPr>
          <w:rFonts w:hint="eastAsia" w:ascii="仿宋_GB2312" w:hAnsi="仿宋_GB2312" w:eastAsia="仿宋_GB2312" w:cs="仿宋_GB2312"/>
          <w:color w:val="3E3E3E"/>
          <w:kern w:val="0"/>
          <w:sz w:val="32"/>
          <w:szCs w:val="32"/>
          <w:u w:val="none"/>
          <w:shd w:val="clear" w:color="auto" w:fill="FFFFFF"/>
        </w:rPr>
        <w:t>X=</w:t>
      </w:r>
      <w:r>
        <w:rPr>
          <w:rFonts w:hint="eastAsia" w:ascii="仿宋_GB2312" w:hAnsi="仿宋_GB2312" w:cs="仿宋_GB2312"/>
          <w:color w:val="3E3E3E"/>
          <w:kern w:val="0"/>
          <w:sz w:val="32"/>
          <w:szCs w:val="32"/>
          <w:u w:val="none"/>
          <w:shd w:val="clear" w:color="auto" w:fill="FFFFFF"/>
          <w:lang w:val="en-US" w:eastAsia="zh-CN"/>
        </w:rPr>
        <w:t>10</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100</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10</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eastAsia="仿宋_GB2312" w:cs="仿宋_GB2312"/>
          <w:color w:val="3E3E3E"/>
          <w:kern w:val="0"/>
          <w:sz w:val="32"/>
          <w:szCs w:val="32"/>
          <w:u w:val="none"/>
          <w:shd w:val="clear" w:color="auto" w:fill="FFFFFF"/>
          <w:lang w:val="en-US" w:eastAsia="zh-CN"/>
        </w:rPr>
        <w:t>3</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eastAsia="仿宋_GB2312" w:cs="仿宋_GB2312"/>
          <w:color w:val="3E3E3E"/>
          <w:kern w:val="0"/>
          <w:sz w:val="32"/>
          <w:szCs w:val="32"/>
          <w:u w:val="none"/>
          <w:shd w:val="clear" w:color="auto" w:fill="FFFFFF"/>
          <w:lang w:val="en-US" w:eastAsia="zh-CN"/>
        </w:rPr>
        <w:t>+3</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eastAsia="仿宋_GB2312" w:cs="仿宋_GB2312"/>
          <w:color w:val="3E3E3E"/>
          <w:kern w:val="0"/>
          <w:sz w:val="32"/>
          <w:szCs w:val="32"/>
          <w:u w:val="none"/>
          <w:shd w:val="clear" w:color="auto" w:fill="FFFFFF"/>
          <w:lang w:val="en-US" w:eastAsia="zh-CN"/>
        </w:rPr>
        <w:t>+1+2</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+3</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+1+1+1</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10</w:t>
      </w:r>
      <w:r>
        <w:rPr>
          <w:rFonts w:hint="eastAsia" w:ascii="仿宋_GB2312" w:hAnsi="仿宋_GB2312" w:eastAsia="仿宋_GB2312" w:cs="仿宋_GB2312"/>
          <w:color w:val="3E3E3E"/>
          <w:kern w:val="0"/>
          <w:sz w:val="32"/>
          <w:szCs w:val="32"/>
          <w:u w:val="none"/>
          <w:shd w:val="clear" w:color="auto" w:fill="FFFFFF"/>
        </w:rPr>
        <w:t>）]×50%=</w:t>
      </w:r>
      <w:r>
        <w:rPr>
          <w:rFonts w:hint="eastAsia" w:ascii="仿宋_GB2312" w:hAnsi="仿宋_GB2312" w:cs="仿宋_GB2312"/>
          <w:color w:val="3E3E3E"/>
          <w:kern w:val="0"/>
          <w:sz w:val="32"/>
          <w:szCs w:val="32"/>
          <w:u w:val="none"/>
          <w:shd w:val="clear" w:color="auto" w:fill="FFFFFF"/>
          <w:lang w:val="en-US" w:eastAsia="zh-CN"/>
        </w:rPr>
        <w:t>61.66</w:t>
      </w:r>
      <w:r>
        <w:rPr>
          <w:rFonts w:hint="eastAsia" w:ascii="仿宋_GB2312" w:hAnsi="仿宋_GB2312" w:eastAsia="仿宋_GB2312" w:cs="仿宋_GB2312"/>
          <w:color w:val="3E3E3E"/>
          <w:kern w:val="0"/>
          <w:sz w:val="32"/>
          <w:szCs w:val="32"/>
          <w:u w:val="none"/>
          <w:shd w:val="clear" w:color="auto" w:fill="FFFFFF"/>
          <w:lang w:val="en-US" w:eastAsia="zh-CN"/>
        </w:rPr>
        <w:t>万元</w:t>
      </w:r>
    </w:p>
    <w:p w14:paraId="20C3916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经核查，1.你公司提供了巩义市腾龙水处理材料检测公司出具的检测报告，报告显示废水中总磷的检验结果为0.1mg/L，已低于排放标准限值，并且该企业自2025年9月1日至今未外排废水，已主动减轻了违法行为；2、你公司提供了购买无铬鞣剂的销售合同和购买发票，积极响应生态环境部《制革皮毛工业污染防治政策》“提倡低铬吸收铬鞣和无铬鞣剂，在复鞣过程中不用或少用含铬复鞣剂”的号召，采用清洁生产新工艺，对减少污染存在有利影响，不属于主观故意的行为，3.你公司是外贸进出口企业，行政处罚会对该企业造成一定的影响。根据《中华人民共和国行政处罚法》第三十二条“当事人有下列情形之一，应当从轻或者减轻行政处罚：（一）主动消除或者减轻违法行为危害后果的；（六）其他依法应当从轻行政处罚的”，该企业有主动整改、非主观故意等情形，按省裁量基准仅能支持最高20%从轻，但是你公司已启动并积极配合履行生态环境损害赔偿责任，根据《生态环境损害赔偿管理规定》建议对该企业做出在裁量基准确定罚款金额的基础上减少30%的处罚决定。</w:t>
      </w:r>
    </w:p>
    <w:p w14:paraId="7CE21B2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经裁量计算及讨论研究，我局决定对你单位超过水污染物排放标准排放水污染物的违法行为作出以下处理决定：</w:t>
      </w:r>
    </w:p>
    <w:p w14:paraId="698680E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处肆拾叁万壹仟陆佰贰</w:t>
      </w:r>
      <w:r>
        <w:rPr>
          <w:rFonts w:hint="eastAsia" w:ascii="Times New Roman" w:hAnsi="Times New Roman" w:eastAsia="仿宋_GB2312" w:cs="仿宋"/>
          <w:sz w:val="32"/>
          <w:szCs w:val="20"/>
          <w:lang w:val="en-US" w:eastAsia="zh-CN"/>
        </w:rPr>
        <w:t>拾元罚款（43.162万元）。</w:t>
      </w:r>
    </w:p>
    <w:p w14:paraId="6CDB08B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黑体" w:hAnsi="黑体" w:eastAsia="黑体" w:cs="黑体"/>
          <w:sz w:val="32"/>
          <w:szCs w:val="32"/>
          <w:lang w:val="en-US" w:eastAsia="zh-CN"/>
        </w:rPr>
        <w:t>三、行政处罚决定的履行方式和期限</w:t>
      </w:r>
      <w:r>
        <w:rPr>
          <w:rFonts w:hint="eastAsia" w:ascii="仿宋_GB2312" w:hAnsi="仿宋_GB2312" w:cs="仿宋_GB2312"/>
          <w:sz w:val="32"/>
          <w:szCs w:val="32"/>
          <w:lang w:val="en-US" w:eastAsia="zh-CN"/>
        </w:rPr>
        <w:t xml:space="preserve"> </w:t>
      </w:r>
    </w:p>
    <w:p w14:paraId="2A48FCB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根据《中华人民共和国行政处罚法》和《罚款决定与罚款收缴分离实施办法》的规定，你单位应当自收到本决定书之日起</w:t>
      </w:r>
      <w:r>
        <w:rPr>
          <w:rFonts w:hint="eastAsia" w:ascii="Times New Roman" w:hAnsi="Times New Roman" w:eastAsia="仿宋_GB2312" w:cs="仿宋"/>
          <w:sz w:val="32"/>
          <w:szCs w:val="20"/>
          <w:lang w:val="en-US" w:eastAsia="zh-CN"/>
        </w:rPr>
        <w:t>15日内将罚款缴至指定银行和账号： </w:t>
      </w:r>
    </w:p>
    <w:p w14:paraId="2429B4E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户  名：焦作市财政局非税收入财政专户。</w:t>
      </w:r>
    </w:p>
    <w:p w14:paraId="65BB391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开户行：邮政储蓄银行民主南路支行；</w:t>
      </w:r>
    </w:p>
    <w:p w14:paraId="0D1D327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银行账号：</w:t>
      </w:r>
      <w:r>
        <w:rPr>
          <w:rFonts w:hint="eastAsia" w:ascii="Times New Roman" w:hAnsi="Times New Roman" w:eastAsia="仿宋_GB2312" w:cs="仿宋"/>
          <w:sz w:val="32"/>
          <w:szCs w:val="20"/>
          <w:lang w:val="en-US" w:eastAsia="zh-CN"/>
        </w:rPr>
        <w:t>100195545980010001</w:t>
      </w:r>
    </w:p>
    <w:p w14:paraId="0AAA4A3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缴纳罚款后，应将缴款凭据报送我局备案。逾期不缴纳罚款的，我局将依法采取行政强制措施。 </w:t>
      </w:r>
    </w:p>
    <w:p w14:paraId="00C35C5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四、申请行政复议或提起行政诉讼的途径和期限</w:t>
      </w:r>
    </w:p>
    <w:p w14:paraId="69FC940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你单位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1DE13A4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12C6ED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3D53DE1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52E016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3A6ADC3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5440" w:firstLineChars="17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年</w:t>
      </w:r>
      <w:r>
        <w:rPr>
          <w:rFonts w:hint="eastAsia" w:cs="仿宋"/>
          <w:sz w:val="32"/>
          <w:szCs w:val="20"/>
          <w:lang w:val="en-US" w:eastAsia="zh-CN"/>
        </w:rPr>
        <w:t>4</w:t>
      </w:r>
      <w:r>
        <w:rPr>
          <w:rFonts w:hint="eastAsia" w:ascii="Times New Roman" w:hAnsi="Times New Roman" w:eastAsia="仿宋_GB2312" w:cs="仿宋"/>
          <w:sz w:val="32"/>
          <w:szCs w:val="20"/>
          <w:lang w:val="en-US" w:eastAsia="zh-CN"/>
        </w:rPr>
        <w:t>月</w:t>
      </w:r>
      <w:r>
        <w:rPr>
          <w:rFonts w:hint="eastAsia" w:cs="仿宋"/>
          <w:sz w:val="32"/>
          <w:szCs w:val="20"/>
          <w:lang w:val="en-US" w:eastAsia="zh-CN"/>
        </w:rPr>
        <w:t>27</w:t>
      </w:r>
      <w:r>
        <w:rPr>
          <w:rFonts w:hint="eastAsia" w:ascii="Times New Roman" w:hAnsi="Times New Roman" w:eastAsia="仿宋_GB2312" w:cs="仿宋"/>
          <w:sz w:val="32"/>
          <w:szCs w:val="20"/>
          <w:lang w:val="en-US" w:eastAsia="zh-CN"/>
        </w:rPr>
        <w:t>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154" w:right="1474" w:bottom="1644" w:left="1587" w:header="850" w:footer="992"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5301E">
    <w:pPr>
      <w:spacing w:line="1" w:lineRule="atLeast"/>
    </w:pP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7B6F37D1">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7B6F37D1">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D1EB4">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4A856594">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4A856594">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6DF88">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FD7B37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FD7B375">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AFBD">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7B103D5A">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7B103D5A">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02B450C"/>
    <w:rsid w:val="009A6FAA"/>
    <w:rsid w:val="03056030"/>
    <w:rsid w:val="04514AB6"/>
    <w:rsid w:val="05077C19"/>
    <w:rsid w:val="05CA048C"/>
    <w:rsid w:val="06DF5ACD"/>
    <w:rsid w:val="07013F3A"/>
    <w:rsid w:val="07A95C52"/>
    <w:rsid w:val="08BD07F2"/>
    <w:rsid w:val="09176D56"/>
    <w:rsid w:val="092D4195"/>
    <w:rsid w:val="0A6E634A"/>
    <w:rsid w:val="0B696D19"/>
    <w:rsid w:val="0CDC3D79"/>
    <w:rsid w:val="10125409"/>
    <w:rsid w:val="109A05C5"/>
    <w:rsid w:val="10C02BFC"/>
    <w:rsid w:val="121249FE"/>
    <w:rsid w:val="12A35A32"/>
    <w:rsid w:val="15771AFC"/>
    <w:rsid w:val="19CD0264"/>
    <w:rsid w:val="1C1943F5"/>
    <w:rsid w:val="1E82375A"/>
    <w:rsid w:val="20F3684E"/>
    <w:rsid w:val="24162E02"/>
    <w:rsid w:val="256127FD"/>
    <w:rsid w:val="26F543A3"/>
    <w:rsid w:val="29242DC7"/>
    <w:rsid w:val="2980344D"/>
    <w:rsid w:val="2B162E29"/>
    <w:rsid w:val="2BF8505C"/>
    <w:rsid w:val="2C1A3224"/>
    <w:rsid w:val="2FF918ED"/>
    <w:rsid w:val="31205564"/>
    <w:rsid w:val="31F97D80"/>
    <w:rsid w:val="32D968D7"/>
    <w:rsid w:val="332E1CAB"/>
    <w:rsid w:val="33726108"/>
    <w:rsid w:val="34E02B31"/>
    <w:rsid w:val="37F169BE"/>
    <w:rsid w:val="38A76271"/>
    <w:rsid w:val="3BE07D4F"/>
    <w:rsid w:val="3C8D0788"/>
    <w:rsid w:val="3F762A0F"/>
    <w:rsid w:val="3FE16C80"/>
    <w:rsid w:val="41265807"/>
    <w:rsid w:val="4424559D"/>
    <w:rsid w:val="44DD3767"/>
    <w:rsid w:val="458F0387"/>
    <w:rsid w:val="45B26D20"/>
    <w:rsid w:val="479C20ED"/>
    <w:rsid w:val="48BB3824"/>
    <w:rsid w:val="4BC24D76"/>
    <w:rsid w:val="4EEF5D9A"/>
    <w:rsid w:val="4FA820B3"/>
    <w:rsid w:val="504C0E58"/>
    <w:rsid w:val="51286052"/>
    <w:rsid w:val="52344790"/>
    <w:rsid w:val="52E361B6"/>
    <w:rsid w:val="52E71DA7"/>
    <w:rsid w:val="532C785A"/>
    <w:rsid w:val="54496D13"/>
    <w:rsid w:val="54B24092"/>
    <w:rsid w:val="567F1D52"/>
    <w:rsid w:val="572E3365"/>
    <w:rsid w:val="59865899"/>
    <w:rsid w:val="5B527D19"/>
    <w:rsid w:val="5C6043D4"/>
    <w:rsid w:val="5D647EF4"/>
    <w:rsid w:val="5DE552CA"/>
    <w:rsid w:val="60236652"/>
    <w:rsid w:val="604907EE"/>
    <w:rsid w:val="64116420"/>
    <w:rsid w:val="68064081"/>
    <w:rsid w:val="696F345C"/>
    <w:rsid w:val="69740F36"/>
    <w:rsid w:val="6AE82164"/>
    <w:rsid w:val="6B1A78B7"/>
    <w:rsid w:val="6B1C5D44"/>
    <w:rsid w:val="70B76860"/>
    <w:rsid w:val="75AA4E2B"/>
    <w:rsid w:val="7DC5315A"/>
    <w:rsid w:val="7FAD0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4">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3294</Words>
  <Characters>3616</Characters>
  <Lines>0</Lines>
  <Paragraphs>0</Paragraphs>
  <TotalTime>4</TotalTime>
  <ScaleCrop>false</ScaleCrop>
  <LinksUpToDate>false</LinksUpToDate>
  <CharactersWithSpaces>3718</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2025-11-16T02:09:00Z</cp:lastPrinted>
  <dcterms:modified xsi:type="dcterms:W3CDTF">2026-04-30T06:40:52Z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14DBBEB56826446A921745664F286383_13</vt:lpwstr>
  </property>
  <property fmtid="{D5CDD505-2E9C-101B-9397-08002B2CF9AE}" pid="4" name="KSOTemplateDocerSaveRecord">
    <vt:lpwstr>eyJoZGlkIjoiZTQyN2M1M2U3YjFhNzg3ZTlhZGQwMGM5ODcyZDJlZWIiLCJ1c2VySWQiOiI0MTgxMzM4MDgifQ==</vt:lpwstr>
  </property>
</Properties>
</file>