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1492EF">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4EC086F3">
      <w:pPr>
        <w:pStyle w:val="2"/>
        <w:rPr>
          <w:rFonts w:hint="eastAsia"/>
          <w:color w:val="000000" w:themeColor="text1"/>
          <w14:textFill>
            <w14:solidFill>
              <w14:schemeClr w14:val="tx1"/>
            </w14:solidFill>
          </w14:textFill>
        </w:rPr>
      </w:pPr>
    </w:p>
    <w:p w14:paraId="07C76B0F">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焦作市生态环境局</w:t>
      </w:r>
    </w:p>
    <w:p w14:paraId="48994DFF">
      <w:pPr>
        <w:keepNext w:val="0"/>
        <w:keepLines w:val="0"/>
        <w:pageBreakBefore w:val="0"/>
        <w:widowControl w:val="0"/>
        <w:kinsoku/>
        <w:wordWrap/>
        <w:overflowPunct/>
        <w:topLinePunct w:val="0"/>
        <w:autoSpaceDN/>
        <w:bidi w:val="0"/>
        <w:spacing w:before="0" w:beforeLines="0" w:beforeAutospacing="0" w:line="560" w:lineRule="exact"/>
        <w:ind w:left="0" w:leftChars="0" w:firstLine="0" w:firstLineChars="0"/>
        <w:jc w:val="center"/>
        <w:rPr>
          <w:rFonts w:hint="eastAsia" w:ascii="方正小标宋简体" w:hAnsi="?????_GBK" w:eastAsia="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行政处罚决定书</w:t>
      </w:r>
    </w:p>
    <w:p w14:paraId="29B09212">
      <w:pPr>
        <w:keepNext w:val="0"/>
        <w:keepLines w:val="0"/>
        <w:pageBreakBefore w:val="0"/>
        <w:widowControl w:val="0"/>
        <w:kinsoku/>
        <w:wordWrap/>
        <w:overflowPunct/>
        <w:topLinePunct w:val="0"/>
        <w:autoSpaceDE/>
        <w:autoSpaceDN/>
        <w:bidi w:val="0"/>
        <w:adjustRightInd/>
        <w:snapToGrid w:val="0"/>
        <w:spacing w:line="560" w:lineRule="exact"/>
        <w:ind w:right="0"/>
        <w:jc w:val="right"/>
        <w:textAlignment w:val="auto"/>
        <w:rPr>
          <w:rFonts w:hint="eastAsia" w:ascii="KaiTi_GB2312" w:hAnsi="KaiTi_GB2312" w:eastAsia="KaiTi_GB2312" w:cs="KaiTi_GB2312"/>
          <w:color w:val="000000" w:themeColor="text1"/>
          <w:sz w:val="32"/>
          <w:szCs w:val="32"/>
          <w14:textFill>
            <w14:solidFill>
              <w14:schemeClr w14:val="tx1"/>
            </w14:solidFill>
          </w14:textFill>
        </w:rPr>
      </w:pPr>
      <w:r>
        <w:rPr>
          <w:rFonts w:hint="eastAsia" w:ascii="KaiTi_GB2312" w:hAnsi="KaiTi_GB2312" w:eastAsia="KaiTi_GB2312" w:cs="KaiTi_GB2312"/>
          <w:color w:val="000000" w:themeColor="text1"/>
          <w:sz w:val="32"/>
          <w:szCs w:val="32"/>
          <w:lang w:eastAsia="zh-CN"/>
          <w14:textFill>
            <w14:solidFill>
              <w14:schemeClr w14:val="tx1"/>
            </w14:solidFill>
          </w14:textFill>
        </w:rPr>
        <w:t>焦</w:t>
      </w:r>
      <w:r>
        <w:rPr>
          <w:rFonts w:hint="eastAsia" w:ascii="KaiTi_GB2312" w:hAnsi="KaiTi_GB2312" w:eastAsia="KaiTi_GB2312" w:cs="KaiTi_GB2312"/>
          <w:color w:val="000000" w:themeColor="text1"/>
          <w:sz w:val="32"/>
          <w:szCs w:val="32"/>
          <w14:textFill>
            <w14:solidFill>
              <w14:schemeClr w14:val="tx1"/>
            </w14:solidFill>
          </w14:textFill>
        </w:rPr>
        <w:t>环罚〔</w:t>
      </w:r>
      <w:r>
        <w:rPr>
          <w:rFonts w:hint="eastAsia" w:ascii="KaiTi_GB2312" w:hAnsi="KaiTi_GB2312" w:eastAsia="KaiTi_GB2312" w:cs="KaiTi_GB2312"/>
          <w:color w:val="000000" w:themeColor="text1"/>
          <w:sz w:val="32"/>
          <w:szCs w:val="32"/>
          <w:lang w:val="en-US" w:eastAsia="zh"/>
          <w14:textFill>
            <w14:solidFill>
              <w14:schemeClr w14:val="tx1"/>
            </w14:solidFill>
          </w14:textFill>
        </w:rPr>
        <w:t>202</w:t>
      </w:r>
      <w:r>
        <w:rPr>
          <w:rFonts w:hint="eastAsia" w:ascii="KaiTi_GB2312" w:hAnsi="KaiTi_GB2312" w:eastAsia="KaiTi_GB2312" w:cs="KaiTi_GB2312"/>
          <w:color w:val="000000" w:themeColor="text1"/>
          <w:sz w:val="32"/>
          <w:szCs w:val="32"/>
          <w:lang w:val="en-US" w:eastAsia="zh-CN"/>
          <w14:textFill>
            <w14:solidFill>
              <w14:schemeClr w14:val="tx1"/>
            </w14:solidFill>
          </w14:textFill>
        </w:rPr>
        <w:t>6</w:t>
      </w:r>
      <w:r>
        <w:rPr>
          <w:rFonts w:hint="eastAsia" w:ascii="KaiTi_GB2312" w:hAnsi="KaiTi_GB2312" w:eastAsia="KaiTi_GB2312" w:cs="KaiTi_GB2312"/>
          <w:color w:val="000000" w:themeColor="text1"/>
          <w:sz w:val="32"/>
          <w:szCs w:val="32"/>
          <w14:textFill>
            <w14:solidFill>
              <w14:schemeClr w14:val="tx1"/>
            </w14:solidFill>
          </w14:textFill>
        </w:rPr>
        <w:t>〕</w:t>
      </w:r>
      <w:r>
        <w:rPr>
          <w:rFonts w:hint="eastAsia" w:ascii="KaiTi_GB2312" w:hAnsi="KaiTi_GB2312" w:eastAsia="KaiTi_GB2312" w:cs="KaiTi_GB2312"/>
          <w:color w:val="000000" w:themeColor="text1"/>
          <w:sz w:val="32"/>
          <w:szCs w:val="32"/>
          <w:lang w:val="en-US" w:eastAsia="zh-CN"/>
          <w14:textFill>
            <w14:solidFill>
              <w14:schemeClr w14:val="tx1"/>
            </w14:solidFill>
          </w14:textFill>
        </w:rPr>
        <w:t>129</w:t>
      </w:r>
      <w:bookmarkStart w:id="0" w:name="_GoBack"/>
      <w:bookmarkEnd w:id="0"/>
      <w:r>
        <w:rPr>
          <w:rFonts w:hint="eastAsia" w:ascii="KaiTi_GB2312" w:hAnsi="KaiTi_GB2312" w:eastAsia="KaiTi_GB2312" w:cs="KaiTi_GB2312"/>
          <w:color w:val="000000" w:themeColor="text1"/>
          <w:sz w:val="32"/>
          <w:szCs w:val="32"/>
          <w14:textFill>
            <w14:solidFill>
              <w14:schemeClr w14:val="tx1"/>
            </w14:solidFill>
          </w14:textFill>
        </w:rPr>
        <w:t>号</w:t>
      </w:r>
    </w:p>
    <w:p w14:paraId="1925F48E">
      <w:pPr>
        <w:pStyle w:val="2"/>
        <w:rPr>
          <w:color w:val="000000" w:themeColor="text1"/>
          <w14:textFill>
            <w14:solidFill>
              <w14:schemeClr w14:val="tx1"/>
            </w14:solidFill>
          </w14:textFill>
        </w:rPr>
      </w:pPr>
    </w:p>
    <w:p w14:paraId="47027180">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60" w:lineRule="exact"/>
        <w:ind w:left="0" w:leftChars="0" w:right="0" w:firstLine="0" w:firstLineChars="0"/>
        <w:jc w:val="both"/>
        <w:textAlignment w:val="bottom"/>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焦作市盛钜新材料有限公司</w:t>
      </w:r>
    </w:p>
    <w:p w14:paraId="7073A694">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60" w:lineRule="exact"/>
        <w:ind w:left="0" w:leftChars="0" w:right="0" w:firstLine="0" w:firstLineChars="0"/>
        <w:jc w:val="both"/>
        <w:textAlignment w:val="bottom"/>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黑体" w:hAnsi="黑体" w:eastAsia="黑体" w:cs="黑体"/>
          <w:color w:val="000000" w:themeColor="text1"/>
          <w:sz w:val="32"/>
          <w:szCs w:val="32"/>
          <w:u w:val="none" w:color="auto"/>
          <w:lang w:val="en-US" w:eastAsia="zh-CN"/>
          <w14:textFill>
            <w14:solidFill>
              <w14:schemeClr w14:val="tx1"/>
            </w14:solidFill>
          </w14:textFill>
        </w:rPr>
        <w:t>统一社会信用代码：</w:t>
      </w:r>
      <w:r>
        <w:rPr>
          <w:rFonts w:hint="eastAsia" w:ascii="仿宋_GB2312" w:hAnsi="仿宋_GB2312" w:eastAsia="仿宋_GB2312" w:cs="仿宋_GB2312"/>
          <w:b w:val="0"/>
          <w:i w:val="0"/>
          <w:color w:val="000000"/>
          <w:spacing w:val="0"/>
          <w:sz w:val="32"/>
          <w:szCs w:val="32"/>
          <w:u w:val="single" w:color="FFFFFF"/>
        </w:rPr>
        <w:t>91410825MA44F9BH3P</w:t>
      </w:r>
    </w:p>
    <w:p w14:paraId="3A1C1902">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60" w:lineRule="exact"/>
        <w:ind w:left="0" w:leftChars="0" w:right="0" w:firstLine="0" w:firstLineChars="0"/>
        <w:jc w:val="both"/>
        <w:textAlignment w:val="bottom"/>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黑体" w:hAnsi="黑体" w:eastAsia="黑体" w:cs="黑体"/>
          <w:color w:val="000000" w:themeColor="text1"/>
          <w:sz w:val="32"/>
          <w:szCs w:val="32"/>
          <w:u w:val="none" w:color="auto"/>
          <w:lang w:val="en-US" w:eastAsia="zh-CN"/>
          <w14:textFill>
            <w14:solidFill>
              <w14:schemeClr w14:val="tx1"/>
            </w14:solidFill>
          </w14:textFill>
        </w:rPr>
        <w:t>地址：</w:t>
      </w:r>
      <w:r>
        <w:rPr>
          <w:rFonts w:hint="eastAsia" w:ascii="仿宋_GB2312" w:hAnsi="仿宋_GB2312" w:eastAsia="仿宋_GB2312" w:cs="仿宋_GB2312"/>
          <w:b w:val="0"/>
          <w:i w:val="0"/>
          <w:color w:val="000000"/>
          <w:spacing w:val="0"/>
          <w:sz w:val="32"/>
          <w:szCs w:val="32"/>
          <w:u w:val="single" w:color="FFFFFF"/>
        </w:rPr>
        <w:t>温县产业集聚区纬</w:t>
      </w:r>
      <w:r>
        <w:rPr>
          <w:rFonts w:hint="eastAsia" w:ascii="仿宋_GB2312" w:hAnsi="仿宋_GB2312" w:eastAsia="仿宋_GB2312" w:cs="仿宋_GB2312"/>
          <w:b w:val="0"/>
          <w:i w:val="0"/>
          <w:color w:val="000000"/>
          <w:spacing w:val="0"/>
          <w:sz w:val="32"/>
          <w:szCs w:val="32"/>
          <w:u w:val="single" w:color="FFFFFF"/>
          <w:lang w:eastAsia="zh-CN"/>
        </w:rPr>
        <w:t>二</w:t>
      </w:r>
      <w:r>
        <w:rPr>
          <w:rFonts w:hint="eastAsia" w:ascii="仿宋_GB2312" w:hAnsi="仿宋_GB2312" w:eastAsia="仿宋_GB2312" w:cs="仿宋_GB2312"/>
          <w:b w:val="0"/>
          <w:i w:val="0"/>
          <w:color w:val="000000"/>
          <w:spacing w:val="0"/>
          <w:sz w:val="32"/>
          <w:szCs w:val="32"/>
          <w:u w:val="single" w:color="FFFFFF"/>
        </w:rPr>
        <w:t>路</w:t>
      </w:r>
      <w:r>
        <w:rPr>
          <w:rFonts w:hint="eastAsia" w:ascii="仿宋_GB2312" w:hAnsi="仿宋_GB2312" w:eastAsia="仿宋_GB2312" w:cs="仿宋_GB2312"/>
          <w:b w:val="0"/>
          <w:i w:val="0"/>
          <w:color w:val="000000"/>
          <w:spacing w:val="0"/>
          <w:sz w:val="32"/>
          <w:szCs w:val="32"/>
          <w:u w:val="single" w:color="FFFFFF"/>
          <w:lang w:eastAsia="zh-CN"/>
        </w:rPr>
        <w:t>中</w:t>
      </w:r>
      <w:r>
        <w:rPr>
          <w:rFonts w:hint="eastAsia" w:ascii="仿宋_GB2312" w:hAnsi="仿宋_GB2312" w:eastAsia="仿宋_GB2312" w:cs="仿宋_GB2312"/>
          <w:b w:val="0"/>
          <w:i w:val="0"/>
          <w:color w:val="000000"/>
          <w:spacing w:val="0"/>
          <w:sz w:val="32"/>
          <w:szCs w:val="32"/>
          <w:u w:val="single" w:color="FFFFFF"/>
        </w:rPr>
        <w:t>段</w:t>
      </w:r>
      <w:r>
        <w:rPr>
          <w:rFonts w:hint="eastAsia" w:ascii="仿宋_GB2312" w:hAnsi="仿宋_GB2312" w:eastAsia="仿宋_GB2312" w:cs="仿宋_GB2312"/>
          <w:b w:val="0"/>
          <w:i w:val="0"/>
          <w:color w:val="000000"/>
          <w:spacing w:val="0"/>
          <w:sz w:val="32"/>
          <w:szCs w:val="32"/>
          <w:u w:val="single" w:color="FFFFFF"/>
          <w:lang w:eastAsia="zh-CN"/>
        </w:rPr>
        <w:t>北</w:t>
      </w:r>
      <w:r>
        <w:rPr>
          <w:rFonts w:hint="eastAsia" w:ascii="仿宋_GB2312" w:hAnsi="仿宋_GB2312" w:eastAsia="仿宋_GB2312" w:cs="仿宋_GB2312"/>
          <w:b w:val="0"/>
          <w:i w:val="0"/>
          <w:color w:val="000000"/>
          <w:spacing w:val="0"/>
          <w:sz w:val="32"/>
          <w:szCs w:val="32"/>
          <w:u w:val="single" w:color="FFFFFF"/>
        </w:rPr>
        <w:t>侧</w:t>
      </w:r>
    </w:p>
    <w:p w14:paraId="12D5CC58">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60" w:lineRule="exact"/>
        <w:ind w:left="0" w:leftChars="0" w:right="0" w:firstLine="0" w:firstLineChars="0"/>
        <w:jc w:val="both"/>
        <w:textAlignment w:val="bottom"/>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黑体" w:hAnsi="黑体" w:eastAsia="黑体" w:cs="黑体"/>
          <w:color w:val="000000" w:themeColor="text1"/>
          <w:sz w:val="32"/>
          <w:szCs w:val="32"/>
          <w:u w:val="none" w:color="auto"/>
          <w:lang w:val="en-US" w:eastAsia="zh-CN"/>
          <w14:textFill>
            <w14:solidFill>
              <w14:schemeClr w14:val="tx1"/>
            </w14:solidFill>
          </w14:textFill>
        </w:rPr>
        <w:t>法定代表人（负责人）：</w:t>
      </w:r>
      <w:r>
        <w:rPr>
          <w:rFonts w:hint="eastAsia" w:ascii="仿宋_GB2312" w:hAnsi="仿宋_GB2312" w:eastAsia="仿宋_GB2312" w:cs="仿宋_GB2312"/>
          <w:color w:val="000000"/>
          <w:kern w:val="21"/>
          <w:sz w:val="32"/>
          <w:szCs w:val="32"/>
          <w:highlight w:val="none"/>
          <w:u w:val="single" w:color="FFFFFF"/>
          <w:lang w:val="en-US" w:eastAsia="zh-CN"/>
        </w:rPr>
        <w:t>张都</w:t>
      </w:r>
    </w:p>
    <w:p w14:paraId="31B778EA">
      <w:pPr>
        <w:pStyle w:val="2"/>
        <w:keepNext w:val="0"/>
        <w:keepLines w:val="0"/>
        <w:pageBreakBefore w:val="0"/>
        <w:widowControl w:val="0"/>
        <w:numPr>
          <w:ilvl w:val="0"/>
          <w:numId w:val="2"/>
        </w:numPr>
        <w:kinsoku/>
        <w:wordWrap/>
        <w:overflowPunct/>
        <w:topLinePunct w:val="0"/>
        <w:autoSpaceDE/>
        <w:autoSpaceDN/>
        <w:bidi w:val="0"/>
        <w:adjustRightInd/>
        <w:snapToGrid/>
        <w:spacing w:before="0" w:beforeLines="0" w:beforeAutospacing="0" w:after="0" w:line="560" w:lineRule="exact"/>
        <w:ind w:left="0" w:leftChars="0" w:firstLine="640" w:firstLineChars="200"/>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环境违法事实和证据</w:t>
      </w:r>
    </w:p>
    <w:p w14:paraId="084A7651">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2026年4月1日，焦作市生态环境局温县综合行政执法大队执法人员对</w:t>
      </w:r>
      <w:r>
        <w:rPr>
          <w:rFonts w:hint="eastAsia" w:ascii="仿宋_GB2312" w:hAnsi="仿宋_GB2312" w:eastAsia="仿宋_GB2312" w:cs="仿宋_GB2312"/>
          <w:color w:val="auto"/>
          <w:sz w:val="32"/>
          <w:szCs w:val="32"/>
          <w:lang w:val="en-US" w:eastAsia="zh-CN"/>
        </w:rPr>
        <w:t>焦作市盛钜新材料有限公司</w:t>
      </w:r>
      <w:r>
        <w:rPr>
          <w:rFonts w:hint="eastAsia" w:ascii="仿宋_GB2312" w:hAnsi="仿宋_GB2312" w:eastAsia="仿宋_GB2312" w:cs="仿宋_GB2312"/>
          <w:sz w:val="32"/>
          <w:szCs w:val="32"/>
          <w:lang w:val="en-US" w:eastAsia="zh-CN"/>
        </w:rPr>
        <w:t>进行了现场检查，你公司建设项目为年产4万吨PET、PP、PE纤维拉丝项目，该项目于2018年10月31日由原温县环境保护局审批，文号：温环审〔2018〕200号；分两期验收，于2019年7月对该项目一期（年产2万吨PET、PP、PE纤维拉丝项目）进行自主验收；于2025年9月对该项目二期（年产2万吨PET、PP、PE纤维拉丝项目）进行自主验收。你公司主要生产设施有：PE造粒生产线、PP造粒生产线、PET造粒生产线和拉丝生产线。生产工艺分为塑料造粒生产工艺和纤维拉丝生产工艺两种，塑料造粒生产工艺为外购原材料-分拣-破碎-清洗-配料系统-温控系统-挤塑成型-冷却成型切粒-打包；纤维拉丝生产工艺为塑料颗粒-温控系统-挤塑成型-收丝-检验包装-成品外售。主要污染物及污染防治设施为挤塑成型产生的非甲烷总烃，配套建设有UV光解催化氧化+低温等离子装置，后提升改造将UV光解催化氧化+低温等离子装置提升改造为水喷淋+高压静电捕集+活性炭吸附废气处理设施。</w:t>
      </w:r>
    </w:p>
    <w:p w14:paraId="7E4D5459">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jc w:val="both"/>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现场检查时发现，</w:t>
      </w:r>
      <w:r>
        <w:rPr>
          <w:rFonts w:hint="eastAsia" w:ascii="仿宋_GB2312" w:hAnsi="仿宋_GB2312" w:eastAsia="仿宋_GB2312" w:cs="仿宋_GB2312"/>
          <w:sz w:val="32"/>
          <w:szCs w:val="32"/>
          <w:lang w:val="en-US" w:eastAsia="zh-CN"/>
        </w:rPr>
        <w:t>你</w:t>
      </w:r>
      <w:r>
        <w:rPr>
          <w:rFonts w:hint="eastAsia" w:ascii="仿宋_GB2312" w:hAnsi="仿宋_GB2312" w:eastAsia="仿宋_GB2312" w:cs="仿宋_GB2312"/>
          <w:b w:val="0"/>
          <w:bCs w:val="0"/>
          <w:sz w:val="32"/>
          <w:szCs w:val="32"/>
          <w:lang w:val="en-US" w:eastAsia="zh-CN"/>
        </w:rPr>
        <w:t>公司2号、4号、5号、7号、17号车间正在生产，污染防治设施正在运行。17号生产车间正在生产，挤出工序的废气降温冷却器阀门破损，有明显的可见烟气外泄，外泄烟气未经处理直接排放，存在未按要求对产生的有机废气进行收集处理的行为。</w:t>
      </w:r>
    </w:p>
    <w:p w14:paraId="0787E56A">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jc w:val="both"/>
        <w:outlineLvl w:val="9"/>
        <w:rPr>
          <w:rFonts w:hint="eastAsia" w:ascii="仿宋_GB2312" w:hAnsi="仿宋_GB2312" w:eastAsia="仿宋_GB2312" w:cs="仿宋_GB2312"/>
          <w:b w:val="0"/>
          <w:bCs w:val="0"/>
          <w:kern w:val="2"/>
          <w:sz w:val="32"/>
          <w:szCs w:val="32"/>
          <w:u w:val="none"/>
          <w:lang w:val="en-US" w:eastAsia="zh-CN" w:bidi="ar"/>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上述行为违反了《中华人民共和国大气污染防治法》第四十五条“ 产生含挥发性有机物废气的生产和服务活动，应当在密闭空间或者设备中进行，并按照规定安装、使用污染防治设施;无法密闭的，应当采取措施减少废气排放。”的规定。</w:t>
      </w:r>
    </w:p>
    <w:p w14:paraId="717BC210">
      <w:pPr>
        <w:pStyle w:val="2"/>
        <w:keepNext w:val="0"/>
        <w:keepLines w:val="0"/>
        <w:pageBreakBefore w:val="0"/>
        <w:widowControl w:val="0"/>
        <w:kinsoku/>
        <w:wordWrap/>
        <w:overflowPunct/>
        <w:topLinePunct w:val="0"/>
        <w:autoSpaceDE/>
        <w:autoSpaceDN/>
        <w:bidi w:val="0"/>
        <w:adjustRightInd/>
        <w:snapToGrid/>
        <w:spacing w:before="0" w:beforeLines="0" w:beforeAutospacing="0" w:after="0" w:line="570" w:lineRule="exact"/>
        <w:ind w:left="0" w:firstLine="640" w:firstLineChars="200"/>
        <w:jc w:val="both"/>
        <w:textAlignment w:val="bottom"/>
        <w:outlineLvl w:val="9"/>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以上事实</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主要有以下证据证明：</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　</w:t>
      </w:r>
    </w:p>
    <w:p w14:paraId="590F1E38">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14:textFill>
            <w14:solidFill>
              <w14:schemeClr w14:val="tx1"/>
            </w14:solidFill>
          </w14:textFill>
        </w:rPr>
        <w:t>202</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u w:val="none"/>
          <w14:textFill>
            <w14:solidFill>
              <w14:schemeClr w14:val="tx1"/>
            </w14:solidFill>
          </w14:textFill>
        </w:rPr>
        <w:t>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u w:val="none"/>
          <w14:textFill>
            <w14:solidFill>
              <w14:schemeClr w14:val="tx1"/>
            </w14:solidFill>
          </w14:textFill>
        </w:rPr>
        <w:t>月</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u w:val="none"/>
          <w14:textFill>
            <w14:solidFill>
              <w14:schemeClr w14:val="tx1"/>
            </w14:solidFill>
          </w14:textFill>
        </w:rPr>
        <w:t>日</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
          <w14:textFill>
            <w14:solidFill>
              <w14:schemeClr w14:val="tx1"/>
            </w14:solidFill>
          </w14:textFill>
        </w:rPr>
        <w:t>现场检查（勘验）笔录</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1份4页</w:t>
      </w:r>
      <w:r>
        <w:rPr>
          <w:rFonts w:hint="eastAsia" w:ascii="仿宋_GB2312" w:hAnsi="仿宋_GB2312" w:eastAsia="仿宋_GB2312" w:cs="仿宋_GB2312"/>
          <w:color w:val="000000" w:themeColor="text1"/>
          <w:sz w:val="32"/>
          <w:szCs w:val="32"/>
          <w:lang w:val="en"/>
          <w14:textFill>
            <w14:solidFill>
              <w14:schemeClr w14:val="tx1"/>
            </w14:solidFill>
          </w14:textFill>
        </w:rPr>
        <w:t>。</w:t>
      </w:r>
    </w:p>
    <w:p w14:paraId="5C555672">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：对你公司的现场检查勘察情况，你公司</w:t>
      </w:r>
      <w:r>
        <w:rPr>
          <w:rFonts w:hint="eastAsia" w:ascii="仿宋_GB2312" w:hAnsi="仿宋_GB2312" w:eastAsia="仿宋_GB2312" w:cs="仿宋_GB2312"/>
          <w:color w:val="000000" w:themeColor="text1"/>
          <w:sz w:val="32"/>
          <w:szCs w:val="32"/>
          <w:lang w:val="en"/>
          <w14:textFill>
            <w14:solidFill>
              <w14:schemeClr w14:val="tx1"/>
            </w14:solidFill>
          </w14:textFill>
        </w:rPr>
        <w:t>现场检查</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勘察</w:t>
      </w:r>
      <w:r>
        <w:rPr>
          <w:rFonts w:hint="eastAsia" w:ascii="仿宋_GB2312" w:hAnsi="仿宋_GB2312" w:eastAsia="仿宋_GB2312" w:cs="仿宋_GB2312"/>
          <w:color w:val="000000" w:themeColor="text1"/>
          <w:sz w:val="32"/>
          <w:szCs w:val="32"/>
          <w:lang w:val="en"/>
          <w14:textFill>
            <w14:solidFill>
              <w14:schemeClr w14:val="tx1"/>
            </w14:solidFill>
          </w14:textFill>
        </w:rPr>
        <w:t>时存在</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生产时产生的有机废气未能得到有效处理</w:t>
      </w:r>
      <w:r>
        <w:rPr>
          <w:rFonts w:hint="eastAsia" w:ascii="仿宋_GB2312" w:hAnsi="仿宋_GB2312" w:eastAsia="仿宋_GB2312" w:cs="仿宋_GB2312"/>
          <w:color w:val="000000" w:themeColor="text1"/>
          <w:sz w:val="32"/>
          <w:szCs w:val="32"/>
          <w:lang w:val="en"/>
          <w14:textFill>
            <w14:solidFill>
              <w14:schemeClr w14:val="tx1"/>
            </w14:solidFill>
          </w14:textFill>
        </w:rPr>
        <w:t>的事实。</w:t>
      </w:r>
    </w:p>
    <w:p w14:paraId="3AAFBEE6">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2</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14:textFill>
            <w14:solidFill>
              <w14:schemeClr w14:val="tx1"/>
            </w14:solidFill>
          </w14:textFill>
        </w:rPr>
        <w:t>20</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26</w:t>
      </w:r>
      <w:r>
        <w:rPr>
          <w:rFonts w:hint="eastAsia" w:ascii="仿宋_GB2312" w:hAnsi="仿宋_GB2312" w:eastAsia="仿宋_GB2312" w:cs="仿宋_GB2312"/>
          <w:color w:val="000000" w:themeColor="text1"/>
          <w:sz w:val="32"/>
          <w:szCs w:val="32"/>
          <w:u w:val="none"/>
          <w14:textFill>
            <w14:solidFill>
              <w14:schemeClr w14:val="tx1"/>
            </w14:solidFill>
          </w14:textFill>
        </w:rPr>
        <w:t>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u w:val="none"/>
          <w14:textFill>
            <w14:solidFill>
              <w14:schemeClr w14:val="tx1"/>
            </w14:solidFill>
          </w14:textFill>
        </w:rPr>
        <w:t>月</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9</w:t>
      </w:r>
      <w:r>
        <w:rPr>
          <w:rFonts w:hint="eastAsia" w:ascii="仿宋_GB2312" w:hAnsi="仿宋_GB2312" w:eastAsia="仿宋_GB2312" w:cs="仿宋_GB2312"/>
          <w:color w:val="000000" w:themeColor="text1"/>
          <w:sz w:val="32"/>
          <w:szCs w:val="32"/>
          <w:u w:val="none"/>
          <w14:textFill>
            <w14:solidFill>
              <w14:schemeClr w14:val="tx1"/>
            </w14:solidFill>
          </w14:textFill>
        </w:rPr>
        <w:t>日</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对</w:t>
      </w:r>
      <w:r>
        <w:rPr>
          <w:rFonts w:hint="eastAsia" w:ascii="仿宋_GB2312" w:hAnsi="仿宋_GB2312" w:eastAsia="仿宋_GB2312" w:cs="仿宋_GB2312"/>
          <w:color w:val="000000" w:themeColor="text1"/>
          <w:kern w:val="2"/>
          <w:sz w:val="32"/>
          <w:szCs w:val="32"/>
          <w:u w:val="single" w:color="FFFFFF"/>
          <w:lang w:val="en-US" w:eastAsia="zh-CN" w:bidi="ar"/>
          <w14:textFill>
            <w14:solidFill>
              <w14:schemeClr w14:val="tx1"/>
            </w14:solidFill>
          </w14:textFill>
        </w:rPr>
        <w:t>张都</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u w:val="none"/>
          <w14:textFill>
            <w14:solidFill>
              <w14:schemeClr w14:val="tx1"/>
            </w14:solidFill>
          </w14:textFill>
        </w:rPr>
        <w:t>调查询问笔录</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1份5页</w:t>
      </w:r>
      <w:r>
        <w:rPr>
          <w:rFonts w:hint="eastAsia" w:ascii="仿宋_GB2312" w:hAnsi="仿宋_GB2312" w:eastAsia="仿宋_GB2312" w:cs="仿宋_GB2312"/>
          <w:color w:val="000000" w:themeColor="text1"/>
          <w:sz w:val="32"/>
          <w:szCs w:val="32"/>
          <w:u w:val="none"/>
          <w14:textFill>
            <w14:solidFill>
              <w14:schemeClr w14:val="tx1"/>
            </w14:solidFill>
          </w14:textFill>
        </w:rPr>
        <w:t>。</w:t>
      </w:r>
    </w:p>
    <w:p w14:paraId="0B5C1030">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证明</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：对你</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公司</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的调查询问情况，你</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公司</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承认</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生产时产生的有机废气未能得到有效处理</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事实</w:t>
      </w:r>
      <w:r>
        <w:rPr>
          <w:rFonts w:hint="eastAsia" w:ascii="仿宋_GB2312" w:hAnsi="仿宋_GB2312" w:eastAsia="仿宋_GB2312" w:cs="仿宋_GB2312"/>
          <w:color w:val="000000" w:themeColor="text1"/>
          <w:sz w:val="32"/>
          <w:szCs w:val="32"/>
          <w:u w:val="none"/>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ab/>
      </w:r>
    </w:p>
    <w:p w14:paraId="1BF58E30">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lang w:val="en"/>
          <w14:textFill>
            <w14:solidFill>
              <w14:schemeClr w14:val="tx1"/>
            </w14:solidFill>
          </w14:textFill>
        </w:rPr>
        <w:t>营业执照复印件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1份、法定代表人（负责人）</w:t>
      </w:r>
      <w:r>
        <w:rPr>
          <w:rFonts w:hint="eastAsia" w:ascii="仿宋_GB2312" w:eastAsia="仿宋_GB2312" w:cs="仿宋_GB2312"/>
          <w:color w:val="000000" w:themeColor="text1"/>
          <w:kern w:val="2"/>
          <w:sz w:val="32"/>
          <w:szCs w:val="32"/>
          <w:u w:val="none" w:color="auto"/>
          <w:lang w:val="en-US" w:eastAsia="zh-CN" w:bidi="ar"/>
          <w14:textFill>
            <w14:solidFill>
              <w14:schemeClr w14:val="tx1"/>
            </w14:solidFill>
          </w14:textFill>
        </w:rPr>
        <w:t>张都</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身份证复印件1份</w:t>
      </w:r>
      <w:r>
        <w:rPr>
          <w:rFonts w:hint="eastAsia" w:ascii="仿宋_GB2312" w:hAnsi="仿宋_GB2312" w:eastAsia="仿宋_GB2312" w:cs="仿宋_GB2312"/>
          <w:color w:val="000000" w:themeColor="text1"/>
          <w:sz w:val="32"/>
          <w:szCs w:val="32"/>
          <w:lang w:val="en"/>
          <w14:textFill>
            <w14:solidFill>
              <w14:schemeClr w14:val="tx1"/>
            </w14:solidFill>
          </w14:textFill>
        </w:rPr>
        <w:t>。</w:t>
      </w:r>
    </w:p>
    <w:p w14:paraId="365C1AAD">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outlineLvl w:val="9"/>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：你公司</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法定代表人</w:t>
      </w:r>
      <w:r>
        <w:rPr>
          <w:rFonts w:hint="eastAsia" w:ascii="仿宋_GB2312" w:hAnsi="仿宋_GB2312" w:eastAsia="仿宋_GB2312" w:cs="仿宋_GB2312"/>
          <w:color w:val="000000" w:themeColor="text1"/>
          <w:sz w:val="32"/>
          <w:szCs w:val="32"/>
          <w:lang w:val="en"/>
          <w14:textFill>
            <w14:solidFill>
              <w14:schemeClr w14:val="tx1"/>
            </w14:solidFill>
          </w14:textFill>
        </w:rPr>
        <w:t>主体资格</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法定代表人</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身份</w:t>
      </w:r>
      <w:r>
        <w:rPr>
          <w:rFonts w:hint="eastAsia" w:ascii="仿宋_GB2312" w:hAnsi="仿宋_GB2312" w:eastAsia="仿宋_GB2312" w:cs="仿宋_GB2312"/>
          <w:color w:val="000000" w:themeColor="text1"/>
          <w:sz w:val="32"/>
          <w:szCs w:val="32"/>
          <w:u w:val="none"/>
          <w14:textFill>
            <w14:solidFill>
              <w14:schemeClr w14:val="tx1"/>
            </w14:solidFill>
          </w14:textFill>
        </w:rPr>
        <w:t>。</w:t>
      </w:r>
    </w:p>
    <w:p w14:paraId="16EBE100">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4.2026年4月1日《现场勘察示意图》和</w:t>
      </w:r>
      <w:r>
        <w:rPr>
          <w:rFonts w:hint="eastAsia" w:ascii="仿宋_GB2312" w:hAnsi="仿宋_GB2312" w:eastAsia="仿宋_GB2312" w:cs="仿宋_GB2312"/>
          <w:color w:val="000000" w:themeColor="text1"/>
          <w:sz w:val="32"/>
          <w:szCs w:val="32"/>
          <w:lang w:val="en"/>
          <w14:textFill>
            <w14:solidFill>
              <w14:schemeClr w14:val="tx1"/>
            </w14:solidFill>
          </w14:textFill>
        </w:rPr>
        <w:t>现场照片。</w:t>
      </w:r>
    </w:p>
    <w:p w14:paraId="07CDBAF4">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：你公司于检查当日生产情况。</w:t>
      </w:r>
    </w:p>
    <w:p w14:paraId="5B86D7CA">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t>5.固定污染源排污登记表。</w:t>
      </w:r>
    </w:p>
    <w:p w14:paraId="035944C1">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t>证明：你</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公司</w:t>
      </w:r>
      <w:r>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t>依法办理排污许可手续，并按要求进行排污</w:t>
      </w:r>
      <w:r>
        <w:rPr>
          <w:rFonts w:hint="eastAsia" w:ascii="仿宋_GB2312" w:hAnsi="仿宋_GB2312" w:eastAsia="仿宋_GB2312" w:cs="仿宋_GB2312"/>
          <w:color w:val="000000" w:themeColor="text1"/>
          <w:sz w:val="32"/>
          <w:szCs w:val="32"/>
          <w:u w:val="none"/>
          <w14:textFill>
            <w14:solidFill>
              <w14:schemeClr w14:val="tx1"/>
            </w14:solidFill>
          </w14:textFill>
        </w:rPr>
        <w:t>。</w:t>
      </w:r>
    </w:p>
    <w:p w14:paraId="668DE9B3">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sz w:val="32"/>
          <w:szCs w:val="32"/>
          <w:lang w:val="en-US" w:eastAsia="zh-CN"/>
        </w:rPr>
        <w:t>年产4万吨PET、PP、PE纤维拉丝项目环境影响报告书</w:t>
      </w:r>
      <w:r>
        <w:rPr>
          <w:rFonts w:hint="eastAsia" w:ascii="仿宋_GB2312" w:hAnsi="仿宋_GB2312" w:eastAsia="仿宋_GB2312" w:cs="仿宋_GB2312"/>
          <w:color w:val="000000" w:themeColor="text1"/>
          <w:sz w:val="32"/>
          <w:szCs w:val="32"/>
          <w:lang w:val="e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摘录</w:t>
      </w:r>
      <w:r>
        <w:rPr>
          <w:rFonts w:hint="eastAsia" w:ascii="仿宋_GB2312" w:hAnsi="仿宋_GB2312" w:eastAsia="仿宋_GB2312" w:cs="仿宋_GB2312"/>
          <w:color w:val="000000" w:themeColor="text1"/>
          <w:sz w:val="32"/>
          <w:szCs w:val="32"/>
          <w:lang w:val="en"/>
          <w14:textFill>
            <w14:solidFill>
              <w14:schemeClr w14:val="tx1"/>
            </w14:solidFill>
          </w14:textFill>
        </w:rPr>
        <w:t>）。</w:t>
      </w:r>
    </w:p>
    <w:p w14:paraId="651D758F">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：你公司</w:t>
      </w:r>
      <w:r>
        <w:rPr>
          <w:rFonts w:hint="eastAsia" w:ascii="仿宋_GB2312" w:hAnsi="仿宋_GB2312" w:eastAsia="仿宋_GB2312" w:cs="仿宋_GB2312"/>
          <w:color w:val="000000" w:themeColor="text1"/>
          <w:sz w:val="32"/>
          <w:szCs w:val="32"/>
          <w:lang w:val="en"/>
          <w14:textFill>
            <w14:solidFill>
              <w14:schemeClr w14:val="tx1"/>
            </w14:solidFill>
          </w14:textFill>
        </w:rPr>
        <w:t>建设项目依法通过项目审批，生产工艺</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中各产污环节</w:t>
      </w:r>
      <w:r>
        <w:rPr>
          <w:rFonts w:hint="eastAsia" w:ascii="仿宋_GB2312" w:hAnsi="仿宋_GB2312" w:eastAsia="仿宋_GB2312" w:cs="仿宋_GB2312"/>
          <w:color w:val="000000" w:themeColor="text1"/>
          <w:sz w:val="32"/>
          <w:szCs w:val="32"/>
          <w:lang w:val="en"/>
          <w14:textFill>
            <w14:solidFill>
              <w14:schemeClr w14:val="tx1"/>
            </w14:solidFill>
          </w14:textFill>
        </w:rPr>
        <w:t>，以及相关处理要求。</w:t>
      </w:r>
    </w:p>
    <w:p w14:paraId="7A1374CD">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Chars="200" w:right="0" w:rightChars="0"/>
        <w:jc w:val="both"/>
        <w:textAlignment w:val="bottom"/>
        <w:outlineLvl w:val="9"/>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其他证据</w:t>
      </w:r>
      <w:r>
        <w:rPr>
          <w:rFonts w:hint="eastAsia" w:ascii="仿宋_GB2312" w:hAnsi="仿宋_GB2312" w:eastAsia="仿宋_GB2312" w:cs="仿宋_GB2312"/>
          <w:color w:val="000000" w:themeColor="text1"/>
          <w:sz w:val="32"/>
          <w:szCs w:val="32"/>
          <w:u w:val="none"/>
          <w14:textFill>
            <w14:solidFill>
              <w14:schemeClr w14:val="tx1"/>
            </w14:solidFill>
          </w14:textFill>
        </w:rPr>
        <w:t>。</w:t>
      </w:r>
    </w:p>
    <w:p w14:paraId="7C299E0B">
      <w:pPr>
        <w:keepNext w:val="0"/>
        <w:keepLines w:val="0"/>
        <w:pageBreakBefore w:val="0"/>
        <w:widowControl w:val="0"/>
        <w:kinsoku/>
        <w:wordWrap/>
        <w:overflowPunct/>
        <w:topLinePunct w:val="0"/>
        <w:autoSpaceDE/>
        <w:autoSpaceDN/>
        <w:bidi w:val="0"/>
        <w:adjustRightInd/>
        <w:snapToGrid/>
        <w:spacing w:before="0" w:beforeLines="0" w:beforeAutospacing="0" w:line="560" w:lineRule="exact"/>
        <w:ind w:left="0" w:lef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我局于20</w:t>
      </w:r>
      <w:r>
        <w:rPr>
          <w:rFonts w:hint="eastAsia" w:ascii="仿宋_GB2312" w:hAnsi="仿宋_GB2312" w:cs="仿宋_GB2312"/>
          <w:color w:val="000000" w:themeColor="text1"/>
          <w:sz w:val="32"/>
          <w:szCs w:val="32"/>
          <w:lang w:val="en-US" w:eastAsia="zh"/>
          <w14:textFill>
            <w14:solidFill>
              <w14:schemeClr w14:val="tx1"/>
            </w14:solidFill>
          </w14:textFill>
        </w:rPr>
        <w:t>2</w:t>
      </w:r>
      <w:r>
        <w:rPr>
          <w:rFonts w:hint="eastAsia" w:ascii="仿宋_GB2312" w:hAnsi="仿宋_GB2312" w:cs="仿宋_GB2312"/>
          <w:color w:val="000000" w:themeColor="text1"/>
          <w:sz w:val="32"/>
          <w:szCs w:val="32"/>
          <w:lang w:val="en-US" w:eastAsia="zh-CN"/>
          <w14:textFill>
            <w14:solidFill>
              <w14:schemeClr w14:val="tx1"/>
            </w14:solidFill>
          </w14:textFill>
        </w:rPr>
        <w:t>6年4月17日向你公司送达《焦作市生态环境局行政处罚事先（听证）告知书》(焦温环先告〔2026〕12号)，</w:t>
      </w:r>
      <w:r>
        <w:rPr>
          <w:rFonts w:hint="eastAsia" w:ascii="FangSong_GB2312" w:hAnsi="FangSong_GB2312" w:eastAsia="FangSong_GB2312" w:cs="FangSong_GB2312"/>
          <w:color w:val="000000" w:themeColor="text1"/>
          <w:sz w:val="32"/>
          <w:szCs w:val="32"/>
          <w:u w:val="none"/>
          <w14:textFill>
            <w14:solidFill>
              <w14:schemeClr w14:val="tx1"/>
            </w14:solidFill>
          </w14:textFill>
        </w:rPr>
        <w:t>告知书</w:t>
      </w:r>
      <w:r>
        <w:rPr>
          <w:rFonts w:hint="eastAsia" w:ascii="FangSong_GB2312" w:hAnsi="FangSong_GB2312" w:eastAsia="FangSong_GB2312" w:cs="FangSong_GB2312"/>
          <w:color w:val="000000" w:themeColor="text1"/>
          <w:sz w:val="32"/>
          <w:szCs w:val="32"/>
          <w14:textFill>
            <w14:solidFill>
              <w14:schemeClr w14:val="tx1"/>
            </w14:solidFill>
          </w14:textFill>
        </w:rPr>
        <w:t>告知你</w:t>
      </w:r>
      <w:r>
        <w:rPr>
          <w:rFonts w:hint="eastAsia" w:ascii="仿宋_GB2312" w:hAnsi="仿宋_GB2312" w:cs="仿宋_GB2312"/>
          <w:color w:val="000000" w:themeColor="text1"/>
          <w:sz w:val="32"/>
          <w:szCs w:val="32"/>
          <w:lang w:val="en-US" w:eastAsia="zh-CN"/>
          <w14:textFill>
            <w14:solidFill>
              <w14:schemeClr w14:val="tx1"/>
            </w14:solidFill>
          </w14:textFill>
        </w:rPr>
        <w:t>公司</w:t>
      </w:r>
      <w:r>
        <w:rPr>
          <w:rFonts w:hint="eastAsia" w:ascii="FangSong_GB2312" w:hAnsi="FangSong_GB2312" w:eastAsia="FangSong_GB2312" w:cs="FangSong_GB2312"/>
          <w:color w:val="000000" w:themeColor="text1"/>
          <w:sz w:val="32"/>
          <w:szCs w:val="32"/>
          <w14:textFill>
            <w14:solidFill>
              <w14:schemeClr w14:val="tx1"/>
            </w14:solidFill>
          </w14:textFill>
        </w:rPr>
        <w:t>陈述申辩权。</w:t>
      </w:r>
      <w:r>
        <w:rPr>
          <w:rFonts w:hint="eastAsia" w:ascii="FangSong_GB2312" w:hAnsi="FangSong_GB2312" w:eastAsia="FangSong_GB2312" w:cs="FangSong_GB2312"/>
          <w:color w:val="000000" w:themeColor="text1"/>
          <w:sz w:val="32"/>
          <w:szCs w:val="32"/>
          <w:lang w:eastAsia="zh-CN"/>
          <w14:textFill>
            <w14:solidFill>
              <w14:schemeClr w14:val="tx1"/>
            </w14:solidFill>
          </w14:textFill>
        </w:rPr>
        <w:t>你</w:t>
      </w:r>
      <w:r>
        <w:rPr>
          <w:rFonts w:hint="eastAsia" w:ascii="仿宋_GB2312" w:hAnsi="仿宋_GB2312" w:cs="仿宋_GB2312"/>
          <w:color w:val="000000" w:themeColor="text1"/>
          <w:sz w:val="32"/>
          <w:szCs w:val="32"/>
          <w:lang w:val="en-US" w:eastAsia="zh-CN"/>
          <w14:textFill>
            <w14:solidFill>
              <w14:schemeClr w14:val="tx1"/>
            </w14:solidFill>
          </w14:textFill>
        </w:rPr>
        <w:t>公司</w:t>
      </w:r>
      <w:r>
        <w:rPr>
          <w:rFonts w:hint="eastAsia" w:ascii="FangSong_GB2312" w:hAnsi="FangSong_GB2312" w:eastAsia="FangSong_GB2312" w:cs="FangSong_GB2312"/>
          <w:color w:val="000000" w:themeColor="text1"/>
          <w:sz w:val="32"/>
          <w:szCs w:val="32"/>
          <w:lang w:eastAsia="zh-CN"/>
          <w14:textFill>
            <w14:solidFill>
              <w14:schemeClr w14:val="tx1"/>
            </w14:solidFill>
          </w14:textFill>
        </w:rPr>
        <w:t>在规定的时间的未进行</w:t>
      </w:r>
      <w:r>
        <w:rPr>
          <w:rFonts w:hint="eastAsia" w:ascii="FangSong_GB2312" w:hAnsi="FangSong_GB2312" w:eastAsia="FangSong_GB2312" w:cs="FangSong_GB2312"/>
          <w:color w:val="000000" w:themeColor="text1"/>
          <w:sz w:val="32"/>
          <w:szCs w:val="32"/>
          <w14:textFill>
            <w14:solidFill>
              <w14:schemeClr w14:val="tx1"/>
            </w14:solidFill>
          </w14:textFill>
        </w:rPr>
        <w:t>陈述申辩</w:t>
      </w:r>
      <w:r>
        <w:rPr>
          <w:rFonts w:hint="eastAsia" w:ascii="FangSong_GB2312" w:hAnsi="FangSong_GB2312" w:eastAsia="FangSong_GB2312" w:cs="FangSong_GB2312"/>
          <w:color w:val="000000" w:themeColor="text1"/>
          <w:sz w:val="32"/>
          <w:szCs w:val="32"/>
          <w:lang w:eastAsia="zh-CN"/>
          <w14:textFill>
            <w14:solidFill>
              <w14:schemeClr w14:val="tx1"/>
            </w14:solidFill>
          </w14:textFill>
        </w:rPr>
        <w:t>。</w:t>
      </w:r>
    </w:p>
    <w:p w14:paraId="0A38CB93">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rPr>
          <w:rFonts w:hint="eastAsia" w:ascii="黑体" w:hAnsi="黑体" w:eastAsia="黑体" w:cs="黑体"/>
          <w:b w:val="0"/>
          <w:bCs w:val="0"/>
          <w:color w:val="000000" w:themeColor="text1"/>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二、行政处罚的依据、种类</w:t>
      </w:r>
    </w:p>
    <w:p w14:paraId="171B58F1">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lang w:val="en-US" w:eastAsia="zh-CN"/>
        </w:rPr>
      </w:pP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依据《中华人民共和国行政处罚法》第二十八条第一款</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行政机关实施行政处罚时，应当责令当事人改正或者限期改正违法行为</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和《中华人民共和国大气污染防治法》</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第一百零八条第（一）项：“违反本法规定，有下列行为之一的，由县级以上人民政府生态环境主管部门责令改正，处二万元以上二十万元以下的罚款；拒不改正的，责令停产整治:（一）产生含挥发性有机物废气的生产和服务活动，未在密闭空间或者设备中进行，未按照规定安装、使用污染防治设施，或者未采取减少废气排放措施的。”</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的规定</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p>
    <w:p w14:paraId="44216D3B">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left="0" w:firstLine="640" w:firstLineChars="200"/>
        <w:jc w:val="both"/>
        <w:textAlignment w:val="auto"/>
        <w:outlineLvl w:val="9"/>
        <w:rPr>
          <w:rFonts w:hint="eastAsia" w:ascii="仿宋_GB2312" w:hAnsi="仿宋_GB2312" w:eastAsia="仿宋_GB2312" w:cs="仿宋_GB2312"/>
          <w:color w:val="000000" w:themeColor="text1"/>
          <w:sz w:val="32"/>
          <w:szCs w:val="32"/>
          <w:u w:val="single" w:color="FFFFFF" w:themeColor="background1"/>
          <w14:textFill>
            <w14:solidFill>
              <w14:schemeClr w14:val="tx1"/>
            </w14:solidFill>
          </w14:textFill>
        </w:rPr>
      </w:pPr>
      <w:r>
        <w:rPr>
          <w:rFonts w:hint="eastAsia" w:ascii="仿宋_GB2312" w:hAnsi="仿宋_GB2312" w:eastAsia="仿宋_GB2312" w:cs="仿宋_GB2312"/>
          <w:color w:val="000000" w:themeColor="text1"/>
          <w:sz w:val="32"/>
          <w:szCs w:val="32"/>
          <w:u w:val="single" w:color="FFFFFF" w:themeColor="background1"/>
          <w14:textFill>
            <w14:solidFill>
              <w14:schemeClr w14:val="tx1"/>
            </w14:solidFill>
          </w14:textFill>
        </w:rPr>
        <w:t>根据《河南省生态环境行政处罚裁量基准适用规则（修订）》（豫环办〔2022〕72 号），结合</w:t>
      </w:r>
      <w:r>
        <w:rPr>
          <w:rFonts w:hint="eastAsia" w:ascii="仿宋_GB2312" w:hAnsi="仿宋_GB2312" w:cs="仿宋_GB2312"/>
          <w:color w:val="000000" w:themeColor="text1"/>
          <w:sz w:val="32"/>
          <w:szCs w:val="32"/>
          <w:u w:val="single" w:color="FFFFFF" w:themeColor="background1"/>
          <w:lang w:eastAsia="zh-CN"/>
          <w14:textFill>
            <w14:solidFill>
              <w14:schemeClr w14:val="tx1"/>
            </w14:solidFill>
          </w14:textFill>
        </w:rPr>
        <w:t>你公司</w:t>
      </w:r>
      <w:r>
        <w:rPr>
          <w:rFonts w:hint="eastAsia" w:ascii="仿宋_GB2312" w:hAnsi="仿宋_GB2312" w:eastAsia="仿宋_GB2312" w:cs="仿宋_GB2312"/>
          <w:color w:val="000000" w:themeColor="text1"/>
          <w:sz w:val="32"/>
          <w:szCs w:val="32"/>
          <w:u w:val="single" w:color="FFFFFF" w:themeColor="background1"/>
          <w14:textFill>
            <w14:solidFill>
              <w14:schemeClr w14:val="tx1"/>
            </w14:solidFill>
          </w14:textFill>
        </w:rPr>
        <w:t>违法行为的事实、性质、情节、社会危害程度和相关证据，裁量内容如下：</w:t>
      </w:r>
    </w:p>
    <w:p w14:paraId="6B143FF0">
      <w:pPr>
        <w:keepNext w:val="0"/>
        <w:keepLines w:val="0"/>
        <w:widowControl w:val="0"/>
        <w:suppressLineNumbers w:val="0"/>
        <w:autoSpaceDE w:val="0"/>
        <w:autoSpaceDN/>
        <w:adjustRightInd w:val="0"/>
        <w:snapToGrid w:val="0"/>
        <w:spacing w:before="0" w:beforeAutospacing="0" w:after="0" w:afterAutospacing="0" w:line="590" w:lineRule="exact"/>
        <w:ind w:left="0" w:right="0" w:firstLine="640" w:firstLineChars="200"/>
        <w:jc w:val="both"/>
        <w:rPr>
          <w:rFonts w:hint="eastAsia" w:ascii="仿宋_GB2312" w:eastAsia="仿宋_GB2312" w:cs="仿宋_GB2312"/>
          <w:color w:val="000000"/>
          <w:kern w:val="2"/>
          <w:sz w:val="32"/>
          <w:szCs w:val="32"/>
        </w:rPr>
      </w:pPr>
      <w:r>
        <w:rPr>
          <w:rFonts w:hint="eastAsia" w:ascii="仿宋_GB2312" w:hAnsi="Times New Roman" w:eastAsia="仿宋_GB2312" w:cs="仿宋_GB2312"/>
          <w:color w:val="000000"/>
          <w:kern w:val="2"/>
          <w:sz w:val="32"/>
          <w:szCs w:val="32"/>
          <w:lang w:val="en-US" w:eastAsia="zh-CN" w:bidi="ar"/>
        </w:rPr>
        <w:t xml:space="preserve">A.★违法事实判定标准：未按要求密闭/未规范使用污染防治设施，裁量等级为1； </w:t>
      </w:r>
    </w:p>
    <w:p w14:paraId="2EDCBC29">
      <w:pPr>
        <w:keepNext w:val="0"/>
        <w:keepLines w:val="0"/>
        <w:widowControl w:val="0"/>
        <w:suppressLineNumbers w:val="0"/>
        <w:autoSpaceDE w:val="0"/>
        <w:autoSpaceDN/>
        <w:adjustRightInd w:val="0"/>
        <w:snapToGrid w:val="0"/>
        <w:spacing w:before="0" w:beforeAutospacing="0" w:after="0" w:afterAutospacing="0" w:line="590" w:lineRule="exact"/>
        <w:ind w:left="0" w:right="0" w:firstLine="640" w:firstLineChars="200"/>
        <w:jc w:val="both"/>
        <w:rPr>
          <w:rFonts w:hint="eastAsia" w:ascii="仿宋_GB2312" w:eastAsia="仿宋_GB2312" w:cs="仿宋_GB2312"/>
          <w:color w:val="000000"/>
          <w:kern w:val="2"/>
          <w:sz w:val="32"/>
          <w:szCs w:val="32"/>
        </w:rPr>
      </w:pPr>
      <w:r>
        <w:rPr>
          <w:rFonts w:hint="eastAsia" w:ascii="仿宋_GB2312" w:hAnsi="Times New Roman" w:eastAsia="仿宋_GB2312" w:cs="仿宋_GB2312"/>
          <w:color w:val="000000"/>
          <w:kern w:val="2"/>
          <w:sz w:val="32"/>
          <w:szCs w:val="32"/>
          <w:lang w:val="en-US" w:eastAsia="zh-CN" w:bidi="ar"/>
        </w:rPr>
        <w:t>B1.涉及行业判定标准：涂装、印刷、包装、粘合等含挥发性有机物的产品使用，基础化学原料制造、化学药品原料药制造等含挥发性有机物的产品生产，裁量等级为2；</w:t>
      </w:r>
    </w:p>
    <w:p w14:paraId="33295A44">
      <w:pPr>
        <w:keepNext w:val="0"/>
        <w:keepLines w:val="0"/>
        <w:widowControl w:val="0"/>
        <w:suppressLineNumbers w:val="0"/>
        <w:autoSpaceDE w:val="0"/>
        <w:autoSpaceDN/>
        <w:adjustRightInd w:val="0"/>
        <w:snapToGrid w:val="0"/>
        <w:spacing w:before="0" w:beforeAutospacing="0" w:after="0" w:afterAutospacing="0" w:line="590" w:lineRule="exact"/>
        <w:ind w:left="0" w:right="0" w:firstLine="640" w:firstLineChars="200"/>
        <w:jc w:val="both"/>
        <w:rPr>
          <w:rFonts w:hint="eastAsia" w:ascii="仿宋_GB2312" w:eastAsia="仿宋_GB2312" w:cs="仿宋_GB2312"/>
          <w:color w:val="000000"/>
          <w:kern w:val="2"/>
          <w:sz w:val="32"/>
          <w:szCs w:val="32"/>
        </w:rPr>
      </w:pPr>
      <w:r>
        <w:rPr>
          <w:rFonts w:hint="eastAsia" w:ascii="仿宋_GB2312" w:hAnsi="Times New Roman" w:eastAsia="仿宋_GB2312" w:cs="仿宋_GB2312"/>
          <w:color w:val="000000"/>
          <w:kern w:val="2"/>
          <w:sz w:val="32"/>
          <w:szCs w:val="32"/>
          <w:lang w:val="en-US" w:eastAsia="zh-CN" w:bidi="ar"/>
        </w:rPr>
        <w:t xml:space="preserve">B2.生产和服务活动地点：符合环境功能区划，裁量等级为 1； </w:t>
      </w:r>
    </w:p>
    <w:p w14:paraId="1C2BC96D">
      <w:pPr>
        <w:keepNext w:val="0"/>
        <w:keepLines w:val="0"/>
        <w:widowControl w:val="0"/>
        <w:suppressLineNumbers w:val="0"/>
        <w:autoSpaceDE w:val="0"/>
        <w:autoSpaceDN/>
        <w:adjustRightInd w:val="0"/>
        <w:snapToGrid w:val="0"/>
        <w:spacing w:before="0" w:beforeAutospacing="0" w:after="0" w:afterAutospacing="0" w:line="590" w:lineRule="exact"/>
        <w:ind w:left="0" w:right="0" w:firstLine="640" w:firstLineChars="200"/>
        <w:jc w:val="both"/>
        <w:rPr>
          <w:rFonts w:hint="eastAsia" w:ascii="仿宋_GB2312" w:eastAsia="仿宋_GB2312" w:cs="仿宋_GB2312"/>
          <w:color w:val="000000"/>
          <w:kern w:val="2"/>
          <w:sz w:val="32"/>
          <w:szCs w:val="32"/>
        </w:rPr>
      </w:pPr>
      <w:r>
        <w:rPr>
          <w:rFonts w:hint="eastAsia" w:ascii="仿宋_GB2312" w:hAnsi="Times New Roman" w:eastAsia="仿宋_GB2312" w:cs="仿宋_GB2312"/>
          <w:color w:val="000000"/>
          <w:kern w:val="2"/>
          <w:sz w:val="32"/>
          <w:szCs w:val="32"/>
          <w:lang w:val="en-US" w:eastAsia="zh-CN" w:bidi="ar"/>
        </w:rPr>
        <w:t xml:space="preserve">B3.企业规模判定标准：小型企业，裁量等级为2； </w:t>
      </w:r>
    </w:p>
    <w:p w14:paraId="33545335">
      <w:pPr>
        <w:keepNext w:val="0"/>
        <w:keepLines w:val="0"/>
        <w:widowControl w:val="0"/>
        <w:suppressLineNumbers w:val="0"/>
        <w:autoSpaceDE w:val="0"/>
        <w:autoSpaceDN/>
        <w:adjustRightInd w:val="0"/>
        <w:snapToGrid w:val="0"/>
        <w:spacing w:before="0" w:beforeAutospacing="0" w:after="0" w:afterAutospacing="0" w:line="590" w:lineRule="exact"/>
        <w:ind w:left="0" w:right="0" w:firstLine="640" w:firstLineChars="200"/>
        <w:jc w:val="both"/>
        <w:rPr>
          <w:rFonts w:hint="eastAsia" w:ascii="仿宋_GB2312" w:eastAsia="仿宋_GB2312" w:cs="仿宋_GB2312"/>
          <w:color w:val="000000"/>
          <w:kern w:val="2"/>
          <w:sz w:val="32"/>
          <w:szCs w:val="32"/>
        </w:rPr>
      </w:pPr>
      <w:r>
        <w:rPr>
          <w:rFonts w:hint="eastAsia" w:ascii="仿宋_GB2312" w:hAnsi="Times New Roman" w:eastAsia="仿宋_GB2312" w:cs="仿宋_GB2312"/>
          <w:color w:val="000000"/>
          <w:kern w:val="2"/>
          <w:sz w:val="32"/>
          <w:szCs w:val="32"/>
          <w:lang w:val="en-US" w:eastAsia="zh-CN" w:bidi="ar"/>
        </w:rPr>
        <w:t xml:space="preserve">B4.管理类别判定标准：登记管理，裁量等级为 1； </w:t>
      </w:r>
    </w:p>
    <w:p w14:paraId="5A15ED8B">
      <w:pPr>
        <w:keepNext w:val="0"/>
        <w:keepLines w:val="0"/>
        <w:widowControl w:val="0"/>
        <w:suppressLineNumbers w:val="0"/>
        <w:autoSpaceDE w:val="0"/>
        <w:autoSpaceDN/>
        <w:adjustRightInd w:val="0"/>
        <w:snapToGrid w:val="0"/>
        <w:spacing w:before="0" w:beforeAutospacing="0" w:after="0" w:afterAutospacing="0" w:line="590" w:lineRule="exact"/>
        <w:ind w:left="0" w:right="0" w:firstLine="640" w:firstLineChars="200"/>
        <w:jc w:val="both"/>
        <w:rPr>
          <w:rFonts w:hint="eastAsia" w:ascii="仿宋_GB2312" w:eastAsia="仿宋_GB2312" w:cs="仿宋_GB2312"/>
          <w:color w:val="000000"/>
          <w:kern w:val="2"/>
          <w:sz w:val="32"/>
          <w:szCs w:val="32"/>
        </w:rPr>
      </w:pPr>
      <w:r>
        <w:rPr>
          <w:rFonts w:hint="eastAsia" w:ascii="仿宋_GB2312" w:hAnsi="Times New Roman" w:eastAsia="仿宋_GB2312" w:cs="仿宋_GB2312"/>
          <w:color w:val="000000"/>
          <w:kern w:val="2"/>
          <w:sz w:val="32"/>
          <w:szCs w:val="32"/>
          <w:lang w:val="en-US" w:eastAsia="zh-CN" w:bidi="ar"/>
        </w:rPr>
        <w:t xml:space="preserve">B5.违法行为持续时间判定标准：1个月以下，裁量等级为 1； </w:t>
      </w:r>
    </w:p>
    <w:p w14:paraId="6C5A3816">
      <w:pPr>
        <w:keepNext w:val="0"/>
        <w:keepLines w:val="0"/>
        <w:widowControl w:val="0"/>
        <w:suppressLineNumbers w:val="0"/>
        <w:autoSpaceDE w:val="0"/>
        <w:autoSpaceDN/>
        <w:adjustRightInd w:val="0"/>
        <w:snapToGrid w:val="0"/>
        <w:spacing w:before="0" w:beforeAutospacing="0" w:after="0" w:afterAutospacing="0" w:line="590" w:lineRule="exact"/>
        <w:ind w:left="0" w:right="0" w:firstLine="640" w:firstLineChars="200"/>
        <w:jc w:val="both"/>
        <w:rPr>
          <w:rFonts w:hint="eastAsia" w:ascii="仿宋_GB2312" w:eastAsia="仿宋_GB2312" w:cs="仿宋_GB2312"/>
          <w:color w:val="000000"/>
          <w:kern w:val="2"/>
          <w:sz w:val="32"/>
          <w:szCs w:val="32"/>
        </w:rPr>
      </w:pPr>
      <w:r>
        <w:rPr>
          <w:rFonts w:hint="eastAsia" w:ascii="仿宋_GB2312" w:hAnsi="Times New Roman" w:eastAsia="仿宋_GB2312" w:cs="仿宋_GB2312"/>
          <w:color w:val="000000"/>
          <w:kern w:val="2"/>
          <w:sz w:val="32"/>
          <w:szCs w:val="32"/>
          <w:lang w:val="en-US" w:eastAsia="zh-CN" w:bidi="ar"/>
        </w:rPr>
        <w:t xml:space="preserve">B6.超过限期改正时间判定标准：限期改正，裁量等级为 1； </w:t>
      </w:r>
    </w:p>
    <w:p w14:paraId="53FA8554">
      <w:pPr>
        <w:keepNext w:val="0"/>
        <w:keepLines w:val="0"/>
        <w:widowControl w:val="0"/>
        <w:suppressLineNumbers w:val="0"/>
        <w:autoSpaceDE w:val="0"/>
        <w:autoSpaceDN/>
        <w:adjustRightInd w:val="0"/>
        <w:snapToGrid w:val="0"/>
        <w:spacing w:before="0" w:beforeAutospacing="0" w:after="0" w:afterAutospacing="0" w:line="580" w:lineRule="exact"/>
        <w:ind w:left="0" w:right="0" w:firstLine="640" w:firstLineChars="200"/>
        <w:jc w:val="both"/>
        <w:rPr>
          <w:rFonts w:hint="eastAsia" w:ascii="仿宋_GB2312" w:eastAsia="仿宋_GB2312" w:cs="仿宋_GB2312"/>
          <w:color w:val="000000"/>
          <w:kern w:val="2"/>
          <w:sz w:val="32"/>
          <w:szCs w:val="32"/>
        </w:rPr>
      </w:pPr>
      <w:r>
        <w:rPr>
          <w:rFonts w:hint="eastAsia" w:ascii="仿宋_GB2312" w:hAnsi="Times New Roman" w:eastAsia="仿宋_GB2312" w:cs="仿宋_GB2312"/>
          <w:color w:val="000000"/>
          <w:kern w:val="2"/>
          <w:sz w:val="32"/>
          <w:szCs w:val="32"/>
          <w:lang w:val="en-US" w:eastAsia="zh-CN" w:bidi="ar"/>
        </w:rPr>
        <w:t>B7.受处罚次数判定标准：</w:t>
      </w:r>
      <w:r>
        <w:rPr>
          <w:rFonts w:hint="eastAsia" w:ascii="仿宋_GB2312" w:hAnsi="Times New Roman" w:eastAsia="仿宋_GB2312" w:cs="仿宋_GB2312"/>
          <w:kern w:val="2"/>
          <w:sz w:val="32"/>
          <w:szCs w:val="32"/>
          <w:lang w:val="en-US" w:eastAsia="zh-CN" w:bidi="ar"/>
        </w:rPr>
        <w:t>两年内未受到同类处罚</w:t>
      </w:r>
      <w:r>
        <w:rPr>
          <w:rFonts w:hint="eastAsia" w:ascii="仿宋_GB2312" w:hAnsi="Times New Roman" w:eastAsia="仿宋_GB2312" w:cs="仿宋_GB2312"/>
          <w:color w:val="000000"/>
          <w:kern w:val="2"/>
          <w:sz w:val="32"/>
          <w:szCs w:val="32"/>
          <w:lang w:val="en-US" w:eastAsia="zh-CN" w:bidi="ar"/>
        </w:rPr>
        <w:t xml:space="preserve">，裁量等级为1； </w:t>
      </w:r>
    </w:p>
    <w:p w14:paraId="5435125A">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60" w:lineRule="exact"/>
        <w:ind w:left="0" w:right="0" w:firstLine="640" w:firstLineChars="200"/>
        <w:jc w:val="both"/>
        <w:textAlignment w:val="bottom"/>
        <w:rPr>
          <w:rFonts w:hint="eastAsia" w:ascii="仿宋_GB2312" w:eastAsia="仿宋_GB2312" w:cs="仿宋_GB2312"/>
          <w:kern w:val="2"/>
          <w:sz w:val="32"/>
          <w:szCs w:val="32"/>
        </w:rPr>
      </w:pPr>
      <w:r>
        <w:rPr>
          <w:rFonts w:hint="eastAsia" w:ascii="仿宋_GB2312" w:hAnsi="Times New Roman" w:eastAsia="仿宋_GB2312" w:cs="仿宋_GB2312"/>
          <w:color w:val="000000"/>
          <w:kern w:val="2"/>
          <w:sz w:val="32"/>
          <w:szCs w:val="32"/>
          <w:lang w:val="en-US" w:eastAsia="zh-CN" w:bidi="ar"/>
        </w:rPr>
        <w:t xml:space="preserve">B8.是否配合执法检查：配合调查，裁量等级为1。 </w:t>
      </w:r>
    </w:p>
    <w:p w14:paraId="789AE289">
      <w:pPr>
        <w:keepNext w:val="0"/>
        <w:keepLines w:val="0"/>
        <w:pageBreakBefore w:val="0"/>
        <w:widowControl w:val="0"/>
        <w:suppressLineNumbers w:val="0"/>
        <w:kinsoku/>
        <w:wordWrap/>
        <w:overflowPunct/>
        <w:topLinePunct w:val="0"/>
        <w:autoSpaceDN/>
        <w:bidi w:val="0"/>
        <w:spacing w:before="0" w:beforeAutospacing="0" w:after="0" w:afterAutospacing="0" w:line="560" w:lineRule="exact"/>
        <w:ind w:left="0" w:right="0" w:firstLine="640" w:firstLineChars="200"/>
        <w:jc w:val="both"/>
        <w:textAlignment w:val="bottom"/>
        <w:rPr>
          <w:rFonts w:hint="eastAsia" w:ascii="宋体" w:hAnsi="宋体" w:eastAsia="宋体" w:cs="宋体"/>
          <w:kern w:val="2"/>
          <w:sz w:val="21"/>
          <w:szCs w:val="21"/>
        </w:rPr>
      </w:pPr>
      <w:r>
        <w:rPr>
          <w:rFonts w:hint="eastAsia" w:ascii="仿宋_GB2312" w:hAnsi="Times New Roman" w:eastAsia="仿宋_GB2312" w:cs="仿宋_GB2312"/>
          <w:kern w:val="2"/>
          <w:sz w:val="32"/>
          <w:szCs w:val="32"/>
          <w:lang w:val="en-US" w:eastAsia="zh-CN" w:bidi="ar"/>
        </w:rPr>
        <w:t>结合本案案情，将各项裁量因素等级套入公式中进行计算得：</w:t>
      </w:r>
    </w:p>
    <w:tbl>
      <w:tblPr>
        <w:tblStyle w:val="6"/>
        <w:tblW w:w="7988"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56"/>
        <w:gridCol w:w="687"/>
        <w:gridCol w:w="759"/>
        <w:gridCol w:w="426"/>
        <w:gridCol w:w="555"/>
        <w:gridCol w:w="555"/>
        <w:gridCol w:w="585"/>
        <w:gridCol w:w="555"/>
        <w:gridCol w:w="600"/>
        <w:gridCol w:w="570"/>
        <w:gridCol w:w="600"/>
        <w:gridCol w:w="570"/>
        <w:gridCol w:w="570"/>
      </w:tblGrid>
      <w:tr w14:paraId="7217B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5" w:hRule="atLeast"/>
        </w:trPr>
        <w:tc>
          <w:tcPr>
            <w:tcW w:w="956" w:type="dxa"/>
            <w:tcBorders>
              <w:top w:val="single" w:color="auto" w:sz="4" w:space="0"/>
              <w:left w:val="single" w:color="auto" w:sz="4" w:space="0"/>
              <w:bottom w:val="single" w:color="auto" w:sz="4" w:space="0"/>
              <w:right w:val="single" w:color="auto" w:sz="4" w:space="0"/>
            </w:tcBorders>
            <w:shd w:val="clear" w:color="auto" w:fill="auto"/>
            <w:vAlign w:val="top"/>
          </w:tcPr>
          <w:p w14:paraId="17FE7490">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hAnsi="仿宋_GB2312" w:eastAsia="宋体" w:cs="仿宋_GB2312"/>
                <w:kern w:val="0"/>
                <w:sz w:val="32"/>
                <w:szCs w:val="32"/>
                <w:shd w:val="clear" w:fill="FFFFFF"/>
              </w:rPr>
            </w:pPr>
            <w:r>
              <w:rPr>
                <w:rFonts w:hint="eastAsia" w:ascii="仿宋_GB2312" w:hAnsi="仿宋_GB2312" w:eastAsia="宋体" w:cs="仿宋_GB2312"/>
                <w:kern w:val="0"/>
                <w:sz w:val="32"/>
                <w:szCs w:val="32"/>
                <w:shd w:val="clear" w:fill="FFFFFF"/>
                <w:lang w:val="en-US" w:eastAsia="zh-CN" w:bidi="ar"/>
              </w:rPr>
              <w:t>参数</w:t>
            </w:r>
          </w:p>
        </w:tc>
        <w:tc>
          <w:tcPr>
            <w:tcW w:w="687" w:type="dxa"/>
            <w:tcBorders>
              <w:top w:val="single" w:color="auto" w:sz="4" w:space="0"/>
              <w:left w:val="nil"/>
              <w:bottom w:val="single" w:color="auto" w:sz="4" w:space="0"/>
              <w:right w:val="single" w:color="auto" w:sz="4" w:space="0"/>
            </w:tcBorders>
            <w:shd w:val="clear" w:color="auto" w:fill="auto"/>
            <w:vAlign w:val="top"/>
          </w:tcPr>
          <w:p w14:paraId="16E85565">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hAnsi="仿宋_GB2312" w:eastAsia="宋体"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N</w:t>
            </w:r>
          </w:p>
        </w:tc>
        <w:tc>
          <w:tcPr>
            <w:tcW w:w="759" w:type="dxa"/>
            <w:tcBorders>
              <w:top w:val="single" w:color="auto" w:sz="4" w:space="0"/>
              <w:left w:val="nil"/>
              <w:bottom w:val="single" w:color="auto" w:sz="4" w:space="0"/>
              <w:right w:val="single" w:color="auto" w:sz="4" w:space="0"/>
            </w:tcBorders>
            <w:shd w:val="clear" w:color="auto" w:fill="auto"/>
            <w:vAlign w:val="top"/>
          </w:tcPr>
          <w:p w14:paraId="3B157D93">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hAnsi="仿宋_GB2312" w:eastAsia="宋体"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M</w:t>
            </w:r>
          </w:p>
        </w:tc>
        <w:tc>
          <w:tcPr>
            <w:tcW w:w="426" w:type="dxa"/>
            <w:tcBorders>
              <w:top w:val="single" w:color="auto" w:sz="4" w:space="0"/>
              <w:left w:val="nil"/>
              <w:bottom w:val="single" w:color="auto" w:sz="4" w:space="0"/>
              <w:right w:val="single" w:color="auto" w:sz="4" w:space="0"/>
            </w:tcBorders>
            <w:shd w:val="clear" w:color="auto" w:fill="auto"/>
            <w:vAlign w:val="top"/>
          </w:tcPr>
          <w:p w14:paraId="1F916D6B">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hAnsi="仿宋_GB2312" w:eastAsia="宋体"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A</w:t>
            </w:r>
          </w:p>
        </w:tc>
        <w:tc>
          <w:tcPr>
            <w:tcW w:w="555" w:type="dxa"/>
            <w:tcBorders>
              <w:top w:val="single" w:color="auto" w:sz="4" w:space="0"/>
              <w:left w:val="nil"/>
              <w:bottom w:val="single" w:color="auto" w:sz="4" w:space="0"/>
              <w:right w:val="single" w:color="auto" w:sz="4" w:space="0"/>
            </w:tcBorders>
            <w:shd w:val="clear" w:color="auto" w:fill="auto"/>
            <w:vAlign w:val="top"/>
          </w:tcPr>
          <w:p w14:paraId="23A85FE9">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hAnsi="仿宋_GB2312" w:eastAsia="宋体"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n</w:t>
            </w:r>
          </w:p>
        </w:tc>
        <w:tc>
          <w:tcPr>
            <w:tcW w:w="555" w:type="dxa"/>
            <w:tcBorders>
              <w:top w:val="single" w:color="auto" w:sz="4" w:space="0"/>
              <w:left w:val="nil"/>
              <w:bottom w:val="single" w:color="auto" w:sz="4" w:space="0"/>
              <w:right w:val="single" w:color="auto" w:sz="4" w:space="0"/>
            </w:tcBorders>
            <w:shd w:val="clear" w:color="auto" w:fill="auto"/>
            <w:vAlign w:val="top"/>
          </w:tcPr>
          <w:p w14:paraId="4F5CDF19">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hAnsi="仿宋_GB2312" w:eastAsia="宋体"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B1</w:t>
            </w:r>
          </w:p>
        </w:tc>
        <w:tc>
          <w:tcPr>
            <w:tcW w:w="585" w:type="dxa"/>
            <w:tcBorders>
              <w:top w:val="single" w:color="auto" w:sz="4" w:space="0"/>
              <w:left w:val="nil"/>
              <w:bottom w:val="single" w:color="auto" w:sz="4" w:space="0"/>
              <w:right w:val="single" w:color="auto" w:sz="4" w:space="0"/>
            </w:tcBorders>
            <w:shd w:val="clear" w:color="auto" w:fill="auto"/>
            <w:vAlign w:val="top"/>
          </w:tcPr>
          <w:p w14:paraId="15E41E01">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hAnsi="仿宋_GB2312" w:eastAsia="宋体"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B2</w:t>
            </w:r>
          </w:p>
        </w:tc>
        <w:tc>
          <w:tcPr>
            <w:tcW w:w="555" w:type="dxa"/>
            <w:tcBorders>
              <w:top w:val="single" w:color="auto" w:sz="4" w:space="0"/>
              <w:left w:val="nil"/>
              <w:bottom w:val="single" w:color="auto" w:sz="4" w:space="0"/>
              <w:right w:val="single" w:color="auto" w:sz="4" w:space="0"/>
            </w:tcBorders>
            <w:shd w:val="clear" w:color="auto" w:fill="auto"/>
            <w:vAlign w:val="top"/>
          </w:tcPr>
          <w:p w14:paraId="39A56CD4">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hAnsi="仿宋_GB2312" w:eastAsia="宋体"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B3</w:t>
            </w:r>
          </w:p>
        </w:tc>
        <w:tc>
          <w:tcPr>
            <w:tcW w:w="600" w:type="dxa"/>
            <w:tcBorders>
              <w:top w:val="single" w:color="auto" w:sz="4" w:space="0"/>
              <w:left w:val="nil"/>
              <w:bottom w:val="single" w:color="auto" w:sz="4" w:space="0"/>
              <w:right w:val="single" w:color="auto" w:sz="4" w:space="0"/>
            </w:tcBorders>
            <w:shd w:val="clear" w:color="auto" w:fill="auto"/>
            <w:vAlign w:val="top"/>
          </w:tcPr>
          <w:p w14:paraId="32650A22">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hAnsi="仿宋_GB2312" w:eastAsia="宋体"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B4</w:t>
            </w:r>
          </w:p>
        </w:tc>
        <w:tc>
          <w:tcPr>
            <w:tcW w:w="570" w:type="dxa"/>
            <w:tcBorders>
              <w:top w:val="single" w:color="auto" w:sz="4" w:space="0"/>
              <w:left w:val="nil"/>
              <w:bottom w:val="single" w:color="auto" w:sz="4" w:space="0"/>
              <w:right w:val="single" w:color="auto" w:sz="4" w:space="0"/>
            </w:tcBorders>
            <w:shd w:val="clear" w:color="auto" w:fill="auto"/>
            <w:vAlign w:val="top"/>
          </w:tcPr>
          <w:p w14:paraId="1871E7A8">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hAnsi="仿宋_GB2312" w:eastAsia="宋体"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B5</w:t>
            </w:r>
          </w:p>
        </w:tc>
        <w:tc>
          <w:tcPr>
            <w:tcW w:w="600" w:type="dxa"/>
            <w:tcBorders>
              <w:top w:val="single" w:color="auto" w:sz="4" w:space="0"/>
              <w:left w:val="nil"/>
              <w:bottom w:val="single" w:color="auto" w:sz="4" w:space="0"/>
              <w:right w:val="single" w:color="auto" w:sz="4" w:space="0"/>
            </w:tcBorders>
            <w:shd w:val="clear" w:color="auto" w:fill="auto"/>
            <w:vAlign w:val="top"/>
          </w:tcPr>
          <w:p w14:paraId="1C6A0A1A">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B6</w:t>
            </w:r>
          </w:p>
        </w:tc>
        <w:tc>
          <w:tcPr>
            <w:tcW w:w="570" w:type="dxa"/>
            <w:tcBorders>
              <w:top w:val="single" w:color="auto" w:sz="4" w:space="0"/>
              <w:left w:val="nil"/>
              <w:bottom w:val="single" w:color="auto" w:sz="4" w:space="0"/>
              <w:right w:val="single" w:color="auto" w:sz="4" w:space="0"/>
            </w:tcBorders>
            <w:shd w:val="clear" w:color="auto" w:fill="auto"/>
            <w:vAlign w:val="top"/>
          </w:tcPr>
          <w:p w14:paraId="5C5FA529">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B7</w:t>
            </w:r>
          </w:p>
        </w:tc>
        <w:tc>
          <w:tcPr>
            <w:tcW w:w="570" w:type="dxa"/>
            <w:tcBorders>
              <w:top w:val="single" w:color="auto" w:sz="4" w:space="0"/>
              <w:left w:val="nil"/>
              <w:bottom w:val="single" w:color="auto" w:sz="4" w:space="0"/>
              <w:right w:val="single" w:color="auto" w:sz="4" w:space="0"/>
            </w:tcBorders>
            <w:shd w:val="clear" w:color="auto" w:fill="auto"/>
            <w:vAlign w:val="top"/>
          </w:tcPr>
          <w:p w14:paraId="256EEBAD">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B8</w:t>
            </w:r>
          </w:p>
        </w:tc>
      </w:tr>
      <w:tr w14:paraId="5CD38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56" w:type="dxa"/>
            <w:tcBorders>
              <w:top w:val="single" w:color="auto" w:sz="4" w:space="0"/>
              <w:left w:val="single" w:color="auto" w:sz="4" w:space="0"/>
              <w:bottom w:val="single" w:color="auto" w:sz="4" w:space="0"/>
              <w:right w:val="single" w:color="auto" w:sz="4" w:space="0"/>
            </w:tcBorders>
            <w:shd w:val="clear" w:color="auto" w:fill="auto"/>
            <w:vAlign w:val="top"/>
          </w:tcPr>
          <w:p w14:paraId="75CB0D5D">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Times New Roman" w:eastAsia="仿宋_GB2312" w:cs="仿宋_GB2312"/>
                <w:kern w:val="0"/>
                <w:sz w:val="32"/>
                <w:szCs w:val="32"/>
                <w:shd w:val="clear" w:fill="FFFFFF"/>
                <w:lang w:val="en-US" w:eastAsia="zh-CN" w:bidi="ar"/>
              </w:rPr>
              <w:t>取值</w:t>
            </w:r>
          </w:p>
        </w:tc>
        <w:tc>
          <w:tcPr>
            <w:tcW w:w="687" w:type="dxa"/>
            <w:tcBorders>
              <w:top w:val="single" w:color="auto" w:sz="4" w:space="0"/>
              <w:left w:val="nil"/>
              <w:bottom w:val="single" w:color="auto" w:sz="4" w:space="0"/>
              <w:right w:val="single" w:color="auto" w:sz="4" w:space="0"/>
            </w:tcBorders>
            <w:shd w:val="clear" w:color="auto" w:fill="auto"/>
            <w:vAlign w:val="top"/>
          </w:tcPr>
          <w:p w14:paraId="3ABFD467">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Times New Roman" w:eastAsia="仿宋_GB2312" w:cs="仿宋_GB2312"/>
                <w:kern w:val="0"/>
                <w:sz w:val="32"/>
                <w:szCs w:val="32"/>
                <w:shd w:val="clear" w:fill="FFFFFF"/>
                <w:lang w:val="en-US" w:eastAsia="zh-CN" w:bidi="ar"/>
              </w:rPr>
              <w:t>2</w:t>
            </w:r>
          </w:p>
        </w:tc>
        <w:tc>
          <w:tcPr>
            <w:tcW w:w="759" w:type="dxa"/>
            <w:tcBorders>
              <w:top w:val="single" w:color="auto" w:sz="4" w:space="0"/>
              <w:left w:val="nil"/>
              <w:bottom w:val="single" w:color="auto" w:sz="4" w:space="0"/>
              <w:right w:val="single" w:color="auto" w:sz="4" w:space="0"/>
            </w:tcBorders>
            <w:shd w:val="clear" w:color="auto" w:fill="auto"/>
            <w:vAlign w:val="top"/>
          </w:tcPr>
          <w:p w14:paraId="2AC9D6D2">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20</w:t>
            </w:r>
          </w:p>
        </w:tc>
        <w:tc>
          <w:tcPr>
            <w:tcW w:w="426" w:type="dxa"/>
            <w:tcBorders>
              <w:top w:val="single" w:color="auto" w:sz="4" w:space="0"/>
              <w:left w:val="nil"/>
              <w:bottom w:val="single" w:color="auto" w:sz="4" w:space="0"/>
              <w:right w:val="single" w:color="auto" w:sz="4" w:space="0"/>
            </w:tcBorders>
            <w:shd w:val="clear" w:color="auto" w:fill="auto"/>
            <w:vAlign w:val="top"/>
          </w:tcPr>
          <w:p w14:paraId="09638072">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Times New Roman" w:eastAsia="仿宋_GB2312" w:cs="仿宋_GB2312"/>
                <w:kern w:val="0"/>
                <w:sz w:val="32"/>
                <w:szCs w:val="32"/>
                <w:shd w:val="clear" w:fill="FFFFFF"/>
                <w:lang w:val="en-US" w:eastAsia="zh-CN" w:bidi="ar"/>
              </w:rPr>
              <w:t>1</w:t>
            </w:r>
          </w:p>
        </w:tc>
        <w:tc>
          <w:tcPr>
            <w:tcW w:w="555" w:type="dxa"/>
            <w:tcBorders>
              <w:top w:val="single" w:color="auto" w:sz="4" w:space="0"/>
              <w:left w:val="nil"/>
              <w:bottom w:val="single" w:color="auto" w:sz="4" w:space="0"/>
              <w:right w:val="single" w:color="auto" w:sz="4" w:space="0"/>
            </w:tcBorders>
            <w:shd w:val="clear" w:color="auto" w:fill="auto"/>
            <w:vAlign w:val="top"/>
          </w:tcPr>
          <w:p w14:paraId="271D1D5D">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8</w:t>
            </w:r>
          </w:p>
        </w:tc>
        <w:tc>
          <w:tcPr>
            <w:tcW w:w="555" w:type="dxa"/>
            <w:tcBorders>
              <w:top w:val="single" w:color="auto" w:sz="4" w:space="0"/>
              <w:left w:val="nil"/>
              <w:bottom w:val="single" w:color="auto" w:sz="4" w:space="0"/>
              <w:right w:val="single" w:color="auto" w:sz="4" w:space="0"/>
            </w:tcBorders>
            <w:shd w:val="clear" w:color="auto" w:fill="auto"/>
            <w:vAlign w:val="top"/>
          </w:tcPr>
          <w:p w14:paraId="640203FC">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2</w:t>
            </w:r>
          </w:p>
        </w:tc>
        <w:tc>
          <w:tcPr>
            <w:tcW w:w="585" w:type="dxa"/>
            <w:tcBorders>
              <w:top w:val="single" w:color="auto" w:sz="4" w:space="0"/>
              <w:left w:val="nil"/>
              <w:bottom w:val="single" w:color="auto" w:sz="4" w:space="0"/>
              <w:right w:val="single" w:color="auto" w:sz="4" w:space="0"/>
            </w:tcBorders>
            <w:shd w:val="clear" w:color="auto" w:fill="auto"/>
            <w:vAlign w:val="top"/>
          </w:tcPr>
          <w:p w14:paraId="652288C2">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Times New Roman" w:eastAsia="仿宋_GB2312" w:cs="仿宋_GB2312"/>
                <w:kern w:val="0"/>
                <w:sz w:val="32"/>
                <w:szCs w:val="32"/>
                <w:shd w:val="clear" w:fill="FFFFFF"/>
                <w:lang w:val="en-US" w:eastAsia="zh-CN" w:bidi="ar"/>
              </w:rPr>
              <w:t>1</w:t>
            </w:r>
          </w:p>
        </w:tc>
        <w:tc>
          <w:tcPr>
            <w:tcW w:w="555" w:type="dxa"/>
            <w:tcBorders>
              <w:top w:val="single" w:color="auto" w:sz="4" w:space="0"/>
              <w:left w:val="nil"/>
              <w:bottom w:val="single" w:color="auto" w:sz="4" w:space="0"/>
              <w:right w:val="single" w:color="auto" w:sz="4" w:space="0"/>
            </w:tcBorders>
            <w:shd w:val="clear" w:color="auto" w:fill="auto"/>
            <w:vAlign w:val="top"/>
          </w:tcPr>
          <w:p w14:paraId="1D949D1D">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2</w:t>
            </w:r>
          </w:p>
        </w:tc>
        <w:tc>
          <w:tcPr>
            <w:tcW w:w="600" w:type="dxa"/>
            <w:tcBorders>
              <w:top w:val="single" w:color="auto" w:sz="4" w:space="0"/>
              <w:left w:val="nil"/>
              <w:bottom w:val="single" w:color="auto" w:sz="4" w:space="0"/>
              <w:right w:val="single" w:color="auto" w:sz="4" w:space="0"/>
            </w:tcBorders>
            <w:shd w:val="clear" w:color="auto" w:fill="auto"/>
            <w:vAlign w:val="top"/>
          </w:tcPr>
          <w:p w14:paraId="4716D576">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1</w:t>
            </w:r>
          </w:p>
        </w:tc>
        <w:tc>
          <w:tcPr>
            <w:tcW w:w="570" w:type="dxa"/>
            <w:tcBorders>
              <w:top w:val="single" w:color="auto" w:sz="4" w:space="0"/>
              <w:left w:val="nil"/>
              <w:bottom w:val="single" w:color="auto" w:sz="4" w:space="0"/>
              <w:right w:val="single" w:color="auto" w:sz="4" w:space="0"/>
            </w:tcBorders>
            <w:shd w:val="clear" w:color="auto" w:fill="auto"/>
            <w:vAlign w:val="top"/>
          </w:tcPr>
          <w:p w14:paraId="22CE1B8A">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1</w:t>
            </w:r>
          </w:p>
        </w:tc>
        <w:tc>
          <w:tcPr>
            <w:tcW w:w="600" w:type="dxa"/>
            <w:tcBorders>
              <w:top w:val="single" w:color="auto" w:sz="4" w:space="0"/>
              <w:left w:val="nil"/>
              <w:bottom w:val="single" w:color="auto" w:sz="4" w:space="0"/>
              <w:right w:val="single" w:color="auto" w:sz="4" w:space="0"/>
            </w:tcBorders>
            <w:shd w:val="clear" w:color="auto" w:fill="auto"/>
            <w:vAlign w:val="top"/>
          </w:tcPr>
          <w:p w14:paraId="4F4B4ECE">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1</w:t>
            </w:r>
          </w:p>
        </w:tc>
        <w:tc>
          <w:tcPr>
            <w:tcW w:w="570" w:type="dxa"/>
            <w:tcBorders>
              <w:top w:val="single" w:color="auto" w:sz="4" w:space="0"/>
              <w:left w:val="nil"/>
              <w:bottom w:val="single" w:color="auto" w:sz="4" w:space="0"/>
              <w:right w:val="single" w:color="auto" w:sz="4" w:space="0"/>
            </w:tcBorders>
            <w:shd w:val="clear" w:color="auto" w:fill="auto"/>
            <w:vAlign w:val="top"/>
          </w:tcPr>
          <w:p w14:paraId="1FCB0E36">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仿宋_GB2312" w:cs="仿宋_GB2312"/>
                <w:kern w:val="0"/>
                <w:sz w:val="32"/>
                <w:szCs w:val="32"/>
                <w:shd w:val="clear" w:fill="FFFFFF"/>
                <w:lang w:val="en-US" w:eastAsia="zh-CN" w:bidi="ar"/>
              </w:rPr>
              <w:t>1</w:t>
            </w:r>
          </w:p>
        </w:tc>
        <w:tc>
          <w:tcPr>
            <w:tcW w:w="570" w:type="dxa"/>
            <w:tcBorders>
              <w:top w:val="single" w:color="auto" w:sz="4" w:space="0"/>
              <w:left w:val="nil"/>
              <w:bottom w:val="single" w:color="auto" w:sz="4" w:space="0"/>
              <w:right w:val="single" w:color="auto" w:sz="4" w:space="0"/>
            </w:tcBorders>
            <w:shd w:val="clear" w:color="auto" w:fill="auto"/>
            <w:vAlign w:val="top"/>
          </w:tcPr>
          <w:p w14:paraId="15858B6E">
            <w:pPr>
              <w:keepNext w:val="0"/>
              <w:keepLines w:val="0"/>
              <w:widowControl w:val="0"/>
              <w:suppressLineNumbers w:val="0"/>
              <w:autoSpaceDE w:val="0"/>
              <w:autoSpaceDN/>
              <w:spacing w:before="0" w:beforeAutospacing="0" w:after="0" w:afterAutospacing="0" w:line="590" w:lineRule="exact"/>
              <w:ind w:left="0" w:leftChars="0" w:right="0" w:firstLine="0" w:firstLineChars="0"/>
              <w:jc w:val="both"/>
              <w:rPr>
                <w:rFonts w:hint="eastAsia" w:ascii="仿宋_GB2312" w:eastAsia="仿宋_GB2312" w:cs="仿宋_GB2312"/>
                <w:kern w:val="0"/>
                <w:sz w:val="32"/>
                <w:szCs w:val="32"/>
                <w:shd w:val="clear" w:fill="FFFFFF"/>
              </w:rPr>
            </w:pPr>
            <w:r>
              <w:rPr>
                <w:rFonts w:hint="eastAsia" w:ascii="仿宋_GB2312" w:hAnsi="仿宋_GB2312" w:eastAsia="仿宋_GB2312" w:cs="仿宋_GB2312"/>
                <w:kern w:val="0"/>
                <w:sz w:val="32"/>
                <w:szCs w:val="32"/>
                <w:shd w:val="clear" w:fill="FFFFFF"/>
                <w:lang w:val="en-US" w:eastAsia="zh-CN" w:bidi="ar"/>
              </w:rPr>
              <w:t>1</w:t>
            </w:r>
          </w:p>
        </w:tc>
      </w:tr>
    </w:tbl>
    <w:p w14:paraId="6F454E97">
      <w:pPr>
        <w:keepNext w:val="0"/>
        <w:keepLines w:val="0"/>
        <w:widowControl w:val="0"/>
        <w:suppressLineNumbers w:val="0"/>
        <w:autoSpaceDE w:val="0"/>
        <w:autoSpaceDN/>
        <w:spacing w:before="0" w:beforeAutospacing="0" w:after="0" w:afterAutospacing="0" w:line="590" w:lineRule="exact"/>
        <w:ind w:left="0" w:right="0" w:firstLine="640" w:firstLineChars="200"/>
        <w:jc w:val="both"/>
        <w:rPr>
          <w:rFonts w:hint="eastAsia" w:ascii="仿宋_GB2312" w:eastAsia="仿宋_GB2312" w:cs="仿宋_GB2312"/>
          <w:kern w:val="2"/>
          <w:sz w:val="21"/>
          <w:szCs w:val="21"/>
        </w:rPr>
      </w:pPr>
      <w:r>
        <w:rPr>
          <w:rFonts w:hint="eastAsia" w:ascii="仿宋_GB2312" w:hAnsi="Times New Roman" w:eastAsia="仿宋_GB2312" w:cs="仿宋_GB2312"/>
          <w:kern w:val="2"/>
          <w:sz w:val="32"/>
          <w:szCs w:val="32"/>
          <w:lang w:val="en-US" w:eastAsia="zh-CN" w:bidi="ar"/>
        </w:rPr>
        <w:t>X=2+（20-2）×[（1/5）²+（2²+1²+2²+1²+1²+1²+</w:t>
      </w:r>
      <w:r>
        <w:rPr>
          <w:rFonts w:hint="eastAsia" w:ascii="仿宋_GB2312" w:cs="仿宋_GB2312"/>
          <w:kern w:val="2"/>
          <w:sz w:val="32"/>
          <w:szCs w:val="32"/>
          <w:lang w:val="en-US" w:eastAsia="zh-CN" w:bidi="ar"/>
        </w:rPr>
        <w:t>1</w:t>
      </w:r>
      <w:r>
        <w:rPr>
          <w:rFonts w:hint="eastAsia" w:ascii="仿宋_GB2312" w:hAnsi="Times New Roman" w:eastAsia="仿宋_GB2312" w:cs="仿宋_GB2312"/>
          <w:kern w:val="2"/>
          <w:sz w:val="32"/>
          <w:szCs w:val="32"/>
          <w:lang w:val="en-US" w:eastAsia="zh-CN" w:bidi="ar"/>
        </w:rPr>
        <w:t>²+1²）/（5²×8）]×50% =2.99万元。</w:t>
      </w:r>
    </w:p>
    <w:p w14:paraId="2C35CB9A">
      <w:pPr>
        <w:keepNext w:val="0"/>
        <w:keepLines w:val="0"/>
        <w:pageBreakBefore w:val="0"/>
        <w:widowControl w:val="0"/>
        <w:kinsoku/>
        <w:wordWrap/>
        <w:overflowPunct/>
        <w:topLinePunct w:val="0"/>
        <w:autoSpaceDE/>
        <w:autoSpaceDN/>
        <w:bidi w:val="0"/>
        <w:adjustRightInd/>
        <w:snapToGrid/>
        <w:spacing w:before="0" w:beforeLines="0" w:beforeAutospacing="0" w:after="0" w:line="560" w:lineRule="exact"/>
        <w:ind w:left="0" w:firstLine="640" w:firstLineChars="200"/>
        <w:jc w:val="both"/>
        <w:textAlignment w:val="auto"/>
        <w:outlineLvl w:val="9"/>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经裁量计算及讨论研究，我局决定对你</w:t>
      </w:r>
      <w:r>
        <w:rPr>
          <w:rFonts w:hint="eastAsia" w:ascii="仿宋_GB2312" w:hAnsi="仿宋_GB2312" w:cs="仿宋_GB2312"/>
          <w:color w:val="000000" w:themeColor="text1"/>
          <w:sz w:val="32"/>
          <w:szCs w:val="32"/>
          <w:u w:val="none"/>
          <w:lang w:val="en-US" w:eastAsia="zh-CN"/>
          <w14:textFill>
            <w14:solidFill>
              <w14:schemeClr w14:val="tx1"/>
            </w14:solidFill>
          </w14:textFill>
        </w:rPr>
        <w:t>公司</w:t>
      </w:r>
      <w:r>
        <w:rPr>
          <w:rFonts w:hint="eastAsia" w:ascii="仿宋_GB2312" w:hAnsi="宋体" w:eastAsia="仿宋_GB2312" w:cs="Times New Roman"/>
          <w:color w:val="000000" w:themeColor="text1"/>
          <w:sz w:val="32"/>
          <w:szCs w:val="32"/>
          <w:lang w:val="en-US" w:eastAsia="zh-CN"/>
          <w14:textFill>
            <w14:solidFill>
              <w14:schemeClr w14:val="tx1"/>
            </w14:solidFill>
          </w14:textFill>
        </w:rPr>
        <w:t>作出以下处理决定：</w:t>
      </w:r>
      <w:r>
        <w:rPr>
          <w:rFonts w:hint="eastAsia" w:ascii="仿宋_GB2312" w:hAnsi="仿宋_GB2312" w:eastAsia="仿宋_GB2312" w:cs="仿宋_GB2312"/>
          <w:color w:val="auto"/>
          <w:sz w:val="32"/>
          <w:szCs w:val="32"/>
          <w:u w:val="none" w:color="auto"/>
          <w:lang w:val="en-US" w:eastAsia="zh-CN"/>
        </w:rPr>
        <w:t>处贰</w:t>
      </w:r>
      <w:r>
        <w:rPr>
          <w:rFonts w:hint="eastAsia" w:ascii="仿宋_GB2312" w:hAnsi="仿宋_GB2312" w:eastAsia="仿宋_GB2312" w:cs="仿宋_GB2312"/>
          <w:color w:val="000000"/>
          <w:sz w:val="32"/>
          <w:szCs w:val="32"/>
          <w:u w:val="none" w:color="auto"/>
          <w:lang w:val="en-US" w:eastAsia="zh-CN"/>
        </w:rPr>
        <w:t>万玖仟玖佰元罚款（2.99万元）。</w:t>
      </w:r>
    </w:p>
    <w:p w14:paraId="49F2CEC7">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Chars="200" w:right="0" w:rightChars="0"/>
        <w:rPr>
          <w:rFonts w:hint="eastAsia" w:ascii="黑体" w:hAnsi="黑体" w:eastAsia="黑体" w:cs="黑体"/>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三、行政处罚决定的履行方式和期限</w:t>
      </w:r>
    </w:p>
    <w:p w14:paraId="1E158E55">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right="0" w:rightChars="0" w:firstLine="640" w:firstLineChars="200"/>
        <w:rPr>
          <w:rFonts w:hint="eastAsia" w:ascii="微软雅黑" w:hAnsi="微软雅黑" w:eastAsia="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根据《中华人民共和国行政处罚法》和《罚款决定与罚款收缴分离实施办法》的规定，你单位应当自收到本决定书之日起 15 日内将罚款缴至指定银行和账号</w:t>
      </w:r>
      <w:r>
        <w:rPr>
          <w:rFonts w:hint="eastAsia" w:ascii="仿宋_GB2312" w:hAnsi="Times New Roman" w:eastAsia="仿宋_GB2312"/>
          <w:color w:val="000000" w:themeColor="text1"/>
          <w:sz w:val="32"/>
          <w:szCs w:val="32"/>
          <w14:textFill>
            <w14:solidFill>
              <w14:schemeClr w14:val="tx1"/>
            </w14:solidFill>
          </w14:textFill>
        </w:rPr>
        <w:t>：</w:t>
      </w:r>
      <w:r>
        <w:rPr>
          <w:rFonts w:hint="eastAsia" w:ascii="微软雅黑" w:hAnsi="微软雅黑" w:eastAsia="仿宋_GB2312"/>
          <w:color w:val="000000" w:themeColor="text1"/>
          <w:sz w:val="32"/>
          <w:szCs w:val="32"/>
          <w:shd w:val="clear" w:color="auto" w:fill="FFFFFF"/>
          <w14:textFill>
            <w14:solidFill>
              <w14:schemeClr w14:val="tx1"/>
            </w14:solidFill>
          </w14:textFill>
        </w:rPr>
        <w:t> </w:t>
      </w:r>
    </w:p>
    <w:p w14:paraId="49B94DB4">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户  名：焦作市财政局非税收入财政专户。</w:t>
      </w:r>
    </w:p>
    <w:p w14:paraId="72260F8E">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开户行：邮政储蓄银行民主南路支行；</w:t>
      </w:r>
    </w:p>
    <w:p w14:paraId="384A5B01">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银行账号：100195545980010001</w:t>
      </w:r>
    </w:p>
    <w:p w14:paraId="23A440F3">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缴款时，当事人需在缴款备注栏注明“生态环境行政处罚款”及具体的处罚决定书编号等信息，以便准确核对缴款记录。</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缴纳罚款后，应将缴款凭据报送我局备案。</w:t>
      </w:r>
    </w:p>
    <w:p w14:paraId="696B6C5A">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黑体" w:hAnsi="黑体" w:eastAsia="黑体" w:cs="黑体"/>
          <w:b w:val="0"/>
          <w:bCs w:val="0"/>
          <w:color w:val="000000" w:themeColor="text1"/>
          <w:sz w:val="32"/>
          <w:szCs w:val="32"/>
          <w:lang w:val="en-US" w:eastAsia="zh-CN"/>
          <w14:textFill>
            <w14:solidFill>
              <w14:schemeClr w14:val="tx1"/>
            </w14:solidFill>
          </w14:textFill>
        </w:rPr>
      </w:pPr>
      <w:r>
        <w:rPr>
          <w:rFonts w:hint="default" w:ascii="黑体" w:hAnsi="黑体" w:eastAsia="黑体" w:cs="黑体"/>
          <w:b w:val="0"/>
          <w:bCs w:val="0"/>
          <w:color w:val="000000" w:themeColor="text1"/>
          <w:sz w:val="32"/>
          <w:szCs w:val="32"/>
          <w:lang w:val="en-US" w:eastAsia="zh-CN"/>
          <w14:textFill>
            <w14:solidFill>
              <w14:schemeClr w14:val="tx1"/>
            </w14:solidFill>
          </w14:textFill>
        </w:rPr>
        <w:t>四、申请行政复议或提起行政诉讼的途径和期限</w:t>
      </w:r>
    </w:p>
    <w:p w14:paraId="614F2E2D">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你</w:t>
      </w:r>
      <w:r>
        <w:rPr>
          <w:rFonts w:hint="eastAsia" w:ascii="仿宋_GB2312" w:hAnsi="仿宋_GB2312" w:cs="仿宋_GB2312"/>
          <w:color w:val="000000" w:themeColor="text1"/>
          <w:sz w:val="32"/>
          <w:szCs w:val="32"/>
          <w:lang w:val="en-US" w:eastAsia="zh-CN"/>
          <w14:textFill>
            <w14:solidFill>
              <w14:schemeClr w14:val="tx1"/>
            </w14:solidFill>
          </w14:textFill>
        </w:rPr>
        <w:t>单位</w:t>
      </w:r>
      <w:r>
        <w:rPr>
          <w:rFonts w:hint="default" w:ascii="仿宋_GB2312" w:hAnsi="仿宋_GB2312" w:cs="仿宋_GB2312"/>
          <w:color w:val="000000" w:themeColor="text1"/>
          <w:sz w:val="32"/>
          <w:szCs w:val="32"/>
          <w:lang w:val="en-US" w:eastAsia="zh-CN"/>
          <w14:textFill>
            <w14:solidFill>
              <w14:schemeClr w14:val="tx1"/>
            </w14:solidFill>
          </w14:textFill>
        </w:rPr>
        <w:t>如不服本决定，可以自收到本决定书之日起六十日内向焦作市人民政府申请行政复议；也可以在接到本决定书之日起6个月内向郑州铁路运输法院提起行政诉讼。申请行政复议或者提起行政诉讼，不停止行政处罚决定的执行。</w:t>
      </w:r>
    </w:p>
    <w:p w14:paraId="42F8DE9B">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70508900">
      <w:pPr>
        <w:pStyle w:val="4"/>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default" w:ascii="仿宋_GB2312" w:hAnsi="仿宋_GB2312" w:cs="仿宋_GB2312"/>
          <w:color w:val="000000" w:themeColor="text1"/>
          <w:sz w:val="32"/>
          <w:szCs w:val="32"/>
          <w:lang w:val="en-US" w:eastAsia="zh-CN"/>
          <w14:textFill>
            <w14:solidFill>
              <w14:schemeClr w14:val="tx1"/>
            </w14:solidFill>
          </w14:textFill>
        </w:rPr>
      </w:pPr>
    </w:p>
    <w:p w14:paraId="0A8D35DC">
      <w:pPr>
        <w:pStyle w:val="4"/>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default"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 xml:space="preserve">                                           </w:t>
      </w:r>
    </w:p>
    <w:p w14:paraId="271F7B05">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4800" w:firstLineChars="1500"/>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焦作市生态环境局</w:t>
      </w:r>
    </w:p>
    <w:p w14:paraId="4C0F498D">
      <w:pPr>
        <w:pStyle w:val="4"/>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4800" w:firstLineChars="1500"/>
        <w:rPr>
          <w:color w:val="000000" w:themeColor="text1"/>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2026年</w:t>
      </w:r>
      <w:r>
        <w:rPr>
          <w:rFonts w:hint="eastAsia" w:ascii="仿宋_GB2312" w:hAnsi="仿宋_GB2312" w:cs="仿宋_GB2312"/>
          <w:color w:val="auto"/>
          <w:sz w:val="32"/>
          <w:szCs w:val="32"/>
          <w:lang w:val="en-US" w:eastAsia="zh-CN"/>
        </w:rPr>
        <w:t>5月8</w:t>
      </w:r>
      <w:r>
        <w:rPr>
          <w:rFonts w:hint="eastAsia" w:ascii="仿宋_GB2312" w:hAnsi="仿宋_GB2312" w:cs="仿宋_GB2312"/>
          <w:color w:val="000000" w:themeColor="text1"/>
          <w:sz w:val="32"/>
          <w:szCs w:val="32"/>
          <w:lang w:val="en-US" w:eastAsia="zh-CN"/>
          <w14:textFill>
            <w14:solidFill>
              <w14:schemeClr w14:val="tx1"/>
            </w14:solidFill>
          </w14:textFill>
        </w:rPr>
        <w:t>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098" w:right="1474" w:bottom="1984" w:left="1587" w:header="566" w:footer="1474"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FangSong_GB2312">
    <w:altName w:val="仿宋_GB2312"/>
    <w:panose1 w:val="02010609030101010101"/>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_GBK">
    <w:altName w:val="DejaVu Math TeX Gyre"/>
    <w:panose1 w:val="00000000000000000000"/>
    <w:charset w:val="00"/>
    <w:family w:val="auto"/>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KaiTi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94FF8">
    <w:pPr>
      <w:spacing w:line="1" w:lineRule="atLeast"/>
    </w:pPr>
    <w:r>
      <w:rPr>
        <w:sz w:val="32"/>
      </w:rPr>
      <mc:AlternateContent>
        <mc:Choice Requires="wps">
          <w:drawing>
            <wp:anchor distT="0" distB="0" distL="114300" distR="114300" simplePos="0" relativeHeight="251664384" behindDoc="0" locked="0" layoutInCell="1" allowOverlap="1">
              <wp:simplePos x="0" y="0"/>
              <wp:positionH relativeFrom="margin">
                <wp:posOffset>2594610</wp:posOffset>
              </wp:positionH>
              <wp:positionV relativeFrom="paragraph">
                <wp:posOffset>-10160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0886CE">
                          <w:pPr>
                            <w:pStyle w:val="3"/>
                            <w:rPr>
                              <w:rFonts w:hint="eastAsia" w:asciiTheme="minorEastAsia" w:hAnsiTheme="minorEastAsia" w:eastAsiaTheme="minorEastAsia" w:cstheme="minorEastAsia"/>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4.3pt;margin-top:-0.8pt;height:144pt;width:144pt;mso-position-horizontal-relative:margin;mso-wrap-style:none;z-index:251664384;mso-width-relative:page;mso-height-relative:page;" filled="f" stroked="f" coordsize="21600,21600" o:gfxdata="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7473d1wAAAAoBAAAPAAAAAAAAAAEAIAAAACIAAABkcnMvZG93bnJldi54bWxQ&#10;SwECFAAUAAAACACHTuJAa4X5+zECAABhBAAADgAAAAAAAAABACAAAAAmAQAAZHJzL2Uyb0RvYy54&#10;bWxQSwUGAAAAAAYABgBZAQAAyQUAAAAA&#10;">
              <v:fill on="f" focussize="0,0"/>
              <v:stroke on="f" weight="0.5pt"/>
              <v:imagedata o:title=""/>
              <o:lock v:ext="edit" aspectratio="f"/>
              <v:textbox inset="0mm,0mm,0mm,0mm" style="mso-fit-shape-to-text:t;">
                <w:txbxContent>
                  <w:p w14:paraId="200886CE">
                    <w:pPr>
                      <w:pStyle w:val="3"/>
                      <w:rPr>
                        <w:rFonts w:hint="eastAsia" w:asciiTheme="minorEastAsia" w:hAnsiTheme="minorEastAsia" w:eastAsiaTheme="minorEastAsia" w:cstheme="minorEastAsia"/>
                        <w:sz w:val="28"/>
                        <w:szCs w:val="28"/>
                      </w:rPr>
                    </w:pPr>
                  </w:p>
                </w:txbxContent>
              </v:textbox>
            </v:shape>
          </w:pict>
        </mc:Fallback>
      </mc:AlternateContent>
    </w:r>
    <w: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5471795"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5E003E14">
                          <w:pPr>
                            <w:widowControl w:val="0"/>
                            <w:spacing w:line="439" w:lineRule="atLeast"/>
                            <w:jc w:val="right"/>
                            <w:rPr>
                              <w:rFonts w:hint="eastAsia"/>
                              <w:sz w:val="28"/>
                            </w:rPr>
                          </w:pP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3360;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UI+SnWAAAABAEAAA8AAAAAAAAAAQAgAAAAIgAAAGRycy9kb3ducmV2&#10;LnhtbFBLAQIUABQAAAAIAIdO4kAFhM7NxQEAAHsDAAAOAAAAAAAAAAEAIAAAACUBAABkcnMvZTJv&#10;RG9jLnhtbFBLBQYAAAAABgAGAFkBAABcBQAAAAA=&#10;">
              <v:fill on="f" focussize="0,0"/>
              <v:stroke on="f" weight="0.566929133858268pt"/>
              <v:imagedata o:title=""/>
              <o:lock v:ext="edit" aspectratio="f"/>
              <v:textbox inset="0mm,0mm,0mm,0mm">
                <w:txbxContent>
                  <w:p w14:paraId="5E003E14">
                    <w:pPr>
                      <w:widowControl w:val="0"/>
                      <w:spacing w:line="439" w:lineRule="atLeast"/>
                      <w:jc w:val="right"/>
                      <w:rPr>
                        <w:rFonts w:hint="eastAsia"/>
                        <w:sz w:val="28"/>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51E31">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3288C3DF">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3288C3DF">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23902F">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3648ECF5">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3648ECF5">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80ABF">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23F17C01">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23F17C01">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EB4E08"/>
    <w:multiLevelType w:val="singleLevel"/>
    <w:tmpl w:val="F5EB4E08"/>
    <w:lvl w:ilvl="0" w:tentative="0">
      <w:start w:val="1"/>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5D4603"/>
    <w:rsid w:val="00D9637F"/>
    <w:rsid w:val="00FE4338"/>
    <w:rsid w:val="022508DE"/>
    <w:rsid w:val="027A666A"/>
    <w:rsid w:val="02B26E88"/>
    <w:rsid w:val="057A3B2F"/>
    <w:rsid w:val="06135E8F"/>
    <w:rsid w:val="07A33243"/>
    <w:rsid w:val="07DD1DB1"/>
    <w:rsid w:val="08AB6F60"/>
    <w:rsid w:val="09242B63"/>
    <w:rsid w:val="0B79041E"/>
    <w:rsid w:val="0BB51E86"/>
    <w:rsid w:val="0BFA364D"/>
    <w:rsid w:val="0C813921"/>
    <w:rsid w:val="0D64615A"/>
    <w:rsid w:val="0D8A22A8"/>
    <w:rsid w:val="0D906017"/>
    <w:rsid w:val="0E195ADB"/>
    <w:rsid w:val="0F5F0397"/>
    <w:rsid w:val="108F3402"/>
    <w:rsid w:val="10CA7A92"/>
    <w:rsid w:val="12015736"/>
    <w:rsid w:val="12DB7D35"/>
    <w:rsid w:val="134D2F31"/>
    <w:rsid w:val="13531FC1"/>
    <w:rsid w:val="13FD3CDB"/>
    <w:rsid w:val="14427189"/>
    <w:rsid w:val="15213D69"/>
    <w:rsid w:val="15A40959"/>
    <w:rsid w:val="172F7E9F"/>
    <w:rsid w:val="17EC7A44"/>
    <w:rsid w:val="18647C7D"/>
    <w:rsid w:val="19A075E2"/>
    <w:rsid w:val="1AC7CB04"/>
    <w:rsid w:val="1B1F6DEE"/>
    <w:rsid w:val="1B4D3B04"/>
    <w:rsid w:val="1BA83CBF"/>
    <w:rsid w:val="1CAB69CA"/>
    <w:rsid w:val="1D7126C9"/>
    <w:rsid w:val="1E564C4E"/>
    <w:rsid w:val="1E7E1EBC"/>
    <w:rsid w:val="1F2FF017"/>
    <w:rsid w:val="1F578693"/>
    <w:rsid w:val="1F5A5839"/>
    <w:rsid w:val="1FBF0319"/>
    <w:rsid w:val="1FDE1689"/>
    <w:rsid w:val="20FB72B3"/>
    <w:rsid w:val="20FF1092"/>
    <w:rsid w:val="224A458F"/>
    <w:rsid w:val="227F3D22"/>
    <w:rsid w:val="23002C86"/>
    <w:rsid w:val="2367400B"/>
    <w:rsid w:val="252217F3"/>
    <w:rsid w:val="253416D6"/>
    <w:rsid w:val="253D8A0F"/>
    <w:rsid w:val="25FBA943"/>
    <w:rsid w:val="268A0303"/>
    <w:rsid w:val="274C6FFB"/>
    <w:rsid w:val="275B2D9A"/>
    <w:rsid w:val="27F3419F"/>
    <w:rsid w:val="28724840"/>
    <w:rsid w:val="28A349F9"/>
    <w:rsid w:val="28B41057"/>
    <w:rsid w:val="2922287F"/>
    <w:rsid w:val="294FB27F"/>
    <w:rsid w:val="296F6FD1"/>
    <w:rsid w:val="2A244EDE"/>
    <w:rsid w:val="2A666797"/>
    <w:rsid w:val="2A783C63"/>
    <w:rsid w:val="2B041349"/>
    <w:rsid w:val="2B162E29"/>
    <w:rsid w:val="2BFF15E0"/>
    <w:rsid w:val="2C416438"/>
    <w:rsid w:val="2C935267"/>
    <w:rsid w:val="2CD535EF"/>
    <w:rsid w:val="2DBE0B43"/>
    <w:rsid w:val="2DDCB953"/>
    <w:rsid w:val="2ED43FD4"/>
    <w:rsid w:val="2F9B28CE"/>
    <w:rsid w:val="2FFFC9A7"/>
    <w:rsid w:val="306C7DC6"/>
    <w:rsid w:val="327C4DBB"/>
    <w:rsid w:val="33FB514C"/>
    <w:rsid w:val="340920F5"/>
    <w:rsid w:val="34403D92"/>
    <w:rsid w:val="34F51D13"/>
    <w:rsid w:val="371422F1"/>
    <w:rsid w:val="37367E1B"/>
    <w:rsid w:val="38DB3D3B"/>
    <w:rsid w:val="390D66F3"/>
    <w:rsid w:val="395D0899"/>
    <w:rsid w:val="39DA600C"/>
    <w:rsid w:val="3A44036E"/>
    <w:rsid w:val="3B5B1ACD"/>
    <w:rsid w:val="3BC60A9D"/>
    <w:rsid w:val="3C1A7270"/>
    <w:rsid w:val="3C8F2D11"/>
    <w:rsid w:val="3CD6EEC9"/>
    <w:rsid w:val="3D375BF2"/>
    <w:rsid w:val="3E47FB1D"/>
    <w:rsid w:val="3E990920"/>
    <w:rsid w:val="3EB30AAA"/>
    <w:rsid w:val="3EB5188C"/>
    <w:rsid w:val="3F1A7BAE"/>
    <w:rsid w:val="3F237562"/>
    <w:rsid w:val="3F8E34A5"/>
    <w:rsid w:val="3FDE2B12"/>
    <w:rsid w:val="3FEB17F6"/>
    <w:rsid w:val="3FF53436"/>
    <w:rsid w:val="402A5650"/>
    <w:rsid w:val="42440BA3"/>
    <w:rsid w:val="429F792A"/>
    <w:rsid w:val="43754386"/>
    <w:rsid w:val="449A0075"/>
    <w:rsid w:val="44BF705C"/>
    <w:rsid w:val="44FD82B5"/>
    <w:rsid w:val="4588524B"/>
    <w:rsid w:val="476E14BB"/>
    <w:rsid w:val="47CA0235"/>
    <w:rsid w:val="47F5EBD9"/>
    <w:rsid w:val="485B747D"/>
    <w:rsid w:val="49311E92"/>
    <w:rsid w:val="493E1CA1"/>
    <w:rsid w:val="493E586F"/>
    <w:rsid w:val="49706E83"/>
    <w:rsid w:val="4AE20311"/>
    <w:rsid w:val="4BE3142D"/>
    <w:rsid w:val="4BF6D037"/>
    <w:rsid w:val="4BF76A89"/>
    <w:rsid w:val="4C0D20F5"/>
    <w:rsid w:val="4D1347BD"/>
    <w:rsid w:val="4F2F9A41"/>
    <w:rsid w:val="4F634A24"/>
    <w:rsid w:val="4FA15887"/>
    <w:rsid w:val="4FCFE5B0"/>
    <w:rsid w:val="4FDDF5EE"/>
    <w:rsid w:val="4FFB2E20"/>
    <w:rsid w:val="4FFBE0F3"/>
    <w:rsid w:val="51DC4954"/>
    <w:rsid w:val="524353A3"/>
    <w:rsid w:val="526359BE"/>
    <w:rsid w:val="52DD0729"/>
    <w:rsid w:val="539C4FEA"/>
    <w:rsid w:val="53CE651E"/>
    <w:rsid w:val="53FB18C1"/>
    <w:rsid w:val="54502B4E"/>
    <w:rsid w:val="55F840E4"/>
    <w:rsid w:val="565F3E59"/>
    <w:rsid w:val="569F41A2"/>
    <w:rsid w:val="56E75176"/>
    <w:rsid w:val="56FE009F"/>
    <w:rsid w:val="573963A5"/>
    <w:rsid w:val="57EC3417"/>
    <w:rsid w:val="57FDD9BA"/>
    <w:rsid w:val="585B62F1"/>
    <w:rsid w:val="5ABF613D"/>
    <w:rsid w:val="5C5A1297"/>
    <w:rsid w:val="5CDFC78A"/>
    <w:rsid w:val="5DFB65D6"/>
    <w:rsid w:val="5F2E07B9"/>
    <w:rsid w:val="5F5F21FF"/>
    <w:rsid w:val="5F77BD67"/>
    <w:rsid w:val="5F7D704B"/>
    <w:rsid w:val="5FB3CDE1"/>
    <w:rsid w:val="5FE30CBD"/>
    <w:rsid w:val="601B0D3D"/>
    <w:rsid w:val="623256AA"/>
    <w:rsid w:val="62BC0916"/>
    <w:rsid w:val="639B7BD6"/>
    <w:rsid w:val="63D71080"/>
    <w:rsid w:val="647E1E99"/>
    <w:rsid w:val="651B533C"/>
    <w:rsid w:val="665B420E"/>
    <w:rsid w:val="6674153C"/>
    <w:rsid w:val="677C7366"/>
    <w:rsid w:val="677F7E04"/>
    <w:rsid w:val="67BD3F9E"/>
    <w:rsid w:val="67FD2463"/>
    <w:rsid w:val="68FF0E6F"/>
    <w:rsid w:val="6A687275"/>
    <w:rsid w:val="6AFA5023"/>
    <w:rsid w:val="6B6F26A1"/>
    <w:rsid w:val="6B9C0353"/>
    <w:rsid w:val="6BEE3329"/>
    <w:rsid w:val="6BFDF7D8"/>
    <w:rsid w:val="6C025952"/>
    <w:rsid w:val="6CEF0BB5"/>
    <w:rsid w:val="6D26144E"/>
    <w:rsid w:val="6D96418D"/>
    <w:rsid w:val="6DEFF66C"/>
    <w:rsid w:val="6EA16E48"/>
    <w:rsid w:val="6EF8049C"/>
    <w:rsid w:val="6F9FCCA2"/>
    <w:rsid w:val="6FBFB198"/>
    <w:rsid w:val="6FBFCF44"/>
    <w:rsid w:val="6FD37122"/>
    <w:rsid w:val="71035A94"/>
    <w:rsid w:val="72F83160"/>
    <w:rsid w:val="733E0B1C"/>
    <w:rsid w:val="73FB8F7A"/>
    <w:rsid w:val="74962C31"/>
    <w:rsid w:val="757FF35B"/>
    <w:rsid w:val="758B689E"/>
    <w:rsid w:val="761402B1"/>
    <w:rsid w:val="76226B94"/>
    <w:rsid w:val="76BC6698"/>
    <w:rsid w:val="773F8DC5"/>
    <w:rsid w:val="777244FC"/>
    <w:rsid w:val="777FEEDD"/>
    <w:rsid w:val="77947590"/>
    <w:rsid w:val="779F93BF"/>
    <w:rsid w:val="77BFB2DF"/>
    <w:rsid w:val="77D62445"/>
    <w:rsid w:val="77EF50EB"/>
    <w:rsid w:val="77F740C6"/>
    <w:rsid w:val="791D56CF"/>
    <w:rsid w:val="79754E9F"/>
    <w:rsid w:val="79E74E84"/>
    <w:rsid w:val="7A8B0BA1"/>
    <w:rsid w:val="7A9F42A7"/>
    <w:rsid w:val="7AF20495"/>
    <w:rsid w:val="7B31E931"/>
    <w:rsid w:val="7B7DA536"/>
    <w:rsid w:val="7BF28304"/>
    <w:rsid w:val="7BFBD578"/>
    <w:rsid w:val="7BFD6D3F"/>
    <w:rsid w:val="7CFF7887"/>
    <w:rsid w:val="7D5F78C1"/>
    <w:rsid w:val="7D634AB7"/>
    <w:rsid w:val="7D7E12DA"/>
    <w:rsid w:val="7D983576"/>
    <w:rsid w:val="7DBBDB1D"/>
    <w:rsid w:val="7DC5315A"/>
    <w:rsid w:val="7DEC0221"/>
    <w:rsid w:val="7DF78C5C"/>
    <w:rsid w:val="7DFDBF70"/>
    <w:rsid w:val="7E6F240E"/>
    <w:rsid w:val="7ECF788C"/>
    <w:rsid w:val="7EE8E827"/>
    <w:rsid w:val="7EED55A5"/>
    <w:rsid w:val="7EEEE334"/>
    <w:rsid w:val="7EF7085B"/>
    <w:rsid w:val="7F3BD060"/>
    <w:rsid w:val="7F6BA90E"/>
    <w:rsid w:val="7F7D297D"/>
    <w:rsid w:val="7F7D4B43"/>
    <w:rsid w:val="7FAB95C0"/>
    <w:rsid w:val="7FAEB9F6"/>
    <w:rsid w:val="7FBF3861"/>
    <w:rsid w:val="7FBF96FE"/>
    <w:rsid w:val="7FC9A0F3"/>
    <w:rsid w:val="7FDF19E5"/>
    <w:rsid w:val="7FDF8641"/>
    <w:rsid w:val="7FEFAA2B"/>
    <w:rsid w:val="7FF7D1B2"/>
    <w:rsid w:val="7FF86792"/>
    <w:rsid w:val="7FFB66CA"/>
    <w:rsid w:val="7FFD30B5"/>
    <w:rsid w:val="7FFF28E3"/>
    <w:rsid w:val="7FFF309E"/>
    <w:rsid w:val="7FFFAB99"/>
    <w:rsid w:val="7FFFD837"/>
    <w:rsid w:val="897B4B3D"/>
    <w:rsid w:val="8FBDB79B"/>
    <w:rsid w:val="93FF24CE"/>
    <w:rsid w:val="9A4848C3"/>
    <w:rsid w:val="9C3F5738"/>
    <w:rsid w:val="9DF12117"/>
    <w:rsid w:val="A5F7A9AE"/>
    <w:rsid w:val="ABEE5341"/>
    <w:rsid w:val="ABFFF7D5"/>
    <w:rsid w:val="AC3FA2BA"/>
    <w:rsid w:val="ADFFE666"/>
    <w:rsid w:val="AF0DE260"/>
    <w:rsid w:val="AF1F7F6E"/>
    <w:rsid w:val="AF3F0D63"/>
    <w:rsid w:val="B2FF9F0F"/>
    <w:rsid w:val="B6FFB5B0"/>
    <w:rsid w:val="B7FD3370"/>
    <w:rsid w:val="BB9F8DE4"/>
    <w:rsid w:val="BBBE4E94"/>
    <w:rsid w:val="BC9F4B72"/>
    <w:rsid w:val="BDFE6AB4"/>
    <w:rsid w:val="BF4C3C8D"/>
    <w:rsid w:val="BF7E25C2"/>
    <w:rsid w:val="BFB66ED3"/>
    <w:rsid w:val="BFDD503A"/>
    <w:rsid w:val="BFFDCB4F"/>
    <w:rsid w:val="C56C77CB"/>
    <w:rsid w:val="C5F2F9BE"/>
    <w:rsid w:val="C6FC4CD0"/>
    <w:rsid w:val="C6FDB2D1"/>
    <w:rsid w:val="C77B31C3"/>
    <w:rsid w:val="CB5736E5"/>
    <w:rsid w:val="CBF35ACF"/>
    <w:rsid w:val="CDF786C6"/>
    <w:rsid w:val="D3AB412E"/>
    <w:rsid w:val="D3FB8036"/>
    <w:rsid w:val="D53B4355"/>
    <w:rsid w:val="D7FF2EE5"/>
    <w:rsid w:val="DABEE28D"/>
    <w:rsid w:val="DBB7EC3C"/>
    <w:rsid w:val="DBDEA60F"/>
    <w:rsid w:val="DBFF7843"/>
    <w:rsid w:val="DDFF5532"/>
    <w:rsid w:val="DEBF4056"/>
    <w:rsid w:val="DEF6D8F4"/>
    <w:rsid w:val="DF7797A7"/>
    <w:rsid w:val="DF7BB42C"/>
    <w:rsid w:val="DF8F2448"/>
    <w:rsid w:val="DFEF4B05"/>
    <w:rsid w:val="DFFAA832"/>
    <w:rsid w:val="E1BD40EC"/>
    <w:rsid w:val="E76EE975"/>
    <w:rsid w:val="E77FB84E"/>
    <w:rsid w:val="E7B6D9B0"/>
    <w:rsid w:val="E7F3FB23"/>
    <w:rsid w:val="E9E780C0"/>
    <w:rsid w:val="EB331DEC"/>
    <w:rsid w:val="EBBB5C8B"/>
    <w:rsid w:val="EBDBC23C"/>
    <w:rsid w:val="EC6FFCE4"/>
    <w:rsid w:val="EDDF40AD"/>
    <w:rsid w:val="EEEF4FD2"/>
    <w:rsid w:val="EEFEA47F"/>
    <w:rsid w:val="EF57D666"/>
    <w:rsid w:val="EF6A62D1"/>
    <w:rsid w:val="EFE74D85"/>
    <w:rsid w:val="EFFA6C98"/>
    <w:rsid w:val="EFFBF659"/>
    <w:rsid w:val="F1B66B73"/>
    <w:rsid w:val="F27BB2DE"/>
    <w:rsid w:val="F2F6F815"/>
    <w:rsid w:val="F3FBBC3D"/>
    <w:rsid w:val="F77B0189"/>
    <w:rsid w:val="F77FDEC8"/>
    <w:rsid w:val="F79F4DF5"/>
    <w:rsid w:val="F7FC78B6"/>
    <w:rsid w:val="F7FF8A6F"/>
    <w:rsid w:val="F9B7A365"/>
    <w:rsid w:val="F9FDA610"/>
    <w:rsid w:val="FAE6E79D"/>
    <w:rsid w:val="FAFD258F"/>
    <w:rsid w:val="FB774621"/>
    <w:rsid w:val="FBBD7C70"/>
    <w:rsid w:val="FBDFDCD8"/>
    <w:rsid w:val="FBED9DB9"/>
    <w:rsid w:val="FBFD176F"/>
    <w:rsid w:val="FD77F19D"/>
    <w:rsid w:val="FD7D0B2C"/>
    <w:rsid w:val="FDBFAAEB"/>
    <w:rsid w:val="FDFACCB6"/>
    <w:rsid w:val="FDFFB57B"/>
    <w:rsid w:val="FDFFE89B"/>
    <w:rsid w:val="FE3E1D92"/>
    <w:rsid w:val="FE7ECFD2"/>
    <w:rsid w:val="FEBB9681"/>
    <w:rsid w:val="FEEB37BD"/>
    <w:rsid w:val="FEEFF743"/>
    <w:rsid w:val="FEF5A2DC"/>
    <w:rsid w:val="FEFE4C8E"/>
    <w:rsid w:val="FEFFE419"/>
    <w:rsid w:val="FF593415"/>
    <w:rsid w:val="FF5F2649"/>
    <w:rsid w:val="FF77193D"/>
    <w:rsid w:val="FF77C7F0"/>
    <w:rsid w:val="FF7E4B8A"/>
    <w:rsid w:val="FF7FB7F5"/>
    <w:rsid w:val="FFBAAAE0"/>
    <w:rsid w:val="FFBB529F"/>
    <w:rsid w:val="FFBFB584"/>
    <w:rsid w:val="FFCF6008"/>
    <w:rsid w:val="FFCFAF0B"/>
    <w:rsid w:val="FFD77A67"/>
    <w:rsid w:val="FFE7140D"/>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Times New Roman"/>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仿宋_GB2312" w:cs="仿宋"/>
      <w:szCs w:val="20"/>
      <w:lang w:eastAsia="en-US"/>
    </w:rPr>
  </w:style>
  <w:style w:type="paragraph" w:styleId="5">
    <w:name w:val="Normal (Web)"/>
    <w:basedOn w:val="1"/>
    <w:qFormat/>
    <w:uiPriority w:val="0"/>
    <w:rPr>
      <w:sz w:val="24"/>
    </w:rPr>
  </w:style>
  <w:style w:type="paragraph" w:customStyle="1" w:styleId="8">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customStyle="1" w:styleId="9">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2349</Words>
  <Characters>2532</Characters>
  <Lines>1</Lines>
  <Paragraphs>1</Paragraphs>
  <TotalTime>1</TotalTime>
  <ScaleCrop>false</ScaleCrop>
  <LinksUpToDate>false</LinksUpToDate>
  <CharactersWithSpaces>2597</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2023-03-08T17:58:00Z</dcterms:created>
  <dc:creator>冯春有</dc:creator>
  <cp:lastModifiedBy>小可爱1999。</cp:lastModifiedBy>
  <cp:lastPrinted>2026-05-07T10:35:00Z</cp:lastPrinted>
  <dcterms:modified xsi:type="dcterms:W3CDTF">2026-05-08T03:13:21Z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0082B729189A4A0398EFB2D023BC8A12</vt:lpwstr>
  </property>
  <property fmtid="{D5CDD505-2E9C-101B-9397-08002B2CF9AE}" pid="4" name="KSOTemplateDocerSaveRecord">
    <vt:lpwstr>eyJoZGlkIjoiZTQyN2M1M2U3YjFhNzg3ZTlhZGQwMGM5ODcyZDJlZWIiLCJ1c2VySWQiOiI0MTgxMzM4MDgifQ==</vt:lpwstr>
  </property>
</Properties>
</file>