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pacing w:line="540" w:lineRule="exact"/>
        <w:ind w:left="0" w:leftChars="0" w:right="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法治建设工作情况的报告</w:t>
      </w:r>
      <w:bookmarkStart w:id="0" w:name="_GoBack"/>
      <w:bookmarkEnd w:id="0"/>
    </w:p>
    <w:p>
      <w:pPr>
        <w:pStyle w:val="5"/>
        <w:widowControl w:val="0"/>
        <w:wordWrap/>
        <w:adjustRightInd/>
        <w:spacing w:line="540" w:lineRule="exact"/>
        <w:ind w:left="0" w:leftChars="0" w:right="0" w:firstLine="0" w:firstLineChars="0"/>
        <w:textAlignment w:val="auto"/>
        <w:rPr>
          <w:rFonts w:hint="eastAsia" w:ascii="Times New Roman" w:hAnsi="Times New Roman" w:eastAsia="仿宋_GB2312" w:cs="Times New Roman"/>
          <w:szCs w:val="32"/>
          <w:lang w:val="en-US" w:eastAsia="zh-CN"/>
        </w:rPr>
      </w:pPr>
    </w:p>
    <w:p>
      <w:pPr>
        <w:widowControl w:val="0"/>
        <w:wordWrap/>
        <w:adjustRightInd/>
        <w:snapToGrid/>
        <w:spacing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我局深入贯彻落实习近平生态文明思想和习近平法治思想，紧密围绕生态环境保护中心工作，全面推进法治建设，为打赢污染防治攻坚战、建设美丽家园提供了坚实的法治保障。现将我局2024年法治政府建设工作情况报告如下：</w:t>
      </w:r>
    </w:p>
    <w:p>
      <w:pPr>
        <w:widowControl w:val="0"/>
        <w:wordWrap/>
        <w:adjustRightInd/>
        <w:snapToGrid/>
        <w:spacing w:line="560" w:lineRule="exact"/>
        <w:ind w:left="0" w:leftChars="0" w:right="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一、工作概况</w:t>
      </w:r>
    </w:p>
    <w:p>
      <w:pPr>
        <w:widowControl w:val="0"/>
        <w:wordWrap/>
        <w:adjustRightInd/>
        <w:snapToGrid/>
        <w:spacing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焦作市生态环境系统深入贯彻法治政府建设要求，将法治理念贯穿于生态环境保护的全领域与全过程。从完善法规制度体系，到严格环境执法监管；从推进环境司法联动，到深化环境法治宣传教育，多维度、全方位地推进法治政府建设工作，为生态环境的持续改善提供坚实的法治保障。</w:t>
      </w:r>
    </w:p>
    <w:p>
      <w:pPr>
        <w:pStyle w:val="5"/>
        <w:widowControl w:val="0"/>
        <w:wordWrap/>
        <w:adjustRightInd/>
        <w:snapToGrid/>
        <w:spacing w:line="560" w:lineRule="exact"/>
        <w:ind w:left="0" w:leftChars="0" w:right="0" w:firstLine="640"/>
        <w:textAlignment w:val="auto"/>
        <w:outlineLvl w:val="9"/>
        <w:rPr>
          <w:rFonts w:eastAsia="黑体"/>
          <w:szCs w:val="32"/>
        </w:rPr>
      </w:pPr>
      <w:r>
        <w:rPr>
          <w:rFonts w:eastAsia="黑体"/>
          <w:szCs w:val="32"/>
        </w:rPr>
        <w:t>二、</w:t>
      </w:r>
      <w:r>
        <w:rPr>
          <w:rFonts w:hint="eastAsia" w:eastAsia="黑体"/>
          <w:szCs w:val="32"/>
        </w:rPr>
        <w:t>2</w:t>
      </w:r>
      <w:r>
        <w:rPr>
          <w:rFonts w:eastAsia="黑体"/>
          <w:szCs w:val="32"/>
        </w:rPr>
        <w:t>02</w:t>
      </w:r>
      <w:r>
        <w:rPr>
          <w:rFonts w:hint="eastAsia" w:eastAsia="黑体"/>
          <w:szCs w:val="32"/>
          <w:lang w:val="en-US" w:eastAsia="zh-CN"/>
        </w:rPr>
        <w:t>4</w:t>
      </w:r>
      <w:r>
        <w:rPr>
          <w:rFonts w:hint="eastAsia" w:eastAsia="黑体"/>
          <w:szCs w:val="32"/>
        </w:rPr>
        <w:t>年</w:t>
      </w:r>
      <w:r>
        <w:rPr>
          <w:rFonts w:eastAsia="黑体"/>
          <w:szCs w:val="32"/>
        </w:rPr>
        <w:t>主要工作进展情况</w:t>
      </w:r>
    </w:p>
    <w:p>
      <w:pPr>
        <w:pStyle w:val="6"/>
        <w:widowControl w:val="0"/>
        <w:wordWrap/>
        <w:adjustRightInd/>
        <w:snapToGrid/>
        <w:spacing w:after="0" w:line="560" w:lineRule="exact"/>
        <w:ind w:left="0" w:leftChars="0" w:right="0" w:firstLine="640" w:firstLineChars="200"/>
        <w:jc w:val="both"/>
        <w:textAlignment w:val="auto"/>
        <w:outlineLvl w:val="9"/>
        <w:rPr>
          <w:rFonts w:eastAsia="黑体"/>
          <w:szCs w:val="32"/>
        </w:rPr>
      </w:pPr>
      <w:r>
        <w:rPr>
          <w:rFonts w:hint="default" w:ascii="Times New Roman" w:hAnsi="Times New Roman" w:eastAsia="楷体_GB2312" w:cs="Times New Roman"/>
          <w:sz w:val="32"/>
          <w:szCs w:val="32"/>
          <w:lang w:val="en-US" w:eastAsia="zh-CN"/>
        </w:rPr>
        <w:t>（一）加强组织领导，统筹推进法治建设</w:t>
      </w:r>
      <w:r>
        <w:rPr>
          <w:rFonts w:hint="eastAsia" w:eastAsia="楷体_GB2312" w:cs="Times New Roman"/>
          <w:sz w:val="32"/>
          <w:szCs w:val="32"/>
          <w:lang w:val="en-US" w:eastAsia="zh-CN"/>
        </w:rPr>
        <w:t>。</w:t>
      </w:r>
      <w:r>
        <w:rPr>
          <w:rFonts w:hint="eastAsia" w:ascii="仿宋_GB2312" w:hAnsi="仿宋_GB2312" w:eastAsia="仿宋_GB2312" w:cs="仿宋_GB2312"/>
          <w:color w:val="auto"/>
          <w:kern w:val="0"/>
          <w:sz w:val="32"/>
          <w:szCs w:val="32"/>
          <w:lang w:val="en-US" w:eastAsia="zh-CN" w:bidi="ar-SA"/>
        </w:rPr>
        <w:t>切实履行法治建设第一责任人职责，将法治建设纳入生态环境工作全局，与生态环境保护业务工作同部署、同推进、同督促、同考核。成立了以局长为组长的法治建设工作领导小组，明确了领导小组及其办公室的职责，定期召开会议研究解决法治建设中的重大问题。制定了《焦作市生态环境系统2024年度法治政府建设工作安排》，明确了全年法治建设的目标任务、工作重点和责任分工，确保法治建设工作有序推进。</w:t>
      </w:r>
    </w:p>
    <w:p>
      <w:pPr>
        <w:pStyle w:val="6"/>
        <w:widowControl w:val="0"/>
        <w:wordWrap/>
        <w:adjustRightInd/>
        <w:snapToGrid/>
        <w:spacing w:after="0"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default" w:ascii="Times New Roman" w:hAnsi="Times New Roman" w:eastAsia="楷体_GB2312" w:cs="Times New Roman"/>
          <w:sz w:val="32"/>
          <w:szCs w:val="32"/>
          <w:lang w:val="en-US" w:eastAsia="zh-CN"/>
        </w:rPr>
        <w:t>（</w:t>
      </w:r>
      <w:r>
        <w:rPr>
          <w:rFonts w:hint="eastAsia" w:eastAsia="楷体_GB2312" w:cs="Times New Roman"/>
          <w:sz w:val="32"/>
          <w:szCs w:val="32"/>
          <w:lang w:val="en-US" w:eastAsia="zh-CN"/>
        </w:rPr>
        <w:t>二</w:t>
      </w:r>
      <w:r>
        <w:rPr>
          <w:rFonts w:hint="default" w:ascii="Times New Roman" w:hAnsi="Times New Roman" w:eastAsia="楷体_GB2312" w:cs="Times New Roman"/>
          <w:sz w:val="32"/>
          <w:szCs w:val="32"/>
          <w:lang w:val="en-US" w:eastAsia="zh-CN"/>
        </w:rPr>
        <w:t>）强化理论武装，提升法治素养</w:t>
      </w:r>
      <w:r>
        <w:rPr>
          <w:rFonts w:hint="eastAsia" w:eastAsia="楷体_GB2312" w:cs="Times New Roman"/>
          <w:sz w:val="32"/>
          <w:szCs w:val="32"/>
          <w:lang w:val="en-US" w:eastAsia="zh-CN"/>
        </w:rPr>
        <w:t>。</w:t>
      </w:r>
      <w:r>
        <w:rPr>
          <w:rFonts w:hint="eastAsia" w:ascii="仿宋_GB2312" w:hAnsi="仿宋_GB2312" w:eastAsia="仿宋_GB2312" w:cs="仿宋_GB2312"/>
          <w:color w:val="auto"/>
          <w:kern w:val="0"/>
          <w:sz w:val="32"/>
          <w:szCs w:val="32"/>
          <w:lang w:val="en-US" w:eastAsia="zh-CN" w:bidi="ar-SA"/>
        </w:rPr>
        <w:t>将学习习近平法治思想作为重要政治任务，通过局党组理论学习中心组学习、专题讲座、个人自学等多种形式，深入学习领会习近平法治思想的核心要义、精神实质、丰富内涵和实践要求。2024年在局党组理论学习中心组学习上集体学习习近平法治思想相关内容4次，举办专题讲座2场，深刻领悟“十一个坚持”，切实增强法治意识、法治思维和依法办事能力，自觉做习近平法治思想的坚定信仰者、积极传播者、模范实践者。</w:t>
      </w:r>
    </w:p>
    <w:p>
      <w:pPr>
        <w:pStyle w:val="6"/>
        <w:widowControl w:val="0"/>
        <w:wordWrap/>
        <w:adjustRightInd/>
        <w:snapToGrid/>
        <w:spacing w:after="0" w:line="560" w:lineRule="exact"/>
        <w:ind w:left="0" w:leftChars="0" w:right="0" w:firstLine="640" w:firstLineChars="200"/>
        <w:jc w:val="both"/>
        <w:textAlignment w:val="auto"/>
        <w:outlineLvl w:val="9"/>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楷体_GB2312" w:cs="Times New Roman"/>
          <w:sz w:val="32"/>
          <w:szCs w:val="32"/>
          <w:lang w:val="en-US" w:eastAsia="zh-CN"/>
        </w:rPr>
        <w:t>（</w:t>
      </w:r>
      <w:r>
        <w:rPr>
          <w:rFonts w:hint="eastAsia" w:eastAsia="楷体_GB2312" w:cs="Times New Roman"/>
          <w:sz w:val="32"/>
          <w:szCs w:val="32"/>
          <w:lang w:val="en-US" w:eastAsia="zh-CN"/>
        </w:rPr>
        <w:t>三</w:t>
      </w:r>
      <w:r>
        <w:rPr>
          <w:rFonts w:hint="default" w:ascii="Times New Roman" w:hAnsi="Times New Roman" w:eastAsia="楷体_GB2312" w:cs="Times New Roman"/>
          <w:sz w:val="32"/>
          <w:szCs w:val="32"/>
          <w:lang w:val="en-US" w:eastAsia="zh-CN"/>
        </w:rPr>
        <w:t>）注重学用结合，推动工作落实</w:t>
      </w:r>
      <w:r>
        <w:rPr>
          <w:rFonts w:hint="eastAsia" w:eastAsia="楷体_GB2312" w:cs="Times New Roman"/>
          <w:sz w:val="32"/>
          <w:szCs w:val="32"/>
          <w:lang w:val="en-US" w:eastAsia="zh-CN"/>
        </w:rPr>
        <w:t>。</w:t>
      </w:r>
      <w:r>
        <w:rPr>
          <w:rFonts w:hint="default" w:ascii="Times New Roman" w:hAnsi="Times New Roman" w:eastAsia="仿宋_GB2312" w:cs="Times New Roman"/>
          <w:color w:val="auto"/>
          <w:kern w:val="0"/>
          <w:sz w:val="32"/>
          <w:szCs w:val="32"/>
          <w:lang w:val="en-US" w:eastAsia="zh-CN" w:bidi="ar-SA"/>
        </w:rPr>
        <w:t>坚持把习近平法治思想贯穿到生态环境工作的全过程</w:t>
      </w:r>
      <w:r>
        <w:rPr>
          <w:rFonts w:hint="eastAsia" w:ascii="Times New Roman" w:hAnsi="Times New Roman" w:eastAsia="仿宋_GB2312" w:cs="Times New Roman"/>
          <w:color w:val="auto"/>
          <w:kern w:val="0"/>
          <w:sz w:val="32"/>
          <w:szCs w:val="32"/>
          <w:lang w:val="en-US" w:eastAsia="zh-CN" w:bidi="ar-SA"/>
        </w:rPr>
        <w:t>、</w:t>
      </w:r>
      <w:r>
        <w:rPr>
          <w:rFonts w:hint="default" w:ascii="Times New Roman" w:hAnsi="Times New Roman" w:eastAsia="仿宋_GB2312" w:cs="Times New Roman"/>
          <w:color w:val="auto"/>
          <w:kern w:val="0"/>
          <w:sz w:val="32"/>
          <w:szCs w:val="32"/>
          <w:lang w:val="en-US" w:eastAsia="zh-CN" w:bidi="ar-SA"/>
        </w:rPr>
        <w:t>各方面，以法治理念、法治思维和法治手段推动生态环境保护各项任务落地见效。在环境执法监管中，严格按照法律法规和法定程序开展执法活动，依法查处各类环境违法行为，维护生态环境法律法规的权威性和严肃性。在环境行政审批中，坚持依法依规审批，优化审批流程，提高审批效率，为企业提供优质高效的服务。在生态环境损害赔偿工作中，依据相关法律法规，积极推动生态环境损害赔偿案件办理，切实维护生态环境公共利益。</w:t>
      </w:r>
    </w:p>
    <w:p>
      <w:pPr>
        <w:pStyle w:val="6"/>
        <w:widowControl w:val="0"/>
        <w:wordWrap/>
        <w:adjustRightInd/>
        <w:snapToGrid/>
        <w:spacing w:after="0" w:line="560" w:lineRule="exact"/>
        <w:ind w:left="0" w:leftChars="0" w:right="0" w:firstLine="640" w:firstLineChars="200"/>
        <w:jc w:val="both"/>
        <w:textAlignment w:val="auto"/>
        <w:outlineLvl w:val="9"/>
        <w:rPr>
          <w:rFonts w:hint="eastAsia" w:ascii="仿宋_GB2312" w:hAnsi="仿宋_GB2312" w:eastAsia="仿宋_GB2312" w:cs="仿宋_GB2312"/>
          <w:color w:val="auto"/>
          <w:kern w:val="0"/>
          <w:sz w:val="32"/>
          <w:szCs w:val="32"/>
          <w:lang w:val="en-US" w:eastAsia="zh-CN" w:bidi="ar-SA"/>
        </w:rPr>
      </w:pPr>
      <w:r>
        <w:rPr>
          <w:rFonts w:hint="default" w:ascii="Times New Roman" w:hAnsi="Times New Roman" w:eastAsia="楷体_GB2312" w:cs="Times New Roman"/>
          <w:sz w:val="32"/>
          <w:szCs w:val="32"/>
          <w:lang w:val="en-US" w:eastAsia="zh-CN"/>
        </w:rPr>
        <w:t>（</w:t>
      </w:r>
      <w:r>
        <w:rPr>
          <w:rFonts w:hint="eastAsia" w:eastAsia="楷体_GB2312" w:cs="Times New Roman"/>
          <w:sz w:val="32"/>
          <w:szCs w:val="32"/>
          <w:lang w:val="en-US" w:eastAsia="zh-CN"/>
        </w:rPr>
        <w:t>四</w:t>
      </w:r>
      <w:r>
        <w:rPr>
          <w:rFonts w:hint="default" w:ascii="Times New Roman" w:hAnsi="Times New Roman" w:eastAsia="楷体_GB2312" w:cs="Times New Roman"/>
          <w:sz w:val="32"/>
          <w:szCs w:val="32"/>
          <w:lang w:val="en-US" w:eastAsia="zh-CN"/>
        </w:rPr>
        <w:t>）严格依法行政，提高执法效能</w:t>
      </w:r>
      <w:r>
        <w:rPr>
          <w:rFonts w:hint="eastAsia" w:eastAsia="楷体_GB2312" w:cs="Times New Roman"/>
          <w:sz w:val="32"/>
          <w:szCs w:val="32"/>
          <w:lang w:val="en-US" w:eastAsia="zh-CN"/>
        </w:rPr>
        <w:t>。</w:t>
      </w:r>
      <w:r>
        <w:rPr>
          <w:rFonts w:hint="eastAsia" w:ascii="仿宋_GB2312" w:hAnsi="仿宋_GB2312" w:eastAsia="仿宋_GB2312" w:cs="仿宋_GB2312"/>
          <w:color w:val="auto"/>
          <w:kern w:val="0"/>
          <w:sz w:val="32"/>
          <w:szCs w:val="32"/>
          <w:lang w:val="en-US" w:eastAsia="zh-CN" w:bidi="ar-SA"/>
        </w:rPr>
        <w:t>加强生态环境执法队伍建设，组织开展执法人员业务培训和岗位练兵活动，全年共培训执法人员500余人次，有效提升了执法人员的业务水平和执法能力。加大环境执法力度，严厉打击各类环境违法行为，今年全市共出动执法人员约1.8万人次，检查企业约1.3万家次，下达处罚决定466起，罚款金额约1629万元，与2023年同期相比，行政处罚案件数上升123%（多出257件），罚款金额上升55%（多出约581万元）。办理查封扣押9起，移送公安机关涉刑案件15起、行政拘留3起。其中，市本级共出动环境执法人员约0.6万人次，检查企业0.3万家次，下达处罚决定49起，罚款448万余元，办理查封扣押案件2起。加强行政执法监督，定期开展行政执法案卷评查工作，对发现的问题及时进行整改，不断提高行政执法质量。</w:t>
      </w:r>
    </w:p>
    <w:p>
      <w:pPr>
        <w:pStyle w:val="6"/>
        <w:widowControl w:val="0"/>
        <w:wordWrap/>
        <w:adjustRightInd/>
        <w:snapToGrid/>
        <w:spacing w:after="0" w:line="560" w:lineRule="exact"/>
        <w:ind w:left="0" w:leftChars="0" w:right="0" w:firstLine="640" w:firstLineChars="200"/>
        <w:jc w:val="both"/>
        <w:textAlignment w:val="auto"/>
        <w:outlineLvl w:val="9"/>
        <w:rPr>
          <w:rFonts w:hint="eastAsia" w:ascii="仿宋_GB2312" w:hAnsi="仿宋_GB2312" w:eastAsia="仿宋_GB2312" w:cs="仿宋_GB2312"/>
          <w:color w:val="auto"/>
          <w:kern w:val="0"/>
          <w:sz w:val="32"/>
          <w:szCs w:val="32"/>
          <w:lang w:val="en-US" w:eastAsia="zh-CN" w:bidi="ar-SA"/>
        </w:rPr>
      </w:pPr>
      <w:r>
        <w:rPr>
          <w:rFonts w:hint="default" w:ascii="Times New Roman" w:hAnsi="Times New Roman" w:eastAsia="楷体_GB2312" w:cs="Times New Roman"/>
          <w:sz w:val="32"/>
          <w:szCs w:val="32"/>
          <w:lang w:val="en-US" w:eastAsia="zh-CN"/>
        </w:rPr>
        <w:t>（</w:t>
      </w:r>
      <w:r>
        <w:rPr>
          <w:rFonts w:hint="eastAsia" w:ascii="Times New Roman" w:hAnsi="Times New Roman" w:eastAsia="楷体_GB2312" w:cs="Times New Roman"/>
          <w:sz w:val="32"/>
          <w:szCs w:val="32"/>
          <w:lang w:val="en-US" w:eastAsia="zh-CN"/>
        </w:rPr>
        <w:t>五</w:t>
      </w:r>
      <w:r>
        <w:rPr>
          <w:rFonts w:hint="default" w:ascii="Times New Roman" w:hAnsi="Times New Roman" w:eastAsia="楷体_GB2312" w:cs="Times New Roman"/>
          <w:sz w:val="32"/>
          <w:szCs w:val="32"/>
          <w:lang w:val="en-US" w:eastAsia="zh-CN"/>
        </w:rPr>
        <w:t>）加强法治宣传，营造良好氛围</w:t>
      </w:r>
      <w:r>
        <w:rPr>
          <w:rFonts w:hint="eastAsia" w:eastAsia="楷体_GB2312" w:cs="Times New Roman"/>
          <w:sz w:val="32"/>
          <w:szCs w:val="32"/>
          <w:lang w:val="en-US" w:eastAsia="zh-CN"/>
        </w:rPr>
        <w:t>。</w:t>
      </w:r>
      <w:r>
        <w:rPr>
          <w:rFonts w:hint="eastAsia" w:ascii="仿宋_GB2312" w:hAnsi="仿宋_GB2312" w:eastAsia="仿宋_GB2312" w:cs="仿宋_GB2312"/>
          <w:color w:val="auto"/>
          <w:kern w:val="0"/>
          <w:sz w:val="32"/>
          <w:szCs w:val="32"/>
          <w:lang w:val="en-US" w:eastAsia="zh-CN" w:bidi="ar-SA"/>
        </w:rPr>
        <w:t>根据《焦作市生态环境系统法治宣传教育第八个五年规划（2021－2025年）》《焦作市生态环境局贯彻落实“谁执法谁普法”普法责任制实施办法》要求，明确了普法工作目标、任务和措施，将普法工作责任分解到各科室、单位，形成了分工负责、各司其职的普法工作格局。在环境执法监管过程中，加强对企业的普法宣传教育，通过发放宣传资料、现场讲解法律法规等方式，向企业宣传生态环境法律法规和政策要求，提高企业的环保法律意识和守法自觉性。充分利用“六五”环境日、12.4宪法宣传日等重要时间节点，组织开展形式多样的法治宣传活动。举办了“六五”环境日主题宣传活动，通过环保知识展览、环保志愿者服务等形式，向社会公众宣传生态环境保护法律法规和科普知识，营造了全社会关心支持生态环境保护的良好氛围。开展了宪法宣传周活动，组织全局干部职工学习宪法知识，参加宪法宣誓仪式，增强宪法意识和法治观念。</w:t>
      </w:r>
    </w:p>
    <w:p>
      <w:pPr>
        <w:widowControl w:val="0"/>
        <w:wordWrap/>
        <w:adjustRightInd/>
        <w:snapToGrid/>
        <w:spacing w:line="560" w:lineRule="exact"/>
        <w:ind w:right="0" w:firstLine="640" w:firstLineChars="200"/>
        <w:textAlignment w:val="auto"/>
        <w:outlineLvl w:val="9"/>
        <w:rPr>
          <w:rFonts w:eastAsia="黑体"/>
          <w:bCs/>
          <w:sz w:val="32"/>
          <w:szCs w:val="32"/>
        </w:rPr>
      </w:pPr>
      <w:r>
        <w:rPr>
          <w:rFonts w:hint="eastAsia" w:eastAsia="黑体"/>
          <w:bCs/>
          <w:sz w:val="32"/>
          <w:szCs w:val="32"/>
          <w:lang w:eastAsia="zh-CN"/>
        </w:rPr>
        <w:t>三</w:t>
      </w:r>
      <w:r>
        <w:rPr>
          <w:rFonts w:eastAsia="黑体"/>
          <w:bCs/>
          <w:sz w:val="32"/>
          <w:szCs w:val="32"/>
        </w:rPr>
        <w:t>、存在的主要问题</w:t>
      </w:r>
    </w:p>
    <w:p>
      <w:pPr>
        <w:pStyle w:val="6"/>
        <w:widowControl w:val="0"/>
        <w:wordWrap/>
        <w:adjustRightInd/>
        <w:snapToGrid/>
        <w:spacing w:after="0" w:line="560" w:lineRule="exact"/>
        <w:ind w:left="0" w:leftChars="0" w:right="0" w:firstLine="640" w:firstLineChars="200"/>
        <w:jc w:val="both"/>
        <w:textAlignment w:val="auto"/>
        <w:outlineLvl w:val="9"/>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楷体_GB2312" w:cs="Times New Roman"/>
          <w:sz w:val="32"/>
          <w:szCs w:val="32"/>
          <w:highlight w:val="none"/>
          <w:lang w:val="en-US" w:eastAsia="zh-CN"/>
        </w:rPr>
        <w:t>（一）法治意识仍需进一步提高</w:t>
      </w:r>
      <w:r>
        <w:rPr>
          <w:rFonts w:hint="eastAsia" w:eastAsia="楷体_GB2312" w:cs="Times New Roman"/>
          <w:sz w:val="32"/>
          <w:szCs w:val="32"/>
          <w:highlight w:val="none"/>
          <w:lang w:val="en-US" w:eastAsia="zh-CN"/>
        </w:rPr>
        <w:t>。</w:t>
      </w:r>
      <w:r>
        <w:rPr>
          <w:rFonts w:hint="default" w:ascii="Times New Roman" w:hAnsi="Times New Roman" w:eastAsia="仿宋_GB2312" w:cs="Times New Roman"/>
          <w:color w:val="auto"/>
          <w:kern w:val="0"/>
          <w:sz w:val="32"/>
          <w:szCs w:val="32"/>
          <w:lang w:val="en-US" w:eastAsia="zh-CN" w:bidi="ar-SA"/>
        </w:rPr>
        <w:t>部分干部职工对习近平法治思想的学习还不够深入系统，法治意识和法治思维还不够强，在工作中运用法治思维和法治方式解决问题的能力还有待进一步提升。</w:t>
      </w:r>
    </w:p>
    <w:p>
      <w:pPr>
        <w:pStyle w:val="6"/>
        <w:widowControl w:val="0"/>
        <w:wordWrap/>
        <w:adjustRightInd/>
        <w:snapToGrid/>
        <w:spacing w:after="0" w:line="560" w:lineRule="exact"/>
        <w:ind w:left="0" w:leftChars="0" w:right="0" w:firstLine="640" w:firstLineChars="200"/>
        <w:jc w:val="both"/>
        <w:textAlignment w:val="auto"/>
        <w:outlineLvl w:val="9"/>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楷体_GB2312" w:cs="Times New Roman"/>
          <w:sz w:val="32"/>
          <w:szCs w:val="32"/>
          <w:highlight w:val="none"/>
          <w:lang w:val="en-US" w:eastAsia="zh-CN"/>
        </w:rPr>
        <w:t>（二）行政执法规范化水平有待提升</w:t>
      </w:r>
      <w:r>
        <w:rPr>
          <w:rFonts w:hint="eastAsia" w:eastAsia="楷体_GB2312" w:cs="Times New Roman"/>
          <w:sz w:val="32"/>
          <w:szCs w:val="32"/>
          <w:highlight w:val="none"/>
          <w:lang w:val="en-US" w:eastAsia="zh-CN"/>
        </w:rPr>
        <w:t>。</w:t>
      </w:r>
      <w:r>
        <w:rPr>
          <w:rFonts w:hint="default" w:ascii="Times New Roman" w:hAnsi="Times New Roman" w:eastAsia="仿宋_GB2312" w:cs="Times New Roman"/>
          <w:color w:val="auto"/>
          <w:kern w:val="0"/>
          <w:sz w:val="32"/>
          <w:szCs w:val="32"/>
          <w:lang w:val="en-US" w:eastAsia="zh-CN" w:bidi="ar-SA"/>
        </w:rPr>
        <w:t>虽然制定了一系列行政执法制度，但在实际执行过程中，还存在一些不规范的现象，如行政执法文书制作不够严谨、执法程序不够完善等。部分执法人员的业务能力和综合素质还不能完全适应新形势下生态环境执法工作的要求。</w:t>
      </w:r>
    </w:p>
    <w:p>
      <w:pPr>
        <w:pStyle w:val="6"/>
        <w:widowControl w:val="0"/>
        <w:wordWrap/>
        <w:adjustRightInd/>
        <w:snapToGrid/>
        <w:spacing w:after="0" w:line="560" w:lineRule="exact"/>
        <w:ind w:left="0" w:leftChars="0" w:right="0" w:firstLine="640" w:firstLineChars="200"/>
        <w:jc w:val="both"/>
        <w:textAlignment w:val="auto"/>
        <w:outlineLvl w:val="9"/>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sz w:val="32"/>
          <w:szCs w:val="32"/>
          <w:highlight w:val="none"/>
          <w:lang w:val="en-US" w:eastAsia="zh-CN"/>
        </w:rPr>
        <w:t>（三）法治宣传教育的针对性和实效性有待增强</w:t>
      </w:r>
      <w:r>
        <w:rPr>
          <w:rFonts w:hint="eastAsia" w:eastAsia="楷体_GB2312" w:cs="Times New Roman"/>
          <w:sz w:val="32"/>
          <w:szCs w:val="32"/>
          <w:highlight w:val="none"/>
          <w:lang w:val="en-US" w:eastAsia="zh-CN"/>
        </w:rPr>
        <w:t>。</w:t>
      </w:r>
      <w:r>
        <w:rPr>
          <w:rFonts w:hint="default" w:ascii="Times New Roman" w:hAnsi="Times New Roman" w:eastAsia="仿宋_GB2312" w:cs="Times New Roman"/>
          <w:color w:val="auto"/>
          <w:kern w:val="0"/>
          <w:sz w:val="32"/>
          <w:szCs w:val="32"/>
          <w:lang w:val="en-US" w:eastAsia="zh-CN" w:bidi="ar-SA"/>
        </w:rPr>
        <w:t>在法治宣传教育工作中，还存在宣传内容和形式不够丰富多样、对不同群体的宣传教育缺乏精准性等问题，导致法治宣传教育的效果不够理想，部分企业和社会公众的</w:t>
      </w:r>
      <w:r>
        <w:rPr>
          <w:rFonts w:hint="eastAsia" w:ascii="Times New Roman" w:hAnsi="Times New Roman" w:eastAsia="仿宋_GB2312" w:cs="Times New Roman"/>
          <w:color w:val="auto"/>
          <w:kern w:val="0"/>
          <w:sz w:val="32"/>
          <w:szCs w:val="32"/>
          <w:lang w:val="en-US" w:eastAsia="zh-CN" w:bidi="ar-SA"/>
        </w:rPr>
        <w:t>生态环境保护</w:t>
      </w:r>
      <w:r>
        <w:rPr>
          <w:rFonts w:hint="default" w:ascii="Times New Roman" w:hAnsi="Times New Roman" w:eastAsia="仿宋_GB2312" w:cs="Times New Roman"/>
          <w:color w:val="auto"/>
          <w:kern w:val="0"/>
          <w:sz w:val="32"/>
          <w:szCs w:val="32"/>
          <w:lang w:val="en-US" w:eastAsia="zh-CN" w:bidi="ar-SA"/>
        </w:rPr>
        <w:t>法律意识仍然较为淡薄。</w:t>
      </w:r>
    </w:p>
    <w:p>
      <w:pPr>
        <w:widowControl w:val="0"/>
        <w:wordWrap/>
        <w:adjustRightInd/>
        <w:snapToGrid/>
        <w:spacing w:line="56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、202</w:t>
      </w:r>
      <w:r>
        <w:rPr>
          <w:rFonts w:hint="eastAsia" w:ascii="黑体" w:hAnsi="黑体" w:eastAsia="黑体" w:cs="黑体"/>
          <w:sz w:val="32"/>
          <w:szCs w:val="32"/>
          <w:lang w:val="en-US" w:eastAsia="zh-CN"/>
        </w:rPr>
        <w:t>5</w:t>
      </w:r>
      <w:r>
        <w:rPr>
          <w:rFonts w:hint="eastAsia" w:ascii="黑体" w:hAnsi="黑体" w:eastAsia="黑体" w:cs="黑体"/>
          <w:sz w:val="32"/>
          <w:szCs w:val="32"/>
        </w:rPr>
        <w:t>年工作打算</w:t>
      </w:r>
    </w:p>
    <w:p>
      <w:pPr>
        <w:pStyle w:val="6"/>
        <w:widowControl w:val="0"/>
        <w:wordWrap/>
        <w:adjustRightInd/>
        <w:snapToGrid/>
        <w:spacing w:after="0" w:line="560" w:lineRule="exact"/>
        <w:ind w:left="0" w:leftChars="0" w:right="0" w:firstLine="640" w:firstLineChars="200"/>
        <w:jc w:val="both"/>
        <w:textAlignment w:val="auto"/>
        <w:outlineLvl w:val="9"/>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楷体_GB2312" w:cs="Times New Roman"/>
          <w:color w:val="auto"/>
          <w:kern w:val="0"/>
          <w:sz w:val="32"/>
          <w:szCs w:val="32"/>
          <w:lang w:val="en-US" w:eastAsia="zh-CN" w:bidi="ar-SA"/>
        </w:rPr>
        <w:t>（一）持续深入学习贯彻习近平法治思想</w:t>
      </w:r>
      <w:r>
        <w:rPr>
          <w:rFonts w:hint="eastAsia" w:eastAsia="楷体_GB2312" w:cs="Times New Roman"/>
          <w:color w:val="auto"/>
          <w:kern w:val="0"/>
          <w:sz w:val="32"/>
          <w:szCs w:val="32"/>
          <w:lang w:val="en-US" w:eastAsia="zh-CN" w:bidi="ar-SA"/>
        </w:rPr>
        <w:t>。</w:t>
      </w:r>
      <w:r>
        <w:rPr>
          <w:rFonts w:hint="default" w:ascii="Times New Roman" w:hAnsi="Times New Roman" w:eastAsia="仿宋_GB2312" w:cs="Times New Roman"/>
          <w:color w:val="auto"/>
          <w:kern w:val="0"/>
          <w:sz w:val="32"/>
          <w:szCs w:val="32"/>
          <w:lang w:val="en-US" w:eastAsia="zh-CN" w:bidi="ar-SA"/>
        </w:rPr>
        <w:t>将习近平法治思想作为法治建设的根本遵循和行动指南，进一步加强学习宣传教育，丰富学习形式和载体，推动习近平法治思想入脑入心、走深走实。引导全局干部职工深刻领会习近平法治思想的精髓要义，不断提高运用法治思维和法治方式深化改革、推动发展、化解矛盾、维护稳定的能力。</w:t>
      </w:r>
    </w:p>
    <w:p>
      <w:pPr>
        <w:pStyle w:val="6"/>
        <w:widowControl w:val="0"/>
        <w:wordWrap/>
        <w:adjustRightInd/>
        <w:snapToGrid/>
        <w:spacing w:after="0" w:line="560" w:lineRule="exact"/>
        <w:ind w:left="0" w:leftChars="0" w:right="0" w:firstLine="640" w:firstLineChars="200"/>
        <w:jc w:val="both"/>
        <w:textAlignment w:val="auto"/>
        <w:outlineLvl w:val="9"/>
        <w:rPr>
          <w:rFonts w:hint="eastAsia" w:ascii="仿宋_GB2312" w:hAnsi="仿宋_GB2312" w:eastAsia="仿宋_GB2312" w:cs="仿宋_GB2312"/>
          <w:color w:val="auto"/>
          <w:kern w:val="0"/>
          <w:sz w:val="32"/>
          <w:szCs w:val="32"/>
          <w:lang w:val="en-US" w:eastAsia="zh-CN" w:bidi="ar-SA"/>
        </w:rPr>
      </w:pPr>
      <w:r>
        <w:rPr>
          <w:rFonts w:hint="default" w:ascii="Times New Roman" w:hAnsi="Times New Roman" w:eastAsia="楷体_GB2312" w:cs="Times New Roman"/>
          <w:color w:val="auto"/>
          <w:kern w:val="0"/>
          <w:sz w:val="32"/>
          <w:szCs w:val="32"/>
          <w:lang w:val="en-US" w:eastAsia="zh-CN" w:bidi="ar-SA"/>
        </w:rPr>
        <w:t>（二）进一步加强法治建设工作</w:t>
      </w:r>
      <w:r>
        <w:rPr>
          <w:rFonts w:hint="eastAsia" w:eastAsia="楷体_GB2312" w:cs="Times New Roman"/>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完善法治建设工作机制，加强对法治建设工作的统筹协调和指导，定期研究解决法治建设中的重点难点问题。加强行政执法规范化建设，严格执行行政执法“三项制度”，加强行政执法监督检查，规范行政执法行为，提高行政执法水平。加强法治人才队伍建设，加大对执法人员的培训力度，提高执法人员的业务能力和综合素质。</w:t>
      </w:r>
    </w:p>
    <w:p>
      <w:pPr>
        <w:pStyle w:val="6"/>
        <w:widowControl w:val="0"/>
        <w:wordWrap/>
        <w:adjustRightInd/>
        <w:snapToGrid/>
        <w:spacing w:after="0" w:line="560" w:lineRule="exact"/>
        <w:ind w:left="0" w:leftChars="0" w:right="0" w:firstLine="640" w:firstLineChars="200"/>
        <w:jc w:val="both"/>
        <w:textAlignment w:val="auto"/>
        <w:outlineLvl w:val="9"/>
        <w:rPr>
          <w:rFonts w:hint="eastAsia" w:ascii="仿宋_GB2312" w:hAnsi="仿宋_GB2312" w:eastAsia="仿宋_GB2312" w:cs="仿宋_GB2312"/>
          <w:color w:val="auto"/>
          <w:kern w:val="0"/>
          <w:sz w:val="32"/>
          <w:szCs w:val="32"/>
          <w:lang w:val="en-US" w:eastAsia="zh-CN" w:bidi="ar-SA"/>
        </w:rPr>
      </w:pPr>
      <w:r>
        <w:rPr>
          <w:rFonts w:hint="default" w:ascii="Times New Roman" w:hAnsi="Times New Roman" w:eastAsia="楷体_GB2312" w:cs="Times New Roman"/>
          <w:color w:val="auto"/>
          <w:kern w:val="0"/>
          <w:sz w:val="32"/>
          <w:szCs w:val="32"/>
          <w:lang w:val="en-US" w:eastAsia="zh-CN" w:bidi="ar-SA"/>
        </w:rPr>
        <w:t>（三）创新法治宣传教育方式方法</w:t>
      </w:r>
      <w:r>
        <w:rPr>
          <w:rFonts w:hint="eastAsia" w:eastAsia="楷体_GB2312" w:cs="Times New Roman"/>
          <w:color w:val="auto"/>
          <w:kern w:val="0"/>
          <w:sz w:val="32"/>
          <w:szCs w:val="32"/>
          <w:lang w:val="en-US" w:eastAsia="zh-CN" w:bidi="ar-SA"/>
        </w:rPr>
        <w:t>。</w:t>
      </w:r>
      <w:r>
        <w:rPr>
          <w:rFonts w:hint="eastAsia" w:ascii="仿宋_GB2312" w:hAnsi="仿宋_GB2312" w:eastAsia="仿宋_GB2312" w:cs="仿宋_GB2312"/>
          <w:color w:val="auto"/>
          <w:kern w:val="0"/>
          <w:sz w:val="32"/>
          <w:szCs w:val="32"/>
          <w:lang w:val="en-US" w:eastAsia="zh-CN" w:bidi="ar-SA"/>
        </w:rPr>
        <w:t>以提高法治宣传教育的针对性和实效性为目标，结合生态环境工作实际和社会公众需求，创新法治宣传教育方式方法。充分利用新媒体、新技术，开展形式多样、内容丰富的法治宣传教育活动，如制作法治短视频、开展线上法治知识竞赛等。加强对企业负责人和环保管理人员的法治培训，提高企业依法经营、依法管理的水平。针对不同群体开展精准化的法治宣传教育，增强社会公众的环保法律意识和法治观念，营造全社会尊法学法守法用法的良好氛围。</w:t>
      </w:r>
    </w:p>
    <w:p>
      <w:pPr>
        <w:widowControl w:val="0"/>
        <w:wordWrap/>
        <w:adjustRightInd/>
        <w:snapToGrid/>
        <w:spacing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总之，2024年我局在法治建设方面取得了一定成绩，但也存在一些问题和不足。在今后的工作中，我们将以习近平新时代中国特色社会主义思想为指导，深入贯彻习近平生态文明思想和习近平法治思想，进一步加强组织领导，完善工作机制，强化工作措施，不断推进生态环境领域法治建设，为建设美丽</w:t>
      </w:r>
      <w:r>
        <w:rPr>
          <w:rFonts w:hint="eastAsia" w:ascii="仿宋_GB2312" w:hAnsi="仿宋_GB2312" w:eastAsia="仿宋_GB2312" w:cs="仿宋_GB2312"/>
          <w:sz w:val="32"/>
          <w:szCs w:val="32"/>
          <w:lang w:val="en-US" w:eastAsia="zh-CN"/>
        </w:rPr>
        <w:t>焦作</w:t>
      </w:r>
      <w:r>
        <w:rPr>
          <w:rFonts w:hint="eastAsia" w:ascii="仿宋_GB2312" w:hAnsi="仿宋_GB2312" w:eastAsia="仿宋_GB2312" w:cs="仿宋_GB2312"/>
          <w:sz w:val="32"/>
          <w:szCs w:val="32"/>
          <w:lang w:val="en-US"/>
        </w:rPr>
        <w:t>、推动生态文明建设作出更大贡献。</w:t>
      </w:r>
    </w:p>
    <w:p>
      <w:pPr>
        <w:widowControl w:val="0"/>
        <w:wordWrap/>
        <w:adjustRightInd/>
        <w:snapToGrid/>
        <w:spacing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rPr>
      </w:pPr>
    </w:p>
    <w:p>
      <w:pPr>
        <w:widowControl w:val="0"/>
        <w:wordWrap/>
        <w:adjustRightInd/>
        <w:snapToGrid/>
        <w:spacing w:line="560" w:lineRule="exact"/>
        <w:ind w:left="0" w:leftChars="0" w:right="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2024年12月31日</w:t>
      </w:r>
    </w:p>
    <w:sectPr>
      <w:footerReference r:id="rId3" w:type="default"/>
      <w:pgSz w:w="11906" w:h="16838"/>
      <w:pgMar w:top="2154" w:right="1417" w:bottom="2041" w:left="1587" w:header="851" w:footer="1417" w:gutter="0"/>
      <w:pgNumType w:fmt="decimal"/>
      <w:cols w:space="72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仿宋_GBK">
    <w:altName w:val="文泉驿微米黑"/>
    <w:panose1 w:val="02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泉驿微米黑">
    <w:panose1 w:val="020B0606030804020204"/>
    <w:charset w:val="86"/>
    <w:family w:val="auto"/>
    <w:pitch w:val="default"/>
    <w:sig w:usb0="E10002EF" w:usb1="6BDFFCFB" w:usb2="00800036" w:usb3="00000000" w:csb0="603E019F" w:csb1="DFD70000"/>
  </w:font>
  <w:font w:name="华文中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ascii="等线" w:hAnsi="等线" w:eastAsia="等线" w:cs="Times New Roman"/>
        <w:kern w:val="2"/>
        <w:sz w:val="18"/>
        <w:szCs w:val="2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true">
                      <a:spAutoFit/>
                    </wps:bodyPr>
                  </wps:wsp>
                </a:graphicData>
              </a:graphic>
            </wp:anchor>
          </w:drawing>
        </mc:Choice>
        <mc:Fallback>
          <w:pict>
            <v:rect id="文本框 2" o:spid="_x0000_s1026"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uXW5UtAAAAAFAQAADwAAAAAAAAABACAAAAA4AAAAZHJzL2Rvd25yZXYueG1sUEsBAhQA&#10;FAAAAAgAh07iQHyT/0GrAQAARAMAAA4AAAAAAAAAAQAgAAAANQEAAGRycy9lMm9Eb2MueG1sUEsF&#10;BgAAAAAGAAYAWQEAAFIFAAAAAA==&#10;">
              <v:fill on="f" focussize="0,0"/>
              <v:stroke on="f"/>
              <v:imagedata o:title=""/>
              <o:lock v:ext="edit" aspectratio="f"/>
              <v:textbox inset="0mm,0mm,0mm,0mm" style="mso-fit-shape-to-text:t;">
                <w:txbxContent>
                  <w:p>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8"/>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s>
  <w:rsids>
    <w:rsidRoot w:val="FFCBBF66"/>
    <w:rsid w:val="00040C7E"/>
    <w:rsid w:val="0006010A"/>
    <w:rsid w:val="00074485"/>
    <w:rsid w:val="00091B2B"/>
    <w:rsid w:val="000B7986"/>
    <w:rsid w:val="000C2236"/>
    <w:rsid w:val="001048C2"/>
    <w:rsid w:val="001063AA"/>
    <w:rsid w:val="001318F4"/>
    <w:rsid w:val="00190728"/>
    <w:rsid w:val="001E2B06"/>
    <w:rsid w:val="0020545D"/>
    <w:rsid w:val="00242F24"/>
    <w:rsid w:val="00250B2A"/>
    <w:rsid w:val="00340601"/>
    <w:rsid w:val="003758E9"/>
    <w:rsid w:val="00376A37"/>
    <w:rsid w:val="003A4F62"/>
    <w:rsid w:val="003C7EBC"/>
    <w:rsid w:val="003D7927"/>
    <w:rsid w:val="003F13CB"/>
    <w:rsid w:val="004270BC"/>
    <w:rsid w:val="00430231"/>
    <w:rsid w:val="004D3A11"/>
    <w:rsid w:val="004D6693"/>
    <w:rsid w:val="004D7682"/>
    <w:rsid w:val="004F4677"/>
    <w:rsid w:val="00546F90"/>
    <w:rsid w:val="00560D12"/>
    <w:rsid w:val="0058779C"/>
    <w:rsid w:val="005C068E"/>
    <w:rsid w:val="005E6371"/>
    <w:rsid w:val="00627949"/>
    <w:rsid w:val="006573DE"/>
    <w:rsid w:val="00666BDF"/>
    <w:rsid w:val="006751B2"/>
    <w:rsid w:val="006A3742"/>
    <w:rsid w:val="006B4F71"/>
    <w:rsid w:val="006B7F97"/>
    <w:rsid w:val="006C1B7A"/>
    <w:rsid w:val="006E3A0C"/>
    <w:rsid w:val="00700338"/>
    <w:rsid w:val="00710E1B"/>
    <w:rsid w:val="00721F1E"/>
    <w:rsid w:val="00724901"/>
    <w:rsid w:val="00726288"/>
    <w:rsid w:val="00752048"/>
    <w:rsid w:val="00794D4B"/>
    <w:rsid w:val="007A5C65"/>
    <w:rsid w:val="007B4090"/>
    <w:rsid w:val="007D123F"/>
    <w:rsid w:val="0085229D"/>
    <w:rsid w:val="008816C9"/>
    <w:rsid w:val="00885440"/>
    <w:rsid w:val="008E3685"/>
    <w:rsid w:val="008E6AEF"/>
    <w:rsid w:val="00901DCD"/>
    <w:rsid w:val="00922C38"/>
    <w:rsid w:val="0093297C"/>
    <w:rsid w:val="00985B53"/>
    <w:rsid w:val="009936F1"/>
    <w:rsid w:val="009A4891"/>
    <w:rsid w:val="009C2C41"/>
    <w:rsid w:val="009F5BB3"/>
    <w:rsid w:val="00A83EF4"/>
    <w:rsid w:val="00AB0C40"/>
    <w:rsid w:val="00AE2AE3"/>
    <w:rsid w:val="00B521D7"/>
    <w:rsid w:val="00B8351E"/>
    <w:rsid w:val="00BA0862"/>
    <w:rsid w:val="00BA44D7"/>
    <w:rsid w:val="00C02B9D"/>
    <w:rsid w:val="00C3682E"/>
    <w:rsid w:val="00C52168"/>
    <w:rsid w:val="00C72DBA"/>
    <w:rsid w:val="00C77F96"/>
    <w:rsid w:val="00C80D5C"/>
    <w:rsid w:val="00C85875"/>
    <w:rsid w:val="00C86C93"/>
    <w:rsid w:val="00CA604E"/>
    <w:rsid w:val="00CC0F30"/>
    <w:rsid w:val="00D07836"/>
    <w:rsid w:val="00D40D40"/>
    <w:rsid w:val="00DF5F0D"/>
    <w:rsid w:val="00E070D1"/>
    <w:rsid w:val="00E46C54"/>
    <w:rsid w:val="00E63497"/>
    <w:rsid w:val="00EA612A"/>
    <w:rsid w:val="00EC30CD"/>
    <w:rsid w:val="00F63D49"/>
    <w:rsid w:val="00FC4634"/>
    <w:rsid w:val="00FC5A8E"/>
    <w:rsid w:val="00FD0E71"/>
    <w:rsid w:val="00FE7EEF"/>
    <w:rsid w:val="00FF12D1"/>
    <w:rsid w:val="012958F6"/>
    <w:rsid w:val="01802A82"/>
    <w:rsid w:val="01ED0EB7"/>
    <w:rsid w:val="02B11EFA"/>
    <w:rsid w:val="02B85E09"/>
    <w:rsid w:val="02BB280A"/>
    <w:rsid w:val="02F6716B"/>
    <w:rsid w:val="047E7EEC"/>
    <w:rsid w:val="058F525E"/>
    <w:rsid w:val="05952F37"/>
    <w:rsid w:val="06021ED4"/>
    <w:rsid w:val="06975626"/>
    <w:rsid w:val="06CA32B5"/>
    <w:rsid w:val="076653B1"/>
    <w:rsid w:val="078828AD"/>
    <w:rsid w:val="07BB6140"/>
    <w:rsid w:val="08DD3C99"/>
    <w:rsid w:val="090200ED"/>
    <w:rsid w:val="0A0F530F"/>
    <w:rsid w:val="0AA83B2B"/>
    <w:rsid w:val="0B63273E"/>
    <w:rsid w:val="0BB90066"/>
    <w:rsid w:val="0CD7229F"/>
    <w:rsid w:val="0CF307C8"/>
    <w:rsid w:val="0E721BC1"/>
    <w:rsid w:val="0EB3304B"/>
    <w:rsid w:val="0F3167B9"/>
    <w:rsid w:val="0FA25CB6"/>
    <w:rsid w:val="0FE61BA2"/>
    <w:rsid w:val="104A4BA3"/>
    <w:rsid w:val="10794994"/>
    <w:rsid w:val="1088151A"/>
    <w:rsid w:val="10DC1377"/>
    <w:rsid w:val="12B66FFA"/>
    <w:rsid w:val="13C41EFD"/>
    <w:rsid w:val="1594130F"/>
    <w:rsid w:val="1841525A"/>
    <w:rsid w:val="18A361F8"/>
    <w:rsid w:val="18A42FD3"/>
    <w:rsid w:val="1A0155E6"/>
    <w:rsid w:val="1B383249"/>
    <w:rsid w:val="1C0A3092"/>
    <w:rsid w:val="1C2269D4"/>
    <w:rsid w:val="1C4921B3"/>
    <w:rsid w:val="1CE14D19"/>
    <w:rsid w:val="1DAE7EBF"/>
    <w:rsid w:val="1DF30976"/>
    <w:rsid w:val="1FD552C6"/>
    <w:rsid w:val="20F1112D"/>
    <w:rsid w:val="21997A40"/>
    <w:rsid w:val="21CC797F"/>
    <w:rsid w:val="220F79FB"/>
    <w:rsid w:val="22EB7DD7"/>
    <w:rsid w:val="234C0A35"/>
    <w:rsid w:val="23AA6F10"/>
    <w:rsid w:val="23B91729"/>
    <w:rsid w:val="242D3C66"/>
    <w:rsid w:val="247840E5"/>
    <w:rsid w:val="24CD5CA0"/>
    <w:rsid w:val="24DB4781"/>
    <w:rsid w:val="24F536AF"/>
    <w:rsid w:val="25832019"/>
    <w:rsid w:val="2683F33D"/>
    <w:rsid w:val="269975E3"/>
    <w:rsid w:val="27CD08D9"/>
    <w:rsid w:val="27DE0B74"/>
    <w:rsid w:val="28021134"/>
    <w:rsid w:val="28364A85"/>
    <w:rsid w:val="29D335AD"/>
    <w:rsid w:val="2A2B475F"/>
    <w:rsid w:val="2BA534A8"/>
    <w:rsid w:val="2BF13F32"/>
    <w:rsid w:val="2CAF71DE"/>
    <w:rsid w:val="2D5269E7"/>
    <w:rsid w:val="2D6869D3"/>
    <w:rsid w:val="2D9679EB"/>
    <w:rsid w:val="2E491999"/>
    <w:rsid w:val="2F5A231B"/>
    <w:rsid w:val="2F6F34DE"/>
    <w:rsid w:val="2FBF249C"/>
    <w:rsid w:val="2FC42CE2"/>
    <w:rsid w:val="30960BC7"/>
    <w:rsid w:val="30D452BD"/>
    <w:rsid w:val="30F4495F"/>
    <w:rsid w:val="30FD5935"/>
    <w:rsid w:val="310A6B03"/>
    <w:rsid w:val="317243A2"/>
    <w:rsid w:val="31A55C86"/>
    <w:rsid w:val="31F129D1"/>
    <w:rsid w:val="32B618AA"/>
    <w:rsid w:val="33F8416E"/>
    <w:rsid w:val="34762022"/>
    <w:rsid w:val="35A72417"/>
    <w:rsid w:val="3680483A"/>
    <w:rsid w:val="37062492"/>
    <w:rsid w:val="376535EE"/>
    <w:rsid w:val="37790100"/>
    <w:rsid w:val="377FC320"/>
    <w:rsid w:val="37DF7408"/>
    <w:rsid w:val="37EFA9CB"/>
    <w:rsid w:val="39EE6DDE"/>
    <w:rsid w:val="3A083A4E"/>
    <w:rsid w:val="3A091644"/>
    <w:rsid w:val="3B0F1416"/>
    <w:rsid w:val="3C2974B3"/>
    <w:rsid w:val="3D0E20C9"/>
    <w:rsid w:val="3D340877"/>
    <w:rsid w:val="3DA51E2F"/>
    <w:rsid w:val="3EF59ABE"/>
    <w:rsid w:val="3FC456AD"/>
    <w:rsid w:val="413C6193"/>
    <w:rsid w:val="41ED600E"/>
    <w:rsid w:val="421A5B81"/>
    <w:rsid w:val="42845230"/>
    <w:rsid w:val="42DF4645"/>
    <w:rsid w:val="430C640E"/>
    <w:rsid w:val="43EF6DD1"/>
    <w:rsid w:val="440875AB"/>
    <w:rsid w:val="44372678"/>
    <w:rsid w:val="448152C9"/>
    <w:rsid w:val="453374FD"/>
    <w:rsid w:val="453A31A0"/>
    <w:rsid w:val="46B27509"/>
    <w:rsid w:val="46D851CA"/>
    <w:rsid w:val="47182731"/>
    <w:rsid w:val="480C42C3"/>
    <w:rsid w:val="489F5F95"/>
    <w:rsid w:val="48EA5EAF"/>
    <w:rsid w:val="49046A59"/>
    <w:rsid w:val="49994D4E"/>
    <w:rsid w:val="4A25284F"/>
    <w:rsid w:val="4A824CCC"/>
    <w:rsid w:val="4AE35423"/>
    <w:rsid w:val="4C4D6AA3"/>
    <w:rsid w:val="4F0A0AFA"/>
    <w:rsid w:val="4F155F5F"/>
    <w:rsid w:val="50CA1811"/>
    <w:rsid w:val="50E50D0D"/>
    <w:rsid w:val="51C904BB"/>
    <w:rsid w:val="52065E75"/>
    <w:rsid w:val="520A2BA1"/>
    <w:rsid w:val="52781559"/>
    <w:rsid w:val="52972F71"/>
    <w:rsid w:val="52D81261"/>
    <w:rsid w:val="537B1187"/>
    <w:rsid w:val="537E2D5B"/>
    <w:rsid w:val="53EE6B54"/>
    <w:rsid w:val="55302855"/>
    <w:rsid w:val="55E502FC"/>
    <w:rsid w:val="561E00D5"/>
    <w:rsid w:val="56870E48"/>
    <w:rsid w:val="57484631"/>
    <w:rsid w:val="57492A52"/>
    <w:rsid w:val="57835EA0"/>
    <w:rsid w:val="58863D47"/>
    <w:rsid w:val="5A494CAD"/>
    <w:rsid w:val="5AD53B49"/>
    <w:rsid w:val="5BCF8EDF"/>
    <w:rsid w:val="5E5B2FBB"/>
    <w:rsid w:val="5E77028A"/>
    <w:rsid w:val="5EDF74C3"/>
    <w:rsid w:val="5F2B474A"/>
    <w:rsid w:val="609A4358"/>
    <w:rsid w:val="61FA9B75"/>
    <w:rsid w:val="62832BCA"/>
    <w:rsid w:val="639B133B"/>
    <w:rsid w:val="662C0B13"/>
    <w:rsid w:val="67CD63BE"/>
    <w:rsid w:val="68326D82"/>
    <w:rsid w:val="689D7F52"/>
    <w:rsid w:val="695732E1"/>
    <w:rsid w:val="696A79F0"/>
    <w:rsid w:val="6AF54201"/>
    <w:rsid w:val="6B4F341C"/>
    <w:rsid w:val="6B6E2B43"/>
    <w:rsid w:val="6CFA6CDB"/>
    <w:rsid w:val="6DC1541F"/>
    <w:rsid w:val="6ECA5C25"/>
    <w:rsid w:val="6FAC3CC5"/>
    <w:rsid w:val="6FFF384D"/>
    <w:rsid w:val="70FA39CD"/>
    <w:rsid w:val="7303086A"/>
    <w:rsid w:val="73AF1F5C"/>
    <w:rsid w:val="73AF4CAD"/>
    <w:rsid w:val="74516EE2"/>
    <w:rsid w:val="756C23C2"/>
    <w:rsid w:val="76D44A02"/>
    <w:rsid w:val="770A2A28"/>
    <w:rsid w:val="777F291C"/>
    <w:rsid w:val="77FD7967"/>
    <w:rsid w:val="780350F4"/>
    <w:rsid w:val="78777828"/>
    <w:rsid w:val="7879106D"/>
    <w:rsid w:val="7A2A3030"/>
    <w:rsid w:val="7AF82F14"/>
    <w:rsid w:val="7B5F1FCE"/>
    <w:rsid w:val="7B720293"/>
    <w:rsid w:val="7C062D05"/>
    <w:rsid w:val="7C896B62"/>
    <w:rsid w:val="7C8E270A"/>
    <w:rsid w:val="7CF2748B"/>
    <w:rsid w:val="7CF77017"/>
    <w:rsid w:val="7D083BC2"/>
    <w:rsid w:val="7D7C17F7"/>
    <w:rsid w:val="7D932B97"/>
    <w:rsid w:val="7E1178E2"/>
    <w:rsid w:val="7E474539"/>
    <w:rsid w:val="7ECD5F33"/>
    <w:rsid w:val="7EEE9418"/>
    <w:rsid w:val="7F5E5386"/>
    <w:rsid w:val="7F9C6B1E"/>
    <w:rsid w:val="7FA8164A"/>
    <w:rsid w:val="7FB69715"/>
    <w:rsid w:val="7FE0452D"/>
    <w:rsid w:val="7FF15E4D"/>
    <w:rsid w:val="97D9AB14"/>
    <w:rsid w:val="BBEDCA04"/>
    <w:rsid w:val="BBEEF9FF"/>
    <w:rsid w:val="BF7B41B9"/>
    <w:rsid w:val="D65F87AB"/>
    <w:rsid w:val="D777C870"/>
    <w:rsid w:val="DE9FB040"/>
    <w:rsid w:val="DEBCFAD9"/>
    <w:rsid w:val="DFFE6A06"/>
    <w:rsid w:val="E3A749E4"/>
    <w:rsid w:val="EDD67D74"/>
    <w:rsid w:val="EE6F090D"/>
    <w:rsid w:val="EF37DA59"/>
    <w:rsid w:val="EFDBA9C2"/>
    <w:rsid w:val="F734EE68"/>
    <w:rsid w:val="F77FBD45"/>
    <w:rsid w:val="FB7AC89B"/>
    <w:rsid w:val="FDC76921"/>
    <w:rsid w:val="FEF77C01"/>
    <w:rsid w:val="FFCBBF66"/>
    <w:rsid w:val="FFF802B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qFormat/>
    <w:uiPriority w:val="9"/>
    <w:pPr>
      <w:spacing w:before="100" w:beforeLines="0" w:beforeAutospacing="1" w:after="100" w:afterLines="0" w:afterAutospacing="1"/>
      <w:jc w:val="left"/>
    </w:pPr>
    <w:rPr>
      <w:rFonts w:hint="eastAsia" w:ascii="宋体" w:hAnsi="宋体" w:eastAsia="宋体" w:cs="宋体"/>
      <w:b/>
      <w:kern w:val="44"/>
      <w:sz w:val="48"/>
      <w:szCs w:val="48"/>
      <w:lang w:val="en-US" w:eastAsia="zh-CN"/>
    </w:rPr>
  </w:style>
  <w:style w:type="paragraph" w:styleId="3">
    <w:name w:val="heading 2"/>
    <w:basedOn w:val="1"/>
    <w:next w:val="1"/>
    <w:qFormat/>
    <w:uiPriority w:val="0"/>
    <w:pPr>
      <w:spacing w:line="0" w:lineRule="atLeast"/>
      <w:ind w:firstLine="0" w:firstLineChars="0"/>
      <w:jc w:val="center"/>
      <w:outlineLvl w:val="1"/>
    </w:pPr>
    <w:rPr>
      <w:rFonts w:ascii="Times New Roman" w:hAnsi="Times New Roman"/>
      <w:sz w:val="28"/>
    </w:rPr>
  </w:style>
  <w:style w:type="paragraph" w:styleId="4">
    <w:name w:val="heading 3"/>
    <w:next w:val="1"/>
    <w:unhideWhenUsed/>
    <w:qFormat/>
    <w:uiPriority w:val="0"/>
    <w:pPr>
      <w:widowControl w:val="0"/>
      <w:topLinePunct/>
      <w:spacing w:line="560" w:lineRule="exact"/>
      <w:jc w:val="both"/>
      <w:outlineLvl w:val="2"/>
    </w:pPr>
    <w:rPr>
      <w:rFonts w:ascii="Calibri" w:hAnsi="Calibri" w:eastAsia="仿宋_GB2312" w:cs="黑体"/>
      <w:b/>
      <w:kern w:val="2"/>
      <w:sz w:val="32"/>
      <w:szCs w:val="24"/>
      <w:lang w:val="en-US" w:eastAsia="zh-CN" w:bidi="ar-SA"/>
    </w:rPr>
  </w:style>
  <w:style w:type="character" w:default="1" w:styleId="14">
    <w:name w:val="Default Paragraph Font"/>
    <w:link w:val="15"/>
    <w:unhideWhenUsed/>
    <w:qFormat/>
    <w:uiPriority w:val="1"/>
    <w:rPr>
      <w:rFonts w:eastAsia="宋体"/>
      <w:sz w:val="21"/>
      <w:szCs w:val="24"/>
    </w:rPr>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560" w:lineRule="exact"/>
      <w:ind w:firstLine="420" w:firstLineChars="200"/>
    </w:pPr>
    <w:rPr>
      <w:rFonts w:ascii="Times New Roman" w:hAnsi="Times New Roman" w:eastAsia="仿宋_GB2312"/>
      <w:sz w:val="32"/>
      <w:szCs w:val="20"/>
    </w:rPr>
  </w:style>
  <w:style w:type="paragraph" w:styleId="6">
    <w:name w:val="Body Text"/>
    <w:basedOn w:val="1"/>
    <w:unhideWhenUsed/>
    <w:qFormat/>
    <w:uiPriority w:val="99"/>
    <w:pPr>
      <w:spacing w:after="120"/>
    </w:pPr>
  </w:style>
  <w:style w:type="paragraph" w:styleId="7">
    <w:name w:val="Body Text Indent"/>
    <w:basedOn w:val="1"/>
    <w:qFormat/>
    <w:uiPriority w:val="0"/>
    <w:pPr>
      <w:spacing w:after="120" w:afterLines="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val="0"/>
      <w:spacing w:before="100" w:beforeAutospacing="1" w:after="100" w:afterAutospacing="1"/>
    </w:pPr>
    <w:rPr>
      <w:rFonts w:ascii="Calibri" w:hAnsi="Calibri" w:eastAsia="宋体" w:cs="Times New Roman"/>
      <w:sz w:val="24"/>
      <w:szCs w:val="24"/>
      <w:lang w:val="en-US" w:eastAsia="zh-CN" w:bidi="ar-SA"/>
    </w:rPr>
  </w:style>
  <w:style w:type="paragraph" w:styleId="11">
    <w:name w:val="Body Text First Indent"/>
    <w:basedOn w:val="6"/>
    <w:qFormat/>
    <w:uiPriority w:val="0"/>
    <w:pPr>
      <w:spacing w:after="0" w:line="600" w:lineRule="exact"/>
      <w:ind w:firstLine="880" w:firstLineChars="200"/>
    </w:pPr>
    <w:rPr>
      <w:rFonts w:ascii="Times New Roman" w:hAnsi="Times New Roman" w:eastAsia="方正仿宋_GBK" w:cs="Times New Roman"/>
      <w:sz w:val="32"/>
      <w:szCs w:val="32"/>
    </w:rPr>
  </w:style>
  <w:style w:type="paragraph" w:styleId="12">
    <w:name w:val="Body Text First Indent 2"/>
    <w:basedOn w:val="7"/>
    <w:next w:val="1"/>
    <w:qFormat/>
    <w:uiPriority w:val="0"/>
    <w:pPr>
      <w:ind w:firstLine="420" w:firstLineChars="200"/>
    </w:pPr>
    <w:rPr>
      <w:rFonts w:eastAsia="宋体"/>
      <w:w w:val="88"/>
      <w:kern w:val="2"/>
      <w:sz w:val="21"/>
      <w:szCs w:val="21"/>
    </w:rPr>
  </w:style>
  <w:style w:type="paragraph" w:customStyle="1" w:styleId="15">
    <w:name w:val="默认段落字体 Para Char Char Char Char"/>
    <w:basedOn w:val="1"/>
    <w:link w:val="14"/>
    <w:qFormat/>
    <w:uiPriority w:val="0"/>
    <w:rPr>
      <w:rFonts w:eastAsia="宋体"/>
      <w:sz w:val="21"/>
      <w:szCs w:val="24"/>
    </w:rPr>
  </w:style>
  <w:style w:type="character" w:styleId="16">
    <w:name w:val="page number"/>
    <w:basedOn w:val="14"/>
    <w:qFormat/>
    <w:uiPriority w:val="0"/>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8">
    <w:name w:val="无间隔1"/>
    <w:basedOn w:val="1"/>
    <w:qFormat/>
    <w:uiPriority w:val="1"/>
    <w:pPr>
      <w:spacing w:line="400" w:lineRule="exact"/>
    </w:pPr>
    <w:rPr>
      <w:rFonts w:ascii="等线" w:hAnsi="等线" w:cs="Times New Roman"/>
      <w:sz w:val="24"/>
    </w:rPr>
  </w:style>
  <w:style w:type="character" w:customStyle="1" w:styleId="19">
    <w:name w:val="NormalCharacter"/>
    <w:qFormat/>
    <w:uiPriority w:val="0"/>
    <w:rPr>
      <w:kern w:val="2"/>
      <w:sz w:val="21"/>
      <w:szCs w:val="22"/>
      <w:lang w:val="en-US" w:eastAsia="zh-CN" w:bidi="ar-SA"/>
    </w:rPr>
  </w:style>
  <w:style w:type="paragraph" w:customStyle="1" w:styleId="20">
    <w:name w:val="Body text|1"/>
    <w:basedOn w:val="1"/>
    <w:qFormat/>
    <w:uiPriority w:val="0"/>
    <w:pPr>
      <w:spacing w:line="420" w:lineRule="auto"/>
      <w:ind w:firstLine="400"/>
    </w:pPr>
    <w:rPr>
      <w:rFonts w:ascii="宋体" w:hAnsi="宋体" w:eastAsia="宋体" w:cs="宋体"/>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2667</Words>
  <Characters>2743</Characters>
  <Lines>35</Lines>
  <Paragraphs>10</Paragraphs>
  <TotalTime>0</TotalTime>
  <ScaleCrop>false</ScaleCrop>
  <LinksUpToDate>false</LinksUpToDate>
  <CharactersWithSpaces>2794</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2022-11-05T08:42:00Z</dcterms:created>
  <dc:creator>mengwenxi</dc:creator>
  <cp:lastModifiedBy>未来</cp:lastModifiedBy>
  <cp:lastPrinted>2025-06-11T00:48:00Z</cp:lastPrinted>
  <dcterms:modified xsi:type="dcterms:W3CDTF">2026-05-08T11:01:33Z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BC66BA0B64714250AF7077F927300164_13</vt:lpwstr>
  </property>
  <property fmtid="{D5CDD505-2E9C-101B-9397-08002B2CF9AE}" pid="4" name="KSOTemplateDocerSaveRecord">
    <vt:lpwstr>eyJoZGlkIjoiZjBhZWYzZTg1MjgwM2JkYjE3N2EwZmNkZDJhMDc1MWYifQ==</vt:lpwstr>
  </property>
</Properties>
</file>