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3A6BDC">
      <w:pPr>
        <w:keepNext w:val="0"/>
        <w:keepLines w:val="0"/>
        <w:pageBreakBefore w:val="0"/>
        <w:widowControl w:val="0"/>
        <w:shd w:val="clear" w:color="auto" w:fill="FFFFFF"/>
        <w:kinsoku/>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47D08DCE">
      <w:pPr>
        <w:keepNext w:val="0"/>
        <w:keepLines w:val="0"/>
        <w:pageBreakBefore w:val="0"/>
        <w:widowControl w:val="0"/>
        <w:shd w:val="clear" w:color="auto" w:fill="FFFFFF"/>
        <w:kinsoku/>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656BAA81">
      <w:pPr>
        <w:keepNext w:val="0"/>
        <w:keepLines w:val="0"/>
        <w:pageBreakBefore w:val="0"/>
        <w:widowControl w:val="0"/>
        <w:shd w:val="clear" w:color="auto" w:fill="FFFFFF"/>
        <w:kinsoku/>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3223BACB">
      <w:pPr>
        <w:keepNext w:val="0"/>
        <w:keepLines w:val="0"/>
        <w:pageBreakBefore w:val="0"/>
        <w:widowControl w:val="0"/>
        <w:shd w:val="clear" w:color="auto" w:fill="FFFFFF"/>
        <w:kinsoku/>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523DA21E">
      <w:pPr>
        <w:keepNext w:val="0"/>
        <w:keepLines w:val="0"/>
        <w:pageBreakBefore w:val="0"/>
        <w:widowControl w:val="0"/>
        <w:numPr>
          <w:ilvl w:val="0"/>
          <w:numId w:val="0"/>
        </w:numPr>
        <w:kinsoku/>
        <w:wordWrap/>
        <w:overflowPunct/>
        <w:bidi w:val="0"/>
        <w:adjustRightInd/>
        <w:snapToGrid/>
        <w:spacing w:before="0" w:line="56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焦环罚〔2026〕</w:t>
      </w:r>
      <w:r>
        <w:rPr>
          <w:rFonts w:hint="eastAsia" w:ascii="CESI仿宋-GB2312" w:hAnsi="CESI仿宋-GB2312" w:eastAsia="CESI仿宋-GB2312" w:cs="CESI仿宋-GB2312"/>
          <w:color w:val="000000"/>
          <w:sz w:val="32"/>
          <w:szCs w:val="32"/>
          <w:u w:val="none" w:color="auto"/>
          <w:lang w:val="en-US" w:eastAsia="zh"/>
        </w:rPr>
        <w:t>147</w:t>
      </w:r>
      <w:r>
        <w:rPr>
          <w:rFonts w:hint="eastAsia" w:ascii="CESI仿宋-GB2312" w:hAnsi="CESI仿宋-GB2312" w:eastAsia="CESI仿宋-GB2312" w:cs="CESI仿宋-GB2312"/>
          <w:color w:val="000000"/>
          <w:sz w:val="32"/>
          <w:szCs w:val="32"/>
          <w:u w:val="none" w:color="auto"/>
          <w:lang w:val="en-US" w:eastAsia="zh-CN"/>
        </w:rPr>
        <w:t>号</w:t>
      </w:r>
    </w:p>
    <w:p w14:paraId="207670FC">
      <w:pPr>
        <w:keepNext w:val="0"/>
        <w:keepLines w:val="0"/>
        <w:pageBreakBefore w:val="0"/>
        <w:widowControl w:val="0"/>
        <w:numPr>
          <w:ilvl w:val="0"/>
          <w:numId w:val="0"/>
        </w:numPr>
        <w:kinsoku/>
        <w:wordWrap/>
        <w:overflowPunct/>
        <w:bidi w:val="0"/>
        <w:adjustRightInd/>
        <w:snapToGrid/>
        <w:spacing w:before="0" w:line="56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51CCA0D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仿宋_GB2312" w:hAnsi="仿宋_GB2312" w:eastAsia="仿宋_GB2312" w:cs="仿宋_GB2312"/>
          <w:b w:val="0"/>
          <w:color w:val="auto"/>
          <w:sz w:val="32"/>
          <w:szCs w:val="32"/>
          <w:lang w:val="en-US" w:eastAsia="zh-CN"/>
        </w:rPr>
        <w:t>焦手社</w:t>
      </w:r>
      <w:r>
        <w:rPr>
          <w:rFonts w:hint="eastAsia" w:ascii="CESI仿宋-GB2312" w:hAnsi="CESI仿宋-GB2312" w:eastAsia="CESI仿宋-GB2312" w:cs="CESI仿宋-GB2312"/>
          <w:b w:val="0"/>
          <w:bCs w:val="0"/>
          <w:color w:val="auto"/>
          <w:sz w:val="32"/>
          <w:szCs w:val="32"/>
          <w:lang w:val="en-US" w:eastAsia="zh-CN"/>
        </w:rPr>
        <w:t>：</w:t>
      </w:r>
    </w:p>
    <w:p w14:paraId="07B952FC">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textAlignment w:val="auto"/>
        <w:rPr>
          <w:rFonts w:hint="default"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身份证号码：1405</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b w:val="0"/>
          <w:bCs w:val="0"/>
          <w:color w:val="auto"/>
          <w:sz w:val="32"/>
          <w:szCs w:val="32"/>
          <w:lang w:val="en-US" w:eastAsia="zh-CN"/>
        </w:rPr>
        <w:t>6042</w:t>
      </w:r>
      <w:r>
        <w:rPr>
          <w:rFonts w:hint="eastAsia" w:ascii="CESI仿宋-GB2312" w:hAnsi="CESI仿宋-GB2312" w:eastAsia="CESI仿宋-GB2312" w:cs="CESI仿宋-GB2312"/>
          <w:color w:val="000000"/>
          <w:sz w:val="32"/>
          <w:szCs w:val="32"/>
          <w:lang w:val="en-US" w:eastAsia="zh-CN"/>
        </w:rPr>
        <w:t>*****</w:t>
      </w:r>
    </w:p>
    <w:p w14:paraId="5497271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textAlignment w:val="auto"/>
        <w:rPr>
          <w:rFonts w:hint="default"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住址：山西省泽州县</w:t>
      </w:r>
      <w:r>
        <w:rPr>
          <w:rFonts w:hint="eastAsia" w:ascii="CESI仿宋-GB2312" w:hAnsi="CESI仿宋-GB2312" w:eastAsia="CESI仿宋-GB2312" w:cs="CESI仿宋-GB2312"/>
          <w:color w:val="000000"/>
          <w:sz w:val="32"/>
          <w:szCs w:val="32"/>
          <w:lang w:val="en-US" w:eastAsia="zh-CN"/>
        </w:rPr>
        <w:t>*****</w:t>
      </w:r>
    </w:p>
    <w:p w14:paraId="6EC4CF45">
      <w:pPr>
        <w:keepNext w:val="0"/>
        <w:keepLines w:val="0"/>
        <w:pageBreakBefore w:val="0"/>
        <w:widowControl w:val="0"/>
        <w:kinsoku/>
        <w:wordWrap/>
        <w:overflowPunct/>
        <w:topLinePunct w:val="0"/>
        <w:autoSpaceDE/>
        <w:autoSpaceDN/>
        <w:bidi w:val="0"/>
        <w:spacing w:line="560" w:lineRule="exact"/>
        <w:ind w:left="0" w:firstLine="624" w:firstLineChars="200"/>
        <w:rPr>
          <w:rFonts w:hint="eastAsia" w:ascii="仿宋_GB2312" w:hAnsi="仿宋_GB2312" w:eastAsia="仿宋_GB2312" w:cs="仿宋_GB2312"/>
          <w:sz w:val="28"/>
          <w:szCs w:val="28"/>
        </w:rPr>
      </w:pPr>
      <w:bookmarkStart w:id="0" w:name="_GoBack"/>
      <w:bookmarkEnd w:id="0"/>
      <w:r>
        <w:rPr>
          <w:rFonts w:hint="eastAsia" w:ascii="黑体" w:hAnsi="黑体" w:eastAsia="黑体" w:cs="黑体"/>
          <w:spacing w:val="-4"/>
          <w:sz w:val="32"/>
          <w:szCs w:val="32"/>
        </w:rPr>
        <w:t>一、环境违法事实和证据</w:t>
      </w:r>
    </w:p>
    <w:p w14:paraId="1B1AB1A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2026年3月26日，焦作市生态环境局执法人员在对沁阳市西万镇煤炭园区一空闲大院现场检查时，发现机械型号XG98551IIIL发动机型号220的国二装载机正在作业，该车排放阶段为国二,正在作业的地点位于沁阳市非道路移动机械禁用区（西万镇）。</w:t>
      </w:r>
    </w:p>
    <w:p w14:paraId="72427B9E">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焦作市生态环境局沁阳分局现场委托河南兴鹏检测服务中心对正在使用的机械型号XG98551IIIL发动机型号220的国二装载机进行检测，结果显示该装载时机在自由加载情况下，三次检验该装载机排放的尾气排放值分别为：第一次2.85m</w:t>
      </w:r>
      <w:r>
        <w:rPr>
          <w:rFonts w:hint="eastAsia" w:ascii="CESI仿宋-GB2312" w:hAnsi="CESI仿宋-GB2312" w:eastAsia="CESI仿宋-GB2312" w:cs="CESI仿宋-GB2312"/>
          <w:b w:val="0"/>
          <w:bCs w:val="0"/>
          <w:color w:val="auto"/>
          <w:sz w:val="32"/>
          <w:szCs w:val="32"/>
          <w:vertAlign w:val="superscript"/>
          <w:lang w:val="en-US" w:eastAsia="zh-CN"/>
        </w:rPr>
        <w:t>-1</w:t>
      </w:r>
      <w:r>
        <w:rPr>
          <w:rFonts w:hint="eastAsia" w:ascii="CESI仿宋-GB2312" w:hAnsi="CESI仿宋-GB2312" w:eastAsia="CESI仿宋-GB2312" w:cs="CESI仿宋-GB2312"/>
          <w:b w:val="0"/>
          <w:bCs w:val="0"/>
          <w:color w:val="auto"/>
          <w:sz w:val="32"/>
          <w:szCs w:val="32"/>
          <w:lang w:val="en-US" w:eastAsia="zh-CN"/>
        </w:rPr>
        <w:t>，第二次0.82m</w:t>
      </w:r>
      <w:r>
        <w:rPr>
          <w:rFonts w:hint="eastAsia" w:ascii="CESI仿宋-GB2312" w:hAnsi="CESI仿宋-GB2312" w:eastAsia="CESI仿宋-GB2312" w:cs="CESI仿宋-GB2312"/>
          <w:b w:val="0"/>
          <w:bCs w:val="0"/>
          <w:color w:val="auto"/>
          <w:sz w:val="32"/>
          <w:szCs w:val="32"/>
          <w:vertAlign w:val="superscript"/>
          <w:lang w:val="en-US" w:eastAsia="zh-CN"/>
        </w:rPr>
        <w:t>-1</w:t>
      </w:r>
      <w:r>
        <w:rPr>
          <w:rFonts w:hint="eastAsia" w:ascii="CESI仿宋-GB2312" w:hAnsi="CESI仿宋-GB2312" w:eastAsia="CESI仿宋-GB2312" w:cs="CESI仿宋-GB2312"/>
          <w:b w:val="0"/>
          <w:bCs w:val="0"/>
          <w:color w:val="auto"/>
          <w:sz w:val="32"/>
          <w:szCs w:val="32"/>
          <w:lang w:val="en-US" w:eastAsia="zh-CN"/>
        </w:rPr>
        <w:t>，第三次0.01m</w:t>
      </w:r>
      <w:r>
        <w:rPr>
          <w:rFonts w:hint="eastAsia" w:ascii="CESI仿宋-GB2312" w:hAnsi="CESI仿宋-GB2312" w:eastAsia="CESI仿宋-GB2312" w:cs="CESI仿宋-GB2312"/>
          <w:b w:val="0"/>
          <w:bCs w:val="0"/>
          <w:color w:val="auto"/>
          <w:sz w:val="32"/>
          <w:szCs w:val="32"/>
          <w:vertAlign w:val="superscript"/>
          <w:lang w:val="en-US" w:eastAsia="zh-CN"/>
        </w:rPr>
        <w:t>-1</w:t>
      </w:r>
      <w:r>
        <w:rPr>
          <w:rFonts w:hint="eastAsia" w:ascii="CESI仿宋-GB2312" w:hAnsi="CESI仿宋-GB2312" w:eastAsia="CESI仿宋-GB2312" w:cs="CESI仿宋-GB2312"/>
          <w:b w:val="0"/>
          <w:bCs w:val="0"/>
          <w:color w:val="auto"/>
          <w:sz w:val="32"/>
          <w:szCs w:val="32"/>
          <w:lang w:val="en-US" w:eastAsia="zh-CN"/>
        </w:rPr>
        <w:t>，自由加载三次检验结果最大值为2.85m</w:t>
      </w:r>
      <w:r>
        <w:rPr>
          <w:rFonts w:hint="eastAsia" w:ascii="CESI仿宋-GB2312" w:hAnsi="CESI仿宋-GB2312" w:eastAsia="CESI仿宋-GB2312" w:cs="CESI仿宋-GB2312"/>
          <w:b w:val="0"/>
          <w:bCs w:val="0"/>
          <w:color w:val="auto"/>
          <w:sz w:val="32"/>
          <w:szCs w:val="32"/>
          <w:vertAlign w:val="superscript"/>
          <w:lang w:val="en-US" w:eastAsia="zh-CN"/>
        </w:rPr>
        <w:t>-1</w:t>
      </w:r>
      <w:r>
        <w:rPr>
          <w:rFonts w:hint="eastAsia" w:ascii="CESI仿宋-GB2312" w:hAnsi="CESI仿宋-GB2312" w:eastAsia="CESI仿宋-GB2312" w:cs="CESI仿宋-GB2312"/>
          <w:b w:val="0"/>
          <w:bCs w:val="0"/>
          <w:color w:val="auto"/>
          <w:sz w:val="32"/>
          <w:szCs w:val="32"/>
          <w:lang w:val="en-US" w:eastAsia="zh-CN"/>
        </w:rPr>
        <w:t>，排放限值是：0.5m</w:t>
      </w:r>
      <w:r>
        <w:rPr>
          <w:rFonts w:hint="eastAsia" w:ascii="CESI仿宋-GB2312" w:hAnsi="CESI仿宋-GB2312" w:eastAsia="CESI仿宋-GB2312" w:cs="CESI仿宋-GB2312"/>
          <w:b w:val="0"/>
          <w:bCs w:val="0"/>
          <w:color w:val="auto"/>
          <w:sz w:val="32"/>
          <w:szCs w:val="32"/>
          <w:vertAlign w:val="superscript"/>
          <w:lang w:val="en-US" w:eastAsia="zh-CN"/>
        </w:rPr>
        <w:t>-1</w:t>
      </w:r>
      <w:r>
        <w:rPr>
          <w:rFonts w:hint="eastAsia" w:ascii="CESI仿宋-GB2312" w:hAnsi="CESI仿宋-GB2312" w:eastAsia="CESI仿宋-GB2312" w:cs="CESI仿宋-GB2312"/>
          <w:b w:val="0"/>
          <w:bCs w:val="0"/>
          <w:color w:val="auto"/>
          <w:sz w:val="32"/>
          <w:szCs w:val="32"/>
          <w:lang w:val="en-US" w:eastAsia="zh-CN"/>
        </w:rPr>
        <w:t>，结果判定为：不合格。</w:t>
      </w:r>
    </w:p>
    <w:p w14:paraId="5CC011C4">
      <w:pPr>
        <w:pStyle w:val="6"/>
        <w:keepNext w:val="0"/>
        <w:keepLines w:val="0"/>
        <w:pageBreakBefore w:val="0"/>
        <w:widowControl w:val="0"/>
        <w:kinsoku/>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0E77530C">
      <w:pPr>
        <w:pStyle w:val="6"/>
        <w:keepNext w:val="0"/>
        <w:keepLines w:val="0"/>
        <w:pageBreakBefore w:val="0"/>
        <w:widowControl w:val="0"/>
        <w:kinsoku/>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1AFEE23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1.现场检查（勘察）笔录及现场照片/视频（2026年3月26日），证明焦手社使用装载机正在禁用区作业的事实；</w:t>
      </w:r>
    </w:p>
    <w:p w14:paraId="0C9B947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2.调查询问笔录（2026年3月26日对焦手社的调查询问），证明张贵林使用装载机（国二）排放不合格的事实；</w:t>
      </w:r>
    </w:p>
    <w:p w14:paraId="220B3A9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3.身份证复印件，证明被询问人焦手社的身份信息；</w:t>
      </w:r>
    </w:p>
    <w:p w14:paraId="4671CFE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4.河南兴鹏检测服务中心的检测报告，证明焦手社使用的非道路移动机械尾气排放值不合格;</w:t>
      </w:r>
    </w:p>
    <w:p w14:paraId="4A8B2E2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5.执法人员的执法证复印，证明执法人员的身份和资格；</w:t>
      </w:r>
    </w:p>
    <w:p w14:paraId="7237732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6.河南兴鹏检测服务中心检测人员的上岗证，证明现场检测人员的检测资质；</w:t>
      </w:r>
    </w:p>
    <w:p w14:paraId="5A0EF73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7.沁阳市人民政府关于调整高排放非道路移动机械禁用区的通告，证明西万镇列入沁阳市非道路移动机械禁用区的范围；</w:t>
      </w:r>
    </w:p>
    <w:p w14:paraId="25B220A0">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8.其他证据。</w:t>
      </w:r>
    </w:p>
    <w:p w14:paraId="45799DAE">
      <w:pPr>
        <w:keepNext w:val="0"/>
        <w:keepLines w:val="0"/>
        <w:pageBreakBefore w:val="0"/>
        <w:widowControl w:val="0"/>
        <w:kinsoku/>
        <w:wordWrap/>
        <w:overflowPunct/>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4</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20</w:t>
      </w:r>
      <w:r>
        <w:rPr>
          <w:rFonts w:hint="eastAsia" w:ascii="CESI仿宋-GB2312" w:hAnsi="CESI仿宋-GB2312" w:eastAsia="CESI仿宋-GB2312" w:cs="CESI仿宋-GB2312"/>
          <w:color w:val="auto"/>
          <w:sz w:val="32"/>
          <w:szCs w:val="32"/>
          <w:lang w:val="en-US" w:eastAsia="en-US"/>
        </w:rPr>
        <w:t>日直接送达《行政处罚事先</w:t>
      </w:r>
      <w:r>
        <w:rPr>
          <w:rFonts w:hint="eastAsia" w:ascii="CESI仿宋-GB2312" w:hAnsi="CESI仿宋-GB2312" w:eastAsia="CESI仿宋-GB2312" w:cs="CESI仿宋-GB2312"/>
          <w:color w:val="auto"/>
          <w:sz w:val="32"/>
          <w:szCs w:val="32"/>
          <w:lang w:val="en-US" w:eastAsia="zh-CN"/>
        </w:rPr>
        <w:t>（听证）</w:t>
      </w:r>
      <w:r>
        <w:rPr>
          <w:rFonts w:hint="eastAsia" w:ascii="CESI仿宋-GB2312" w:hAnsi="CESI仿宋-GB2312" w:eastAsia="CESI仿宋-GB2312" w:cs="CESI仿宋-GB2312"/>
          <w:color w:val="auto"/>
          <w:sz w:val="32"/>
          <w:szCs w:val="32"/>
          <w:lang w:val="en-US" w:eastAsia="en-US"/>
        </w:rPr>
        <w:t>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26</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snapToGrid w:val="0"/>
          <w:color w:val="auto"/>
          <w:kern w:val="0"/>
          <w:sz w:val="32"/>
          <w:szCs w:val="32"/>
          <w:lang w:val="en-US" w:eastAsia="en-US"/>
        </w:rPr>
        <w:t>你</w:t>
      </w:r>
      <w:r>
        <w:rPr>
          <w:rFonts w:hint="eastAsia" w:ascii="CESI仿宋-GB2312" w:hAnsi="CESI仿宋-GB2312" w:eastAsia="CESI仿宋-GB2312" w:cs="CESI仿宋-GB2312"/>
          <w:snapToGrid w:val="0"/>
          <w:color w:val="auto"/>
          <w:kern w:val="0"/>
          <w:sz w:val="32"/>
          <w:szCs w:val="32"/>
          <w:lang w:val="en-US" w:eastAsia="zh-CN"/>
        </w:rPr>
        <w:t>在</w:t>
      </w:r>
      <w:r>
        <w:rPr>
          <w:rFonts w:hint="eastAsia" w:ascii="CESI仿宋-GB2312" w:hAnsi="CESI仿宋-GB2312" w:eastAsia="CESI仿宋-GB2312" w:cs="CESI仿宋-GB2312"/>
          <w:snapToGrid w:val="0"/>
          <w:color w:val="auto"/>
          <w:kern w:val="0"/>
          <w:sz w:val="32"/>
          <w:szCs w:val="32"/>
          <w:lang w:val="en-US" w:eastAsia="en-US"/>
        </w:rPr>
        <w:t>法定期限内未提出陈述申辩，也未要求听证</w:t>
      </w:r>
      <w:r>
        <w:rPr>
          <w:rFonts w:hint="eastAsia" w:ascii="CESI仿宋-GB2312" w:hAnsi="CESI仿宋-GB2312" w:eastAsia="CESI仿宋-GB2312" w:cs="CESI仿宋-GB2312"/>
          <w:snapToGrid w:val="0"/>
          <w:color w:val="auto"/>
          <w:kern w:val="0"/>
          <w:sz w:val="32"/>
          <w:szCs w:val="32"/>
          <w:lang w:val="en-US" w:eastAsia="zh-CN"/>
        </w:rPr>
        <w:t>，视为你放弃</w:t>
      </w:r>
      <w:r>
        <w:rPr>
          <w:rFonts w:hint="eastAsia" w:ascii="CESI仿宋-GB2312" w:hAnsi="CESI仿宋-GB2312" w:eastAsia="CESI仿宋-GB2312" w:cs="CESI仿宋-GB2312"/>
          <w:snapToGrid w:val="0"/>
          <w:color w:val="auto"/>
          <w:kern w:val="0"/>
          <w:sz w:val="32"/>
          <w:szCs w:val="32"/>
          <w:lang w:val="en-US" w:eastAsia="en-US"/>
        </w:rPr>
        <w:t>陈述申辩</w:t>
      </w:r>
      <w:r>
        <w:rPr>
          <w:rFonts w:hint="eastAsia" w:ascii="CESI仿宋-GB2312" w:hAnsi="CESI仿宋-GB2312" w:eastAsia="CESI仿宋-GB2312" w:cs="CESI仿宋-GB2312"/>
          <w:snapToGrid w:val="0"/>
          <w:color w:val="auto"/>
          <w:kern w:val="0"/>
          <w:sz w:val="32"/>
          <w:szCs w:val="32"/>
          <w:lang w:val="en-US" w:eastAsia="zh-CN"/>
        </w:rPr>
        <w:t>和</w:t>
      </w:r>
      <w:r>
        <w:rPr>
          <w:rFonts w:hint="eastAsia" w:ascii="CESI仿宋-GB2312" w:hAnsi="CESI仿宋-GB2312" w:eastAsia="CESI仿宋-GB2312" w:cs="CESI仿宋-GB2312"/>
          <w:snapToGrid w:val="0"/>
          <w:color w:val="auto"/>
          <w:kern w:val="0"/>
          <w:sz w:val="32"/>
          <w:szCs w:val="32"/>
          <w:lang w:val="en-US" w:eastAsia="en-US"/>
        </w:rPr>
        <w:t>听</w:t>
      </w:r>
      <w:r>
        <w:rPr>
          <w:rFonts w:hint="eastAsia" w:ascii="CESI仿宋-GB2312" w:hAnsi="CESI仿宋-GB2312" w:eastAsia="CESI仿宋-GB2312" w:cs="CESI仿宋-GB2312"/>
          <w:snapToGrid w:val="0"/>
          <w:color w:val="auto"/>
          <w:kern w:val="0"/>
          <w:sz w:val="32"/>
          <w:szCs w:val="32"/>
          <w:lang w:val="en-US" w:eastAsia="zh-CN"/>
        </w:rPr>
        <w:t>证权利。</w:t>
      </w:r>
    </w:p>
    <w:p w14:paraId="2724DC00">
      <w:pPr>
        <w:keepNext w:val="0"/>
        <w:keepLines w:val="0"/>
        <w:pageBreakBefore w:val="0"/>
        <w:widowControl w:val="0"/>
        <w:tabs>
          <w:tab w:val="left" w:pos="300"/>
          <w:tab w:val="center" w:pos="4365"/>
          <w:tab w:val="left" w:pos="6345"/>
        </w:tabs>
        <w:kinsoku/>
        <w:wordWrap/>
        <w:overflowPunct/>
        <w:bidi w:val="0"/>
        <w:adjustRightInd/>
        <w:snapToGrid/>
        <w:spacing w:line="56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22B2EE7E">
      <w:pPr>
        <w:pStyle w:val="6"/>
        <w:keepNext w:val="0"/>
        <w:keepLines w:val="0"/>
        <w:pageBreakBefore w:val="0"/>
        <w:widowControl w:val="0"/>
        <w:kinsoku/>
        <w:wordWrap w:val="0"/>
        <w:overflowPunct/>
        <w:topLinePunct/>
        <w:bidi w:val="0"/>
        <w:adjustRightInd/>
        <w:snapToGrid/>
        <w:spacing w:before="0" w:beforeAutospacing="0" w:after="0" w:afterAutospacing="0" w:line="580" w:lineRule="exact"/>
        <w:ind w:left="0" w:leftChars="0" w:right="0" w:firstLine="640" w:firstLineChars="200"/>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违法行为的事实、性质、情节、社会危害程度和相关证据，参照《河南省生态环境行政处罚裁量基准》</w:t>
      </w:r>
      <w:r>
        <w:rPr>
          <w:rFonts w:hint="eastAsia"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规定，处罚</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内容如下</w:t>
      </w:r>
      <w:r>
        <w:rPr>
          <w:rFonts w:hint="eastAsia" w:ascii="CESI仿宋-GB2312" w:hAnsi="CESI仿宋-GB2312" w:eastAsia="CESI仿宋-GB2312" w:cs="CESI仿宋-GB2312"/>
          <w:color w:val="auto"/>
          <w:sz w:val="32"/>
          <w:szCs w:val="32"/>
          <w:lang w:val="en-US" w:eastAsia="en-US"/>
        </w:rPr>
        <w:t>：裁量因素：非道路移动机械数量，判断标准：1台，裁量等级：1，裁量因素：违法行为发生时期环境敏感度，判断标准：一般期间，裁量等级：1；裁量因素：超过期限改正时间，判断标准：限期改正，裁量等级：1；裁量因素：受处罚次数，判断标准：两年内未受到过同类处罚，裁量等级：1；裁量因素：是否配合执法检查，判断标准：配合调查，裁量等级：1。法定处罚金额上限(M)：20000，法定处罚金额下限(N)：5000，首要裁量因素裁量等级(A)：1，其余裁量因素个数(n)：4，其余裁量因素裁量等级(Bi)：[1,1,1,1],处罚金额(X)：5600,代入公式：</w:t>
      </w:r>
    </w:p>
    <w:p w14:paraId="62DE3EFB">
      <w:pPr>
        <w:pStyle w:val="6"/>
        <w:keepNext w:val="0"/>
        <w:keepLines w:val="0"/>
        <w:pageBreakBefore w:val="0"/>
        <w:widowControl w:val="0"/>
        <w:kinsoku/>
        <w:wordWrap w:val="0"/>
        <w:overflowPunct/>
        <w:topLinePunct/>
        <w:bidi w:val="0"/>
        <w:adjustRightInd/>
        <w:snapToGrid/>
        <w:spacing w:before="0" w:beforeAutospacing="0" w:after="0" w:afterAutospacing="0" w:line="580" w:lineRule="exact"/>
        <w:ind w:right="0"/>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5600=5000+(20000-5000)x[(1/5)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x4)]x50%，最终裁量金额：5600元。</w:t>
      </w:r>
    </w:p>
    <w:p w14:paraId="3183A83D">
      <w:pPr>
        <w:keepNext w:val="0"/>
        <w:keepLines w:val="0"/>
        <w:pageBreakBefore w:val="0"/>
        <w:widowControl w:val="0"/>
        <w:numPr>
          <w:ilvl w:val="0"/>
          <w:numId w:val="0"/>
        </w:numPr>
        <w:tabs>
          <w:tab w:val="left" w:pos="300"/>
          <w:tab w:val="center" w:pos="4365"/>
          <w:tab w:val="left" w:pos="6345"/>
        </w:tabs>
        <w:kinsoku/>
        <w:wordWrap/>
        <w:overflowPunct/>
        <w:bidi w:val="0"/>
        <w:adjustRightInd/>
        <w:snapToGrid/>
        <w:spacing w:line="58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b w:val="0"/>
          <w:bCs w:val="0"/>
          <w:color w:val="auto"/>
          <w:kern w:val="2"/>
          <w:sz w:val="32"/>
          <w:szCs w:val="32"/>
          <w:lang w:val="en-US" w:eastAsia="zh-CN" w:bidi="ar-SA"/>
        </w:rPr>
        <w:t>我局对你在禁用区使用高排放的非道路移动机械的违法行为作出如下处理决定：</w:t>
      </w:r>
    </w:p>
    <w:p w14:paraId="43A0B1C9">
      <w:pPr>
        <w:keepNext w:val="0"/>
        <w:keepLines w:val="0"/>
        <w:pageBreakBefore w:val="0"/>
        <w:widowControl w:val="0"/>
        <w:tabs>
          <w:tab w:val="left" w:pos="300"/>
          <w:tab w:val="center" w:pos="4365"/>
          <w:tab w:val="left" w:pos="6345"/>
        </w:tabs>
        <w:kinsoku/>
        <w:wordWrap/>
        <w:overflowPunct/>
        <w:bidi w:val="0"/>
        <w:adjustRightInd/>
        <w:snapToGrid/>
        <w:spacing w:line="580" w:lineRule="exact"/>
        <w:ind w:left="0" w:leftChars="0" w:right="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给予罚款伍仟陆佰元（5600元）的行政处罚。</w:t>
      </w:r>
    </w:p>
    <w:p w14:paraId="75D2059C">
      <w:pPr>
        <w:keepNext w:val="0"/>
        <w:keepLines w:val="0"/>
        <w:pageBreakBefore w:val="0"/>
        <w:widowControl w:val="0"/>
        <w:numPr>
          <w:ilvl w:val="0"/>
          <w:numId w:val="0"/>
        </w:numPr>
        <w:kinsoku/>
        <w:wordWrap/>
        <w:overflowPunct/>
        <w:bidi w:val="0"/>
        <w:adjustRightInd/>
        <w:snapToGrid/>
        <w:spacing w:line="58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p>
    <w:p w14:paraId="66BB81E4">
      <w:pPr>
        <w:keepNext w:val="0"/>
        <w:keepLines w:val="0"/>
        <w:pageBreakBefore w:val="0"/>
        <w:widowControl w:val="0"/>
        <w:numPr>
          <w:ilvl w:val="0"/>
          <w:numId w:val="0"/>
        </w:numPr>
        <w:kinsoku/>
        <w:wordWrap/>
        <w:overflowPunct/>
        <w:bidi w:val="0"/>
        <w:adjustRightInd/>
        <w:snapToGrid/>
        <w:spacing w:line="580" w:lineRule="exact"/>
        <w:ind w:left="0" w:leftChars="0" w:right="0" w:firstLine="640" w:firstLineChars="200"/>
        <w:jc w:val="both"/>
        <w:textAlignment w:val="auto"/>
        <w:outlineLvl w:val="9"/>
        <w:rPr>
          <w:rFonts w:hint="eastAsia" w:ascii="黑体" w:hAnsi="黑体" w:eastAsia="黑体" w:cs="黑体"/>
          <w:snapToGrid w:val="0"/>
          <w:color w:val="000000"/>
          <w:spacing w:val="-4"/>
          <w:kern w:val="0"/>
          <w:sz w:val="32"/>
          <w:szCs w:val="32"/>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45BABB3B">
      <w:pPr>
        <w:keepNext w:val="0"/>
        <w:keepLines w:val="0"/>
        <w:pageBreakBefore w:val="0"/>
        <w:widowControl w:val="0"/>
        <w:kinsoku/>
        <w:wordWrap/>
        <w:overflowPunct/>
        <w:autoSpaceDE w:val="0"/>
        <w:autoSpaceDN w:val="0"/>
        <w:bidi w:val="0"/>
        <w:adjustRightInd w:val="0"/>
        <w:snapToGrid w:val="0"/>
        <w:spacing w:line="56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06224D65">
      <w:pPr>
        <w:keepNext w:val="0"/>
        <w:keepLines w:val="0"/>
        <w:pageBreakBefore w:val="0"/>
        <w:widowControl w:val="0"/>
        <w:kinsoku/>
        <w:wordWrap/>
        <w:overflowPunct/>
        <w:bidi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6336989A">
      <w:pPr>
        <w:keepNext w:val="0"/>
        <w:keepLines w:val="0"/>
        <w:pageBreakBefore w:val="0"/>
        <w:widowControl w:val="0"/>
        <w:numPr>
          <w:ilvl w:val="0"/>
          <w:numId w:val="0"/>
        </w:numPr>
        <w:kinsoku/>
        <w:wordWrap/>
        <w:overflowPunct/>
        <w:bidi w:val="0"/>
        <w:adjustRightInd/>
        <w:snapToGrid/>
        <w:spacing w:before="0" w:line="56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63FFCB7D">
      <w:pPr>
        <w:keepNext w:val="0"/>
        <w:keepLines w:val="0"/>
        <w:pageBreakBefore w:val="0"/>
        <w:widowControl w:val="0"/>
        <w:numPr>
          <w:ilvl w:val="0"/>
          <w:numId w:val="0"/>
        </w:numPr>
        <w:kinsoku/>
        <w:wordWrap/>
        <w:overflowPunct/>
        <w:bidi w:val="0"/>
        <w:adjustRightInd/>
        <w:snapToGrid/>
        <w:spacing w:before="0" w:line="560" w:lineRule="exact"/>
        <w:ind w:left="0" w:leftChars="0" w:right="0" w:firstLine="4160" w:firstLineChars="13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741F431C">
      <w:pPr>
        <w:pStyle w:val="2"/>
        <w:keepNext w:val="0"/>
        <w:keepLines w:val="0"/>
        <w:pageBreakBefore w:val="0"/>
        <w:widowControl w:val="0"/>
        <w:kinsoku/>
        <w:wordWrap/>
        <w:overflowPunct/>
        <w:bidi w:val="0"/>
        <w:spacing w:after="0" w:line="560" w:lineRule="exact"/>
        <w:ind w:left="0" w:leftChars="0"/>
        <w:rPr>
          <w:rFonts w:hint="eastAsia" w:ascii="CESI仿宋-GB2312" w:hAnsi="CESI仿宋-GB2312" w:eastAsia="CESI仿宋-GB2312" w:cs="CESI仿宋-GB2312"/>
          <w:color w:val="auto"/>
          <w:sz w:val="32"/>
          <w:szCs w:val="32"/>
          <w:lang w:val="en-US" w:eastAsia="zh-CN"/>
        </w:rPr>
      </w:pPr>
    </w:p>
    <w:p w14:paraId="67E34FAE">
      <w:pPr>
        <w:keepNext w:val="0"/>
        <w:keepLines w:val="0"/>
        <w:pageBreakBefore w:val="0"/>
        <w:widowControl w:val="0"/>
        <w:numPr>
          <w:ilvl w:val="0"/>
          <w:numId w:val="0"/>
        </w:numPr>
        <w:kinsoku/>
        <w:wordWrap/>
        <w:overflowPunct/>
        <w:bidi w:val="0"/>
        <w:adjustRightInd/>
        <w:snapToGrid/>
        <w:spacing w:before="0" w:line="560" w:lineRule="exact"/>
        <w:ind w:left="0" w:leftChars="0" w:right="0" w:firstLine="5440" w:firstLineChars="17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2026年5月14日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04995B-C08E-4699-8C32-C628660C6D0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C38A4623-1DB0-4A3E-BF9C-C2CCC63F794D}"/>
  </w:font>
  <w:font w:name="CESI仿宋-GB2312">
    <w:altName w:val="仿宋"/>
    <w:panose1 w:val="02000500000000000000"/>
    <w:charset w:val="86"/>
    <w:family w:val="auto"/>
    <w:pitch w:val="default"/>
    <w:sig w:usb0="00000000" w:usb1="00000000" w:usb2="00000010" w:usb3="00000000" w:csb0="0004000F" w:csb1="00000000"/>
    <w:embedRegular r:id="rId3" w:fontKey="{600A82C5-3F55-4AA4-83C3-455DC9072CC3}"/>
  </w:font>
  <w:font w:name="仿宋_GB2312">
    <w:altName w:val="仿宋"/>
    <w:panose1 w:val="02010609030101010101"/>
    <w:charset w:val="86"/>
    <w:family w:val="auto"/>
    <w:pitch w:val="default"/>
    <w:sig w:usb0="00000000" w:usb1="00000000" w:usb2="00000000" w:usb3="00000000" w:csb0="00040000" w:csb1="00000000"/>
    <w:embedRegular r:id="rId4" w:fontKey="{92AADF91-AC64-4931-8FA8-3601C8A6058C}"/>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5923C3">
    <w:pPr>
      <w:pStyle w:val="5"/>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07680381">
                <w:pPr>
                  <w:pStyle w:val="5"/>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4070E84"/>
    <w:rsid w:val="04795A27"/>
    <w:rsid w:val="06DB5F0F"/>
    <w:rsid w:val="0870581B"/>
    <w:rsid w:val="097A7FD3"/>
    <w:rsid w:val="0B963B10"/>
    <w:rsid w:val="0D27212E"/>
    <w:rsid w:val="0D755681"/>
    <w:rsid w:val="142938DC"/>
    <w:rsid w:val="14CE6FB2"/>
    <w:rsid w:val="15604A5E"/>
    <w:rsid w:val="15861263"/>
    <w:rsid w:val="164A75BB"/>
    <w:rsid w:val="169545F4"/>
    <w:rsid w:val="17516817"/>
    <w:rsid w:val="17BC0000"/>
    <w:rsid w:val="19F263F5"/>
    <w:rsid w:val="1AB25442"/>
    <w:rsid w:val="1BF97792"/>
    <w:rsid w:val="1C72149E"/>
    <w:rsid w:val="1D640352"/>
    <w:rsid w:val="20002274"/>
    <w:rsid w:val="22066450"/>
    <w:rsid w:val="22D43600"/>
    <w:rsid w:val="265F57EE"/>
    <w:rsid w:val="26FE1DEC"/>
    <w:rsid w:val="28C00B1B"/>
    <w:rsid w:val="29631905"/>
    <w:rsid w:val="29BA1194"/>
    <w:rsid w:val="2C7F1A65"/>
    <w:rsid w:val="2D7E4035"/>
    <w:rsid w:val="2DEE31AE"/>
    <w:rsid w:val="30B221FC"/>
    <w:rsid w:val="31DC5891"/>
    <w:rsid w:val="34C44175"/>
    <w:rsid w:val="37372B3C"/>
    <w:rsid w:val="37C16C4A"/>
    <w:rsid w:val="38194CD8"/>
    <w:rsid w:val="394713D0"/>
    <w:rsid w:val="3AEC462E"/>
    <w:rsid w:val="3B7AF637"/>
    <w:rsid w:val="3D864BBD"/>
    <w:rsid w:val="3F95733A"/>
    <w:rsid w:val="3FF75C58"/>
    <w:rsid w:val="42395E28"/>
    <w:rsid w:val="44320A04"/>
    <w:rsid w:val="458D1810"/>
    <w:rsid w:val="48EB2F0C"/>
    <w:rsid w:val="49647D7D"/>
    <w:rsid w:val="4ABF34BD"/>
    <w:rsid w:val="4AC46D25"/>
    <w:rsid w:val="4D2E2816"/>
    <w:rsid w:val="4DF96577"/>
    <w:rsid w:val="4F183ACA"/>
    <w:rsid w:val="509108A7"/>
    <w:rsid w:val="50E023DF"/>
    <w:rsid w:val="523D116B"/>
    <w:rsid w:val="54071DAE"/>
    <w:rsid w:val="55D63DB0"/>
    <w:rsid w:val="563E2A36"/>
    <w:rsid w:val="56D36B56"/>
    <w:rsid w:val="5761658A"/>
    <w:rsid w:val="5780200F"/>
    <w:rsid w:val="599E4BE5"/>
    <w:rsid w:val="5B183EB3"/>
    <w:rsid w:val="5BF3746A"/>
    <w:rsid w:val="5D796EED"/>
    <w:rsid w:val="5DA1443D"/>
    <w:rsid w:val="5F1B4729"/>
    <w:rsid w:val="5FABBC5E"/>
    <w:rsid w:val="636B3D8A"/>
    <w:rsid w:val="64BC23C3"/>
    <w:rsid w:val="66A47BB4"/>
    <w:rsid w:val="683F18F9"/>
    <w:rsid w:val="69494216"/>
    <w:rsid w:val="6DBC5D6D"/>
    <w:rsid w:val="6E2C1160"/>
    <w:rsid w:val="72693B8A"/>
    <w:rsid w:val="72EC6569"/>
    <w:rsid w:val="743A38AB"/>
    <w:rsid w:val="74A26099"/>
    <w:rsid w:val="74CA34D5"/>
    <w:rsid w:val="75210DC6"/>
    <w:rsid w:val="77DFE647"/>
    <w:rsid w:val="795F396C"/>
    <w:rsid w:val="7AF14014"/>
    <w:rsid w:val="7BBBC619"/>
    <w:rsid w:val="7D9C70D4"/>
    <w:rsid w:val="7E5B36C4"/>
    <w:rsid w:val="7F531E4A"/>
    <w:rsid w:val="7FFFCE14"/>
    <w:rsid w:val="B95785FC"/>
    <w:rsid w:val="BCF7A89D"/>
    <w:rsid w:val="DA7A938F"/>
    <w:rsid w:val="DBFBDFDA"/>
    <w:rsid w:val="DE7BB4C6"/>
    <w:rsid w:val="DE8926DB"/>
    <w:rsid w:val="E3F69ECD"/>
    <w:rsid w:val="E6DFA0D0"/>
    <w:rsid w:val="EB7FD019"/>
    <w:rsid w:val="EDDE8AD2"/>
    <w:rsid w:val="EF278855"/>
    <w:rsid w:val="EFFF4C1D"/>
    <w:rsid w:val="F5E9F07B"/>
    <w:rsid w:val="FB77714F"/>
    <w:rsid w:val="FBFF21A0"/>
    <w:rsid w:val="FDFFAF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4">
    <w:name w:val="Body Text"/>
    <w:basedOn w:val="1"/>
    <w:next w:val="1"/>
    <w:qFormat/>
    <w:uiPriority w:val="0"/>
    <w:pPr>
      <w:jc w:val="center"/>
    </w:pPr>
    <w:rPr>
      <w:rFonts w:ascii="华文中宋" w:eastAsia="华文中宋"/>
      <w:b/>
      <w:bCs/>
      <w:sz w:val="44"/>
      <w:szCs w:val="36"/>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1650</Words>
  <Characters>1865</Characters>
  <Lines>0</Lines>
  <Paragraphs>0</Paragraphs>
  <TotalTime>0</TotalTime>
  <ScaleCrop>false</ScaleCrop>
  <LinksUpToDate>false</LinksUpToDate>
  <CharactersWithSpaces>1865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2023-05-28T18:46:00Z</dcterms:created>
  <dc:creator>Administrator</dc:creator>
  <cp:lastModifiedBy>吴嘉嘉</cp:lastModifiedBy>
  <cp:lastPrinted>2026-05-14T16:07:00Z</cp:lastPrinted>
  <dcterms:modified xsi:type="dcterms:W3CDTF">2026-05-14T12:44:44Z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16B3BEB3B285484C8B25093799112899_13</vt:lpwstr>
  </property>
  <property fmtid="{D5CDD505-2E9C-101B-9397-08002B2CF9AE}" pid="4" name="KSOTemplateDocerSaveRecord">
    <vt:lpwstr>eyJoZGlkIjoiYmViMDNiNDM1M2UzNTJmYjI0MDE2NWRjMWI5MTc1YmMiLCJ1c2VySWQiOiI0MjYwNTU1MDYifQ==</vt:lpwstr>
  </property>
</Properties>
</file>