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solid" w:color="FFFFFF" w:fill="auto"/>
        <w:autoSpaceDN w:val="0"/>
        <w:spacing w:line="560" w:lineRule="atLeast"/>
        <w:jc w:val="center"/>
        <w:rPr>
          <w:rFonts w:ascii="方正小标宋简体" w:hAnsi="方正小标宋简体" w:eastAsia="方正小标宋简体"/>
          <w:color w:val="auto"/>
          <w:sz w:val="44"/>
          <w:shd w:val="clear" w:color="auto" w:fill="FFFFFF"/>
        </w:rPr>
      </w:pPr>
      <w:r>
        <w:rPr>
          <w:rFonts w:hint="eastAsia" w:ascii="方正小标宋简体" w:hAnsi="方正小标宋简体" w:eastAsia="方正小标宋简体"/>
          <w:color w:val="000000"/>
          <w:sz w:val="44"/>
          <w:shd w:val="clear" w:color="auto" w:fill="FFFFFF"/>
        </w:rPr>
        <w:t>焦作市生态环境局修武分局</w:t>
      </w:r>
      <w:r>
        <w:rPr>
          <w:rFonts w:ascii="方正小标宋简体" w:hAnsi="方正小标宋简体" w:eastAsia="方正小标宋简体"/>
          <w:color w:val="000000"/>
          <w:sz w:val="44"/>
          <w:shd w:val="clear" w:color="auto" w:fill="FFFFFF"/>
        </w:rPr>
        <w:t>关</w:t>
      </w:r>
      <w:r>
        <w:rPr>
          <w:rFonts w:ascii="方正小标宋简体" w:hAnsi="方正小标宋简体" w:eastAsia="方正小标宋简体"/>
          <w:color w:val="auto"/>
          <w:sz w:val="44"/>
          <w:shd w:val="clear" w:color="auto" w:fill="FFFFFF"/>
        </w:rPr>
        <w:t>于202</w:t>
      </w:r>
      <w:r>
        <w:rPr>
          <w:rFonts w:hint="eastAsia" w:ascii="方正小标宋简体" w:hAnsi="方正小标宋简体" w:eastAsia="方正小标宋简体"/>
          <w:color w:val="auto"/>
          <w:sz w:val="44"/>
          <w:shd w:val="clear" w:color="auto" w:fill="FFFFFF"/>
          <w:lang w:val="en-US" w:eastAsia="zh-CN"/>
        </w:rPr>
        <w:t>6</w:t>
      </w:r>
      <w:r>
        <w:rPr>
          <w:rFonts w:ascii="方正小标宋简体" w:hAnsi="方正小标宋简体" w:eastAsia="方正小标宋简体"/>
          <w:color w:val="auto"/>
          <w:sz w:val="44"/>
          <w:shd w:val="clear" w:color="auto" w:fill="FFFFFF"/>
        </w:rPr>
        <w:t>年</w:t>
      </w:r>
      <w:r>
        <w:rPr>
          <w:rFonts w:hint="eastAsia" w:ascii="方正小标宋简体" w:hAnsi="方正小标宋简体" w:eastAsia="方正小标宋简体"/>
          <w:color w:val="auto"/>
          <w:sz w:val="44"/>
          <w:shd w:val="clear" w:color="auto" w:fill="FFFFFF"/>
          <w:lang w:val="en-US" w:eastAsia="zh-CN"/>
        </w:rPr>
        <w:t>6</w:t>
      </w:r>
      <w:r>
        <w:rPr>
          <w:rFonts w:ascii="方正小标宋简体" w:hAnsi="方正小标宋简体" w:eastAsia="方正小标宋简体"/>
          <w:color w:val="auto"/>
          <w:sz w:val="44"/>
          <w:shd w:val="clear" w:color="auto" w:fill="FFFFFF"/>
        </w:rPr>
        <w:t>月</w:t>
      </w:r>
      <w:r>
        <w:rPr>
          <w:rFonts w:hint="eastAsia" w:ascii="方正小标宋简体" w:hAnsi="方正小标宋简体" w:eastAsia="方正小标宋简体"/>
          <w:color w:val="auto"/>
          <w:sz w:val="44"/>
          <w:shd w:val="clear" w:color="auto" w:fill="FFFFFF"/>
          <w:lang w:val="en-US" w:eastAsia="zh-CN"/>
        </w:rPr>
        <w:t>4</w:t>
      </w:r>
      <w:r>
        <w:rPr>
          <w:rFonts w:ascii="方正小标宋简体" w:hAnsi="方正小标宋简体" w:eastAsia="方正小标宋简体"/>
          <w:color w:val="auto"/>
          <w:sz w:val="44"/>
          <w:shd w:val="clear" w:color="auto" w:fill="FFFFFF"/>
        </w:rPr>
        <w:t>日</w:t>
      </w:r>
    </w:p>
    <w:p>
      <w:pPr>
        <w:shd w:val="solid" w:color="FFFFFF" w:fill="auto"/>
        <w:autoSpaceDN w:val="0"/>
        <w:spacing w:line="560" w:lineRule="atLeast"/>
        <w:jc w:val="center"/>
        <w:rPr>
          <w:rFonts w:ascii="宋体" w:hAnsi="宋体"/>
          <w:color w:val="auto"/>
          <w:sz w:val="24"/>
          <w:shd w:val="clear" w:color="auto" w:fill="FFFFFF"/>
        </w:rPr>
      </w:pPr>
      <w:r>
        <w:rPr>
          <w:rFonts w:ascii="方正小标宋简体" w:hAnsi="方正小标宋简体" w:eastAsia="方正小标宋简体"/>
          <w:color w:val="auto"/>
          <w:sz w:val="44"/>
          <w:shd w:val="clear" w:color="auto" w:fill="FFFFFF"/>
        </w:rPr>
        <w:t>拟作出的建设项目环境影响评价文件批复决定的公示</w:t>
      </w:r>
    </w:p>
    <w:p>
      <w:pPr>
        <w:shd w:val="solid" w:color="FFFFFF" w:fill="auto"/>
        <w:autoSpaceDN w:val="0"/>
        <w:spacing w:line="560" w:lineRule="atLeast"/>
        <w:rPr>
          <w:rFonts w:ascii="宋体" w:hAnsi="宋体"/>
          <w:color w:val="auto"/>
          <w:sz w:val="24"/>
          <w:shd w:val="clear" w:color="auto" w:fill="FFFFFF"/>
        </w:rPr>
      </w:pPr>
      <w:r>
        <w:rPr>
          <w:rFonts w:ascii="仿宋_GB2312" w:hAnsi="仿宋_GB2312" w:eastAsia="仿宋_GB2312"/>
          <w:color w:val="auto"/>
          <w:sz w:val="32"/>
          <w:shd w:val="clear" w:color="auto" w:fill="FFFFFF"/>
        </w:rPr>
        <w:t xml:space="preserve">                                   </w:t>
      </w:r>
    </w:p>
    <w:p>
      <w:pPr>
        <w:shd w:val="solid" w:color="FFFFFF" w:fill="auto"/>
        <w:autoSpaceDN w:val="0"/>
        <w:spacing w:line="560" w:lineRule="atLeast"/>
        <w:ind w:firstLine="640"/>
        <w:rPr>
          <w:rFonts w:ascii="宋体" w:hAnsi="宋体"/>
          <w:color w:val="auto"/>
          <w:sz w:val="24"/>
          <w:shd w:val="clear" w:color="auto" w:fill="FFFFFF"/>
        </w:rPr>
      </w:pPr>
      <w:r>
        <w:rPr>
          <w:rFonts w:ascii="仿宋_GB2312" w:hAnsi="仿宋_GB2312" w:eastAsia="仿宋_GB2312"/>
          <w:color w:val="auto"/>
          <w:sz w:val="32"/>
          <w:shd w:val="clear" w:color="auto" w:fill="FFFFFF"/>
        </w:rPr>
        <w:t xml:space="preserve"> 根据建设项目环境影响评价审批程序的有关规定，经审议，我</w:t>
      </w:r>
      <w:r>
        <w:rPr>
          <w:rFonts w:hint="eastAsia" w:ascii="仿宋_GB2312" w:hAnsi="仿宋_GB2312" w:eastAsia="仿宋_GB2312"/>
          <w:color w:val="auto"/>
          <w:sz w:val="32"/>
          <w:shd w:val="clear" w:color="auto" w:fill="FFFFFF"/>
        </w:rPr>
        <w:t>局</w:t>
      </w:r>
      <w:r>
        <w:rPr>
          <w:rFonts w:ascii="仿宋_GB2312" w:hAnsi="仿宋_GB2312" w:eastAsia="仿宋_GB2312"/>
          <w:color w:val="auto"/>
          <w:sz w:val="32"/>
          <w:shd w:val="clear" w:color="auto" w:fill="FFFFFF"/>
        </w:rPr>
        <w:t>拟对</w:t>
      </w:r>
      <w:r>
        <w:rPr>
          <w:rFonts w:hint="eastAsia" w:ascii="仿宋_GB2312" w:hAnsi="仿宋_GB2312" w:eastAsia="仿宋_GB2312"/>
          <w:color w:val="auto"/>
          <w:sz w:val="32"/>
          <w:shd w:val="clear" w:color="auto" w:fill="FFFFFF"/>
        </w:rPr>
        <w:t>1</w:t>
      </w:r>
      <w:r>
        <w:rPr>
          <w:rFonts w:ascii="仿宋_GB2312" w:hAnsi="仿宋_GB2312" w:eastAsia="仿宋_GB2312"/>
          <w:color w:val="auto"/>
          <w:sz w:val="32"/>
          <w:shd w:val="clear" w:color="auto" w:fill="FFFFFF"/>
        </w:rPr>
        <w:t>个建设项目环境影响</w:t>
      </w:r>
      <w:r>
        <w:rPr>
          <w:rFonts w:hint="eastAsia" w:ascii="仿宋_GB2312" w:hAnsi="仿宋_GB2312" w:eastAsia="仿宋_GB2312"/>
          <w:color w:val="auto"/>
          <w:sz w:val="32"/>
          <w:shd w:val="clear" w:color="auto" w:fill="FFFFFF"/>
        </w:rPr>
        <w:t>评价文件</w:t>
      </w:r>
      <w:r>
        <w:rPr>
          <w:rFonts w:ascii="仿宋_GB2312" w:hAnsi="仿宋_GB2312" w:eastAsia="仿宋_GB2312"/>
          <w:color w:val="auto"/>
          <w:sz w:val="32"/>
          <w:shd w:val="clear" w:color="auto" w:fill="FFFFFF"/>
        </w:rPr>
        <w:t>作出批复决定。为保证此次审议工作的严肃性和公正性，现将</w:t>
      </w:r>
      <w:r>
        <w:rPr>
          <w:rFonts w:hint="eastAsia" w:ascii="仿宋_GB2312" w:hAnsi="仿宋_GB2312" w:eastAsia="仿宋_GB2312"/>
          <w:color w:val="auto"/>
          <w:sz w:val="32"/>
          <w:shd w:val="clear" w:color="auto" w:fill="FFFFFF"/>
        </w:rPr>
        <w:t>该</w:t>
      </w:r>
      <w:r>
        <w:rPr>
          <w:rFonts w:ascii="仿宋_GB2312" w:hAnsi="仿宋_GB2312" w:eastAsia="仿宋_GB2312"/>
          <w:color w:val="auto"/>
          <w:sz w:val="32"/>
          <w:shd w:val="clear" w:color="auto" w:fill="FFFFFF"/>
        </w:rPr>
        <w:t>建设项目环境影响</w:t>
      </w:r>
      <w:r>
        <w:rPr>
          <w:rFonts w:hint="eastAsia" w:ascii="仿宋_GB2312" w:hAnsi="仿宋_GB2312" w:eastAsia="仿宋_GB2312"/>
          <w:color w:val="auto"/>
          <w:sz w:val="32"/>
          <w:shd w:val="clear" w:color="auto" w:fill="FFFFFF"/>
        </w:rPr>
        <w:t>评价文件</w:t>
      </w:r>
      <w:r>
        <w:rPr>
          <w:rFonts w:ascii="仿宋_GB2312" w:hAnsi="仿宋_GB2312" w:eastAsia="仿宋_GB2312"/>
          <w:color w:val="auto"/>
          <w:sz w:val="32"/>
          <w:shd w:val="clear" w:color="auto" w:fill="FFFFFF"/>
        </w:rPr>
        <w:t>的基本情况予以公示。如有异议，请在公示期内反馈我局</w:t>
      </w:r>
      <w:r>
        <w:rPr>
          <w:rFonts w:hint="eastAsia" w:ascii="仿宋_GB2312" w:hAnsi="仿宋_GB2312" w:eastAsia="仿宋_GB2312"/>
          <w:color w:val="auto"/>
          <w:sz w:val="32"/>
          <w:shd w:val="clear" w:color="auto" w:fill="FFFFFF"/>
        </w:rPr>
        <w:t>行政事项服务室</w:t>
      </w:r>
      <w:r>
        <w:rPr>
          <w:rFonts w:ascii="仿宋_GB2312" w:hAnsi="仿宋_GB2312" w:eastAsia="仿宋_GB2312"/>
          <w:color w:val="auto"/>
          <w:sz w:val="32"/>
          <w:shd w:val="clear" w:color="auto" w:fill="FFFFFF"/>
        </w:rPr>
        <w:t>。公示日期为202</w:t>
      </w:r>
      <w:r>
        <w:rPr>
          <w:rFonts w:hint="eastAsia" w:ascii="仿宋_GB2312" w:hAnsi="仿宋_GB2312" w:eastAsia="仿宋_GB2312"/>
          <w:color w:val="auto"/>
          <w:sz w:val="32"/>
          <w:shd w:val="clear" w:color="auto" w:fill="FFFFFF"/>
          <w:lang w:val="en-US" w:eastAsia="zh-CN"/>
        </w:rPr>
        <w:t>6</w:t>
      </w:r>
      <w:r>
        <w:rPr>
          <w:rFonts w:ascii="仿宋_GB2312" w:hAnsi="仿宋_GB2312" w:eastAsia="仿宋_GB2312"/>
          <w:color w:val="auto"/>
          <w:sz w:val="32"/>
          <w:shd w:val="clear" w:color="auto" w:fill="FFFFFF"/>
        </w:rPr>
        <w:t>年</w:t>
      </w:r>
      <w:r>
        <w:rPr>
          <w:rFonts w:hint="eastAsia" w:ascii="仿宋_GB2312" w:hAnsi="仿宋_GB2312" w:eastAsia="仿宋_GB2312"/>
          <w:color w:val="auto"/>
          <w:sz w:val="32"/>
          <w:shd w:val="clear" w:color="auto" w:fill="FFFFFF"/>
          <w:lang w:val="en-US" w:eastAsia="zh-CN"/>
        </w:rPr>
        <w:t>6</w:t>
      </w:r>
      <w:r>
        <w:rPr>
          <w:rFonts w:ascii="仿宋_GB2312" w:hAnsi="仿宋_GB2312" w:eastAsia="仿宋_GB2312"/>
          <w:color w:val="auto"/>
          <w:sz w:val="32"/>
          <w:shd w:val="clear" w:color="auto" w:fill="FFFFFF"/>
        </w:rPr>
        <w:t>月</w:t>
      </w:r>
      <w:r>
        <w:rPr>
          <w:rFonts w:hint="eastAsia" w:ascii="仿宋_GB2312" w:hAnsi="仿宋_GB2312" w:eastAsia="仿宋_GB2312"/>
          <w:color w:val="auto"/>
          <w:sz w:val="32"/>
          <w:shd w:val="clear" w:color="auto" w:fill="FFFFFF"/>
          <w:lang w:val="en-US" w:eastAsia="zh-CN"/>
        </w:rPr>
        <w:t>4</w:t>
      </w:r>
      <w:r>
        <w:rPr>
          <w:rFonts w:ascii="仿宋_GB2312" w:hAnsi="仿宋_GB2312" w:eastAsia="仿宋_GB2312"/>
          <w:color w:val="auto"/>
          <w:sz w:val="32"/>
          <w:shd w:val="clear" w:color="auto" w:fill="FFFFFF"/>
        </w:rPr>
        <w:t>日,公示期：五</w:t>
      </w:r>
      <w:r>
        <w:rPr>
          <w:rFonts w:hint="eastAsia" w:ascii="仿宋_GB2312" w:hAnsi="仿宋_GB2312" w:eastAsia="仿宋_GB2312"/>
          <w:color w:val="auto"/>
          <w:sz w:val="32"/>
          <w:shd w:val="clear" w:color="auto" w:fill="FFFFFF"/>
        </w:rPr>
        <w:t>个工作日</w:t>
      </w:r>
      <w:r>
        <w:rPr>
          <w:rFonts w:ascii="仿宋_GB2312" w:hAnsi="仿宋_GB2312" w:eastAsia="仿宋_GB2312"/>
          <w:color w:val="auto"/>
          <w:sz w:val="32"/>
          <w:shd w:val="clear" w:color="auto" w:fill="FFFFFF"/>
        </w:rPr>
        <w:t>。</w:t>
      </w:r>
    </w:p>
    <w:p>
      <w:pPr>
        <w:shd w:val="solid" w:color="FFFFFF" w:fill="auto"/>
        <w:wordWrap w:val="0"/>
        <w:autoSpaceDN w:val="0"/>
        <w:spacing w:line="560" w:lineRule="atLeast"/>
        <w:rPr>
          <w:rFonts w:ascii="宋体" w:hAnsi="宋体"/>
          <w:color w:val="auto"/>
          <w:sz w:val="24"/>
          <w:shd w:val="clear" w:color="auto" w:fill="FFFFFF"/>
        </w:rPr>
      </w:pPr>
      <w:r>
        <w:rPr>
          <w:rFonts w:ascii="仿宋_GB2312" w:hAnsi="仿宋_GB2312" w:eastAsia="仿宋_GB2312"/>
          <w:color w:val="auto"/>
          <w:sz w:val="32"/>
          <w:shd w:val="clear" w:color="auto" w:fill="FFFFFF"/>
        </w:rPr>
        <w:t xml:space="preserve">    电话：0391-71</w:t>
      </w:r>
      <w:r>
        <w:rPr>
          <w:rFonts w:hint="eastAsia" w:ascii="仿宋_GB2312" w:hAnsi="仿宋_GB2312" w:eastAsia="仿宋_GB2312"/>
          <w:color w:val="auto"/>
          <w:sz w:val="32"/>
          <w:shd w:val="clear" w:color="auto" w:fill="FFFFFF"/>
        </w:rPr>
        <w:t>18625</w:t>
      </w:r>
      <w:r>
        <w:rPr>
          <w:rFonts w:ascii="仿宋_GB2312" w:hAnsi="仿宋_GB2312" w:eastAsia="仿宋_GB2312"/>
          <w:color w:val="auto"/>
          <w:sz w:val="32"/>
          <w:shd w:val="clear" w:color="auto" w:fill="FFFFFF"/>
        </w:rPr>
        <w:t xml:space="preserve">   传真：0391-7192020</w:t>
      </w:r>
    </w:p>
    <w:p>
      <w:pPr>
        <w:shd w:val="solid" w:color="FFFFFF" w:fill="auto"/>
        <w:wordWrap w:val="0"/>
        <w:autoSpaceDN w:val="0"/>
        <w:spacing w:line="560" w:lineRule="atLeast"/>
        <w:ind w:firstLine="645"/>
        <w:rPr>
          <w:rFonts w:ascii="仿宋_GB2312" w:hAnsi="仿宋_GB2312" w:eastAsia="仿宋_GB2312"/>
          <w:color w:val="000000"/>
          <w:sz w:val="32"/>
          <w:shd w:val="clear" w:color="auto" w:fill="FFFFFF"/>
        </w:rPr>
      </w:pPr>
      <w:r>
        <w:rPr>
          <w:rFonts w:ascii="仿宋_GB2312" w:hAnsi="仿宋_GB2312" w:eastAsia="仿宋_GB2312"/>
          <w:color w:val="000000"/>
          <w:sz w:val="32"/>
          <w:shd w:val="clear" w:color="auto" w:fill="FFFFFF"/>
        </w:rPr>
        <w:t>通讯地址：修武县</w:t>
      </w:r>
      <w:r>
        <w:rPr>
          <w:rFonts w:hint="eastAsia" w:ascii="仿宋_GB2312" w:hAnsi="仿宋_GB2312" w:eastAsia="仿宋_GB2312"/>
          <w:color w:val="000000"/>
          <w:sz w:val="32"/>
          <w:shd w:val="clear" w:color="auto" w:fill="FFFFFF"/>
        </w:rPr>
        <w:t>宁城路69号</w:t>
      </w:r>
      <w:r>
        <w:rPr>
          <w:rFonts w:ascii="仿宋_GB2312" w:hAnsi="仿宋_GB2312" w:eastAsia="仿宋_GB2312"/>
          <w:color w:val="000000"/>
          <w:sz w:val="32"/>
          <w:shd w:val="clear" w:color="auto" w:fill="FFFFFF"/>
        </w:rPr>
        <w:t>（454350）</w:t>
      </w:r>
    </w:p>
    <w:p>
      <w:pPr>
        <w:shd w:val="solid" w:color="FFFFFF" w:fill="auto"/>
        <w:wordWrap w:val="0"/>
        <w:autoSpaceDN w:val="0"/>
        <w:spacing w:line="560" w:lineRule="atLeast"/>
        <w:ind w:firstLine="645"/>
        <w:rPr>
          <w:rFonts w:ascii="仿宋_GB2312" w:hAnsi="仿宋_GB2312" w:eastAsia="仿宋_GB2312"/>
          <w:color w:val="000000"/>
          <w:sz w:val="32"/>
          <w:shd w:val="clear" w:color="auto" w:fill="FFFFFF"/>
        </w:rPr>
      </w:pPr>
      <w:r>
        <w:rPr>
          <w:rFonts w:hint="eastAsia" w:ascii="仿宋_GB2312" w:hAnsi="仿宋_GB2312" w:eastAsia="仿宋_GB2312"/>
          <w:color w:val="000000"/>
          <w:sz w:val="32"/>
          <w:shd w:val="clear" w:color="auto" w:fill="FFFFFF"/>
        </w:rPr>
        <w:t>听证告知：依据《中华人民共和国行政许可法》，自公示起五个工作日内申请人、有重大利益关系的利害关系人可对以下拟作出的建设项目环境影响评价文件批复决定要求听证。</w:t>
      </w:r>
    </w:p>
    <w:p>
      <w:pPr>
        <w:shd w:val="solid" w:color="FFFFFF" w:fill="auto"/>
        <w:wordWrap w:val="0"/>
        <w:autoSpaceDN w:val="0"/>
        <w:spacing w:line="560" w:lineRule="atLeast"/>
        <w:ind w:firstLine="645"/>
        <w:jc w:val="center"/>
        <w:rPr>
          <w:rFonts w:ascii="方正小标宋简体" w:hAnsi="方正小标宋简体" w:eastAsia="方正小标宋简体"/>
          <w:color w:val="000000"/>
          <w:sz w:val="44"/>
          <w:shd w:val="clear" w:color="auto" w:fill="FFFFFF"/>
        </w:rPr>
      </w:pPr>
    </w:p>
    <w:p>
      <w:pPr>
        <w:shd w:val="solid" w:color="FFFFFF" w:fill="auto"/>
        <w:wordWrap w:val="0"/>
        <w:autoSpaceDN w:val="0"/>
        <w:spacing w:line="560" w:lineRule="atLeast"/>
        <w:ind w:firstLine="645"/>
        <w:jc w:val="center"/>
        <w:rPr>
          <w:rFonts w:hint="eastAsia" w:ascii="宋体" w:hAnsi="宋体" w:eastAsia="方正小标宋简体"/>
          <w:sz w:val="24"/>
          <w:shd w:val="clear" w:color="auto" w:fill="FFFFFF"/>
          <w:lang w:val="en-US" w:eastAsia="zh-CN"/>
        </w:rPr>
      </w:pPr>
      <w:r>
        <w:rPr>
          <w:rFonts w:ascii="方正小标宋简体" w:hAnsi="方正小标宋简体" w:eastAsia="方正小标宋简体"/>
          <w:color w:val="auto"/>
          <w:sz w:val="44"/>
          <w:shd w:val="clear" w:color="auto" w:fill="FFFFFF"/>
        </w:rPr>
        <w:t>202</w:t>
      </w:r>
      <w:r>
        <w:rPr>
          <w:rFonts w:hint="eastAsia" w:ascii="方正小标宋简体" w:hAnsi="方正小标宋简体" w:eastAsia="方正小标宋简体"/>
          <w:color w:val="auto"/>
          <w:sz w:val="44"/>
          <w:shd w:val="clear" w:color="auto" w:fill="FFFFFF"/>
          <w:lang w:val="en-US" w:eastAsia="zh-CN"/>
        </w:rPr>
        <w:t>6</w:t>
      </w:r>
      <w:r>
        <w:rPr>
          <w:rFonts w:ascii="方正小标宋简体" w:hAnsi="方正小标宋简体" w:eastAsia="方正小标宋简体"/>
          <w:color w:val="auto"/>
          <w:sz w:val="44"/>
          <w:shd w:val="clear" w:color="auto" w:fill="FFFFFF"/>
        </w:rPr>
        <w:t>年</w:t>
      </w:r>
      <w:r>
        <w:rPr>
          <w:rFonts w:hint="eastAsia" w:ascii="方正小标宋简体" w:hAnsi="方正小标宋简体" w:eastAsia="方正小标宋简体"/>
          <w:color w:val="auto"/>
          <w:sz w:val="44"/>
          <w:shd w:val="clear" w:color="auto" w:fill="FFFFFF"/>
          <w:lang w:val="en-US" w:eastAsia="zh-CN"/>
        </w:rPr>
        <w:t>6</w:t>
      </w:r>
      <w:r>
        <w:rPr>
          <w:rFonts w:ascii="方正小标宋简体" w:hAnsi="方正小标宋简体" w:eastAsia="方正小标宋简体"/>
          <w:color w:val="auto"/>
          <w:sz w:val="44"/>
          <w:shd w:val="clear" w:color="auto" w:fill="FFFFFF"/>
        </w:rPr>
        <w:t>月</w:t>
      </w:r>
      <w:r>
        <w:rPr>
          <w:rFonts w:hint="eastAsia" w:ascii="方正小标宋简体" w:hAnsi="方正小标宋简体" w:eastAsia="方正小标宋简体"/>
          <w:color w:val="auto"/>
          <w:sz w:val="44"/>
          <w:shd w:val="clear" w:color="auto" w:fill="FFFFFF"/>
          <w:lang w:val="en-US" w:eastAsia="zh-CN"/>
        </w:rPr>
        <w:t>4</w:t>
      </w:r>
      <w:r>
        <w:rPr>
          <w:rFonts w:ascii="方正小标宋简体" w:hAnsi="方正小标宋简体" w:eastAsia="方正小标宋简体"/>
          <w:color w:val="auto"/>
          <w:sz w:val="44"/>
          <w:shd w:val="clear" w:color="auto" w:fill="FFFFFF"/>
        </w:rPr>
        <w:t>日</w:t>
      </w:r>
      <w:r>
        <w:rPr>
          <w:rFonts w:ascii="方正小标宋简体" w:hAnsi="方正小标宋简体" w:eastAsia="方正小标宋简体"/>
          <w:color w:val="000000"/>
          <w:sz w:val="44"/>
          <w:shd w:val="clear" w:color="auto" w:fill="FFFFFF"/>
        </w:rPr>
        <w:t>拟批准的建设项目环境影响报告</w:t>
      </w:r>
      <w:r>
        <w:rPr>
          <w:rFonts w:hint="eastAsia" w:ascii="方正小标宋简体" w:hAnsi="方正小标宋简体" w:eastAsia="方正小标宋简体"/>
          <w:color w:val="000000"/>
          <w:sz w:val="44"/>
          <w:shd w:val="clear" w:color="auto" w:fill="FFFFFF"/>
          <w:lang w:val="en-US" w:eastAsia="zh-CN"/>
        </w:rPr>
        <w:t>表</w:t>
      </w:r>
    </w:p>
    <w:tbl>
      <w:tblPr>
        <w:tblStyle w:val="4"/>
        <w:tblW w:w="14337" w:type="dxa"/>
        <w:tblInd w:w="0" w:type="dxa"/>
        <w:tblLayout w:type="fixed"/>
        <w:tblCellMar>
          <w:top w:w="0" w:type="dxa"/>
          <w:left w:w="108" w:type="dxa"/>
          <w:bottom w:w="0" w:type="dxa"/>
          <w:right w:w="108" w:type="dxa"/>
        </w:tblCellMar>
      </w:tblPr>
      <w:tblGrid>
        <w:gridCol w:w="524"/>
        <w:gridCol w:w="1015"/>
        <w:gridCol w:w="1183"/>
        <w:gridCol w:w="930"/>
        <w:gridCol w:w="885"/>
        <w:gridCol w:w="2308"/>
        <w:gridCol w:w="7492"/>
      </w:tblGrid>
      <w:tr>
        <w:tblPrEx>
          <w:tblCellMar>
            <w:top w:w="0" w:type="dxa"/>
            <w:left w:w="108" w:type="dxa"/>
            <w:bottom w:w="0" w:type="dxa"/>
            <w:right w:w="108" w:type="dxa"/>
          </w:tblCellMar>
        </w:tblPrEx>
        <w:trPr>
          <w:trHeight w:val="1121" w:hRule="atLeast"/>
        </w:trPr>
        <w:tc>
          <w:tcPr>
            <w:tcW w:w="5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宋体" w:hAnsi="宋体"/>
                <w:sz w:val="24"/>
              </w:rPr>
            </w:pPr>
            <w:r>
              <w:rPr>
                <w:rFonts w:ascii="仿宋_GB2312" w:hAnsi="仿宋_GB2312" w:eastAsia="仿宋_GB2312"/>
                <w:b/>
                <w:color w:val="000000"/>
                <w:sz w:val="32"/>
              </w:rPr>
              <w:t>序号</w:t>
            </w:r>
          </w:p>
        </w:tc>
        <w:tc>
          <w:tcPr>
            <w:tcW w:w="101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仿宋_GB2312" w:hAnsi="仿宋_GB2312" w:eastAsia="仿宋_GB2312"/>
                <w:b/>
                <w:color w:val="000000"/>
                <w:sz w:val="32"/>
              </w:rPr>
            </w:pPr>
            <w:r>
              <w:rPr>
                <w:rFonts w:ascii="仿宋_GB2312" w:hAnsi="仿宋_GB2312" w:eastAsia="仿宋_GB2312"/>
                <w:b/>
                <w:color w:val="000000"/>
                <w:sz w:val="32"/>
              </w:rPr>
              <w:t>项目</w:t>
            </w:r>
          </w:p>
          <w:p>
            <w:pPr>
              <w:autoSpaceDN w:val="0"/>
              <w:spacing w:line="500" w:lineRule="exact"/>
              <w:jc w:val="center"/>
              <w:rPr>
                <w:rFonts w:ascii="宋体" w:hAnsi="宋体"/>
                <w:sz w:val="24"/>
              </w:rPr>
            </w:pPr>
            <w:r>
              <w:rPr>
                <w:rFonts w:ascii="仿宋_GB2312" w:hAnsi="仿宋_GB2312" w:eastAsia="仿宋_GB2312"/>
                <w:b/>
                <w:color w:val="000000"/>
                <w:sz w:val="32"/>
              </w:rPr>
              <w:t>名称</w:t>
            </w:r>
          </w:p>
        </w:tc>
        <w:tc>
          <w:tcPr>
            <w:tcW w:w="1183"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仿宋_GB2312" w:hAnsi="仿宋_GB2312" w:eastAsia="仿宋_GB2312"/>
                <w:b/>
                <w:color w:val="000000"/>
                <w:sz w:val="32"/>
              </w:rPr>
            </w:pPr>
            <w:r>
              <w:rPr>
                <w:rFonts w:ascii="仿宋_GB2312" w:hAnsi="仿宋_GB2312" w:eastAsia="仿宋_GB2312"/>
                <w:b/>
                <w:color w:val="000000"/>
                <w:sz w:val="32"/>
              </w:rPr>
              <w:t>建设</w:t>
            </w:r>
          </w:p>
          <w:p>
            <w:pPr>
              <w:autoSpaceDN w:val="0"/>
              <w:spacing w:line="500" w:lineRule="exact"/>
              <w:jc w:val="center"/>
              <w:rPr>
                <w:rFonts w:ascii="宋体" w:hAnsi="宋体"/>
                <w:sz w:val="24"/>
              </w:rPr>
            </w:pPr>
            <w:r>
              <w:rPr>
                <w:rFonts w:ascii="仿宋_GB2312" w:hAnsi="仿宋_GB2312" w:eastAsia="仿宋_GB2312"/>
                <w:b/>
                <w:color w:val="000000"/>
                <w:sz w:val="32"/>
              </w:rPr>
              <w:t>地点</w:t>
            </w:r>
          </w:p>
        </w:tc>
        <w:tc>
          <w:tcPr>
            <w:tcW w:w="930"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仿宋_GB2312" w:hAnsi="仿宋_GB2312" w:eastAsia="仿宋_GB2312"/>
                <w:b/>
                <w:color w:val="000000"/>
                <w:sz w:val="32"/>
              </w:rPr>
            </w:pPr>
            <w:r>
              <w:rPr>
                <w:rFonts w:ascii="仿宋_GB2312" w:hAnsi="仿宋_GB2312" w:eastAsia="仿宋_GB2312"/>
                <w:b/>
                <w:color w:val="000000"/>
                <w:sz w:val="32"/>
              </w:rPr>
              <w:t>项目</w:t>
            </w:r>
          </w:p>
          <w:p>
            <w:pPr>
              <w:autoSpaceDN w:val="0"/>
              <w:spacing w:line="500" w:lineRule="exact"/>
              <w:jc w:val="center"/>
              <w:rPr>
                <w:rFonts w:ascii="宋体" w:hAnsi="宋体"/>
                <w:sz w:val="24"/>
              </w:rPr>
            </w:pPr>
            <w:r>
              <w:rPr>
                <w:rFonts w:ascii="仿宋_GB2312" w:hAnsi="仿宋_GB2312" w:eastAsia="仿宋_GB2312"/>
                <w:b/>
                <w:color w:val="000000"/>
                <w:sz w:val="32"/>
              </w:rPr>
              <w:t>单位</w:t>
            </w:r>
          </w:p>
        </w:tc>
        <w:tc>
          <w:tcPr>
            <w:tcW w:w="88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hint="eastAsia" w:ascii="仿宋_GB2312" w:hAnsi="仿宋_GB2312" w:eastAsia="仿宋_GB2312"/>
                <w:b/>
                <w:color w:val="000000"/>
                <w:sz w:val="32"/>
                <w:lang w:eastAsia="zh-CN"/>
              </w:rPr>
            </w:pPr>
            <w:r>
              <w:rPr>
                <w:rFonts w:hint="eastAsia" w:ascii="仿宋_GB2312" w:hAnsi="仿宋_GB2312" w:eastAsia="仿宋_GB2312"/>
                <w:b/>
                <w:color w:val="000000"/>
                <w:sz w:val="32"/>
                <w:lang w:eastAsia="zh-CN"/>
              </w:rPr>
              <w:t>环评单位</w:t>
            </w:r>
          </w:p>
        </w:tc>
        <w:tc>
          <w:tcPr>
            <w:tcW w:w="2308"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仿宋_GB2312" w:hAnsi="仿宋_GB2312" w:eastAsia="仿宋_GB2312"/>
                <w:b/>
                <w:color w:val="000000"/>
                <w:sz w:val="32"/>
              </w:rPr>
            </w:pPr>
            <w:r>
              <w:rPr>
                <w:rFonts w:ascii="仿宋_GB2312" w:hAnsi="仿宋_GB2312" w:eastAsia="仿宋_GB2312"/>
                <w:b/>
                <w:color w:val="000000"/>
                <w:sz w:val="32"/>
              </w:rPr>
              <w:t>项目</w:t>
            </w:r>
          </w:p>
          <w:p>
            <w:pPr>
              <w:autoSpaceDN w:val="0"/>
              <w:spacing w:line="500" w:lineRule="exact"/>
              <w:jc w:val="center"/>
              <w:rPr>
                <w:rFonts w:ascii="宋体" w:hAnsi="宋体"/>
                <w:sz w:val="24"/>
              </w:rPr>
            </w:pPr>
            <w:r>
              <w:rPr>
                <w:rFonts w:ascii="仿宋_GB2312" w:hAnsi="仿宋_GB2312" w:eastAsia="仿宋_GB2312"/>
                <w:b/>
                <w:color w:val="000000"/>
                <w:sz w:val="32"/>
              </w:rPr>
              <w:t>概况</w:t>
            </w:r>
          </w:p>
        </w:tc>
        <w:tc>
          <w:tcPr>
            <w:tcW w:w="7492"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jc w:val="center"/>
              <w:rPr>
                <w:rFonts w:ascii="宋体" w:hAnsi="宋体"/>
                <w:sz w:val="24"/>
              </w:rPr>
            </w:pPr>
            <w:r>
              <w:rPr>
                <w:rFonts w:ascii="仿宋_GB2312" w:hAnsi="仿宋_GB2312" w:eastAsia="仿宋_GB2312"/>
                <w:b/>
                <w:color w:val="000000"/>
                <w:sz w:val="32"/>
                <w:shd w:val="clear" w:color="auto" w:fill="FFFFFF"/>
              </w:rPr>
              <w:t>主要环境影响及预防措施</w:t>
            </w:r>
            <w:r>
              <w:rPr>
                <w:rFonts w:ascii="仿宋_GB2312" w:hAnsi="仿宋_GB2312" w:eastAsia="仿宋_GB2312"/>
                <w:color w:val="000000"/>
                <w:sz w:val="32"/>
              </w:rPr>
              <w:t xml:space="preserve"> </w:t>
            </w:r>
          </w:p>
        </w:tc>
      </w:tr>
      <w:tr>
        <w:tblPrEx>
          <w:tblCellMar>
            <w:top w:w="0" w:type="dxa"/>
            <w:left w:w="108" w:type="dxa"/>
            <w:bottom w:w="0" w:type="dxa"/>
            <w:right w:w="108" w:type="dxa"/>
          </w:tblCellMar>
        </w:tblPrEx>
        <w:trPr>
          <w:trHeight w:val="1628" w:hRule="atLeast"/>
        </w:trPr>
        <w:tc>
          <w:tcPr>
            <w:tcW w:w="5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400" w:lineRule="exact"/>
              <w:jc w:val="center"/>
              <w:rPr>
                <w:rFonts w:ascii="仿宋_GB2312" w:hAnsi="仿宋_GB2312" w:eastAsia="仿宋_GB2312"/>
                <w:sz w:val="28"/>
                <w:szCs w:val="18"/>
              </w:rPr>
            </w:pPr>
            <w:r>
              <w:rPr>
                <w:rFonts w:hint="eastAsia" w:ascii="仿宋_GB2312" w:hAnsi="仿宋_GB2312" w:eastAsia="仿宋_GB2312"/>
                <w:sz w:val="28"/>
                <w:szCs w:val="18"/>
              </w:rPr>
              <w:t>1</w:t>
            </w:r>
          </w:p>
        </w:tc>
        <w:tc>
          <w:tcPr>
            <w:tcW w:w="101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center"/>
              <w:rPr>
                <w:rFonts w:hint="eastAsia" w:ascii="仿宋" w:hAnsi="仿宋" w:eastAsia="仿宋" w:cs="仿宋"/>
                <w:sz w:val="24"/>
                <w:szCs w:val="24"/>
              </w:rPr>
            </w:pPr>
            <w:r>
              <w:rPr>
                <w:rFonts w:hint="eastAsia" w:ascii="仿宋" w:hAnsi="仿宋" w:eastAsia="仿宋" w:cs="仿宋"/>
                <w:sz w:val="24"/>
                <w:szCs w:val="24"/>
                <w:lang w:val="en-US" w:eastAsia="zh-CN"/>
              </w:rPr>
              <w:t>年产500吨健康食品生产线建设项目</w:t>
            </w:r>
          </w:p>
        </w:tc>
        <w:tc>
          <w:tcPr>
            <w:tcW w:w="1183"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焦作市修武县七贤镇焦辉路（西）88号（方庄村南侧）</w:t>
            </w:r>
          </w:p>
        </w:tc>
        <w:tc>
          <w:tcPr>
            <w:tcW w:w="930"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焦作市明仁天然药物有限责任公司怀药分公司</w:t>
            </w:r>
          </w:p>
        </w:tc>
        <w:tc>
          <w:tcPr>
            <w:tcW w:w="88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河南省绿禾环保科技有限公司</w:t>
            </w:r>
          </w:p>
        </w:tc>
        <w:tc>
          <w:tcPr>
            <w:tcW w:w="2308"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keepNext w:val="0"/>
              <w:keepLines/>
              <w:pageBreakBefore w:val="0"/>
              <w:widowControl w:val="0"/>
              <w:kinsoku/>
              <w:wordWrap/>
              <w:overflowPunct/>
              <w:topLinePunct w:val="0"/>
              <w:autoSpaceDE/>
              <w:autoSpaceDN w:val="0"/>
              <w:bidi w:val="0"/>
              <w:adjustRightInd/>
              <w:snapToGrid/>
              <w:spacing w:line="300" w:lineRule="exact"/>
              <w:jc w:val="both"/>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项目建设性质为新建，总投资1000万元。产品分为薯类食品、其他方便食品、固体饮料，产能分别为170t/a、170t/a、160t/a，合计500t/a。生产线共用，原料根据产品的不同进行调整，生产工艺为炒制、粉碎/（粉碎、拌粉、膨化风冷、粉碎）、混合、制粒、内包、外包、成品入库等。生产设备主要为炒药机、高效粉碎机、混合机、膨化机组、脉冲式一步制粒干燥机、旋振机、包装机等。</w:t>
            </w:r>
          </w:p>
        </w:tc>
        <w:tc>
          <w:tcPr>
            <w:tcW w:w="7492"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both"/>
              <w:rPr>
                <w:rFonts w:hint="eastAsia" w:ascii="仿宋" w:hAnsi="仿宋" w:eastAsia="仿宋"/>
                <w:sz w:val="24"/>
                <w:szCs w:val="24"/>
              </w:rPr>
            </w:pPr>
            <w:r>
              <w:rPr>
                <w:rFonts w:hint="eastAsia" w:ascii="仿宋" w:hAnsi="仿宋" w:eastAsia="仿宋"/>
                <w:sz w:val="24"/>
                <w:szCs w:val="24"/>
                <w:lang w:val="en-US" w:eastAsia="zh-CN"/>
              </w:rPr>
              <w:t>1.废气。红豆等粉碎、料仓暂存废气、山药一次粉碎收料装置尾气、拌粉、膨化风冷、二次粉碎收料装置尾气、料仓暂存废气、混合、制粒、内包装等废气，经各自集气系统收集后，引入1套覆膜脉冲袋式除尘器+15m高排气筒（DA001）达标排放。集气系统未收集到的废气，采取加强生产车间密闭，加强车间洁净系统、集气系统及环保设备的维护，提高集气效率，设置工业吸尘器，安装视频监控系统，建立废气治理设施运行记录台账等措施，降低对周围环境的影响。</w:t>
            </w:r>
            <w:r>
              <w:rPr>
                <w:rFonts w:hint="eastAsia" w:ascii="仿宋" w:hAnsi="仿宋" w:eastAsia="仿宋"/>
                <w:sz w:val="24"/>
                <w:szCs w:val="24"/>
              </w:rPr>
              <w:t>废气经相应污染治理措施处理后</w:t>
            </w:r>
            <w:r>
              <w:rPr>
                <w:rFonts w:hint="eastAsia" w:ascii="仿宋" w:hAnsi="仿宋" w:eastAsia="仿宋"/>
                <w:sz w:val="24"/>
                <w:szCs w:val="24"/>
                <w:lang w:eastAsia="zh-CN"/>
              </w:rPr>
              <w:t>达标</w:t>
            </w:r>
            <w:r>
              <w:rPr>
                <w:rFonts w:hint="eastAsia" w:ascii="仿宋" w:hAnsi="仿宋" w:eastAsia="仿宋"/>
                <w:sz w:val="24"/>
                <w:szCs w:val="24"/>
              </w:rPr>
              <w:t>排放，应满足</w:t>
            </w:r>
            <w:r>
              <w:rPr>
                <w:rFonts w:hint="eastAsia" w:ascii="仿宋" w:hAnsi="仿宋" w:eastAsia="仿宋"/>
                <w:sz w:val="24"/>
                <w:szCs w:val="24"/>
                <w:lang w:val="en-US" w:eastAsia="zh-CN"/>
              </w:rPr>
              <w:t>《大气污染物综合排放标准》（GB16297-1996）表2、《焦作市生态环境保护委员会办公室关于印发〈焦作市2026年蓝天保卫战实施方案〉的通知》（焦环委办〔2026〕11号）等</w:t>
            </w:r>
            <w:r>
              <w:rPr>
                <w:rFonts w:hint="eastAsia" w:ascii="仿宋" w:hAnsi="仿宋" w:eastAsia="仿宋"/>
                <w:sz w:val="24"/>
                <w:szCs w:val="24"/>
              </w:rPr>
              <w:t>相关污染因子控制排放要求。</w:t>
            </w:r>
          </w:p>
          <w:p>
            <w:pPr>
              <w:autoSpaceDN w:val="0"/>
              <w:spacing w:line="300" w:lineRule="exact"/>
              <w:jc w:val="both"/>
              <w:rPr>
                <w:rFonts w:hint="eastAsia" w:ascii="仿宋" w:hAnsi="仿宋" w:eastAsia="仿宋"/>
                <w:sz w:val="24"/>
                <w:szCs w:val="24"/>
                <w:lang w:val="en-US" w:eastAsia="zh-CN"/>
              </w:rPr>
            </w:pPr>
            <w:r>
              <w:rPr>
                <w:rFonts w:hint="eastAsia" w:ascii="仿宋" w:hAnsi="仿宋" w:eastAsia="仿宋"/>
                <w:sz w:val="24"/>
                <w:szCs w:val="24"/>
                <w:lang w:val="en-US" w:eastAsia="zh-CN"/>
              </w:rPr>
              <w:t>2.废水。设备清洗废水、地面拖洗水、生活污水，依托焦作市明仁堂天然药物有限公司现有污水处理站处理后，与纯水制备废水一同经废水总排口排入七贤镇污水处理厂进一步处理，最终作为中水回用于中州铝厂，不外排。</w:t>
            </w:r>
          </w:p>
          <w:p>
            <w:pPr>
              <w:autoSpaceDN w:val="0"/>
              <w:spacing w:line="300" w:lineRule="exact"/>
              <w:jc w:val="both"/>
              <w:rPr>
                <w:rFonts w:hint="eastAsia" w:ascii="仿宋" w:hAnsi="仿宋" w:eastAsia="仿宋"/>
                <w:sz w:val="24"/>
                <w:szCs w:val="24"/>
              </w:rPr>
            </w:pPr>
            <w:r>
              <w:rPr>
                <w:rFonts w:hint="eastAsia" w:ascii="仿宋" w:hAnsi="仿宋" w:eastAsia="仿宋"/>
                <w:sz w:val="24"/>
                <w:szCs w:val="24"/>
                <w:lang w:val="en-US" w:eastAsia="zh-CN"/>
              </w:rPr>
              <w:t>3.</w:t>
            </w:r>
            <w:r>
              <w:rPr>
                <w:rFonts w:hint="eastAsia" w:ascii="仿宋" w:hAnsi="仿宋" w:eastAsia="仿宋"/>
                <w:sz w:val="24"/>
                <w:szCs w:val="24"/>
              </w:rPr>
              <w:t>噪声。采取设备室内布置</w:t>
            </w:r>
            <w:r>
              <w:rPr>
                <w:rFonts w:hint="eastAsia" w:ascii="仿宋" w:hAnsi="仿宋" w:eastAsia="仿宋"/>
                <w:sz w:val="24"/>
                <w:szCs w:val="24"/>
                <w:lang w:eastAsia="zh-CN"/>
              </w:rPr>
              <w:t>，</w:t>
            </w:r>
            <w:r>
              <w:rPr>
                <w:rFonts w:hint="eastAsia" w:ascii="仿宋" w:hAnsi="仿宋" w:eastAsia="仿宋"/>
                <w:sz w:val="24"/>
                <w:szCs w:val="24"/>
                <w:lang w:val="en-US" w:eastAsia="zh-CN"/>
              </w:rPr>
              <w:t>加装</w:t>
            </w:r>
            <w:r>
              <w:rPr>
                <w:rFonts w:hint="eastAsia" w:ascii="仿宋" w:hAnsi="仿宋" w:eastAsia="仿宋"/>
                <w:sz w:val="24"/>
                <w:szCs w:val="24"/>
              </w:rPr>
              <w:t>减振基础等降噪措施，厂界</w:t>
            </w:r>
            <w:r>
              <w:rPr>
                <w:rFonts w:hint="eastAsia" w:ascii="仿宋" w:hAnsi="仿宋" w:eastAsia="仿宋"/>
                <w:sz w:val="24"/>
                <w:szCs w:val="24"/>
                <w:lang w:eastAsia="zh-CN"/>
              </w:rPr>
              <w:t>环境</w:t>
            </w:r>
            <w:r>
              <w:rPr>
                <w:rFonts w:hint="eastAsia" w:ascii="仿宋" w:hAnsi="仿宋" w:eastAsia="仿宋"/>
                <w:sz w:val="24"/>
                <w:szCs w:val="24"/>
              </w:rPr>
              <w:t>噪声应满足《工业企业厂界环境噪声排放标准》（GB12348-2008）</w:t>
            </w:r>
            <w:r>
              <w:rPr>
                <w:rFonts w:hint="eastAsia" w:ascii="仿宋" w:hAnsi="仿宋" w:eastAsia="仿宋"/>
                <w:sz w:val="24"/>
                <w:szCs w:val="24"/>
                <w:lang w:val="en-US" w:eastAsia="zh-CN"/>
              </w:rPr>
              <w:t>2</w:t>
            </w:r>
            <w:r>
              <w:rPr>
                <w:rFonts w:hint="eastAsia" w:ascii="仿宋" w:hAnsi="仿宋" w:eastAsia="仿宋"/>
                <w:sz w:val="24"/>
                <w:szCs w:val="24"/>
              </w:rPr>
              <w:t>类标准要求。</w:t>
            </w:r>
          </w:p>
          <w:p>
            <w:pPr>
              <w:autoSpaceDN w:val="0"/>
              <w:spacing w:line="300" w:lineRule="exact"/>
              <w:jc w:val="both"/>
              <w:rPr>
                <w:rFonts w:ascii="仿宋" w:hAnsi="仿宋" w:eastAsia="仿宋"/>
                <w:sz w:val="24"/>
                <w:szCs w:val="24"/>
              </w:rPr>
            </w:pPr>
            <w:r>
              <w:rPr>
                <w:rFonts w:hint="eastAsia" w:ascii="仿宋" w:hAnsi="仿宋" w:eastAsia="仿宋"/>
                <w:sz w:val="24"/>
                <w:szCs w:val="24"/>
                <w:lang w:val="en-US" w:eastAsia="zh-CN"/>
              </w:rPr>
              <w:t>4</w:t>
            </w:r>
            <w:r>
              <w:rPr>
                <w:rFonts w:hint="eastAsia" w:ascii="仿宋" w:hAnsi="仿宋" w:eastAsia="仿宋"/>
                <w:sz w:val="24"/>
                <w:szCs w:val="24"/>
              </w:rPr>
              <w:t>.固废。固体废物全部妥善和安全处置，各类固体废物贮存、处置应满足《危险废物贮存污染控制标准》（GB18597-20</w:t>
            </w:r>
            <w:r>
              <w:rPr>
                <w:rFonts w:hint="eastAsia" w:ascii="仿宋" w:hAnsi="仿宋" w:eastAsia="仿宋"/>
                <w:sz w:val="24"/>
                <w:szCs w:val="24"/>
                <w:lang w:val="en-US" w:eastAsia="zh-CN"/>
              </w:rPr>
              <w:t>23</w:t>
            </w:r>
            <w:r>
              <w:rPr>
                <w:rFonts w:hint="eastAsia" w:ascii="仿宋" w:hAnsi="仿宋" w:eastAsia="仿宋"/>
                <w:sz w:val="24"/>
                <w:szCs w:val="24"/>
              </w:rPr>
              <w:t>）、《一般工业固体废物贮存和填埋污染控制标准》（GB18599-2020）相关要求。</w:t>
            </w:r>
          </w:p>
        </w:tc>
      </w:tr>
    </w:tbl>
    <w:p>
      <w:pPr>
        <w:keepNext w:val="0"/>
        <w:keepLines w:val="0"/>
        <w:pageBreakBefore w:val="0"/>
        <w:widowControl w:val="0"/>
        <w:kinsoku/>
        <w:wordWrap/>
        <w:overflowPunct/>
        <w:topLinePunct w:val="0"/>
        <w:autoSpaceDE/>
        <w:autoSpaceDN w:val="0"/>
        <w:bidi w:val="0"/>
        <w:spacing w:line="460" w:lineRule="exact"/>
        <w:ind w:firstLine="642" w:firstLineChars="200"/>
        <w:textAlignment w:val="auto"/>
        <w:rPr>
          <w:rFonts w:ascii="宋体" w:hAnsi="宋体"/>
          <w:color w:val="FF0000"/>
          <w:sz w:val="24"/>
        </w:rPr>
      </w:pPr>
      <w:r>
        <w:rPr>
          <w:rFonts w:ascii="仿宋_GB2312" w:hAnsi="仿宋_GB2312" w:eastAsia="仿宋_GB2312"/>
          <w:b/>
          <w:color w:val="auto"/>
          <w:sz w:val="32"/>
          <w:szCs w:val="22"/>
        </w:rPr>
        <w:t>拟对</w:t>
      </w:r>
      <w:r>
        <w:rPr>
          <w:rFonts w:hint="eastAsia" w:ascii="仿宋_GB2312" w:hAnsi="仿宋_GB2312" w:eastAsia="仿宋_GB2312"/>
          <w:b/>
          <w:color w:val="auto"/>
          <w:sz w:val="32"/>
          <w:szCs w:val="22"/>
          <w:lang w:val="en-US" w:eastAsia="zh-CN"/>
        </w:rPr>
        <w:t>焦作市明仁天然药物有限责任公司怀药分公司年产500吨健康食品生产线建设项目</w:t>
      </w:r>
      <w:r>
        <w:rPr>
          <w:rFonts w:ascii="仿宋_GB2312" w:hAnsi="仿宋_GB2312" w:eastAsia="仿宋_GB2312"/>
          <w:b/>
          <w:color w:val="auto"/>
          <w:sz w:val="32"/>
          <w:szCs w:val="22"/>
        </w:rPr>
        <w:t>环评批复如</w:t>
      </w:r>
      <w:r>
        <w:rPr>
          <w:rFonts w:ascii="仿宋_GB2312" w:hAnsi="仿宋_GB2312" w:eastAsia="仿宋_GB2312"/>
          <w:b/>
          <w:color w:val="auto"/>
          <w:sz w:val="32"/>
        </w:rPr>
        <w:t>下：</w:t>
      </w:r>
    </w:p>
    <w:p>
      <w:pPr>
        <w:keepNext w:val="0"/>
        <w:keepLines w:val="0"/>
        <w:pageBreakBefore w:val="0"/>
        <w:widowControl w:val="0"/>
        <w:numPr>
          <w:ilvl w:val="0"/>
          <w:numId w:val="1"/>
        </w:numPr>
        <w:kinsoku/>
        <w:wordWrap/>
        <w:overflowPunct/>
        <w:topLinePunct w:val="0"/>
        <w:autoSpaceDE/>
        <w:autoSpaceDN w:val="0"/>
        <w:bidi w:val="0"/>
        <w:adjustRightInd/>
        <w:snapToGrid/>
        <w:spacing w:line="440" w:lineRule="exact"/>
        <w:ind w:firstLine="640"/>
        <w:textAlignment w:val="auto"/>
        <w:rPr>
          <w:rFonts w:hint="eastAsia" w:ascii="仿宋" w:hAnsi="仿宋" w:eastAsia="仿宋"/>
          <w:sz w:val="32"/>
          <w:lang w:val="en-US" w:eastAsia="zh-CN"/>
        </w:rPr>
      </w:pPr>
      <w:r>
        <w:rPr>
          <w:rFonts w:hint="eastAsia" w:ascii="仿宋" w:hAnsi="仿宋" w:eastAsia="仿宋"/>
          <w:sz w:val="32"/>
          <w:lang w:val="en-US" w:eastAsia="zh-CN"/>
        </w:rPr>
        <w:t>项目位于焦作市修武县七贤镇焦辉路（西）88号（方庄村南侧），建设性质为新建，总投资1000万元。产品分为薯类食品、其他方便食品、固体饮料，产能分别为170t/a、170t/a、160t/a，合计500t/a。生产线共用，原料根据产品的不同进行调整，生产工艺为炒制、粉碎/（粉碎、拌粉、膨化风冷、粉碎）、混合、制粒、内包、外包、成品入库等。生产设备主要为炒药机、高效粉碎机、混合机、膨化机组、脉冲式一步制粒干燥机、旋振机、包装机等。</w:t>
      </w:r>
    </w:p>
    <w:p>
      <w:pPr>
        <w:keepNext w:val="0"/>
        <w:keepLines w:val="0"/>
        <w:pageBreakBefore w:val="0"/>
        <w:widowControl w:val="0"/>
        <w:numPr>
          <w:ilvl w:val="0"/>
          <w:numId w:val="0"/>
        </w:numPr>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hint="eastAsia" w:ascii="仿宋" w:hAnsi="仿宋" w:eastAsia="仿宋"/>
          <w:sz w:val="32"/>
          <w:lang w:val="en-US" w:eastAsia="zh-CN"/>
        </w:rPr>
        <w:t>二、</w:t>
      </w:r>
      <w:r>
        <w:rPr>
          <w:rFonts w:hint="eastAsia" w:ascii="仿宋" w:hAnsi="仿宋" w:eastAsia="仿宋"/>
          <w:sz w:val="32"/>
        </w:rPr>
        <w:t>《</w:t>
      </w:r>
      <w:r>
        <w:rPr>
          <w:rFonts w:ascii="仿宋" w:hAnsi="仿宋" w:eastAsia="仿宋"/>
          <w:sz w:val="32"/>
        </w:rPr>
        <w:t>报告</w:t>
      </w:r>
      <w:r>
        <w:rPr>
          <w:rFonts w:hint="eastAsia" w:ascii="仿宋" w:hAnsi="仿宋" w:eastAsia="仿宋"/>
          <w:sz w:val="32"/>
          <w:lang w:val="en-US" w:eastAsia="zh-CN"/>
        </w:rPr>
        <w:t>表</w:t>
      </w:r>
      <w:r>
        <w:rPr>
          <w:rFonts w:ascii="仿宋" w:hAnsi="仿宋" w:eastAsia="仿宋"/>
          <w:sz w:val="32"/>
        </w:rPr>
        <w:t>》内容符合国家有关法律法规要求和建设项目环境管理规定，原则同意你</w:t>
      </w:r>
      <w:r>
        <w:rPr>
          <w:rFonts w:hint="eastAsia" w:ascii="仿宋" w:hAnsi="仿宋" w:eastAsia="仿宋"/>
          <w:sz w:val="32"/>
        </w:rPr>
        <w:t>公司</w:t>
      </w:r>
      <w:r>
        <w:rPr>
          <w:rFonts w:ascii="仿宋" w:hAnsi="仿宋" w:eastAsia="仿宋"/>
          <w:sz w:val="32"/>
        </w:rPr>
        <w:t>按照《报告</w:t>
      </w:r>
      <w:r>
        <w:rPr>
          <w:rFonts w:hint="eastAsia" w:ascii="仿宋" w:hAnsi="仿宋" w:eastAsia="仿宋"/>
          <w:sz w:val="32"/>
          <w:lang w:val="en-US" w:eastAsia="zh-CN"/>
        </w:rPr>
        <w:t>表</w:t>
      </w:r>
      <w:r>
        <w:rPr>
          <w:rFonts w:ascii="仿宋" w:hAnsi="仿宋" w:eastAsia="仿宋"/>
          <w:sz w:val="32"/>
        </w:rPr>
        <w:t>》中所列项目的性质、规模、地点、采用的工艺和环境保护对策措施进行建设。</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ascii="仿宋" w:hAnsi="仿宋" w:eastAsia="仿宋"/>
          <w:sz w:val="32"/>
        </w:rPr>
        <w:t>三、你公司应向社会公众主动公开经批准的《报告</w:t>
      </w:r>
      <w:r>
        <w:rPr>
          <w:rFonts w:hint="eastAsia" w:ascii="仿宋" w:hAnsi="仿宋" w:eastAsia="仿宋"/>
          <w:sz w:val="32"/>
          <w:lang w:val="en-US" w:eastAsia="zh-CN"/>
        </w:rPr>
        <w:t>表</w:t>
      </w:r>
      <w:r>
        <w:rPr>
          <w:rFonts w:ascii="仿宋" w:hAnsi="仿宋" w:eastAsia="仿宋"/>
          <w:sz w:val="32"/>
        </w:rPr>
        <w:t>》，并接受相关方的咨询。</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ascii="仿宋" w:hAnsi="仿宋" w:eastAsia="仿宋"/>
          <w:sz w:val="32"/>
        </w:rPr>
        <w:t>四、你公司应全面落实《报告</w:t>
      </w:r>
      <w:r>
        <w:rPr>
          <w:rFonts w:hint="eastAsia" w:ascii="仿宋" w:hAnsi="仿宋" w:eastAsia="仿宋"/>
          <w:sz w:val="32"/>
          <w:lang w:val="en-US" w:eastAsia="zh-CN"/>
        </w:rPr>
        <w:t>表</w:t>
      </w:r>
      <w:r>
        <w:rPr>
          <w:rFonts w:ascii="仿宋" w:hAnsi="仿宋" w:eastAsia="仿宋"/>
          <w:sz w:val="32"/>
        </w:rPr>
        <w:t>》提出的各项环保对策措施，确保各项环境保护设施与主体工程同时设计、同时施工、同时投产使用，各项污染物达标排放,确保环境安全。</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ascii="仿宋" w:hAnsi="仿宋" w:eastAsia="仿宋"/>
          <w:sz w:val="32"/>
        </w:rPr>
        <w:t>（一）按照《报告</w:t>
      </w:r>
      <w:r>
        <w:rPr>
          <w:rFonts w:hint="eastAsia" w:ascii="仿宋" w:hAnsi="仿宋" w:eastAsia="仿宋"/>
          <w:sz w:val="32"/>
          <w:lang w:val="en-US" w:eastAsia="zh-CN"/>
        </w:rPr>
        <w:t>表</w:t>
      </w:r>
      <w:r>
        <w:rPr>
          <w:rFonts w:ascii="仿宋" w:hAnsi="仿宋" w:eastAsia="仿宋"/>
          <w:sz w:val="32"/>
        </w:rPr>
        <w:t>》和本批复文件要求，根据环境保护设计规范要求进行项目设计，落实防治环境污染和生态破坏的措施以及环保设施投资概算。</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ascii="仿宋" w:hAnsi="仿宋" w:eastAsia="仿宋"/>
          <w:sz w:val="32"/>
        </w:rPr>
        <w:t>（二）依据《报告</w:t>
      </w:r>
      <w:r>
        <w:rPr>
          <w:rFonts w:hint="eastAsia" w:ascii="仿宋" w:hAnsi="仿宋" w:eastAsia="仿宋"/>
          <w:sz w:val="32"/>
          <w:lang w:val="en-US" w:eastAsia="zh-CN"/>
        </w:rPr>
        <w:t>表</w:t>
      </w:r>
      <w:r>
        <w:rPr>
          <w:rFonts w:ascii="仿宋" w:hAnsi="仿宋" w:eastAsia="仿宋"/>
          <w:sz w:val="32"/>
        </w:rPr>
        <w:t>》和本批复文件，对项目建设过程中产生的废</w:t>
      </w:r>
      <w:r>
        <w:rPr>
          <w:rFonts w:hint="eastAsia" w:ascii="仿宋" w:hAnsi="仿宋" w:eastAsia="仿宋"/>
          <w:sz w:val="32"/>
          <w:lang w:eastAsia="zh-CN"/>
        </w:rPr>
        <w:t>气</w:t>
      </w:r>
      <w:r>
        <w:rPr>
          <w:rFonts w:ascii="仿宋" w:hAnsi="仿宋" w:eastAsia="仿宋"/>
          <w:sz w:val="32"/>
        </w:rPr>
        <w:t>、废</w:t>
      </w:r>
      <w:r>
        <w:rPr>
          <w:rFonts w:hint="eastAsia" w:ascii="仿宋" w:hAnsi="仿宋" w:eastAsia="仿宋"/>
          <w:sz w:val="32"/>
          <w:lang w:eastAsia="zh-CN"/>
        </w:rPr>
        <w:t>水</w:t>
      </w:r>
      <w:r>
        <w:rPr>
          <w:rFonts w:ascii="仿宋" w:hAnsi="仿宋" w:eastAsia="仿宋"/>
          <w:sz w:val="32"/>
        </w:rPr>
        <w:t>、固体废物、噪声等污染，以及因施工对自然生态环境造成的破坏，采取相应的防治措施。</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lang w:val="en-US" w:eastAsia="zh-CN"/>
        </w:rPr>
      </w:pPr>
      <w:r>
        <w:rPr>
          <w:rFonts w:hint="eastAsia" w:ascii="仿宋" w:hAnsi="仿宋" w:eastAsia="仿宋"/>
          <w:sz w:val="32"/>
          <w:lang w:val="en-US" w:eastAsia="zh-CN"/>
        </w:rPr>
        <w:t>（三）项目运行时，外排污染物应满足以下要求：</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rPr>
      </w:pPr>
      <w:r>
        <w:rPr>
          <w:rFonts w:hint="eastAsia" w:ascii="仿宋" w:hAnsi="仿宋" w:eastAsia="仿宋"/>
          <w:sz w:val="32"/>
          <w:lang w:val="en-US" w:eastAsia="zh-CN"/>
        </w:rPr>
        <w:t>1.废气。红豆等粉碎、料仓暂存废气、山药一次粉碎收料装置尾气、拌粉、膨化风冷、二次粉碎收料装置尾气、料仓暂存废气、混合、制粒、内包装等废气，经各自集气系统收集后，引入1套覆膜脉冲袋式除尘器+15m高排气筒（DA001）达标排放。集气系统未收集到的废气，采取加强生产车间密闭，加强车间洁净系统、集气系统及环保设备的维护，提高集气效率，设置工业吸尘器，安装视频监控系统，建立废气治理设施运行记录台账等措施，降低对周围环境的影响。</w:t>
      </w:r>
      <w:r>
        <w:rPr>
          <w:rFonts w:hint="eastAsia" w:ascii="仿宋" w:hAnsi="仿宋" w:eastAsia="仿宋"/>
          <w:sz w:val="32"/>
        </w:rPr>
        <w:t>废气经相应污染治理措施处理后</w:t>
      </w:r>
      <w:r>
        <w:rPr>
          <w:rFonts w:hint="eastAsia" w:ascii="仿宋" w:hAnsi="仿宋" w:eastAsia="仿宋"/>
          <w:sz w:val="32"/>
          <w:lang w:eastAsia="zh-CN"/>
        </w:rPr>
        <w:t>达标</w:t>
      </w:r>
      <w:r>
        <w:rPr>
          <w:rFonts w:hint="eastAsia" w:ascii="仿宋" w:hAnsi="仿宋" w:eastAsia="仿宋"/>
          <w:sz w:val="32"/>
        </w:rPr>
        <w:t>排放，应满足</w:t>
      </w:r>
      <w:r>
        <w:rPr>
          <w:rFonts w:hint="eastAsia" w:ascii="仿宋" w:hAnsi="仿宋" w:eastAsia="仿宋"/>
          <w:sz w:val="32"/>
          <w:lang w:val="en-US" w:eastAsia="zh-CN"/>
        </w:rPr>
        <w:t>《大气污染物综合排放标准》（GB16297-1996）表2、《焦作市生态环境保护委员会办公室关于印发〈焦作市2026年蓝天保卫战实施方案〉的通知》（焦环委办〔2026〕11号）等</w:t>
      </w:r>
      <w:r>
        <w:rPr>
          <w:rFonts w:hint="eastAsia" w:ascii="仿宋" w:hAnsi="仿宋" w:eastAsia="仿宋"/>
          <w:sz w:val="32"/>
        </w:rPr>
        <w:t>相关污染因子控制排放要求。</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lang w:val="en-US" w:eastAsia="zh-CN"/>
        </w:rPr>
      </w:pPr>
      <w:r>
        <w:rPr>
          <w:rFonts w:hint="eastAsia" w:ascii="仿宋" w:hAnsi="仿宋" w:eastAsia="仿宋"/>
          <w:sz w:val="32"/>
          <w:lang w:val="en-US" w:eastAsia="zh-CN"/>
        </w:rPr>
        <w:t>2.废水。设备清洗废水、地面拖洗水、生活污水，依托焦作市明仁堂天然药物有限公司现有污水处理站处理后，与纯水制备废水一同经废水总排口排入七贤镇污水处理厂进一步处理，最终作为中水回用于中州铝厂，不外排。</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rPr>
      </w:pPr>
      <w:r>
        <w:rPr>
          <w:rFonts w:hint="eastAsia" w:ascii="仿宋" w:hAnsi="仿宋" w:eastAsia="仿宋"/>
          <w:sz w:val="32"/>
          <w:lang w:val="en-US" w:eastAsia="zh-CN"/>
        </w:rPr>
        <w:t>3.</w:t>
      </w:r>
      <w:r>
        <w:rPr>
          <w:rFonts w:hint="eastAsia" w:ascii="仿宋" w:hAnsi="仿宋" w:eastAsia="仿宋"/>
          <w:sz w:val="32"/>
        </w:rPr>
        <w:t>噪声。采取设备室内布置</w:t>
      </w:r>
      <w:r>
        <w:rPr>
          <w:rFonts w:hint="eastAsia" w:ascii="仿宋" w:hAnsi="仿宋" w:eastAsia="仿宋"/>
          <w:sz w:val="32"/>
          <w:lang w:eastAsia="zh-CN"/>
        </w:rPr>
        <w:t>，</w:t>
      </w:r>
      <w:r>
        <w:rPr>
          <w:rFonts w:hint="eastAsia" w:ascii="仿宋" w:hAnsi="仿宋" w:eastAsia="仿宋"/>
          <w:sz w:val="32"/>
          <w:lang w:val="en-US" w:eastAsia="zh-CN"/>
        </w:rPr>
        <w:t>加装</w:t>
      </w:r>
      <w:r>
        <w:rPr>
          <w:rFonts w:hint="eastAsia" w:ascii="仿宋" w:hAnsi="仿宋" w:eastAsia="仿宋"/>
          <w:sz w:val="32"/>
        </w:rPr>
        <w:t>减振基础等降噪措施，厂界</w:t>
      </w:r>
      <w:r>
        <w:rPr>
          <w:rFonts w:hint="eastAsia" w:ascii="仿宋" w:hAnsi="仿宋" w:eastAsia="仿宋"/>
          <w:sz w:val="32"/>
          <w:lang w:eastAsia="zh-CN"/>
        </w:rPr>
        <w:t>环境</w:t>
      </w:r>
      <w:r>
        <w:rPr>
          <w:rFonts w:hint="eastAsia" w:ascii="仿宋" w:hAnsi="仿宋" w:eastAsia="仿宋"/>
          <w:sz w:val="32"/>
        </w:rPr>
        <w:t>噪声应满足《工业企业厂界环境噪声排放标准》（GB12348-2008）</w:t>
      </w:r>
      <w:r>
        <w:rPr>
          <w:rFonts w:hint="eastAsia" w:ascii="仿宋" w:hAnsi="仿宋" w:eastAsia="仿宋"/>
          <w:sz w:val="32"/>
          <w:lang w:val="en-US" w:eastAsia="zh-CN"/>
        </w:rPr>
        <w:t>2</w:t>
      </w:r>
      <w:r>
        <w:rPr>
          <w:rFonts w:hint="eastAsia" w:ascii="仿宋" w:hAnsi="仿宋" w:eastAsia="仿宋"/>
          <w:sz w:val="32"/>
        </w:rPr>
        <w:t>类标准要求。</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rPr>
      </w:pPr>
      <w:r>
        <w:rPr>
          <w:rFonts w:hint="eastAsia" w:ascii="仿宋" w:hAnsi="仿宋" w:eastAsia="仿宋"/>
          <w:sz w:val="32"/>
          <w:lang w:val="en-US" w:eastAsia="zh-CN"/>
        </w:rPr>
        <w:t>4</w:t>
      </w:r>
      <w:r>
        <w:rPr>
          <w:rFonts w:hint="eastAsia" w:ascii="仿宋" w:hAnsi="仿宋" w:eastAsia="仿宋"/>
          <w:sz w:val="32"/>
        </w:rPr>
        <w:t>.固废。固体废物全部妥善和安全处置，各类固体废物贮存、处置应满足《危险废物贮存污染控制标准》（GB18597-20</w:t>
      </w:r>
      <w:r>
        <w:rPr>
          <w:rFonts w:hint="eastAsia" w:ascii="仿宋" w:hAnsi="仿宋" w:eastAsia="仿宋"/>
          <w:sz w:val="32"/>
          <w:lang w:val="en-US" w:eastAsia="zh-CN"/>
        </w:rPr>
        <w:t>23</w:t>
      </w:r>
      <w:r>
        <w:rPr>
          <w:rFonts w:hint="eastAsia" w:ascii="仿宋" w:hAnsi="仿宋" w:eastAsia="仿宋"/>
          <w:sz w:val="32"/>
        </w:rPr>
        <w:t>）、《一般工业固体废物贮存和填埋污染控制标准》（GB18599-2020）相关要求。</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rPr>
      </w:pPr>
      <w:r>
        <w:rPr>
          <w:rFonts w:hint="eastAsia" w:ascii="仿宋" w:hAnsi="仿宋" w:eastAsia="仿宋"/>
          <w:sz w:val="32"/>
        </w:rPr>
        <w:t>（四）落实土壤及地下水污染防治措施，采取源头控制、分区防渗等措施，加强厂区周围土壤及地下水水质监控，严防土壤和地下水污染。</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rPr>
      </w:pPr>
      <w:r>
        <w:rPr>
          <w:rFonts w:hint="eastAsia" w:ascii="仿宋" w:hAnsi="仿宋" w:eastAsia="仿宋"/>
          <w:sz w:val="32"/>
        </w:rPr>
        <w:t>（五）落实环境风险防范措施，严防环境污染事故发生。</w:t>
      </w:r>
    </w:p>
    <w:p>
      <w:pPr>
        <w:keepNext w:val="0"/>
        <w:keepLines w:val="0"/>
        <w:pageBreakBefore w:val="0"/>
        <w:widowControl w:val="0"/>
        <w:kinsoku/>
        <w:wordWrap/>
        <w:overflowPunct/>
        <w:topLinePunct w:val="0"/>
        <w:autoSpaceDE/>
        <w:bidi w:val="0"/>
        <w:adjustRightInd/>
        <w:snapToGrid/>
        <w:spacing w:line="440" w:lineRule="exact"/>
        <w:ind w:left="0" w:leftChars="0" w:firstLine="640" w:firstLineChars="200"/>
        <w:textAlignment w:val="auto"/>
        <w:rPr>
          <w:color w:val="auto"/>
        </w:rPr>
      </w:pPr>
      <w:r>
        <w:rPr>
          <w:rFonts w:hint="eastAsia" w:ascii="仿宋" w:hAnsi="仿宋" w:eastAsia="仿宋"/>
          <w:sz w:val="32"/>
          <w:lang w:val="en-US" w:eastAsia="zh-CN"/>
        </w:rPr>
        <w:t>（六）</w:t>
      </w:r>
      <w:r>
        <w:rPr>
          <w:rFonts w:hint="default" w:ascii="Times New Roman" w:hAnsi="Times New Roman" w:eastAsia="仿宋" w:cs="Times New Roman"/>
          <w:color w:val="auto"/>
          <w:sz w:val="32"/>
          <w:szCs w:val="32"/>
          <w:lang w:val="en-US" w:eastAsia="zh-CN"/>
        </w:rPr>
        <w:t>该项目污染物总量控制指标为</w:t>
      </w:r>
      <w:r>
        <w:rPr>
          <w:rFonts w:hint="eastAsia" w:eastAsia="仿宋" w:cs="Times New Roman"/>
          <w:color w:val="auto"/>
          <w:sz w:val="32"/>
          <w:szCs w:val="32"/>
          <w:lang w:val="en-US" w:eastAsia="zh-CN"/>
        </w:rPr>
        <w:t>废气</w:t>
      </w:r>
      <w:r>
        <w:rPr>
          <w:rFonts w:hint="default" w:ascii="Times New Roman" w:hAnsi="Times New Roman" w:eastAsia="仿宋" w:cs="Times New Roman"/>
          <w:color w:val="auto"/>
          <w:sz w:val="32"/>
          <w:szCs w:val="32"/>
          <w:lang w:val="en-US" w:eastAsia="zh-CN"/>
        </w:rPr>
        <w:t>：</w:t>
      </w:r>
      <w:r>
        <w:rPr>
          <w:rFonts w:hint="eastAsia" w:ascii="仿宋" w:hAnsi="仿宋" w:eastAsia="仿宋"/>
          <w:color w:val="auto"/>
          <w:sz w:val="32"/>
          <w:lang w:val="en-US" w:eastAsia="zh-CN"/>
        </w:rPr>
        <w:t>颗粒物0.044t/a；废水（厂界）化学需氧量</w:t>
      </w:r>
      <w:bookmarkStart w:id="0" w:name="_GoBack"/>
      <w:bookmarkEnd w:id="0"/>
      <w:r>
        <w:rPr>
          <w:rFonts w:hint="eastAsia" w:ascii="仿宋" w:hAnsi="仿宋" w:eastAsia="仿宋"/>
          <w:color w:val="auto"/>
          <w:sz w:val="32"/>
          <w:lang w:val="en-US" w:eastAsia="zh-CN"/>
        </w:rPr>
        <w:t>0.123t/a、总磷0.0006t/a、氨氮0.0038t/a。</w:t>
      </w:r>
    </w:p>
    <w:sectPr>
      <w:pgSz w:w="16838" w:h="11906" w:orient="landscape"/>
      <w:pgMar w:top="1800" w:right="1440" w:bottom="1486"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00007A87" w:usb1="80000000" w:usb2="00000008" w:usb3="00000000" w:csb0="400001FF" w:csb1="FFFF0000"/>
  </w:font>
  <w:font w:name="宋体">
    <w:panose1 w:val="02010600030101010101"/>
    <w:charset w:val="78"/>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65D9F4"/>
    <w:multiLevelType w:val="singleLevel"/>
    <w:tmpl w:val="8E65D9F4"/>
    <w:lvl w:ilvl="0" w:tentative="0">
      <w:start w:val="1"/>
      <w:numFmt w:val="chineseCounting"/>
      <w:suff w:val="nothing"/>
      <w:lvlText w:val="%1、"/>
      <w:lvlJc w:val="left"/>
      <w:pPr>
        <w:ind w:left="-1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NjZjA5MjdkMTNkNmYwMTRjMmZkMGVjNjBkZGE4YmQifQ=="/>
  </w:docVars>
  <w:rsids>
    <w:rsidRoot w:val="00172A27"/>
    <w:rsid w:val="00024709"/>
    <w:rsid w:val="000F68E9"/>
    <w:rsid w:val="00235E07"/>
    <w:rsid w:val="00DB20F6"/>
    <w:rsid w:val="00E51CC5"/>
    <w:rsid w:val="0126618A"/>
    <w:rsid w:val="012918ED"/>
    <w:rsid w:val="01B06EF5"/>
    <w:rsid w:val="023D34D7"/>
    <w:rsid w:val="0255217B"/>
    <w:rsid w:val="02963131"/>
    <w:rsid w:val="02C91B14"/>
    <w:rsid w:val="02EE7330"/>
    <w:rsid w:val="031876EE"/>
    <w:rsid w:val="035F182D"/>
    <w:rsid w:val="037D2D94"/>
    <w:rsid w:val="03BE3B52"/>
    <w:rsid w:val="04190476"/>
    <w:rsid w:val="04293668"/>
    <w:rsid w:val="04526978"/>
    <w:rsid w:val="04B92A3C"/>
    <w:rsid w:val="04BD7506"/>
    <w:rsid w:val="04CD5020"/>
    <w:rsid w:val="05502AD1"/>
    <w:rsid w:val="056F6F00"/>
    <w:rsid w:val="05C669DE"/>
    <w:rsid w:val="06D0475B"/>
    <w:rsid w:val="071E6B17"/>
    <w:rsid w:val="07436822"/>
    <w:rsid w:val="07CC0190"/>
    <w:rsid w:val="086A54C9"/>
    <w:rsid w:val="08E51BC3"/>
    <w:rsid w:val="0A0E6974"/>
    <w:rsid w:val="0B7D7413"/>
    <w:rsid w:val="0F4F5509"/>
    <w:rsid w:val="0F911044"/>
    <w:rsid w:val="10486BCC"/>
    <w:rsid w:val="10665A8F"/>
    <w:rsid w:val="10A26B5D"/>
    <w:rsid w:val="10AF71CF"/>
    <w:rsid w:val="10C36A15"/>
    <w:rsid w:val="11BD491D"/>
    <w:rsid w:val="12B929BE"/>
    <w:rsid w:val="13E2466A"/>
    <w:rsid w:val="13ED065E"/>
    <w:rsid w:val="14B60DC7"/>
    <w:rsid w:val="14C74BBE"/>
    <w:rsid w:val="1505030C"/>
    <w:rsid w:val="15072263"/>
    <w:rsid w:val="158C212B"/>
    <w:rsid w:val="161E416A"/>
    <w:rsid w:val="16775464"/>
    <w:rsid w:val="16A023D8"/>
    <w:rsid w:val="16EF4516"/>
    <w:rsid w:val="179C32DF"/>
    <w:rsid w:val="18385C6F"/>
    <w:rsid w:val="18A52CE5"/>
    <w:rsid w:val="18A614BC"/>
    <w:rsid w:val="18EB2382"/>
    <w:rsid w:val="19841D0D"/>
    <w:rsid w:val="1B905A26"/>
    <w:rsid w:val="1BAE7CE8"/>
    <w:rsid w:val="1C34148C"/>
    <w:rsid w:val="1C9E2C3E"/>
    <w:rsid w:val="1D3D066A"/>
    <w:rsid w:val="1DAB4250"/>
    <w:rsid w:val="1DC81A61"/>
    <w:rsid w:val="1DFF73D8"/>
    <w:rsid w:val="1E324BE9"/>
    <w:rsid w:val="1F0A49D2"/>
    <w:rsid w:val="1FD54DF7"/>
    <w:rsid w:val="20D73D20"/>
    <w:rsid w:val="211406DC"/>
    <w:rsid w:val="21606F74"/>
    <w:rsid w:val="22173DF2"/>
    <w:rsid w:val="2352501A"/>
    <w:rsid w:val="23C03E6B"/>
    <w:rsid w:val="24517BC7"/>
    <w:rsid w:val="26766B70"/>
    <w:rsid w:val="27562D2E"/>
    <w:rsid w:val="291F7E5A"/>
    <w:rsid w:val="29250D5D"/>
    <w:rsid w:val="29657727"/>
    <w:rsid w:val="298E37DF"/>
    <w:rsid w:val="29D36658"/>
    <w:rsid w:val="29FA6796"/>
    <w:rsid w:val="2A2E63F8"/>
    <w:rsid w:val="2CA2642C"/>
    <w:rsid w:val="2CD640B0"/>
    <w:rsid w:val="2DDD490C"/>
    <w:rsid w:val="2E731311"/>
    <w:rsid w:val="2EA72220"/>
    <w:rsid w:val="2EAB7659"/>
    <w:rsid w:val="2F035829"/>
    <w:rsid w:val="2FC23563"/>
    <w:rsid w:val="2FEF7FAE"/>
    <w:rsid w:val="30463F89"/>
    <w:rsid w:val="30C41F26"/>
    <w:rsid w:val="310D5873"/>
    <w:rsid w:val="315D3740"/>
    <w:rsid w:val="320E5ED2"/>
    <w:rsid w:val="321B581D"/>
    <w:rsid w:val="32C0431C"/>
    <w:rsid w:val="33F05B15"/>
    <w:rsid w:val="34D00BCD"/>
    <w:rsid w:val="34D136C0"/>
    <w:rsid w:val="353F481F"/>
    <w:rsid w:val="367C6ADA"/>
    <w:rsid w:val="37F90696"/>
    <w:rsid w:val="388B2796"/>
    <w:rsid w:val="38D8347D"/>
    <w:rsid w:val="39223A4B"/>
    <w:rsid w:val="39505E8B"/>
    <w:rsid w:val="3A347756"/>
    <w:rsid w:val="3A6A7D68"/>
    <w:rsid w:val="3AC21CBC"/>
    <w:rsid w:val="3B651D43"/>
    <w:rsid w:val="3B6911DC"/>
    <w:rsid w:val="3BE70E0D"/>
    <w:rsid w:val="3C6B2E1E"/>
    <w:rsid w:val="3C7C5114"/>
    <w:rsid w:val="3D8F2351"/>
    <w:rsid w:val="3E990FD1"/>
    <w:rsid w:val="3E9FBE91"/>
    <w:rsid w:val="3EE619FA"/>
    <w:rsid w:val="3F6D4062"/>
    <w:rsid w:val="3F983332"/>
    <w:rsid w:val="40186409"/>
    <w:rsid w:val="40DB4443"/>
    <w:rsid w:val="41BE2E83"/>
    <w:rsid w:val="43682772"/>
    <w:rsid w:val="43BB6DDF"/>
    <w:rsid w:val="44E010D8"/>
    <w:rsid w:val="46027F62"/>
    <w:rsid w:val="465A6194"/>
    <w:rsid w:val="4672380C"/>
    <w:rsid w:val="47663361"/>
    <w:rsid w:val="48974239"/>
    <w:rsid w:val="48A10C68"/>
    <w:rsid w:val="490315D5"/>
    <w:rsid w:val="4A8C5C0A"/>
    <w:rsid w:val="4C6D6A6A"/>
    <w:rsid w:val="4E17678F"/>
    <w:rsid w:val="4E6857AA"/>
    <w:rsid w:val="4F5A626A"/>
    <w:rsid w:val="514D43BD"/>
    <w:rsid w:val="5218516A"/>
    <w:rsid w:val="528B7562"/>
    <w:rsid w:val="52CE0438"/>
    <w:rsid w:val="52FF4DE6"/>
    <w:rsid w:val="533C178C"/>
    <w:rsid w:val="54521413"/>
    <w:rsid w:val="54A55EF8"/>
    <w:rsid w:val="54FE711A"/>
    <w:rsid w:val="56052975"/>
    <w:rsid w:val="578552FC"/>
    <w:rsid w:val="5792036A"/>
    <w:rsid w:val="57A16045"/>
    <w:rsid w:val="58EE2B34"/>
    <w:rsid w:val="598E1342"/>
    <w:rsid w:val="5A5771F3"/>
    <w:rsid w:val="5A5A2831"/>
    <w:rsid w:val="5AE77C67"/>
    <w:rsid w:val="5BA871B9"/>
    <w:rsid w:val="5BC5494C"/>
    <w:rsid w:val="5BFB3F1E"/>
    <w:rsid w:val="5CAC586B"/>
    <w:rsid w:val="5DA80183"/>
    <w:rsid w:val="5ED729FF"/>
    <w:rsid w:val="5EFEEC21"/>
    <w:rsid w:val="5F041F46"/>
    <w:rsid w:val="5F0846E4"/>
    <w:rsid w:val="5F1F5606"/>
    <w:rsid w:val="5F275C5F"/>
    <w:rsid w:val="5F5B4DD9"/>
    <w:rsid w:val="5F724EA5"/>
    <w:rsid w:val="5FAD0340"/>
    <w:rsid w:val="5FBF930C"/>
    <w:rsid w:val="5FFCA70E"/>
    <w:rsid w:val="5FFD10B4"/>
    <w:rsid w:val="604C6B8B"/>
    <w:rsid w:val="608019A3"/>
    <w:rsid w:val="614D5D3C"/>
    <w:rsid w:val="642546A3"/>
    <w:rsid w:val="648A2879"/>
    <w:rsid w:val="64DA6081"/>
    <w:rsid w:val="65860BAA"/>
    <w:rsid w:val="68332962"/>
    <w:rsid w:val="683A3F7B"/>
    <w:rsid w:val="683F728B"/>
    <w:rsid w:val="687412E9"/>
    <w:rsid w:val="696C0341"/>
    <w:rsid w:val="6A0473BA"/>
    <w:rsid w:val="6B066E90"/>
    <w:rsid w:val="6B6F7B30"/>
    <w:rsid w:val="6BBD351C"/>
    <w:rsid w:val="6BC871B5"/>
    <w:rsid w:val="6C1001E7"/>
    <w:rsid w:val="6C222E7D"/>
    <w:rsid w:val="6C6D2176"/>
    <w:rsid w:val="6CC17B2F"/>
    <w:rsid w:val="6D0430AE"/>
    <w:rsid w:val="6DE52501"/>
    <w:rsid w:val="6E33613C"/>
    <w:rsid w:val="6E56722F"/>
    <w:rsid w:val="6EF42770"/>
    <w:rsid w:val="6EFF4996"/>
    <w:rsid w:val="70170261"/>
    <w:rsid w:val="708D2BAE"/>
    <w:rsid w:val="71045729"/>
    <w:rsid w:val="71F10796"/>
    <w:rsid w:val="728B530B"/>
    <w:rsid w:val="74F2557D"/>
    <w:rsid w:val="754937FF"/>
    <w:rsid w:val="755C5264"/>
    <w:rsid w:val="756605B9"/>
    <w:rsid w:val="75B81421"/>
    <w:rsid w:val="75F24811"/>
    <w:rsid w:val="75FFE778"/>
    <w:rsid w:val="765421B1"/>
    <w:rsid w:val="766A7AA1"/>
    <w:rsid w:val="769D7D4B"/>
    <w:rsid w:val="772F26E2"/>
    <w:rsid w:val="77640984"/>
    <w:rsid w:val="7811546E"/>
    <w:rsid w:val="782C4C49"/>
    <w:rsid w:val="783B3C00"/>
    <w:rsid w:val="78F1288B"/>
    <w:rsid w:val="7900580B"/>
    <w:rsid w:val="79680A3E"/>
    <w:rsid w:val="7A516152"/>
    <w:rsid w:val="7AF112B3"/>
    <w:rsid w:val="7AFE4466"/>
    <w:rsid w:val="7B852066"/>
    <w:rsid w:val="7BC3D60C"/>
    <w:rsid w:val="7DA44071"/>
    <w:rsid w:val="7DB801AC"/>
    <w:rsid w:val="7E487708"/>
    <w:rsid w:val="7E6F2A98"/>
    <w:rsid w:val="7EAC6151"/>
    <w:rsid w:val="7ED6300D"/>
    <w:rsid w:val="7F491443"/>
    <w:rsid w:val="7F8E40FE"/>
    <w:rsid w:val="7FE4A6A6"/>
    <w:rsid w:val="7FF77BF9"/>
    <w:rsid w:val="93FE2B1B"/>
    <w:rsid w:val="ADFB5EEB"/>
    <w:rsid w:val="BBF5C754"/>
    <w:rsid w:val="BBFFC089"/>
    <w:rsid w:val="BEEF260C"/>
    <w:rsid w:val="BFFCBE14"/>
    <w:rsid w:val="D5FDA114"/>
    <w:rsid w:val="D7F7057B"/>
    <w:rsid w:val="D93D45F6"/>
    <w:rsid w:val="DA6F2D7C"/>
    <w:rsid w:val="DF7BDFD2"/>
    <w:rsid w:val="DFDF21B1"/>
    <w:rsid w:val="DFFB65C7"/>
    <w:rsid w:val="EF5FB4C7"/>
    <w:rsid w:val="F1BF67B3"/>
    <w:rsid w:val="F5FB8A7E"/>
    <w:rsid w:val="FDBFE833"/>
    <w:rsid w:val="FEFE9A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Normal Indent"/>
    <w:basedOn w:val="1"/>
    <w:qFormat/>
    <w:uiPriority w:val="0"/>
    <w:pPr>
      <w:snapToGrid w:val="0"/>
      <w:spacing w:line="560" w:lineRule="exact"/>
      <w:ind w:firstLine="567"/>
    </w:pPr>
    <w:rPr>
      <w:rFonts w:ascii="宋体" w:hAnsi="Arial"/>
      <w:kern w:val="0"/>
      <w:sz w:val="28"/>
      <w:szCs w:val="20"/>
    </w:rPr>
  </w:style>
  <w:style w:type="paragraph" w:styleId="3">
    <w:name w:val="Block Text"/>
    <w:basedOn w:val="1"/>
    <w:next w:val="1"/>
    <w:qFormat/>
    <w:uiPriority w:val="0"/>
    <w:pPr>
      <w:autoSpaceDE w:val="0"/>
      <w:autoSpaceDN w:val="0"/>
      <w:adjustRightInd w:val="0"/>
      <w:spacing w:before="1" w:line="537" w:lineRule="exact"/>
      <w:ind w:left="88" w:right="6"/>
    </w:pPr>
    <w:rPr>
      <w:rFonts w:ascii="Calibri" w:hAnsi="Calibri"/>
      <w:color w:val="000000"/>
      <w:kern w:val="0"/>
      <w:sz w:val="2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font11"/>
    <w:basedOn w:val="6"/>
    <w:qFormat/>
    <w:uiPriority w:val="0"/>
    <w:rPr>
      <w:rFonts w:hint="eastAsia" w:ascii="宋体" w:hAnsi="宋体" w:eastAsia="宋体" w:cs="宋体"/>
      <w:color w:val="000000"/>
      <w:sz w:val="22"/>
      <w:szCs w:val="22"/>
      <w:u w:val="none"/>
    </w:rPr>
  </w:style>
  <w:style w:type="character" w:customStyle="1" w:styleId="8">
    <w:name w:val="font01"/>
    <w:basedOn w:val="6"/>
    <w:qFormat/>
    <w:uiPriority w:val="0"/>
    <w:rPr>
      <w:rFonts w:hint="eastAsia" w:ascii="宋体" w:hAnsi="宋体" w:eastAsia="宋体" w:cs="宋体"/>
      <w:color w:val="000000"/>
      <w:sz w:val="22"/>
      <w:szCs w:val="22"/>
      <w:u w:val="none"/>
      <w:vertAlign w:val="superscript"/>
    </w:rPr>
  </w:style>
  <w:style w:type="paragraph" w:customStyle="1" w:styleId="9">
    <w:name w:val="WPS Plain"/>
    <w:qFormat/>
    <w:uiPriority w:val="0"/>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196</Words>
  <Characters>214</Characters>
  <Lines>1</Lines>
  <Paragraphs>1</Paragraphs>
  <TotalTime>2</TotalTime>
  <ScaleCrop>false</ScaleCrop>
  <LinksUpToDate>false</LinksUpToDate>
  <CharactersWithSpaces>214</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2020-03-25T16:55:00Z</dcterms:created>
  <dc:creator>Administrator</dc:creator>
  <cp:lastModifiedBy>uos</cp:lastModifiedBy>
  <cp:lastPrinted>2026-06-03T23:26:00Z</cp:lastPrinted>
  <dcterms:modified xsi:type="dcterms:W3CDTF">2026-06-03T16:23:29Z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BA666442DB59428E9867F06FA53CC74D</vt:lpwstr>
  </property>
</Properties>
</file>