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640" w:firstLineChars="200"/>
        <w:jc w:val="center"/>
        <w:rPr>
          <w:rFonts w:hint="eastAsia" w:ascii="仿宋_GB2312"/>
          <w:szCs w:val="32"/>
        </w:rPr>
      </w:pPr>
    </w:p>
    <w:p>
      <w:pPr>
        <w:adjustRightInd w:val="0"/>
        <w:snapToGrid w:val="0"/>
        <w:spacing w:line="560" w:lineRule="exact"/>
        <w:ind w:firstLine="640" w:firstLineChars="200"/>
        <w:jc w:val="center"/>
        <w:rPr>
          <w:rFonts w:hint="eastAsia" w:ascii="仿宋_GB2312"/>
          <w:szCs w:val="32"/>
        </w:rPr>
      </w:pPr>
    </w:p>
    <w:p>
      <w:pPr>
        <w:adjustRightInd w:val="0"/>
        <w:snapToGrid w:val="0"/>
        <w:spacing w:line="560" w:lineRule="exact"/>
        <w:ind w:firstLine="640" w:firstLineChars="200"/>
        <w:jc w:val="center"/>
        <w:rPr>
          <w:rFonts w:hint="eastAsia" w:ascii="仿宋_GB2312"/>
          <w:szCs w:val="32"/>
        </w:rPr>
      </w:pPr>
    </w:p>
    <w:p>
      <w:pPr>
        <w:adjustRightInd w:val="0"/>
        <w:snapToGrid w:val="0"/>
        <w:spacing w:line="600" w:lineRule="exact"/>
        <w:ind w:firstLine="640" w:firstLineChars="200"/>
        <w:jc w:val="center"/>
        <w:rPr>
          <w:rFonts w:hint="eastAsia" w:ascii="仿宋_GB2312"/>
          <w:szCs w:val="32"/>
        </w:rPr>
      </w:pPr>
    </w:p>
    <w:p>
      <w:pPr>
        <w:adjustRightInd w:val="0"/>
        <w:snapToGrid w:val="0"/>
        <w:spacing w:line="600" w:lineRule="exact"/>
        <w:ind w:firstLine="712" w:firstLineChars="200"/>
        <w:jc w:val="center"/>
        <w:rPr>
          <w:rFonts w:hint="eastAsia" w:ascii="仿宋_GB2312"/>
          <w:spacing w:val="18"/>
          <w:kern w:val="10"/>
          <w:szCs w:val="32"/>
        </w:rPr>
      </w:pPr>
    </w:p>
    <w:p>
      <w:pPr>
        <w:adjustRightInd w:val="0"/>
        <w:snapToGrid w:val="0"/>
        <w:spacing w:line="600" w:lineRule="exact"/>
        <w:ind w:firstLine="712" w:firstLineChars="200"/>
        <w:jc w:val="center"/>
        <w:rPr>
          <w:rFonts w:hint="eastAsia" w:ascii="仿宋_GB2312"/>
          <w:spacing w:val="18"/>
          <w:kern w:val="10"/>
          <w:szCs w:val="32"/>
        </w:rPr>
      </w:pPr>
    </w:p>
    <w:p>
      <w:pPr>
        <w:adjustRightInd w:val="0"/>
        <w:snapToGrid w:val="0"/>
        <w:spacing w:line="600" w:lineRule="exact"/>
        <w:rPr>
          <w:rFonts w:hint="eastAsia" w:ascii="仿宋_GB2312"/>
          <w:spacing w:val="18"/>
          <w:kern w:val="10"/>
          <w:szCs w:val="32"/>
        </w:rPr>
      </w:pPr>
    </w:p>
    <w:p>
      <w:pPr>
        <w:adjustRightInd w:val="0"/>
        <w:snapToGrid w:val="0"/>
        <w:spacing w:line="560" w:lineRule="exact"/>
        <w:ind w:firstLine="712" w:firstLineChars="200"/>
        <w:jc w:val="center"/>
        <w:rPr>
          <w:rFonts w:hint="eastAsia" w:ascii="仿宋_GB2312"/>
          <w:spacing w:val="18"/>
          <w:kern w:val="10"/>
          <w:szCs w:val="32"/>
        </w:rPr>
      </w:pPr>
    </w:p>
    <w:p>
      <w:pPr>
        <w:adjustRightInd w:val="0"/>
        <w:snapToGrid w:val="0"/>
        <w:spacing w:line="560" w:lineRule="exact"/>
        <w:jc w:val="center"/>
        <w:rPr>
          <w:rFonts w:hint="default" w:ascii="Times New Roman" w:hAnsi="Times New Roman" w:eastAsia="仿宋" w:cs="Times New Roman"/>
          <w:szCs w:val="32"/>
        </w:rPr>
      </w:pPr>
      <w:r>
        <w:rPr>
          <w:rFonts w:hint="default" w:ascii="Times New Roman" w:hAnsi="Times New Roman" w:cs="Times New Roman"/>
          <w:szCs w:val="32"/>
        </w:rPr>
        <w:t>焦环审修〔202</w:t>
      </w:r>
      <w:r>
        <w:rPr>
          <w:rFonts w:hint="eastAsia" w:ascii="Times New Roman" w:hAnsi="Times New Roman" w:cs="Times New Roman"/>
          <w:szCs w:val="32"/>
          <w:lang w:val="en-US" w:eastAsia="zh-CN"/>
        </w:rPr>
        <w:t>6</w:t>
      </w:r>
      <w:r>
        <w:rPr>
          <w:rFonts w:hint="default" w:ascii="Times New Roman" w:hAnsi="Times New Roman" w:cs="Times New Roman"/>
          <w:szCs w:val="32"/>
        </w:rPr>
        <w:t>〕</w:t>
      </w:r>
      <w:r>
        <w:rPr>
          <w:rFonts w:hint="eastAsia" w:cs="Times New Roman"/>
          <w:szCs w:val="32"/>
          <w:lang w:val="en-US" w:eastAsia="zh-CN"/>
        </w:rPr>
        <w:t>3</w:t>
      </w:r>
      <w:r>
        <w:rPr>
          <w:rFonts w:hint="default" w:ascii="Times New Roman" w:hAnsi="Times New Roman" w:cs="Times New Roman"/>
          <w:szCs w:val="32"/>
        </w:rPr>
        <w:t>号</w:t>
      </w:r>
    </w:p>
    <w:p>
      <w:pPr>
        <w:adjustRightInd w:val="0"/>
        <w:snapToGrid w:val="0"/>
        <w:spacing w:line="560" w:lineRule="exact"/>
        <w:jc w:val="center"/>
        <w:rPr>
          <w:rFonts w:hint="eastAsia" w:ascii="仿宋_GB2312"/>
          <w:b/>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eastAsia="方正小标宋简体"/>
          <w:spacing w:val="-4"/>
          <w:sz w:val="44"/>
          <w:szCs w:val="44"/>
        </w:rPr>
      </w:pPr>
      <w:r>
        <w:rPr>
          <w:rFonts w:hint="eastAsia" w:ascii="方正小标宋简体" w:eastAsia="方正小标宋简体"/>
          <w:spacing w:val="-4"/>
          <w:sz w:val="44"/>
          <w:szCs w:val="44"/>
        </w:rPr>
        <w:t>焦作市生态环境局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小标宋简体" w:hAnsi="Times New Roman" w:eastAsia="方正小标宋简体" w:cs="Times New Roman"/>
          <w:spacing w:val="0"/>
          <w:sz w:val="44"/>
          <w:szCs w:val="44"/>
          <w:lang w:val="en-US" w:eastAsia="zh-CN"/>
        </w:rPr>
      </w:pPr>
      <w:r>
        <w:rPr>
          <w:rFonts w:hint="eastAsia" w:ascii="方正小标宋简体" w:eastAsia="方正小标宋简体"/>
          <w:spacing w:val="-11"/>
          <w:sz w:val="44"/>
          <w:szCs w:val="44"/>
        </w:rPr>
        <w:t>关</w:t>
      </w:r>
      <w:r>
        <w:rPr>
          <w:rFonts w:hint="eastAsia" w:ascii="方正小标宋简体" w:hAnsi="Times New Roman" w:eastAsia="方正小标宋简体" w:cs="Times New Roman"/>
          <w:spacing w:val="0"/>
          <w:sz w:val="44"/>
          <w:szCs w:val="44"/>
          <w:lang w:val="en-US" w:eastAsia="zh-CN"/>
        </w:rPr>
        <w:t>于河南振东绿保电子有限公司年产400吨</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方正小标宋简体" w:hAnsi="Times New Roman" w:eastAsia="方正小标宋简体" w:cs="Times New Roman"/>
          <w:spacing w:val="0"/>
          <w:sz w:val="44"/>
          <w:szCs w:val="44"/>
          <w:lang w:val="en-US" w:eastAsia="zh-CN"/>
        </w:rPr>
      </w:pPr>
      <w:r>
        <w:rPr>
          <w:rFonts w:hint="eastAsia" w:ascii="方正小标宋简体" w:hAnsi="Times New Roman" w:eastAsia="方正小标宋简体" w:cs="Times New Roman"/>
          <w:spacing w:val="0"/>
          <w:sz w:val="44"/>
          <w:szCs w:val="44"/>
          <w:lang w:val="en-US" w:eastAsia="zh-CN"/>
        </w:rPr>
        <w:t>餐具项目</w:t>
      </w:r>
      <w:r>
        <w:rPr>
          <w:rFonts w:hint="default" w:ascii="方正小标宋简体" w:hAnsi="Times New Roman" w:eastAsia="方正小标宋简体" w:cs="Times New Roman"/>
          <w:spacing w:val="0"/>
          <w:sz w:val="44"/>
          <w:szCs w:val="44"/>
          <w:lang w:val="en-US" w:eastAsia="zh-CN"/>
        </w:rPr>
        <w:t>环境影响报告表的批复</w:t>
      </w:r>
    </w:p>
    <w:p>
      <w:pPr>
        <w:widowControl/>
        <w:snapToGrid w:val="0"/>
        <w:spacing w:line="460" w:lineRule="exact"/>
        <w:ind w:firstLine="640" w:firstLineChars="200"/>
        <w:rPr>
          <w:rFonts w:hint="eastAsia" w:ascii="仿宋_GB2312" w:hAnsi="仿宋_GB2312" w:cs="仿宋_GB2312"/>
          <w:szCs w:val="32"/>
        </w:rPr>
      </w:pPr>
    </w:p>
    <w:p>
      <w:pPr>
        <w:keepNext w:val="0"/>
        <w:keepLines w:val="0"/>
        <w:pageBreakBefore w:val="0"/>
        <w:widowControl/>
        <w:kinsoku/>
        <w:wordWrap/>
        <w:overflowPunct/>
        <w:topLinePunct w:val="0"/>
        <w:autoSpaceDE/>
        <w:autoSpaceDN/>
        <w:bidi w:val="0"/>
        <w:snapToGrid w:val="0"/>
        <w:spacing w:line="52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河南振东绿保电子有限公司</w:t>
      </w:r>
      <w:r>
        <w:rPr>
          <w:rFonts w:hint="eastAsia" w:ascii="仿宋" w:hAnsi="仿宋" w:eastAsia="仿宋" w:cs="仿宋"/>
          <w:sz w:val="32"/>
          <w:szCs w:val="32"/>
        </w:rPr>
        <w:t>：</w:t>
      </w:r>
    </w:p>
    <w:p>
      <w:pPr>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你</w:t>
      </w:r>
      <w:r>
        <w:rPr>
          <w:rFonts w:hint="default" w:ascii="Times New Roman" w:hAnsi="Times New Roman" w:eastAsia="仿宋" w:cs="Times New Roman"/>
          <w:sz w:val="32"/>
          <w:szCs w:val="32"/>
          <w:lang w:val="en-US" w:eastAsia="zh-CN"/>
        </w:rPr>
        <w:t>单位（统一社会信用代码：9</w:t>
      </w: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val="en-US" w:eastAsia="zh-CN"/>
        </w:rPr>
        <w:t>410</w:t>
      </w:r>
      <w:r>
        <w:rPr>
          <w:rFonts w:hint="eastAsia" w:eastAsia="仿宋" w:cs="Times New Roman"/>
          <w:sz w:val="32"/>
          <w:szCs w:val="32"/>
          <w:lang w:val="en-US" w:eastAsia="zh-CN"/>
        </w:rPr>
        <w:t>821MA44FUF4XR</w:t>
      </w:r>
      <w:r>
        <w:rPr>
          <w:rFonts w:hint="default" w:ascii="Times New Roman" w:hAnsi="Times New Roman" w:eastAsia="仿宋" w:cs="Times New Roman"/>
          <w:sz w:val="32"/>
          <w:szCs w:val="32"/>
          <w:lang w:val="en-US" w:eastAsia="zh-CN"/>
        </w:rPr>
        <w:t>）报送的由河南</w:t>
      </w:r>
      <w:r>
        <w:rPr>
          <w:rFonts w:hint="eastAsia" w:eastAsia="仿宋" w:cs="Times New Roman"/>
          <w:sz w:val="32"/>
          <w:szCs w:val="32"/>
          <w:lang w:val="en-US" w:eastAsia="zh-CN"/>
        </w:rPr>
        <w:t>浩圣</w:t>
      </w:r>
      <w:r>
        <w:rPr>
          <w:rFonts w:hint="default" w:ascii="Times New Roman" w:hAnsi="Times New Roman" w:eastAsia="仿宋" w:cs="Times New Roman"/>
          <w:sz w:val="32"/>
          <w:szCs w:val="32"/>
          <w:lang w:val="en-US" w:eastAsia="zh-CN"/>
        </w:rPr>
        <w:t>环保科技有限公司编制的《河南振东绿保电子有限公司年产400吨餐具项目环境影响报告表》（以下简称《报告表》）等材料收悉，并在焦</w:t>
      </w:r>
      <w:r>
        <w:rPr>
          <w:rFonts w:hint="default" w:ascii="Times New Roman" w:hAnsi="Times New Roman" w:eastAsia="仿宋" w:cs="Times New Roman"/>
          <w:sz w:val="32"/>
          <w:szCs w:val="32"/>
        </w:rPr>
        <w:t>作市生态环境局网站公示期满。根据《中华人民共和国环境保护法》《中华人民共和国行政许可法》《中华人民共和国环境影响评价法》《建设项目环境保护管理条例》等法律法规规定，经研究，批复如下：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一</w:t>
      </w:r>
      <w:r>
        <w:rPr>
          <w:rFonts w:hint="eastAsia" w:ascii="Times New Roman" w:hAnsi="Times New Roman" w:eastAsia="仿宋" w:cs="Times New Roman"/>
          <w:sz w:val="32"/>
          <w:szCs w:val="32"/>
          <w:lang w:val="en-US" w:eastAsia="zh-CN"/>
        </w:rPr>
        <w:t>、项目位于焦作市修武经济技术开发区武源路中段南侧（修武县东海新能源科技有限公司院内），建设性质为扩建，总投资100万元。产品为塑料餐盒，生产规模为400t/a。生产工艺：以聚丙烯颗粒及色母颗粒为原料，经拌料、注塑、冷却定型、脱模、包装后即为成品。新增生产设备主要为拌料机、注塑机、破碎机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二、《报告表》内容符合国家有关法律法规要求和建设项目环境管理规定，原则同意你公司按照《报告表》中所列项目的性质、规模、地点、采用的工艺和环境保护对策措施进行建设。</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三、你公司应向社会公众主动公开经批准的《报告表》，并接受相关方的咨询。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四、你公司应全面落实《报告表》提出的各项环保对策措施，确保各项环境保护设施与主体工程同时设计、同时施工、同时投产使用，各项污染物达标排放</w:t>
      </w:r>
      <w:r>
        <w:rPr>
          <w:rFonts w:hint="eastAsia" w:eastAsia="仿宋" w:cs="Times New Roman"/>
          <w:sz w:val="32"/>
          <w:szCs w:val="32"/>
          <w:lang w:val="en-US" w:eastAsia="zh-CN"/>
        </w:rPr>
        <w:t>，</w:t>
      </w:r>
      <w:r>
        <w:rPr>
          <w:rFonts w:hint="eastAsia" w:ascii="Times New Roman" w:hAnsi="Times New Roman" w:eastAsia="仿宋" w:cs="Times New Roman"/>
          <w:sz w:val="32"/>
          <w:szCs w:val="32"/>
          <w:lang w:val="en-US" w:eastAsia="zh-CN"/>
        </w:rPr>
        <w:t>确保环境安全。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（一）按照《报告表》和本批复文件要求，根据环境保护设计规范要求进行项目设计，落实防治环境污染和生态破坏的措施以及环保设施投资概算。</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（二）依据《报告表》和本批复文件，对项目建设过程中产生的废气、废水、固体废物、噪声等污染，以及因施工对自然生态环境造成的破坏，采取相应的防治措施。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（三）项目运行时，外排污染物应满足以下要求：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废气。注塑工序产生的非甲烷总烃废气，采取集气罩+两级活性炭吸附+15m排气筒（DA001）达标排放。破碎产生的颗粒物废气，采取集气罩+覆膜脉冲布袋除尘器+15m排气筒（DA002）达标排放。生产车间未收集到的废气，采取加强集气设施的日常检查和维护，保证其集气效率；破碎间配备工业吸尘器，除尘器卸灰口加装软连接；厂区安装视频监控，对生产车间、环保措施24小时视频录像，视频数据保证时间不得少于6个月等措施，降低对周围环境的影响。废气经相应污染治理措施处理后达标排放，应满足《合成树脂工业污染物排放标准》（GB 31572-2015）（含2024年修改单）表5表9、《河南省重污染天气重点行业应急减排措施制定技术指南》（2024年修订版））“塑料制品行业”A级、《关于河南省开展工业企业挥发性有机物专项治理工作中排放建议值的通知》（豫环攻坚办〔2017〕162号）等相关污染因子控制排放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2.废水。间接冷却废水，经冷却塔+冷却池（18m</w:t>
      </w:r>
      <w:r>
        <w:rPr>
          <w:rFonts w:hint="eastAsia" w:ascii="Times New Roman" w:hAnsi="Times New Roman" w:eastAsia="仿宋" w:cs="Times New Roman"/>
          <w:sz w:val="32"/>
          <w:szCs w:val="32"/>
          <w:vertAlign w:val="superscript"/>
          <w:lang w:val="en-US" w:eastAsia="zh-CN"/>
        </w:rPr>
        <w:t>3</w:t>
      </w:r>
      <w:r>
        <w:rPr>
          <w:rFonts w:hint="eastAsia" w:ascii="Times New Roman" w:hAnsi="Times New Roman" w:eastAsia="仿宋" w:cs="Times New Roman"/>
          <w:sz w:val="32"/>
          <w:szCs w:val="32"/>
          <w:lang w:val="en-US" w:eastAsia="zh-CN"/>
        </w:rPr>
        <w:t>）冷却后循环使用，不外排。生活污水，依托厂区现有化粪池处理后，与软水制备废水一起通过厂区总排口排入经开区污水管网。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3.噪声。采取设备室内布置，加装减振基础等降噪措施，厂界环境噪声应满足《工业企业厂界环境噪声排放标准》（GB12348-2008）3类标准要求。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4.固废。</w:t>
      </w:r>
      <w:r>
        <w:rPr>
          <w:rFonts w:hint="eastAsia" w:ascii="Times New Roman" w:hAnsi="Times New Roman" w:eastAsia="仿宋" w:cs="Times New Roman"/>
          <w:sz w:val="32"/>
          <w:szCs w:val="32"/>
          <w:lang w:val="en-US" w:eastAsia="zh-CN"/>
        </w:rPr>
        <w:t>固体废物全部妥善和安全处置，各类固体废物贮存、处置应满足《危险废物贮存污染控制标准》（GB18597-2023）、《一般工业固体废物贮存和填埋污染控制标准</w:t>
      </w:r>
      <w:r>
        <w:rPr>
          <w:rFonts w:hint="eastAsia" w:ascii="Times New Roman" w:hAnsi="Times New Roman" w:eastAsia="仿宋" w:cs="Times New Roman"/>
          <w:sz w:val="32"/>
          <w:szCs w:val="32"/>
          <w:lang w:val="en-US" w:eastAsia="zh-CN"/>
        </w:rPr>
        <w:t>》（GB18599-2020）相关要求。</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（四）落实土壤及地下水污染防治措施，采取源头控制、分区防渗等措施，加强厂区周围土壤及地下水水质监控，严防土壤和地下水污染。</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（五）落实环境风险防范措施，严防环境污染事故发生。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（六）该项目污染物总量控制指标为废气：非甲烷总烃0.2022t/a、颗粒物0.0005t/a；废水（厂界）</w:t>
      </w:r>
      <w:r>
        <w:rPr>
          <w:rFonts w:hint="eastAsia" w:eastAsia="仿宋" w:cs="Times New Roman"/>
          <w:sz w:val="32"/>
          <w:szCs w:val="32"/>
          <w:lang w:val="en-US" w:eastAsia="zh-CN"/>
        </w:rPr>
        <w:t>：</w:t>
      </w:r>
      <w:r>
        <w:rPr>
          <w:rFonts w:hint="eastAsia" w:ascii="Times New Roman" w:hAnsi="Times New Roman" w:eastAsia="仿宋" w:cs="Times New Roman"/>
          <w:sz w:val="32"/>
          <w:szCs w:val="32"/>
          <w:lang w:val="en-US" w:eastAsia="zh-CN"/>
        </w:rPr>
        <w:t>COD0.0285t/a、NH</w:t>
      </w:r>
      <w:r>
        <w:rPr>
          <w:rFonts w:hint="eastAsia" w:ascii="Times New Roman" w:hAnsi="Times New Roman" w:eastAsia="仿宋" w:cs="Times New Roman"/>
          <w:sz w:val="32"/>
          <w:szCs w:val="32"/>
          <w:vertAlign w:val="subscript"/>
          <w:lang w:val="en-US" w:eastAsia="zh-CN"/>
        </w:rPr>
        <w:t>3</w:t>
      </w:r>
      <w:r>
        <w:rPr>
          <w:rFonts w:hint="eastAsia" w:ascii="Times New Roman" w:hAnsi="Times New Roman" w:eastAsia="仿宋" w:cs="Times New Roman"/>
          <w:sz w:val="32"/>
          <w:szCs w:val="32"/>
          <w:lang w:val="en-US" w:eastAsia="zh-CN"/>
        </w:rPr>
        <w:t>-N0.0045t/a、TP0.0002t/a。扩建工程完成后全厂污染物总量控制指标为废气：非甲烷总烃0.2548t/a、颗粒物0.0008t/a；废水（厂界）</w:t>
      </w:r>
      <w:r>
        <w:rPr>
          <w:rFonts w:hint="eastAsia" w:eastAsia="仿宋" w:cs="Times New Roman"/>
          <w:sz w:val="32"/>
          <w:szCs w:val="32"/>
          <w:lang w:val="en-US" w:eastAsia="zh-CN"/>
        </w:rPr>
        <w:t>：</w:t>
      </w:r>
      <w:r>
        <w:rPr>
          <w:rFonts w:hint="eastAsia" w:ascii="Times New Roman" w:hAnsi="Times New Roman" w:eastAsia="仿宋" w:cs="Times New Roman"/>
          <w:sz w:val="32"/>
          <w:szCs w:val="32"/>
          <w:lang w:val="en-US" w:eastAsia="zh-CN"/>
        </w:rPr>
        <w:t>COD0.056t/a、NH</w:t>
      </w:r>
      <w:r>
        <w:rPr>
          <w:rFonts w:hint="eastAsia" w:ascii="Times New Roman" w:hAnsi="Times New Roman" w:eastAsia="仿宋" w:cs="Times New Roman"/>
          <w:sz w:val="32"/>
          <w:szCs w:val="32"/>
          <w:vertAlign w:val="subscript"/>
          <w:lang w:val="en-US" w:eastAsia="zh-CN"/>
        </w:rPr>
        <w:t>3</w:t>
      </w:r>
      <w:r>
        <w:rPr>
          <w:rFonts w:hint="eastAsia" w:ascii="Times New Roman" w:hAnsi="Times New Roman" w:eastAsia="仿宋" w:cs="Times New Roman"/>
          <w:sz w:val="32"/>
          <w:szCs w:val="32"/>
          <w:lang w:val="en-US" w:eastAsia="zh-CN"/>
        </w:rPr>
        <w:t>-N0.006t/a、TP0.0004t/a。</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七</w:t>
      </w:r>
      <w:r>
        <w:rPr>
          <w:rFonts w:hint="default" w:ascii="Times New Roman" w:hAnsi="Times New Roman" w:eastAsia="仿宋" w:cs="Times New Roman"/>
          <w:sz w:val="32"/>
          <w:szCs w:val="32"/>
        </w:rPr>
        <w:t>）今后国家或我省市出台新的标准要求时，你公司要按新标准要求执行。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五</w:t>
      </w:r>
      <w:r>
        <w:rPr>
          <w:rFonts w:hint="default" w:ascii="Times New Roman" w:hAnsi="Times New Roman" w:eastAsia="仿宋" w:cs="Times New Roman"/>
          <w:sz w:val="32"/>
          <w:szCs w:val="32"/>
        </w:rPr>
        <w:t>、工程竣工后要按照规定进行自主验收，验收合格后方可投入运营。排污单位应当在启动生产设施或者实际排污之前申请办理排污许可手续。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六</w:t>
      </w:r>
      <w:r>
        <w:rPr>
          <w:rFonts w:hint="default" w:ascii="Times New Roman" w:hAnsi="Times New Roman" w:eastAsia="仿宋" w:cs="Times New Roman"/>
          <w:sz w:val="32"/>
          <w:szCs w:val="32"/>
        </w:rPr>
        <w:t>、焦作市生态环境局修武综合行政执法大队负责项目施工期和运营期的环境监察工作。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七</w:t>
      </w:r>
      <w:r>
        <w:rPr>
          <w:rFonts w:hint="default" w:ascii="Times New Roman" w:hAnsi="Times New Roman" w:eastAsia="仿宋" w:cs="Times New Roman"/>
          <w:sz w:val="32"/>
          <w:szCs w:val="32"/>
        </w:rPr>
        <w:t>、该项目自批复之日</w:t>
      </w:r>
      <w:bookmarkStart w:id="0" w:name="_GoBack"/>
      <w:bookmarkEnd w:id="0"/>
      <w:r>
        <w:rPr>
          <w:rFonts w:hint="default" w:ascii="Times New Roman" w:hAnsi="Times New Roman" w:eastAsia="仿宋" w:cs="Times New Roman"/>
          <w:sz w:val="32"/>
          <w:szCs w:val="32"/>
        </w:rPr>
        <w:t>起五年后开工建设的，应重新报我局审核。本批复生效后，建设项目的性质、规模、地点、工艺和污染防治措施等发生重大变化时，应重新报批。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八</w:t>
      </w:r>
      <w:r>
        <w:rPr>
          <w:rFonts w:hint="default" w:ascii="Times New Roman" w:hAnsi="Times New Roman" w:eastAsia="仿宋" w:cs="Times New Roman"/>
          <w:sz w:val="32"/>
          <w:szCs w:val="32"/>
        </w:rPr>
        <w:t xml:space="preserve">、土地、规划等要求以相关部门意见为准。    </w:t>
      </w:r>
    </w:p>
    <w:p/>
    <w:p>
      <w:pPr>
        <w:pStyle w:val="2"/>
        <w:ind w:firstLine="4800" w:firstLineChars="1500"/>
        <w:rPr>
          <w:rFonts w:hint="eastAsia" w:ascii="Times New Roman" w:hAnsi="Times New Roman" w:eastAsia="仿宋" w:cs="Times New Roman"/>
          <w:sz w:val="32"/>
          <w:szCs w:val="32"/>
          <w:lang w:val="en-US" w:eastAsia="zh-CN"/>
        </w:rPr>
      </w:pPr>
    </w:p>
    <w:p>
      <w:pPr>
        <w:pStyle w:val="2"/>
        <w:ind w:firstLine="5440" w:firstLineChars="1700"/>
      </w:pP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val="en-US" w:eastAsia="zh-CN"/>
        </w:rPr>
        <w:t>202</w:t>
      </w: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年</w:t>
      </w:r>
      <w:r>
        <w:rPr>
          <w:rFonts w:hint="eastAsia" w:ascii="Times New Roman" w:eastAsia="仿宋" w:cs="Times New Roman"/>
          <w:sz w:val="32"/>
          <w:szCs w:val="32"/>
          <w:lang w:val="en-US" w:eastAsia="zh-CN"/>
        </w:rPr>
        <w:t>6</w:t>
      </w:r>
      <w:r>
        <w:rPr>
          <w:rFonts w:hint="default" w:ascii="Times New Roman" w:hAnsi="Times New Roman" w:eastAsia="仿宋" w:cs="Times New Roman"/>
          <w:sz w:val="32"/>
          <w:szCs w:val="32"/>
        </w:rPr>
        <w:t>月</w:t>
      </w:r>
      <w:r>
        <w:rPr>
          <w:rFonts w:hint="eastAsia" w:ascii="Times New Roman" w:eastAsia="仿宋" w:cs="Times New Roman"/>
          <w:sz w:val="32"/>
          <w:szCs w:val="32"/>
          <w:lang w:val="en-US" w:eastAsia="zh-CN"/>
        </w:rPr>
        <w:t>11</w:t>
      </w:r>
      <w:r>
        <w:rPr>
          <w:rFonts w:hint="default" w:ascii="Times New Roman" w:hAnsi="Times New Roman" w:eastAsia="仿宋" w:cs="Times New Roman"/>
          <w:sz w:val="32"/>
          <w:szCs w:val="32"/>
        </w:rPr>
        <w:t>日</w:t>
      </w:r>
    </w:p>
    <w:sectPr>
      <w:pgSz w:w="11906" w:h="16838"/>
      <w:pgMar w:top="1587" w:right="1321"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BA6FEB1"/>
    <w:rsid w:val="54346F0D"/>
    <w:rsid w:val="57DECA05"/>
    <w:rsid w:val="665B017B"/>
    <w:rsid w:val="69071FF7"/>
    <w:rsid w:val="CDD54B19"/>
    <w:rsid w:val="DBA6FEB1"/>
    <w:rsid w:val="FBFD3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hint="eastAsia" w:ascii="黑体" w:eastAsia="黑体"/>
      <w:sz w:val="44"/>
      <w:szCs w:val="20"/>
    </w:rPr>
  </w:style>
  <w:style w:type="paragraph" w:customStyle="1" w:styleId="3">
    <w:name w:val="xl27"/>
    <w:basedOn w:val="1"/>
    <w:qFormat/>
    <w:uiPriority w:val="0"/>
    <w:pPr>
      <w:widowControl/>
      <w:pBdr>
        <w:bottom w:val="single" w:color="auto" w:sz="12" w:space="0"/>
      </w:pBdr>
      <w:spacing w:before="100" w:after="100"/>
      <w:jc w:val="center"/>
    </w:pPr>
    <w:rPr>
      <w:rFonts w:ascii="宋体" w:hAnsi="宋体"/>
      <w:kern w:val="0"/>
    </w:rPr>
  </w:style>
  <w:style w:type="paragraph" w:customStyle="1" w:styleId="6">
    <w:name w:val="WPS Plain"/>
    <w:qFormat/>
    <w:uiPriority w:val="0"/>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2026-02-26T00:33:00Z</dcterms:created>
  <dc:creator>uos</dc:creator>
  <cp:lastModifiedBy>uos</cp:lastModifiedBy>
  <dcterms:modified xsi:type="dcterms:W3CDTF">2026-06-10T09:14:00Z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