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C007D7">
      <w:pPr>
        <w:pStyle w:val="3"/>
        <w:keepNext w:val="0"/>
        <w:keepLines w:val="0"/>
        <w:pageBreakBefore w:val="0"/>
        <w:widowControl w:val="0"/>
        <w:kinsoku/>
        <w:wordWrap/>
        <w:overflowPunct/>
        <w:topLinePunct w:val="0"/>
        <w:autoSpaceDE/>
        <w:autoSpaceDN/>
        <w:bidi w:val="0"/>
        <w:adjustRightInd/>
        <w:snapToGrid/>
        <w:spacing w:before="0" w:beforeLines="100" w:line="520" w:lineRule="exact"/>
        <w:ind w:left="0" w:leftChars="0" w:firstLine="0" w:firstLineChars="0"/>
        <w:textAlignment w:val="bottom"/>
        <w:rPr>
          <w:rFonts w:hint="eastAsia"/>
          <w:color w:val="000000" w:themeColor="text1"/>
          <w14:textFill>
            <w14:solidFill>
              <w14:schemeClr w14:val="tx1"/>
            </w14:solidFill>
          </w14:textFill>
        </w:rPr>
      </w:pPr>
    </w:p>
    <w:p w14:paraId="07B07138">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焦作市生态环境局</w:t>
      </w:r>
    </w:p>
    <w:p w14:paraId="48BB35A2">
      <w:pPr>
        <w:keepNext w:val="0"/>
        <w:keepLines w:val="0"/>
        <w:pageBreakBefore w:val="0"/>
        <w:widowControl w:val="0"/>
        <w:kinsoku/>
        <w:wordWrap/>
        <w:overflowPunct/>
        <w:topLinePunct w:val="0"/>
        <w:autoSpaceDN/>
        <w:bidi w:val="0"/>
        <w:spacing w:before="0" w:beforeLines="0" w:beforeAutospacing="0" w:line="560" w:lineRule="exact"/>
        <w:ind w:left="0" w:leftChars="0" w:firstLine="0" w:firstLineChars="0"/>
        <w:jc w:val="center"/>
        <w:rPr>
          <w:rFonts w:hint="eastAsia" w:ascii="方正小标宋简体" w:hAnsi="?????_GBK" w:eastAsia="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行政处罚决定书</w:t>
      </w:r>
    </w:p>
    <w:p w14:paraId="2AA3FE47">
      <w:pPr>
        <w:keepNext w:val="0"/>
        <w:keepLines w:val="0"/>
        <w:pageBreakBefore w:val="0"/>
        <w:widowControl w:val="0"/>
        <w:kinsoku/>
        <w:wordWrap/>
        <w:overflowPunct/>
        <w:topLinePunct w:val="0"/>
        <w:autoSpaceDE/>
        <w:autoSpaceDN/>
        <w:bidi w:val="0"/>
        <w:adjustRightInd/>
        <w:snapToGrid w:val="0"/>
        <w:spacing w:line="560" w:lineRule="exact"/>
        <w:ind w:right="0"/>
        <w:jc w:val="right"/>
        <w:textAlignment w:val="auto"/>
        <w:rPr>
          <w:rFonts w:hint="eastAsia" w:ascii="楷体_GB2312" w:hAnsi="楷体_GB2312" w:eastAsia="楷体_GB2312" w:cs="楷体_GB2312"/>
          <w:color w:val="000000" w:themeColor="text1"/>
          <w:sz w:val="32"/>
          <w:szCs w:val="32"/>
          <w14:textFill>
            <w14:solidFill>
              <w14:schemeClr w14:val="tx1"/>
            </w14:solidFill>
          </w14:textFill>
        </w:rPr>
      </w:pPr>
      <w:r>
        <w:rPr>
          <w:rFonts w:hint="eastAsia" w:ascii="楷体_GB2312" w:hAnsi="楷体_GB2312" w:eastAsia="楷体_GB2312" w:cs="楷体_GB2312"/>
          <w:color w:val="000000" w:themeColor="text1"/>
          <w:sz w:val="32"/>
          <w:szCs w:val="32"/>
          <w:lang w:eastAsia="zh-CN"/>
          <w14:textFill>
            <w14:solidFill>
              <w14:schemeClr w14:val="tx1"/>
            </w14:solidFill>
          </w14:textFill>
        </w:rPr>
        <w:t>焦</w:t>
      </w:r>
      <w:r>
        <w:rPr>
          <w:rFonts w:hint="eastAsia" w:ascii="楷体_GB2312" w:hAnsi="楷体_GB2312" w:eastAsia="楷体_GB2312" w:cs="楷体_GB2312"/>
          <w:color w:val="000000" w:themeColor="text1"/>
          <w:sz w:val="32"/>
          <w:szCs w:val="32"/>
          <w14:textFill>
            <w14:solidFill>
              <w14:schemeClr w14:val="tx1"/>
            </w14:solidFill>
          </w14:textFill>
        </w:rPr>
        <w:t>环罚〔</w:t>
      </w:r>
      <w:r>
        <w:rPr>
          <w:rFonts w:hint="eastAsia" w:ascii="楷体_GB2312" w:hAnsi="楷体_GB2312" w:eastAsia="楷体_GB2312" w:cs="楷体_GB2312"/>
          <w:color w:val="000000" w:themeColor="text1"/>
          <w:sz w:val="32"/>
          <w:szCs w:val="32"/>
          <w:lang w:val="en-US" w:eastAsia="zh"/>
          <w14:textFill>
            <w14:solidFill>
              <w14:schemeClr w14:val="tx1"/>
            </w14:solidFill>
          </w14:textFill>
        </w:rPr>
        <w:t>202</w:t>
      </w: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6</w:t>
      </w:r>
      <w:r>
        <w:rPr>
          <w:rFonts w:hint="eastAsia" w:ascii="楷体_GB2312" w:hAnsi="楷体_GB2312" w:eastAsia="楷体_GB2312" w:cs="楷体_GB2312"/>
          <w:color w:val="000000" w:themeColor="text1"/>
          <w:sz w:val="32"/>
          <w:szCs w:val="32"/>
          <w14:textFill>
            <w14:solidFill>
              <w14:schemeClr w14:val="tx1"/>
            </w14:solidFill>
          </w14:textFill>
        </w:rPr>
        <w:t>〕</w:t>
      </w: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170</w:t>
      </w:r>
      <w:r>
        <w:rPr>
          <w:rFonts w:hint="eastAsia" w:ascii="楷体_GB2312" w:hAnsi="楷体_GB2312" w:eastAsia="楷体_GB2312" w:cs="楷体_GB2312"/>
          <w:color w:val="000000" w:themeColor="text1"/>
          <w:sz w:val="32"/>
          <w:szCs w:val="32"/>
          <w14:textFill>
            <w14:solidFill>
              <w14:schemeClr w14:val="tx1"/>
            </w14:solidFill>
          </w14:textFill>
        </w:rPr>
        <w:t>号</w:t>
      </w:r>
    </w:p>
    <w:p w14:paraId="6114A627">
      <w:pPr>
        <w:pStyle w:val="2"/>
        <w:keepNext w:val="0"/>
        <w:keepLines w:val="0"/>
        <w:pageBreakBefore w:val="0"/>
        <w:widowControl w:val="0"/>
        <w:kinsoku/>
        <w:wordWrap/>
        <w:overflowPunct/>
        <w:topLinePunct w:val="0"/>
        <w:autoSpaceDE/>
        <w:autoSpaceDN/>
        <w:bidi w:val="0"/>
        <w:adjustRightInd/>
        <w:snapToGrid/>
        <w:spacing w:line="400" w:lineRule="exact"/>
        <w:ind w:left="0" w:firstLine="624"/>
        <w:textAlignment w:val="baseline"/>
      </w:pPr>
    </w:p>
    <w:p w14:paraId="1952AAA4">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560" w:lineRule="exact"/>
        <w:ind w:left="0" w:leftChars="0" w:right="0" w:firstLine="0" w:firstLineChars="0"/>
        <w:jc w:val="both"/>
        <w:textAlignment w:val="bottom"/>
        <w:rPr>
          <w:rFonts w:hint="eastAsia" w:ascii="黑体" w:hAnsi="黑体" w:eastAsia="黑体" w:cs="黑体"/>
          <w:b w:val="0"/>
          <w:i w:val="0"/>
          <w:color w:val="000000" w:themeColor="text1"/>
          <w:spacing w:val="0"/>
          <w:sz w:val="32"/>
          <w:szCs w:val="32"/>
          <w:u w:val="none" w:color="auto"/>
          <w14:textFill>
            <w14:solidFill>
              <w14:schemeClr w14:val="tx1"/>
            </w14:solidFill>
          </w14:textFill>
        </w:rPr>
      </w:pPr>
      <w:r>
        <w:rPr>
          <w:rFonts w:hint="eastAsia" w:ascii="黑体" w:hAnsi="黑体" w:eastAsia="黑体" w:cs="黑体"/>
          <w:b w:val="0"/>
          <w:i w:val="0"/>
          <w:color w:val="000000" w:themeColor="text1"/>
          <w:spacing w:val="0"/>
          <w:sz w:val="32"/>
          <w:szCs w:val="32"/>
          <w:u w:val="none" w:color="auto"/>
          <w14:textFill>
            <w14:solidFill>
              <w14:schemeClr w14:val="tx1"/>
            </w14:solidFill>
          </w14:textFill>
        </w:rPr>
        <w:t>河南卡兰弗塑化科技有限公司</w:t>
      </w:r>
    </w:p>
    <w:p w14:paraId="470695E8">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560" w:lineRule="exact"/>
        <w:ind w:left="0" w:leftChars="0" w:right="0" w:firstLine="0" w:firstLineChars="0"/>
        <w:jc w:val="both"/>
        <w:textAlignment w:val="bottom"/>
        <w:rPr>
          <w:rFonts w:hint="eastAsia" w:ascii="仿宋_GB2312" w:hAnsi="仿宋_GB2312" w:eastAsia="仿宋_GB2312" w:cs="仿宋_GB2312"/>
          <w:color w:val="000000" w:themeColor="text1"/>
          <w:sz w:val="32"/>
          <w:szCs w:val="32"/>
          <w:u w:val="none" w:color="auto"/>
          <w:lang w:val="en-US" w:eastAsia="zh-CN"/>
          <w14:textFill>
            <w14:solidFill>
              <w14:schemeClr w14:val="tx1"/>
            </w14:solidFill>
          </w14:textFill>
        </w:rPr>
      </w:pPr>
      <w:r>
        <w:rPr>
          <w:rFonts w:hint="eastAsia" w:ascii="黑体" w:hAnsi="黑体" w:eastAsia="黑体" w:cs="黑体"/>
          <w:color w:val="000000" w:themeColor="text1"/>
          <w:sz w:val="32"/>
          <w:szCs w:val="32"/>
          <w:u w:val="none" w:color="auto"/>
          <w:lang w:val="en-US" w:eastAsia="zh-CN"/>
          <w14:textFill>
            <w14:solidFill>
              <w14:schemeClr w14:val="tx1"/>
            </w14:solidFill>
          </w14:textFill>
        </w:rPr>
        <w:t>统一社会信用代码：</w:t>
      </w:r>
      <w:r>
        <w:rPr>
          <w:rFonts w:hint="eastAsia" w:ascii="仿宋_GB2312" w:hAnsi="仿宋_GB2312" w:eastAsia="仿宋_GB2312" w:cs="仿宋_GB2312"/>
          <w:b w:val="0"/>
          <w:i w:val="0"/>
          <w:color w:val="000000" w:themeColor="text1"/>
          <w:spacing w:val="0"/>
          <w:sz w:val="32"/>
          <w:szCs w:val="32"/>
          <w:u w:val="none" w:color="auto"/>
          <w14:textFill>
            <w14:solidFill>
              <w14:schemeClr w14:val="tx1"/>
            </w14:solidFill>
          </w14:textFill>
        </w:rPr>
        <w:t>91410825576301201W</w:t>
      </w:r>
    </w:p>
    <w:p w14:paraId="4187B369">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560" w:lineRule="exact"/>
        <w:ind w:left="0" w:leftChars="0" w:right="0" w:firstLine="0" w:firstLineChars="0"/>
        <w:jc w:val="both"/>
        <w:textAlignment w:val="bottom"/>
        <w:rPr>
          <w:rFonts w:hint="eastAsia" w:ascii="仿宋_GB2312" w:hAnsi="仿宋_GB2312" w:eastAsia="仿宋_GB2312" w:cs="仿宋_GB2312"/>
          <w:color w:val="000000" w:themeColor="text1"/>
          <w:sz w:val="32"/>
          <w:szCs w:val="32"/>
          <w:u w:val="none" w:color="auto"/>
          <w:lang w:val="en-US" w:eastAsia="zh-CN"/>
          <w14:textFill>
            <w14:solidFill>
              <w14:schemeClr w14:val="tx1"/>
            </w14:solidFill>
          </w14:textFill>
        </w:rPr>
      </w:pPr>
      <w:r>
        <w:rPr>
          <w:rFonts w:hint="eastAsia" w:ascii="黑体" w:hAnsi="黑体" w:eastAsia="黑体" w:cs="黑体"/>
          <w:color w:val="000000" w:themeColor="text1"/>
          <w:sz w:val="32"/>
          <w:szCs w:val="32"/>
          <w:u w:val="none" w:color="auto"/>
          <w:lang w:val="en-US" w:eastAsia="zh-CN"/>
          <w14:textFill>
            <w14:solidFill>
              <w14:schemeClr w14:val="tx1"/>
            </w14:solidFill>
          </w14:textFill>
        </w:rPr>
        <w:t>地址：</w:t>
      </w:r>
      <w:r>
        <w:rPr>
          <w:rFonts w:hint="eastAsia" w:ascii="仿宋_GB2312" w:hAnsi="仿宋_GB2312" w:eastAsia="仿宋_GB2312" w:cs="仿宋_GB2312"/>
          <w:color w:val="000000" w:themeColor="text1"/>
          <w:sz w:val="32"/>
          <w:szCs w:val="32"/>
          <w:u w:val="none" w:color="auto"/>
          <w:lang w:eastAsia="zh-CN"/>
          <w14:textFill>
            <w14:solidFill>
              <w14:schemeClr w14:val="tx1"/>
            </w14:solidFill>
          </w14:textFill>
        </w:rPr>
        <w:t>温县</w:t>
      </w:r>
      <w:r>
        <w:rPr>
          <w:rFonts w:hint="eastAsia" w:ascii="仿宋_GB2312" w:hAnsi="仿宋_GB2312" w:eastAsia="仿宋_GB2312" w:cs="仿宋_GB2312"/>
          <w:color w:val="000000" w:themeColor="text1"/>
          <w:sz w:val="32"/>
          <w:szCs w:val="32"/>
          <w:u w:val="none" w:color="auto"/>
          <w:lang w:val="en-US" w:eastAsia="zh-CN"/>
          <w14:textFill>
            <w14:solidFill>
              <w14:schemeClr w14:val="tx1"/>
            </w14:solidFill>
          </w14:textFill>
        </w:rPr>
        <w:t>鑫源东路15号</w:t>
      </w:r>
      <w:r>
        <w:rPr>
          <w:rFonts w:hint="eastAsia" w:ascii="FangSong_GB2312" w:hAnsi="FangSong_GB2312" w:eastAsia="FangSong_GB2312" w:cs="FangSong_GB2312"/>
          <w:color w:val="000000" w:themeColor="text1"/>
          <w:kern w:val="21"/>
          <w:sz w:val="32"/>
          <w:szCs w:val="32"/>
          <w:u w:val="none" w:color="auto"/>
          <w14:textFill>
            <w14:solidFill>
              <w14:schemeClr w14:val="tx1"/>
            </w14:solidFill>
          </w14:textFill>
        </w:rPr>
        <w:t xml:space="preserve"> </w:t>
      </w:r>
    </w:p>
    <w:p w14:paraId="3C0DC5A3">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560" w:lineRule="exact"/>
        <w:ind w:left="0" w:leftChars="0" w:right="0" w:firstLine="0" w:firstLineChars="0"/>
        <w:jc w:val="both"/>
        <w:textAlignment w:val="bottom"/>
        <w:rPr>
          <w:rFonts w:hint="eastAsia" w:ascii="仿宋_GB2312" w:hAnsi="仿宋_GB2312" w:eastAsia="仿宋_GB2312" w:cs="仿宋_GB2312"/>
          <w:color w:val="000000" w:themeColor="text1"/>
          <w:sz w:val="32"/>
          <w:szCs w:val="32"/>
          <w:u w:val="none" w:color="auto"/>
          <w:lang w:val="en-US" w:eastAsia="zh-CN"/>
          <w14:textFill>
            <w14:solidFill>
              <w14:schemeClr w14:val="tx1"/>
            </w14:solidFill>
          </w14:textFill>
        </w:rPr>
      </w:pPr>
      <w:r>
        <w:rPr>
          <w:rFonts w:hint="eastAsia" w:ascii="黑体" w:hAnsi="黑体" w:eastAsia="黑体" w:cs="黑体"/>
          <w:color w:val="000000" w:themeColor="text1"/>
          <w:sz w:val="32"/>
          <w:szCs w:val="32"/>
          <w:u w:val="none" w:color="auto"/>
          <w:lang w:val="en-US" w:eastAsia="zh-CN"/>
          <w14:textFill>
            <w14:solidFill>
              <w14:schemeClr w14:val="tx1"/>
            </w14:solidFill>
          </w14:textFill>
        </w:rPr>
        <w:t>法定代表人（负责人）：</w:t>
      </w:r>
      <w:r>
        <w:rPr>
          <w:rFonts w:hint="eastAsia" w:ascii="仿宋_GB2312" w:hAnsi="Times New Roman" w:eastAsia="仿宋_GB2312" w:cs="仿宋_GB2312"/>
          <w:b w:val="0"/>
          <w:i w:val="0"/>
          <w:color w:val="000000" w:themeColor="text1"/>
          <w:spacing w:val="0"/>
          <w:kern w:val="2"/>
          <w:sz w:val="32"/>
          <w:szCs w:val="32"/>
          <w:u w:val="none" w:color="auto"/>
          <w:lang w:val="en-US" w:eastAsia="zh-CN" w:bidi="ar"/>
          <w14:textFill>
            <w14:solidFill>
              <w14:schemeClr w14:val="tx1"/>
            </w14:solidFill>
          </w14:textFill>
        </w:rPr>
        <w:t>张和平</w:t>
      </w:r>
    </w:p>
    <w:p w14:paraId="2E0BEE42">
      <w:pPr>
        <w:pStyle w:val="3"/>
        <w:keepNext w:val="0"/>
        <w:keepLines w:val="0"/>
        <w:pageBreakBefore w:val="0"/>
        <w:widowControl w:val="0"/>
        <w:numPr>
          <w:ilvl w:val="0"/>
          <w:numId w:val="2"/>
        </w:numPr>
        <w:kinsoku/>
        <w:wordWrap/>
        <w:overflowPunct/>
        <w:topLinePunct w:val="0"/>
        <w:autoSpaceDE/>
        <w:autoSpaceDN/>
        <w:bidi w:val="0"/>
        <w:adjustRightInd/>
        <w:snapToGrid/>
        <w:spacing w:before="0" w:beforeLines="0" w:beforeAutospacing="0" w:after="0" w:line="560" w:lineRule="exact"/>
        <w:ind w:left="0" w:leftChars="0" w:firstLine="640" w:firstLineChars="200"/>
        <w:rPr>
          <w:rFonts w:hint="eastAsia" w:ascii="黑体" w:hAnsi="黑体" w:eastAsia="黑体" w:cs="黑体"/>
          <w:b w:val="0"/>
          <w:bCs w:val="0"/>
          <w:color w:val="000000" w:themeColor="text1"/>
          <w:sz w:val="32"/>
          <w:szCs w:val="32"/>
          <w:lang w:val="en-US" w:eastAsia="zh-CN"/>
          <w14:textFill>
            <w14:solidFill>
              <w14:schemeClr w14:val="tx1"/>
            </w14:solidFill>
          </w14:textFill>
        </w:rPr>
      </w:pPr>
      <w:r>
        <w:rPr>
          <w:rFonts w:hint="eastAsia" w:ascii="黑体" w:hAnsi="黑体" w:eastAsia="黑体" w:cs="黑体"/>
          <w:b w:val="0"/>
          <w:bCs w:val="0"/>
          <w:color w:val="000000" w:themeColor="text1"/>
          <w:sz w:val="32"/>
          <w:szCs w:val="32"/>
          <w:lang w:val="en-US" w:eastAsia="zh-CN"/>
          <w14:textFill>
            <w14:solidFill>
              <w14:schemeClr w14:val="tx1"/>
            </w14:solidFill>
          </w14:textFill>
        </w:rPr>
        <w:t>环境违法事实和证据</w:t>
      </w:r>
    </w:p>
    <w:p w14:paraId="3C0D2FCC">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2026年4月16日，焦作市生态环境局温县综合行政执法大队执法人员对</w:t>
      </w:r>
      <w:r>
        <w:rPr>
          <w:rFonts w:hint="eastAsia" w:ascii="仿宋_GB2312" w:hAnsi="仿宋_GB2312" w:eastAsia="仿宋_GB2312" w:cs="仿宋_GB2312"/>
          <w:b w:val="0"/>
          <w:i w:val="0"/>
          <w:color w:val="000000" w:themeColor="text1"/>
          <w:spacing w:val="0"/>
          <w:sz w:val="32"/>
          <w:szCs w:val="32"/>
          <w:u w:val="none"/>
          <w14:textFill>
            <w14:solidFill>
              <w14:schemeClr w14:val="tx1"/>
            </w14:solidFill>
          </w14:textFill>
        </w:rPr>
        <w:t>河南卡兰弗塑化科技有限公司</w:t>
      </w:r>
      <w:bookmarkStart w:id="0" w:name="_GoBack"/>
      <w:bookmarkEnd w:id="0"/>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进行了现场检查。</w:t>
      </w:r>
      <w:r>
        <w:rPr>
          <w:rFonts w:hint="eastAsia" w:ascii="仿宋_GB2312" w:hAnsi="仿宋_GB2312" w:cs="仿宋_GB2312"/>
          <w:b w:val="0"/>
          <w:bCs/>
          <w:color w:val="000000" w:themeColor="text1"/>
          <w:sz w:val="32"/>
          <w:szCs w:val="32"/>
          <w:u w:val="none"/>
          <w:lang w:val="en-US" w:eastAsia="zh-CN"/>
          <w14:textFill>
            <w14:solidFill>
              <w14:schemeClr w14:val="tx1"/>
            </w14:solidFill>
          </w14:textFill>
        </w:rPr>
        <w:t>你</w:t>
      </w:r>
      <w:r>
        <w:rPr>
          <w:rFonts w:hint="eastAsia" w:ascii="仿宋_GB2312" w:hAnsi="仿宋_GB2312" w:eastAsia="仿宋_GB2312" w:cs="仿宋_GB2312"/>
          <w:b w:val="0"/>
          <w:bCs/>
          <w:color w:val="000000" w:themeColor="text1"/>
          <w:sz w:val="32"/>
          <w:szCs w:val="32"/>
          <w:u w:val="none"/>
          <w:lang w:val="en-US" w:eastAsia="zh-CN"/>
          <w14:textFill>
            <w14:solidFill>
              <w14:schemeClr w14:val="tx1"/>
            </w14:solidFill>
          </w14:textFill>
        </w:rPr>
        <w:t>公司建设项目为</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年产7000万平方米聚氨酯干法人造革生产线项目，于2011年5月10日经焦作市环境保护局审批，审批文号：焦环审[2011]049号，于2016年2月由温县环境保护局对</w:t>
      </w:r>
      <w:r>
        <w:rPr>
          <w:rFonts w:hint="eastAsia" w:ascii="仿宋_GB2312" w:hAnsi="仿宋_GB2312" w:cs="仿宋_GB2312"/>
          <w:b w:val="0"/>
          <w:bCs/>
          <w:color w:val="000000" w:themeColor="text1"/>
          <w:sz w:val="32"/>
          <w:szCs w:val="32"/>
          <w:u w:val="none"/>
          <w:lang w:val="en-US" w:eastAsia="zh-CN"/>
          <w14:textFill>
            <w14:solidFill>
              <w14:schemeClr w14:val="tx1"/>
            </w14:solidFill>
          </w14:textFill>
        </w:rPr>
        <w:t>你</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公司年产7000万平方米聚氨酯干法人造革生产线项目（一期3500万平方米）进行了试生产备案，于2016年6月经温县环境保护局完成项目竣工验收，验收文号：温环审[2016]16号。</w:t>
      </w:r>
      <w:r>
        <w:rPr>
          <w:rFonts w:hint="eastAsia" w:ascii="仿宋_GB2312" w:hAnsi="仿宋_GB2312" w:eastAsia="仿宋_GB2312" w:cs="仿宋_GB2312"/>
          <w:b w:val="0"/>
          <w:bCs/>
          <w:color w:val="000000" w:themeColor="text1"/>
          <w:sz w:val="32"/>
          <w:szCs w:val="32"/>
          <w:u w:val="none"/>
          <w:lang w:val="en-US" w:eastAsia="zh-CN"/>
          <w14:textFill>
            <w14:solidFill>
              <w14:schemeClr w14:val="tx1"/>
            </w14:solidFill>
          </w14:textFill>
        </w:rPr>
        <w:t>主要产品</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是聚氨酯（PU）人造革、PU/PVC（聚氯乙烯</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人造革，主要原材料：PVC树脂粉、离型纸、基布、重质钙、DOP、DMF、发泡剂、水性消光剂、色膏、热稳定剂等。</w:t>
      </w:r>
      <w:r>
        <w:rPr>
          <w:rFonts w:hint="eastAsia" w:ascii="仿宋_GB2312" w:hAnsi="仿宋_GB2312" w:eastAsia="仿宋_GB2312" w:cs="仿宋_GB2312"/>
          <w:b w:val="0"/>
          <w:bCs/>
          <w:color w:val="000000" w:themeColor="text1"/>
          <w:sz w:val="32"/>
          <w:szCs w:val="32"/>
          <w:u w:val="none"/>
          <w:lang w:val="en-US" w:eastAsia="zh-CN"/>
          <w14:textFill>
            <w14:solidFill>
              <w14:schemeClr w14:val="tx1"/>
            </w14:solidFill>
          </w14:textFill>
        </w:rPr>
        <w:t>主要生产设施有：</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干法生产线（4涂4烘）、研磨机、高速搅拌机、普通搅拌机、剥离机、DMF回收塔、冷却塔等</w:t>
      </w:r>
      <w:r>
        <w:rPr>
          <w:rFonts w:hint="eastAsia" w:ascii="仿宋_GB2312" w:hAnsi="仿宋_GB2312" w:eastAsia="仿宋_GB2312" w:cs="仿宋_GB2312"/>
          <w:b w:val="0"/>
          <w:bCs/>
          <w:color w:val="000000" w:themeColor="text1"/>
          <w:sz w:val="32"/>
          <w:szCs w:val="32"/>
          <w:u w:val="none"/>
          <w:lang w:val="en-US" w:eastAsia="zh-CN"/>
          <w14:textFill>
            <w14:solidFill>
              <w14:schemeClr w14:val="tx1"/>
            </w14:solidFill>
          </w14:textFill>
        </w:rPr>
        <w:t>。生产工艺为</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PVC树脂粉、重质钙、DMF、发泡剂</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高速搅拌机</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--色</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膏+普通搅拌机</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面层浆料+离型纸</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第一涂台</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第一烘箱</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冷却</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面层浆料+第二涂台</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第二烘箱</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冷却</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底层浆料</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第三涂台</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第三烘箱</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冷却</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-PU胶+基布贴布</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第四烘箱</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冷却</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剥离离型纸</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成品一</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预热</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表面涂饰</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烘干</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冷却</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检验</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成品</w:t>
      </w:r>
      <w:r>
        <w:rPr>
          <w:rFonts w:hint="eastAsia" w:ascii="仿宋_GB2312" w:hAnsi="仿宋_GB2312" w:eastAsia="仿宋_GB2312" w:cs="仿宋_GB2312"/>
          <w:b w:val="0"/>
          <w:bCs/>
          <w:color w:val="000000" w:themeColor="text1"/>
          <w:sz w:val="32"/>
          <w:szCs w:val="32"/>
          <w:u w:val="none"/>
          <w:lang w:val="en-US" w:eastAsia="zh-CN"/>
          <w14:textFill>
            <w14:solidFill>
              <w14:schemeClr w14:val="tx1"/>
            </w14:solidFill>
          </w14:textFill>
        </w:rPr>
        <w:t>。主要产污环节及污染防治设施为配料工序产生颗粒物和挥发性有机物，配套设施为电捕除尘＋冷凝装置处理设施；</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面层制备上浆、底层制备上浆和烘干工序产生的污染物为DMF和挥发性有机物，配套污染防治设施为DMF气体回收装置＋高压静</w:t>
      </w:r>
      <w:r>
        <w:rPr>
          <w:rFonts w:hint="eastAsia" w:ascii="仿宋_GB2312" w:hAnsi="仿宋_GB2312" w:eastAsia="仿宋_GB2312" w:cs="仿宋_GB2312"/>
          <w:b w:val="0"/>
          <w:bCs/>
          <w:color w:val="000000" w:themeColor="text1"/>
          <w:sz w:val="32"/>
          <w:szCs w:val="32"/>
          <w:u w:val="none"/>
          <w:lang w:val="en-US" w:eastAsia="zh-CN"/>
          <w14:textFill>
            <w14:solidFill>
              <w14:schemeClr w14:val="tx1"/>
            </w14:solidFill>
          </w14:textFill>
        </w:rPr>
        <w:t>电捕集器+</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活性炭吸附</w:t>
      </w:r>
      <w:r>
        <w:rPr>
          <w:rFonts w:hint="eastAsia" w:ascii="仿宋_GB2312" w:hAnsi="仿宋_GB2312" w:eastAsia="仿宋_GB2312" w:cs="仿宋_GB2312"/>
          <w:b w:val="0"/>
          <w:bCs/>
          <w:color w:val="000000" w:themeColor="text1"/>
          <w:sz w:val="32"/>
          <w:szCs w:val="32"/>
          <w:u w:val="none"/>
          <w:lang w:val="en-US" w:eastAsia="zh-CN"/>
          <w14:textFill>
            <w14:solidFill>
              <w14:schemeClr w14:val="tx1"/>
            </w14:solidFill>
          </w14:textFill>
        </w:rPr>
        <w:t>催化燃烧（RCO）处理</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装置；表面处理预热烘干工序产生的污染物为有机废气，配套污染防治设施为高压静</w:t>
      </w:r>
      <w:r>
        <w:rPr>
          <w:rFonts w:hint="eastAsia" w:ascii="仿宋_GB2312" w:hAnsi="仿宋_GB2312" w:eastAsia="仿宋_GB2312" w:cs="仿宋_GB2312"/>
          <w:b w:val="0"/>
          <w:bCs/>
          <w:color w:val="000000" w:themeColor="text1"/>
          <w:sz w:val="32"/>
          <w:szCs w:val="32"/>
          <w:u w:val="none"/>
          <w:lang w:val="en-US" w:eastAsia="zh-CN"/>
          <w14:textFill>
            <w14:solidFill>
              <w14:schemeClr w14:val="tx1"/>
            </w14:solidFill>
          </w14:textFill>
        </w:rPr>
        <w:t>电捕集器+</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活性炭吸附</w:t>
      </w:r>
      <w:r>
        <w:rPr>
          <w:rFonts w:hint="eastAsia" w:ascii="仿宋_GB2312" w:hAnsi="仿宋_GB2312" w:eastAsia="仿宋_GB2312" w:cs="仿宋_GB2312"/>
          <w:b w:val="0"/>
          <w:bCs/>
          <w:color w:val="000000" w:themeColor="text1"/>
          <w:sz w:val="32"/>
          <w:szCs w:val="32"/>
          <w:u w:val="none"/>
          <w:lang w:val="en-US" w:eastAsia="zh-CN"/>
          <w14:textFill>
            <w14:solidFill>
              <w14:schemeClr w14:val="tx1"/>
            </w14:solidFill>
          </w14:textFill>
        </w:rPr>
        <w:t>催化燃烧（RCO）处理</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装置。</w:t>
      </w:r>
    </w:p>
    <w:p w14:paraId="09ED2667">
      <w:pPr>
        <w:pStyle w:val="3"/>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现场检查时，</w:t>
      </w:r>
      <w:r>
        <w:rPr>
          <w:rFonts w:hint="eastAsia" w:ascii="仿宋_GB2312" w:hAnsi="仿宋_GB2312" w:cs="仿宋_GB2312"/>
          <w:b w:val="0"/>
          <w:bCs/>
          <w:color w:val="000000" w:themeColor="text1"/>
          <w:sz w:val="32"/>
          <w:szCs w:val="32"/>
          <w:u w:val="none"/>
          <w:lang w:val="en-US" w:eastAsia="zh-CN"/>
          <w14:textFill>
            <w14:solidFill>
              <w14:schemeClr w14:val="tx1"/>
            </w14:solidFill>
          </w14:textFill>
        </w:rPr>
        <w:t>你</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公司两条干法生产线一条正在生产，干法生产线配套的污染防治设施为DMF气体回收装置＋高压静电捕集器+活性炭吸附催化燃烧（RCO）处理装置正常启动；表面处理预热烘干工序正在生产，表面处理预热烘干工序配套的高压静电捕集器+活性炭吸附催化燃烧（RCO）处理装置中高压静电捕集器未通电，显示欠压状态，存在未按要求对产生的有机废气进行收集处理的行为。</w:t>
      </w:r>
    </w:p>
    <w:p w14:paraId="3F909665">
      <w:pPr>
        <w:pStyle w:val="3"/>
        <w:keepNext w:val="0"/>
        <w:keepLines w:val="0"/>
        <w:pageBreakBefore w:val="0"/>
        <w:widowControl w:val="0"/>
        <w:kinsoku/>
        <w:wordWrap/>
        <w:overflowPunct/>
        <w:topLinePunct w:val="0"/>
        <w:autoSpaceDE/>
        <w:autoSpaceDN/>
        <w:bidi w:val="0"/>
        <w:adjustRightInd/>
        <w:snapToGrid/>
        <w:spacing w:after="0" w:line="560" w:lineRule="exact"/>
        <w:ind w:left="0" w:firstLine="640" w:firstLineChars="200"/>
        <w:jc w:val="both"/>
        <w:outlineLvl w:val="9"/>
        <w:rPr>
          <w:rFonts w:hint="eastAsia" w:ascii="仿宋_GB2312" w:hAnsi="仿宋_GB2312" w:eastAsia="仿宋_GB2312" w:cs="仿宋_GB2312"/>
          <w:b w:val="0"/>
          <w:bCs w:val="0"/>
          <w:kern w:val="2"/>
          <w:sz w:val="32"/>
          <w:szCs w:val="32"/>
          <w:u w:val="none"/>
          <w:lang w:val="en-US" w:eastAsia="zh-CN" w:bidi="ar"/>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上述行为违反了《中华人民共和国大气污染防治法》第四十五条“ 产生含挥发性有机物废气的生产和服务活动，应当在密闭空间或者设备中进行，并按照规定安装、使用污染防治设施;无法密闭的，应当采取措施减少废气排放。”的规定。</w:t>
      </w:r>
    </w:p>
    <w:p w14:paraId="26283ADC">
      <w:pPr>
        <w:pStyle w:val="3"/>
        <w:keepNext w:val="0"/>
        <w:keepLines w:val="0"/>
        <w:pageBreakBefore w:val="0"/>
        <w:widowControl w:val="0"/>
        <w:kinsoku/>
        <w:wordWrap/>
        <w:overflowPunct/>
        <w:topLinePunct w:val="0"/>
        <w:autoSpaceDE/>
        <w:autoSpaceDN/>
        <w:bidi w:val="0"/>
        <w:adjustRightInd/>
        <w:snapToGrid/>
        <w:spacing w:before="0" w:beforeLines="0" w:beforeAutospacing="0" w:after="0" w:line="570" w:lineRule="exact"/>
        <w:ind w:left="0" w:firstLine="640" w:firstLineChars="200"/>
        <w:jc w:val="both"/>
        <w:textAlignment w:val="bottom"/>
        <w:outlineLvl w:val="9"/>
        <w:rPr>
          <w:rFonts w:hint="default" w:ascii="Times New Roman" w:hAnsi="Times New Roman" w:eastAsia="仿宋_GB2312" w:cs="Times New Roman"/>
          <w:color w:val="000000" w:themeColor="text1"/>
          <w:sz w:val="32"/>
          <w:szCs w:val="32"/>
          <w:lang w:eastAsia="zh-CN"/>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以上事实</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主要有以下证据证明：</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　</w:t>
      </w:r>
    </w:p>
    <w:p w14:paraId="0239135F">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right="0" w:rightChars="0" w:firstLine="640" w:firstLineChars="200"/>
        <w:jc w:val="both"/>
        <w:textAlignment w:val="bottom"/>
        <w:outlineLvl w:val="9"/>
        <w:rPr>
          <w:rFonts w:hint="eastAsia" w:ascii="仿宋_GB2312" w:hAnsi="仿宋_GB2312" w:eastAsia="仿宋_GB2312" w:cs="仿宋_GB2312"/>
          <w:color w:val="000000" w:themeColor="text1"/>
          <w:sz w:val="32"/>
          <w:szCs w:val="32"/>
          <w:lang w:val="en"/>
          <w14:textFill>
            <w14:solidFill>
              <w14:schemeClr w14:val="tx1"/>
            </w14:solidFill>
          </w14:textFill>
        </w:rPr>
      </w:pPr>
      <w:r>
        <w:rPr>
          <w:rFonts w:hint="eastAsia" w:ascii="仿宋_GB2312" w:hAnsi="仿宋_GB2312" w:eastAsia="仿宋_GB2312" w:cs="仿宋_GB2312"/>
          <w:color w:val="000000" w:themeColor="text1"/>
          <w:sz w:val="32"/>
          <w:szCs w:val="32"/>
          <w:lang w:val="en"/>
          <w14:textFill>
            <w14:solidFill>
              <w14:schemeClr w14:val="tx1"/>
            </w14:solidFill>
          </w14:textFill>
        </w:rPr>
        <w:t>1</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u w:val="none"/>
          <w14:textFill>
            <w14:solidFill>
              <w14:schemeClr w14:val="tx1"/>
            </w14:solidFill>
          </w14:textFill>
        </w:rPr>
        <w:t>202</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6</w:t>
      </w:r>
      <w:r>
        <w:rPr>
          <w:rFonts w:hint="eastAsia" w:ascii="仿宋_GB2312" w:hAnsi="仿宋_GB2312" w:eastAsia="仿宋_GB2312" w:cs="仿宋_GB2312"/>
          <w:color w:val="000000" w:themeColor="text1"/>
          <w:sz w:val="32"/>
          <w:szCs w:val="32"/>
          <w:u w:val="none"/>
          <w14:textFill>
            <w14:solidFill>
              <w14:schemeClr w14:val="tx1"/>
            </w14:solidFill>
          </w14:textFill>
        </w:rPr>
        <w:t>年</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4</w:t>
      </w:r>
      <w:r>
        <w:rPr>
          <w:rFonts w:hint="eastAsia" w:ascii="仿宋_GB2312" w:hAnsi="仿宋_GB2312" w:eastAsia="仿宋_GB2312" w:cs="仿宋_GB2312"/>
          <w:color w:val="000000" w:themeColor="text1"/>
          <w:sz w:val="32"/>
          <w:szCs w:val="32"/>
          <w:u w:val="none"/>
          <w14:textFill>
            <w14:solidFill>
              <w14:schemeClr w14:val="tx1"/>
            </w14:solidFill>
          </w14:textFill>
        </w:rPr>
        <w:t>月</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16</w:t>
      </w:r>
      <w:r>
        <w:rPr>
          <w:rFonts w:hint="eastAsia" w:ascii="仿宋_GB2312" w:hAnsi="仿宋_GB2312" w:eastAsia="仿宋_GB2312" w:cs="仿宋_GB2312"/>
          <w:color w:val="000000" w:themeColor="text1"/>
          <w:sz w:val="32"/>
          <w:szCs w:val="32"/>
          <w:u w:val="none"/>
          <w14:textFill>
            <w14:solidFill>
              <w14:schemeClr w14:val="tx1"/>
            </w14:solidFill>
          </w14:textFill>
        </w:rPr>
        <w:t>日</w:t>
      </w:r>
      <w:r>
        <w:rPr>
          <w:rFonts w:hint="eastAsia" w:ascii="仿宋_GB2312" w:hAnsi="仿宋_GB2312" w:eastAsia="仿宋_GB2312" w:cs="仿宋_GB2312"/>
          <w:color w:val="000000" w:themeColor="text1"/>
          <w:sz w:val="32"/>
          <w:szCs w:val="32"/>
          <w:u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
          <w14:textFill>
            <w14:solidFill>
              <w14:schemeClr w14:val="tx1"/>
            </w14:solidFill>
          </w14:textFill>
        </w:rPr>
        <w:t>现场检查（勘验）笔录</w:t>
      </w:r>
      <w:r>
        <w:rPr>
          <w:rFonts w:hint="eastAsia" w:ascii="仿宋_GB2312" w:hAnsi="仿宋_GB2312" w:eastAsia="仿宋_GB2312" w:cs="仿宋_GB2312"/>
          <w:color w:val="000000" w:themeColor="text1"/>
          <w:sz w:val="32"/>
          <w:szCs w:val="32"/>
          <w:u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1份4页</w:t>
      </w:r>
      <w:r>
        <w:rPr>
          <w:rFonts w:hint="eastAsia" w:ascii="仿宋_GB2312" w:hAnsi="仿宋_GB2312" w:eastAsia="仿宋_GB2312" w:cs="仿宋_GB2312"/>
          <w:color w:val="000000" w:themeColor="text1"/>
          <w:sz w:val="32"/>
          <w:szCs w:val="32"/>
          <w:lang w:val="en"/>
          <w14:textFill>
            <w14:solidFill>
              <w14:schemeClr w14:val="tx1"/>
            </w14:solidFill>
          </w14:textFill>
        </w:rPr>
        <w:t>。</w:t>
      </w:r>
    </w:p>
    <w:p w14:paraId="3F327C28">
      <w:pPr>
        <w:keepNext w:val="0"/>
        <w:keepLines w:val="0"/>
        <w:pageBreakBefore w:val="0"/>
        <w:widowControl w:val="0"/>
        <w:kinsoku/>
        <w:wordWrap/>
        <w:overflowPunct/>
        <w:topLinePunct w:val="0"/>
        <w:autoSpaceDE/>
        <w:autoSpaceDN/>
        <w:bidi w:val="0"/>
        <w:adjustRightInd/>
        <w:snapToGrid/>
        <w:spacing w:after="0" w:line="560" w:lineRule="exact"/>
        <w:jc w:val="both"/>
        <w:textAlignment w:val="auto"/>
        <w:outlineLvl w:val="9"/>
        <w:rPr>
          <w:rFonts w:hint="eastAsia" w:ascii="仿宋_GB2312" w:hAnsi="仿宋_GB2312" w:eastAsia="仿宋_GB2312" w:cs="仿宋_GB2312"/>
          <w:color w:val="000000" w:themeColor="text1"/>
          <w:sz w:val="32"/>
          <w:szCs w:val="32"/>
          <w:lang w:val="en"/>
          <w14:textFill>
            <w14:solidFill>
              <w14:schemeClr w14:val="tx1"/>
            </w14:solidFill>
          </w14:textFill>
        </w:rPr>
      </w:pPr>
      <w:r>
        <w:rPr>
          <w:rFonts w:hint="eastAsia" w:ascii="仿宋_GB2312" w:hAnsi="仿宋_GB2312" w:eastAsia="仿宋_GB2312" w:cs="仿宋_GB2312"/>
          <w:color w:val="000000" w:themeColor="text1"/>
          <w:sz w:val="32"/>
          <w:szCs w:val="32"/>
          <w:lang w:val="en"/>
          <w14:textFill>
            <w14:solidFill>
              <w14:schemeClr w14:val="tx1"/>
            </w14:solidFill>
          </w14:textFill>
        </w:rPr>
        <w:t>证明</w:t>
      </w:r>
      <w:r>
        <w:rPr>
          <w:rFonts w:hint="eastAsia" w:ascii="仿宋_GB2312" w:hAnsi="仿宋_GB2312" w:eastAsia="仿宋_GB2312" w:cs="仿宋_GB2312"/>
          <w:color w:val="000000" w:themeColor="text1"/>
          <w:sz w:val="32"/>
          <w:szCs w:val="32"/>
          <w:lang w:val="en" w:eastAsia="zh-CN"/>
          <w14:textFill>
            <w14:solidFill>
              <w14:schemeClr w14:val="tx1"/>
            </w14:solidFill>
          </w14:textFill>
        </w:rPr>
        <w:t>：对你公司的现场检查勘察情况，你公司</w:t>
      </w:r>
      <w:r>
        <w:rPr>
          <w:rFonts w:hint="eastAsia" w:ascii="仿宋_GB2312" w:hAnsi="仿宋_GB2312" w:eastAsia="仿宋_GB2312" w:cs="仿宋_GB2312"/>
          <w:color w:val="000000" w:themeColor="text1"/>
          <w:sz w:val="32"/>
          <w:szCs w:val="32"/>
          <w:lang w:val="en"/>
          <w14:textFill>
            <w14:solidFill>
              <w14:schemeClr w14:val="tx1"/>
            </w14:solidFill>
          </w14:textFill>
        </w:rPr>
        <w:t>现场检查</w:t>
      </w:r>
      <w:r>
        <w:rPr>
          <w:rFonts w:hint="eastAsia" w:ascii="仿宋_GB2312" w:hAnsi="仿宋_GB2312" w:eastAsia="仿宋_GB2312" w:cs="仿宋_GB2312"/>
          <w:color w:val="000000" w:themeColor="text1"/>
          <w:sz w:val="32"/>
          <w:szCs w:val="32"/>
          <w:lang w:val="en" w:eastAsia="zh-CN"/>
          <w14:textFill>
            <w14:solidFill>
              <w14:schemeClr w14:val="tx1"/>
            </w14:solidFill>
          </w14:textFill>
        </w:rPr>
        <w:t>勘察</w:t>
      </w:r>
      <w:r>
        <w:rPr>
          <w:rFonts w:hint="eastAsia" w:ascii="仿宋_GB2312" w:hAnsi="仿宋_GB2312" w:eastAsia="仿宋_GB2312" w:cs="仿宋_GB2312"/>
          <w:color w:val="000000" w:themeColor="text1"/>
          <w:sz w:val="32"/>
          <w:szCs w:val="32"/>
          <w:lang w:val="en"/>
          <w14:textFill>
            <w14:solidFill>
              <w14:schemeClr w14:val="tx1"/>
            </w14:solidFill>
          </w14:textFill>
        </w:rPr>
        <w:t>时存在</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生产时产生的有机废气未能得到有效处理</w:t>
      </w:r>
      <w:r>
        <w:rPr>
          <w:rFonts w:hint="eastAsia" w:ascii="仿宋_GB2312" w:hAnsi="仿宋_GB2312" w:eastAsia="仿宋_GB2312" w:cs="仿宋_GB2312"/>
          <w:color w:val="000000" w:themeColor="text1"/>
          <w:sz w:val="32"/>
          <w:szCs w:val="32"/>
          <w:lang w:val="en"/>
          <w14:textFill>
            <w14:solidFill>
              <w14:schemeClr w14:val="tx1"/>
            </w14:solidFill>
          </w14:textFill>
        </w:rPr>
        <w:t>的事实。</w:t>
      </w:r>
    </w:p>
    <w:p w14:paraId="7FD9747B">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right="0" w:rightChars="0" w:firstLine="640" w:firstLineChars="200"/>
        <w:jc w:val="both"/>
        <w:textAlignment w:val="bottom"/>
        <w:outlineLvl w:val="9"/>
        <w:rPr>
          <w:rFonts w:hint="eastAsia" w:ascii="仿宋_GB2312" w:hAnsi="仿宋_GB2312" w:eastAsia="仿宋_GB2312" w:cs="仿宋_GB2312"/>
          <w:color w:val="000000" w:themeColor="text1"/>
          <w:sz w:val="32"/>
          <w:szCs w:val="32"/>
          <w:u w:val="none"/>
          <w14:textFill>
            <w14:solidFill>
              <w14:schemeClr w14:val="tx1"/>
            </w14:solidFill>
          </w14:textFill>
        </w:rPr>
      </w:pPr>
      <w:r>
        <w:rPr>
          <w:rFonts w:hint="eastAsia" w:ascii="仿宋_GB2312" w:hAnsi="仿宋_GB2312" w:eastAsia="仿宋_GB2312" w:cs="仿宋_GB2312"/>
          <w:color w:val="000000" w:themeColor="text1"/>
          <w:sz w:val="32"/>
          <w:szCs w:val="32"/>
          <w:u w:val="none"/>
          <w14:textFill>
            <w14:solidFill>
              <w14:schemeClr w14:val="tx1"/>
            </w14:solidFill>
          </w14:textFill>
        </w:rPr>
        <w:t>2</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u w:val="none"/>
          <w14:textFill>
            <w14:solidFill>
              <w14:schemeClr w14:val="tx1"/>
            </w14:solidFill>
          </w14:textFill>
        </w:rPr>
        <w:t>20</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26</w:t>
      </w:r>
      <w:r>
        <w:rPr>
          <w:rFonts w:hint="eastAsia" w:ascii="仿宋_GB2312" w:hAnsi="仿宋_GB2312" w:eastAsia="仿宋_GB2312" w:cs="仿宋_GB2312"/>
          <w:color w:val="000000" w:themeColor="text1"/>
          <w:sz w:val="32"/>
          <w:szCs w:val="32"/>
          <w:u w:val="none"/>
          <w14:textFill>
            <w14:solidFill>
              <w14:schemeClr w14:val="tx1"/>
            </w14:solidFill>
          </w14:textFill>
        </w:rPr>
        <w:t>年</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4</w:t>
      </w:r>
      <w:r>
        <w:rPr>
          <w:rFonts w:hint="eastAsia" w:ascii="仿宋_GB2312" w:hAnsi="仿宋_GB2312" w:eastAsia="仿宋_GB2312" w:cs="仿宋_GB2312"/>
          <w:color w:val="000000" w:themeColor="text1"/>
          <w:sz w:val="32"/>
          <w:szCs w:val="32"/>
          <w:u w:val="none"/>
          <w14:textFill>
            <w14:solidFill>
              <w14:schemeClr w14:val="tx1"/>
            </w14:solidFill>
          </w14:textFill>
        </w:rPr>
        <w:t>月</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22</w:t>
      </w:r>
      <w:r>
        <w:rPr>
          <w:rFonts w:hint="eastAsia" w:ascii="仿宋_GB2312" w:hAnsi="仿宋_GB2312" w:eastAsia="仿宋_GB2312" w:cs="仿宋_GB2312"/>
          <w:color w:val="000000" w:themeColor="text1"/>
          <w:sz w:val="32"/>
          <w:szCs w:val="32"/>
          <w:u w:val="none"/>
          <w14:textFill>
            <w14:solidFill>
              <w14:schemeClr w14:val="tx1"/>
            </w14:solidFill>
          </w14:textFill>
        </w:rPr>
        <w:t>日</w:t>
      </w:r>
      <w:r>
        <w:rPr>
          <w:rFonts w:hint="eastAsia" w:ascii="仿宋_GB2312" w:hAnsi="仿宋_GB2312" w:eastAsia="仿宋_GB2312" w:cs="仿宋_GB2312"/>
          <w:color w:val="000000" w:themeColor="text1"/>
          <w:sz w:val="32"/>
          <w:szCs w:val="32"/>
          <w:u w:val="none"/>
          <w:lang w:eastAsia="zh-CN"/>
          <w14:textFill>
            <w14:solidFill>
              <w14:schemeClr w14:val="tx1"/>
            </w14:solidFill>
          </w14:textFill>
        </w:rPr>
        <w:t>对</w:t>
      </w:r>
      <w:r>
        <w:rPr>
          <w:rFonts w:hint="eastAsia" w:ascii="仿宋_GB2312" w:hAnsi="仿宋_GB2312" w:eastAsia="仿宋_GB2312" w:cs="仿宋_GB2312"/>
          <w:color w:val="000000" w:themeColor="text1"/>
          <w:kern w:val="2"/>
          <w:sz w:val="32"/>
          <w:szCs w:val="32"/>
          <w:u w:val="single" w:color="FFFFFF"/>
          <w:lang w:val="en-US" w:eastAsia="zh-CN" w:bidi="ar"/>
          <w14:textFill>
            <w14:solidFill>
              <w14:schemeClr w14:val="tx1"/>
            </w14:solidFill>
          </w14:textFill>
        </w:rPr>
        <w:t>张文晓</w:t>
      </w:r>
      <w:r>
        <w:rPr>
          <w:rFonts w:hint="eastAsia" w:ascii="仿宋_GB2312" w:hAnsi="仿宋_GB2312" w:eastAsia="仿宋_GB2312" w:cs="仿宋_GB2312"/>
          <w:color w:val="000000" w:themeColor="text1"/>
          <w:sz w:val="32"/>
          <w:szCs w:val="32"/>
          <w:u w:val="none"/>
          <w:lang w:eastAsia="zh-CN"/>
          <w14:textFill>
            <w14:solidFill>
              <w14:schemeClr w14:val="tx1"/>
            </w14:solidFill>
          </w14:textFill>
        </w:rPr>
        <w:t>的《</w:t>
      </w:r>
      <w:r>
        <w:rPr>
          <w:rFonts w:hint="eastAsia" w:ascii="仿宋_GB2312" w:hAnsi="仿宋_GB2312" w:eastAsia="仿宋_GB2312" w:cs="仿宋_GB2312"/>
          <w:color w:val="000000" w:themeColor="text1"/>
          <w:sz w:val="32"/>
          <w:szCs w:val="32"/>
          <w:u w:val="none"/>
          <w14:textFill>
            <w14:solidFill>
              <w14:schemeClr w14:val="tx1"/>
            </w14:solidFill>
          </w14:textFill>
        </w:rPr>
        <w:t>调查询问笔录</w:t>
      </w:r>
      <w:r>
        <w:rPr>
          <w:rFonts w:hint="eastAsia" w:ascii="仿宋_GB2312" w:hAnsi="仿宋_GB2312" w:eastAsia="仿宋_GB2312" w:cs="仿宋_GB2312"/>
          <w:color w:val="000000" w:themeColor="text1"/>
          <w:sz w:val="32"/>
          <w:szCs w:val="32"/>
          <w:u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1份5页</w:t>
      </w:r>
      <w:r>
        <w:rPr>
          <w:rFonts w:hint="eastAsia" w:ascii="仿宋_GB2312" w:hAnsi="仿宋_GB2312" w:eastAsia="仿宋_GB2312" w:cs="仿宋_GB2312"/>
          <w:color w:val="000000" w:themeColor="text1"/>
          <w:sz w:val="32"/>
          <w:szCs w:val="32"/>
          <w:u w:val="none"/>
          <w14:textFill>
            <w14:solidFill>
              <w14:schemeClr w14:val="tx1"/>
            </w14:solidFill>
          </w14:textFill>
        </w:rPr>
        <w:t>。</w:t>
      </w:r>
    </w:p>
    <w:p w14:paraId="7D125926">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right="0" w:rightChars="0" w:firstLine="640" w:firstLineChars="200"/>
        <w:jc w:val="both"/>
        <w:textAlignment w:val="bottom"/>
        <w:outlineLvl w:val="9"/>
        <w:rPr>
          <w:rFonts w:hint="eastAsia" w:ascii="仿宋_GB2312" w:hAnsi="仿宋_GB2312" w:eastAsia="仿宋_GB2312" w:cs="仿宋_GB2312"/>
          <w:color w:val="000000" w:themeColor="text1"/>
          <w:sz w:val="32"/>
          <w:szCs w:val="32"/>
          <w:u w:val="none"/>
          <w14:textFill>
            <w14:solidFill>
              <w14:schemeClr w14:val="tx1"/>
            </w14:solidFill>
          </w14:textFill>
        </w:rPr>
      </w:pPr>
      <w:r>
        <w:rPr>
          <w:rFonts w:hint="eastAsia" w:ascii="仿宋_GB2312" w:hAnsi="仿宋_GB2312" w:eastAsia="仿宋_GB2312" w:cs="仿宋_GB2312"/>
          <w:color w:val="000000" w:themeColor="text1"/>
          <w:sz w:val="32"/>
          <w:szCs w:val="32"/>
          <w:u w:val="none"/>
          <w14:textFill>
            <w14:solidFill>
              <w14:schemeClr w14:val="tx1"/>
            </w14:solidFill>
          </w14:textFill>
        </w:rPr>
        <w:t>证明</w:t>
      </w:r>
      <w:r>
        <w:rPr>
          <w:rFonts w:hint="eastAsia" w:ascii="仿宋_GB2312" w:hAnsi="仿宋_GB2312" w:eastAsia="仿宋_GB2312" w:cs="仿宋_GB2312"/>
          <w:color w:val="000000" w:themeColor="text1"/>
          <w:sz w:val="32"/>
          <w:szCs w:val="32"/>
          <w:u w:val="none"/>
          <w:lang w:eastAsia="zh-CN"/>
          <w14:textFill>
            <w14:solidFill>
              <w14:schemeClr w14:val="tx1"/>
            </w14:solidFill>
          </w14:textFill>
        </w:rPr>
        <w:t>：对你</w:t>
      </w:r>
      <w:r>
        <w:rPr>
          <w:rFonts w:hint="eastAsia" w:ascii="仿宋_GB2312" w:hAnsi="仿宋_GB2312" w:eastAsia="仿宋_GB2312" w:cs="仿宋_GB2312"/>
          <w:color w:val="000000" w:themeColor="text1"/>
          <w:sz w:val="32"/>
          <w:szCs w:val="32"/>
          <w:lang w:val="en" w:eastAsia="zh-CN"/>
          <w14:textFill>
            <w14:solidFill>
              <w14:schemeClr w14:val="tx1"/>
            </w14:solidFill>
          </w14:textFill>
        </w:rPr>
        <w:t>公司</w:t>
      </w:r>
      <w:r>
        <w:rPr>
          <w:rFonts w:hint="eastAsia" w:ascii="仿宋_GB2312" w:hAnsi="仿宋_GB2312" w:eastAsia="仿宋_GB2312" w:cs="仿宋_GB2312"/>
          <w:color w:val="000000" w:themeColor="text1"/>
          <w:sz w:val="32"/>
          <w:szCs w:val="32"/>
          <w:u w:val="none"/>
          <w:lang w:eastAsia="zh-CN"/>
          <w14:textFill>
            <w14:solidFill>
              <w14:schemeClr w14:val="tx1"/>
            </w14:solidFill>
          </w14:textFill>
        </w:rPr>
        <w:t>的调查询问情况，你</w:t>
      </w:r>
      <w:r>
        <w:rPr>
          <w:rFonts w:hint="eastAsia" w:ascii="仿宋_GB2312" w:hAnsi="仿宋_GB2312" w:eastAsia="仿宋_GB2312" w:cs="仿宋_GB2312"/>
          <w:color w:val="000000" w:themeColor="text1"/>
          <w:sz w:val="32"/>
          <w:szCs w:val="32"/>
          <w:lang w:val="en" w:eastAsia="zh-CN"/>
          <w14:textFill>
            <w14:solidFill>
              <w14:schemeClr w14:val="tx1"/>
            </w14:solidFill>
          </w14:textFill>
        </w:rPr>
        <w:t>公司</w:t>
      </w:r>
      <w:r>
        <w:rPr>
          <w:rFonts w:hint="eastAsia" w:ascii="仿宋_GB2312" w:hAnsi="仿宋_GB2312" w:eastAsia="仿宋_GB2312" w:cs="仿宋_GB2312"/>
          <w:color w:val="000000" w:themeColor="text1"/>
          <w:sz w:val="32"/>
          <w:szCs w:val="32"/>
          <w:u w:val="none"/>
          <w:lang w:eastAsia="zh-CN"/>
          <w14:textFill>
            <w14:solidFill>
              <w14:schemeClr w14:val="tx1"/>
            </w14:solidFill>
          </w14:textFill>
        </w:rPr>
        <w:t>承认</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生产时产生的有机废气未能得到有效处理</w:t>
      </w:r>
      <w:r>
        <w:rPr>
          <w:rFonts w:hint="eastAsia" w:ascii="仿宋_GB2312" w:hAnsi="仿宋_GB2312" w:eastAsia="仿宋_GB2312" w:cs="仿宋_GB2312"/>
          <w:color w:val="000000" w:themeColor="text1"/>
          <w:sz w:val="32"/>
          <w:szCs w:val="32"/>
          <w:u w:val="none"/>
          <w:lang w:eastAsia="zh-CN"/>
          <w14:textFill>
            <w14:solidFill>
              <w14:schemeClr w14:val="tx1"/>
            </w14:solidFill>
          </w14:textFill>
        </w:rPr>
        <w:t>的</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事实</w:t>
      </w:r>
      <w:r>
        <w:rPr>
          <w:rFonts w:hint="eastAsia" w:ascii="仿宋_GB2312" w:hAnsi="仿宋_GB2312" w:eastAsia="仿宋_GB2312" w:cs="仿宋_GB2312"/>
          <w:color w:val="000000" w:themeColor="text1"/>
          <w:sz w:val="32"/>
          <w:szCs w:val="32"/>
          <w:u w:val="none"/>
          <w14:textFill>
            <w14:solidFill>
              <w14:schemeClr w14:val="tx1"/>
            </w14:solidFill>
          </w14:textFill>
        </w:rPr>
        <w:t>。</w:t>
      </w:r>
    </w:p>
    <w:p w14:paraId="6D1747E8">
      <w:pPr>
        <w:pStyle w:val="5"/>
        <w:keepNext w:val="0"/>
        <w:keepLines w:val="0"/>
        <w:pageBreakBefore w:val="0"/>
        <w:widowControl w:val="0"/>
        <w:numPr>
          <w:ilvl w:val="0"/>
          <w:numId w:val="3"/>
        </w:numPr>
        <w:kinsoku/>
        <w:wordWrap/>
        <w:overflowPunct/>
        <w:topLinePunct w:val="0"/>
        <w:autoSpaceDE/>
        <w:autoSpaceDN/>
        <w:bidi w:val="0"/>
        <w:adjustRightInd/>
        <w:snapToGrid/>
        <w:spacing w:before="0" w:beforeLines="0" w:after="0" w:afterLines="0" w:line="560" w:lineRule="exact"/>
        <w:ind w:left="0" w:right="0" w:rightChars="0" w:firstLine="640" w:firstLineChars="200"/>
        <w:jc w:val="both"/>
        <w:textAlignment w:val="bottom"/>
        <w:outlineLvl w:val="9"/>
        <w:rPr>
          <w:rFonts w:hint="eastAsia" w:ascii="仿宋_GB2312" w:hAnsi="仿宋_GB2312" w:eastAsia="仿宋_GB2312" w:cs="仿宋_GB2312"/>
          <w:color w:val="000000" w:themeColor="text1"/>
          <w:sz w:val="32"/>
          <w:szCs w:val="32"/>
          <w:u w:val="none"/>
          <w14:textFill>
            <w14:solidFill>
              <w14:schemeClr w14:val="tx1"/>
            </w14:solidFill>
          </w14:textFill>
        </w:rPr>
      </w:pPr>
      <w:r>
        <w:rPr>
          <w:rFonts w:hint="eastAsia" w:ascii="仿宋_GB2312" w:hAnsi="仿宋_GB2312" w:eastAsia="仿宋_GB2312" w:cs="仿宋_GB2312"/>
          <w:color w:val="000000" w:themeColor="text1"/>
          <w:sz w:val="32"/>
          <w:szCs w:val="32"/>
          <w:lang w:val="en"/>
          <w14:textFill>
            <w14:solidFill>
              <w14:schemeClr w14:val="tx1"/>
            </w14:solidFill>
          </w14:textFill>
        </w:rPr>
        <w:t>营业执照复印件</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1份、法定代表人（负责人）</w:t>
      </w:r>
      <w:r>
        <w:rPr>
          <w:rFonts w:hint="eastAsia" w:ascii="仿宋_GB2312" w:hAnsi="仿宋_GB2312" w:eastAsia="仿宋_GB2312" w:cs="仿宋_GB2312"/>
          <w:color w:val="000000" w:themeColor="text1"/>
          <w:kern w:val="2"/>
          <w:sz w:val="32"/>
          <w:szCs w:val="32"/>
          <w:u w:val="single" w:color="FFFFFF"/>
          <w:lang w:val="en-US" w:eastAsia="zh-CN" w:bidi="ar"/>
          <w14:textFill>
            <w14:solidFill>
              <w14:schemeClr w14:val="tx1"/>
            </w14:solidFill>
          </w14:textFill>
        </w:rPr>
        <w:t>张和平</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身份证复印件1份</w:t>
      </w:r>
      <w:r>
        <w:rPr>
          <w:rFonts w:hint="eastAsia" w:ascii="仿宋_GB2312" w:hAnsi="仿宋_GB2312" w:eastAsia="仿宋_GB2312" w:cs="仿宋_GB2312"/>
          <w:color w:val="000000" w:themeColor="text1"/>
          <w:sz w:val="32"/>
          <w:szCs w:val="32"/>
          <w:lang w:val="en"/>
          <w14:textFill>
            <w14:solidFill>
              <w14:schemeClr w14:val="tx1"/>
            </w14:solidFill>
          </w14:textFill>
        </w:rPr>
        <w:t>。证明</w:t>
      </w:r>
      <w:r>
        <w:rPr>
          <w:rFonts w:hint="eastAsia" w:ascii="仿宋_GB2312" w:hAnsi="仿宋_GB2312" w:eastAsia="仿宋_GB2312" w:cs="仿宋_GB2312"/>
          <w:color w:val="000000" w:themeColor="text1"/>
          <w:sz w:val="32"/>
          <w:szCs w:val="32"/>
          <w:lang w:val="en" w:eastAsia="zh-CN"/>
          <w14:textFill>
            <w14:solidFill>
              <w14:schemeClr w14:val="tx1"/>
            </w14:solidFill>
          </w14:textFill>
        </w:rPr>
        <w:t>：你单位</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法定代表人</w:t>
      </w:r>
      <w:r>
        <w:rPr>
          <w:rFonts w:hint="eastAsia" w:ascii="仿宋_GB2312" w:hAnsi="仿宋_GB2312" w:eastAsia="仿宋_GB2312" w:cs="仿宋_GB2312"/>
          <w:color w:val="000000" w:themeColor="text1"/>
          <w:sz w:val="32"/>
          <w:szCs w:val="32"/>
          <w:lang w:val="en"/>
          <w14:textFill>
            <w14:solidFill>
              <w14:schemeClr w14:val="tx1"/>
            </w14:solidFill>
          </w14:textFill>
        </w:rPr>
        <w:t>主体资格</w:t>
      </w:r>
      <w:r>
        <w:rPr>
          <w:rFonts w:hint="eastAsia" w:ascii="仿宋_GB2312" w:hAnsi="仿宋_GB2312" w:eastAsia="仿宋_GB2312" w:cs="仿宋_GB2312"/>
          <w:color w:val="000000" w:themeColor="text1"/>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法定代表人</w:t>
      </w:r>
      <w:r>
        <w:rPr>
          <w:rFonts w:hint="eastAsia" w:ascii="仿宋_GB2312" w:hAnsi="仿宋_GB2312" w:eastAsia="仿宋_GB2312" w:cs="仿宋_GB2312"/>
          <w:color w:val="000000" w:themeColor="text1"/>
          <w:sz w:val="32"/>
          <w:szCs w:val="32"/>
          <w:lang w:val="en" w:eastAsia="zh-CN"/>
          <w14:textFill>
            <w14:solidFill>
              <w14:schemeClr w14:val="tx1"/>
            </w14:solidFill>
          </w14:textFill>
        </w:rPr>
        <w:t>身份</w:t>
      </w:r>
      <w:r>
        <w:rPr>
          <w:rFonts w:hint="eastAsia" w:ascii="仿宋_GB2312" w:hAnsi="仿宋_GB2312" w:eastAsia="仿宋_GB2312" w:cs="仿宋_GB2312"/>
          <w:color w:val="000000" w:themeColor="text1"/>
          <w:sz w:val="32"/>
          <w:szCs w:val="32"/>
          <w:u w:val="none"/>
          <w14:textFill>
            <w14:solidFill>
              <w14:schemeClr w14:val="tx1"/>
            </w14:solidFill>
          </w14:textFill>
        </w:rPr>
        <w:t>。</w:t>
      </w:r>
    </w:p>
    <w:p w14:paraId="6770629C">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line="560" w:lineRule="exact"/>
        <w:ind w:leftChars="0" w:right="0" w:rightChars="0" w:firstLine="640" w:firstLineChars="200"/>
        <w:jc w:val="both"/>
        <w:textAlignment w:val="bottom"/>
        <w:outlineLvl w:val="9"/>
        <w:rPr>
          <w:rFonts w:hint="eastAsia" w:ascii="仿宋_GB2312" w:hAnsi="仿宋_GB2312" w:eastAsia="仿宋_GB2312" w:cs="仿宋_GB2312"/>
          <w:color w:val="000000" w:themeColor="text1"/>
          <w:sz w:val="32"/>
          <w:szCs w:val="32"/>
          <w:u w:val="none"/>
          <w:lang w:val="en"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4、授权委托书1份，委托人</w:t>
      </w:r>
      <w:r>
        <w:rPr>
          <w:rFonts w:hint="eastAsia" w:ascii="仿宋_GB2312" w:hAnsi="仿宋_GB2312" w:eastAsia="仿宋_GB2312" w:cs="仿宋_GB2312"/>
          <w:color w:val="000000" w:themeColor="text1"/>
          <w:kern w:val="2"/>
          <w:sz w:val="32"/>
          <w:szCs w:val="32"/>
          <w:u w:val="single" w:color="FFFFFF"/>
          <w:lang w:val="en-US" w:eastAsia="zh-CN" w:bidi="ar"/>
          <w14:textFill>
            <w14:solidFill>
              <w14:schemeClr w14:val="tx1"/>
            </w14:solidFill>
          </w14:textFill>
        </w:rPr>
        <w:t>张和平</w:t>
      </w:r>
      <w:r>
        <w:rPr>
          <w:rFonts w:hint="eastAsia" w:ascii="仿宋_GB2312" w:hAnsi="仿宋_GB2312" w:eastAsia="仿宋_GB2312" w:cs="仿宋_GB2312"/>
          <w:color w:val="000000" w:themeColor="text1"/>
          <w:sz w:val="32"/>
          <w:szCs w:val="32"/>
          <w:lang w:val="en" w:eastAsia="zh-CN"/>
          <w14:textFill>
            <w14:solidFill>
              <w14:schemeClr w14:val="tx1"/>
            </w14:solidFill>
          </w14:textFill>
        </w:rPr>
        <w:t>以及被委托人</w:t>
      </w:r>
      <w:r>
        <w:rPr>
          <w:rFonts w:hint="eastAsia" w:ascii="仿宋_GB2312" w:hAnsi="仿宋_GB2312" w:eastAsia="仿宋_GB2312" w:cs="仿宋_GB2312"/>
          <w:color w:val="000000" w:themeColor="text1"/>
          <w:kern w:val="2"/>
          <w:sz w:val="32"/>
          <w:szCs w:val="32"/>
          <w:u w:val="single" w:color="FFFFFF"/>
          <w:lang w:val="en-US" w:eastAsia="zh-CN" w:bidi="ar"/>
          <w14:textFill>
            <w14:solidFill>
              <w14:schemeClr w14:val="tx1"/>
            </w14:solidFill>
          </w14:textFill>
        </w:rPr>
        <w:t>张文晓</w:t>
      </w:r>
      <w:r>
        <w:rPr>
          <w:rFonts w:hint="eastAsia" w:ascii="仿宋_GB2312" w:hAnsi="仿宋_GB2312" w:eastAsia="仿宋_GB2312" w:cs="仿宋_GB2312"/>
          <w:color w:val="000000" w:themeColor="text1"/>
          <w:sz w:val="32"/>
          <w:szCs w:val="32"/>
          <w:lang w:val="en" w:eastAsia="zh-CN"/>
          <w14:textFill>
            <w14:solidFill>
              <w14:schemeClr w14:val="tx1"/>
            </w14:solidFill>
          </w14:textFill>
        </w:rPr>
        <w:t>身份证复印件</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1份</w:t>
      </w:r>
      <w:r>
        <w:rPr>
          <w:rFonts w:hint="eastAsia" w:ascii="仿宋_GB2312" w:hAnsi="仿宋_GB2312" w:eastAsia="仿宋_GB2312" w:cs="仿宋_GB2312"/>
          <w:color w:val="000000" w:themeColor="text1"/>
          <w:sz w:val="32"/>
          <w:szCs w:val="32"/>
          <w:lang w:val="en" w:eastAsia="zh-CN"/>
          <w14:textFill>
            <w14:solidFill>
              <w14:schemeClr w14:val="tx1"/>
            </w14:solidFill>
          </w14:textFill>
        </w:rPr>
        <w:t>。证明：委托代理权限和代理资格。</w:t>
      </w:r>
    </w:p>
    <w:p w14:paraId="3FBD8F34">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right="0" w:rightChars="0" w:firstLine="640" w:firstLineChars="200"/>
        <w:jc w:val="both"/>
        <w:textAlignment w:val="bottom"/>
        <w:outlineLvl w:val="9"/>
        <w:rPr>
          <w:rFonts w:hint="eastAsia" w:ascii="仿宋_GB2312" w:hAnsi="仿宋_GB2312" w:eastAsia="仿宋_GB2312" w:cs="仿宋_GB2312"/>
          <w:color w:val="000000" w:themeColor="text1"/>
          <w:sz w:val="32"/>
          <w:szCs w:val="32"/>
          <w:lang w:val="e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5.2026年4月16日《现场勘察示意图》和</w:t>
      </w:r>
      <w:r>
        <w:rPr>
          <w:rFonts w:hint="eastAsia" w:ascii="仿宋_GB2312" w:hAnsi="仿宋_GB2312" w:eastAsia="仿宋_GB2312" w:cs="仿宋_GB2312"/>
          <w:color w:val="000000" w:themeColor="text1"/>
          <w:sz w:val="32"/>
          <w:szCs w:val="32"/>
          <w:lang w:val="en"/>
          <w14:textFill>
            <w14:solidFill>
              <w14:schemeClr w14:val="tx1"/>
            </w14:solidFill>
          </w14:textFill>
        </w:rPr>
        <w:t>现场照片。</w:t>
      </w:r>
    </w:p>
    <w:p w14:paraId="6077EA45">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right="0" w:rightChars="0" w:firstLine="640" w:firstLineChars="200"/>
        <w:jc w:val="both"/>
        <w:textAlignment w:val="bottom"/>
        <w:outlineLvl w:val="9"/>
        <w:rPr>
          <w:rFonts w:hint="eastAsia" w:ascii="仿宋_GB2312" w:hAnsi="仿宋_GB2312" w:eastAsia="仿宋_GB2312" w:cs="仿宋_GB2312"/>
          <w:color w:val="000000" w:themeColor="text1"/>
          <w:sz w:val="32"/>
          <w:szCs w:val="32"/>
          <w:lang w:val="en"/>
          <w14:textFill>
            <w14:solidFill>
              <w14:schemeClr w14:val="tx1"/>
            </w14:solidFill>
          </w14:textFill>
        </w:rPr>
      </w:pPr>
      <w:r>
        <w:rPr>
          <w:rFonts w:hint="eastAsia" w:ascii="仿宋_GB2312" w:hAnsi="仿宋_GB2312" w:eastAsia="仿宋_GB2312" w:cs="仿宋_GB2312"/>
          <w:color w:val="000000" w:themeColor="text1"/>
          <w:sz w:val="32"/>
          <w:szCs w:val="32"/>
          <w:lang w:val="en"/>
          <w14:textFill>
            <w14:solidFill>
              <w14:schemeClr w14:val="tx1"/>
            </w14:solidFill>
          </w14:textFill>
        </w:rPr>
        <w:t>证明</w:t>
      </w:r>
      <w:r>
        <w:rPr>
          <w:rFonts w:hint="eastAsia" w:ascii="仿宋_GB2312" w:hAnsi="仿宋_GB2312" w:eastAsia="仿宋_GB2312" w:cs="仿宋_GB2312"/>
          <w:color w:val="000000" w:themeColor="text1"/>
          <w:sz w:val="32"/>
          <w:szCs w:val="32"/>
          <w:lang w:val="en" w:eastAsia="zh-CN"/>
          <w14:textFill>
            <w14:solidFill>
              <w14:schemeClr w14:val="tx1"/>
            </w14:solidFill>
          </w14:textFill>
        </w:rPr>
        <w:t>：你公司于检查当日生产情况。</w:t>
      </w:r>
    </w:p>
    <w:p w14:paraId="3DED3B84">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right="0" w:rightChars="0" w:firstLine="640" w:firstLineChars="200"/>
        <w:jc w:val="both"/>
        <w:textAlignment w:val="bottom"/>
        <w:outlineLvl w:val="9"/>
        <w:rPr>
          <w:rFonts w:hint="eastAsia" w:ascii="仿宋_GB2312" w:hAnsi="仿宋_GB2312" w:eastAsia="仿宋_GB2312" w:cs="仿宋_GB2312"/>
          <w:color w:val="000000" w:themeColor="text1"/>
          <w:kern w:val="2"/>
          <w:sz w:val="32"/>
          <w:szCs w:val="32"/>
          <w:u w:val="single" w:color="FFFFFF" w:themeColor="background1"/>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u w:val="single" w:color="FFFFFF" w:themeColor="background1"/>
          <w:lang w:val="en-US" w:eastAsia="zh-CN" w:bidi="ar-SA"/>
          <w14:textFill>
            <w14:solidFill>
              <w14:schemeClr w14:val="tx1"/>
            </w14:solidFill>
          </w14:textFill>
        </w:rPr>
        <w:t>6.排污许可证。</w:t>
      </w:r>
    </w:p>
    <w:p w14:paraId="3DEF0A80">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right="0" w:rightChars="0" w:firstLine="640" w:firstLineChars="200"/>
        <w:jc w:val="both"/>
        <w:textAlignment w:val="bottom"/>
        <w:outlineLvl w:val="9"/>
        <w:rPr>
          <w:rFonts w:hint="eastAsia" w:ascii="仿宋_GB2312" w:hAnsi="仿宋_GB2312" w:eastAsia="仿宋_GB2312" w:cs="仿宋_GB2312"/>
          <w:color w:val="000000" w:themeColor="text1"/>
          <w:kern w:val="2"/>
          <w:sz w:val="32"/>
          <w:szCs w:val="32"/>
          <w:u w:val="single" w:color="FFFFFF" w:themeColor="background1"/>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u w:val="single" w:color="FFFFFF" w:themeColor="background1"/>
          <w:lang w:val="en-US" w:eastAsia="zh-CN" w:bidi="ar-SA"/>
          <w14:textFill>
            <w14:solidFill>
              <w14:schemeClr w14:val="tx1"/>
            </w14:solidFill>
          </w14:textFill>
        </w:rPr>
        <w:t>证明：你</w:t>
      </w:r>
      <w:r>
        <w:rPr>
          <w:rFonts w:hint="eastAsia" w:ascii="仿宋_GB2312" w:hAnsi="仿宋_GB2312" w:eastAsia="仿宋_GB2312" w:cs="仿宋_GB2312"/>
          <w:color w:val="000000" w:themeColor="text1"/>
          <w:sz w:val="32"/>
          <w:szCs w:val="32"/>
          <w:lang w:val="en" w:eastAsia="zh-CN"/>
          <w14:textFill>
            <w14:solidFill>
              <w14:schemeClr w14:val="tx1"/>
            </w14:solidFill>
          </w14:textFill>
        </w:rPr>
        <w:t>公司</w:t>
      </w:r>
      <w:r>
        <w:rPr>
          <w:rFonts w:hint="eastAsia" w:ascii="仿宋_GB2312" w:hAnsi="仿宋_GB2312" w:eastAsia="仿宋_GB2312" w:cs="仿宋_GB2312"/>
          <w:color w:val="000000" w:themeColor="text1"/>
          <w:kern w:val="2"/>
          <w:sz w:val="32"/>
          <w:szCs w:val="32"/>
          <w:u w:val="single" w:color="FFFFFF" w:themeColor="background1"/>
          <w:lang w:val="en-US" w:eastAsia="zh-CN" w:bidi="ar-SA"/>
          <w14:textFill>
            <w14:solidFill>
              <w14:schemeClr w14:val="tx1"/>
            </w14:solidFill>
          </w14:textFill>
        </w:rPr>
        <w:t>依法办理排污许可手续，并按要求进行排污</w:t>
      </w:r>
      <w:r>
        <w:rPr>
          <w:rFonts w:hint="eastAsia" w:ascii="仿宋_GB2312" w:hAnsi="仿宋_GB2312" w:eastAsia="仿宋_GB2312" w:cs="仿宋_GB2312"/>
          <w:color w:val="000000" w:themeColor="text1"/>
          <w:sz w:val="32"/>
          <w:szCs w:val="32"/>
          <w:u w:val="none"/>
          <w14:textFill>
            <w14:solidFill>
              <w14:schemeClr w14:val="tx1"/>
            </w14:solidFill>
          </w14:textFill>
        </w:rPr>
        <w:t>。</w:t>
      </w:r>
    </w:p>
    <w:p w14:paraId="40A7DCB5">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60" w:lineRule="exact"/>
        <w:ind w:left="0" w:right="0" w:rightChars="0" w:firstLine="640" w:firstLineChars="200"/>
        <w:jc w:val="both"/>
        <w:textAlignment w:val="bottom"/>
        <w:outlineLvl w:val="9"/>
        <w:rPr>
          <w:rFonts w:hint="eastAsia" w:ascii="仿宋_GB2312" w:hAnsi="仿宋_GB2312" w:eastAsia="仿宋_GB2312" w:cs="仿宋_GB2312"/>
          <w:color w:val="000000" w:themeColor="text1"/>
          <w:sz w:val="32"/>
          <w:szCs w:val="32"/>
          <w:lang w:val="e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7.</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年产7000万平方米聚氨酯干法人造革生产线项目</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环境影响报告书</w:t>
      </w:r>
      <w:r>
        <w:rPr>
          <w:rFonts w:hint="eastAsia" w:ascii="仿宋_GB2312" w:hAnsi="仿宋_GB2312" w:eastAsia="仿宋_GB2312" w:cs="仿宋_GB2312"/>
          <w:color w:val="000000" w:themeColor="text1"/>
          <w:sz w:val="32"/>
          <w:szCs w:val="32"/>
          <w:lang w:val="en"/>
          <w14:textFill>
            <w14:solidFill>
              <w14:schemeClr w14:val="tx1"/>
            </w14:solidFill>
          </w14:textFill>
        </w:rPr>
        <w:t>（</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摘录</w:t>
      </w:r>
      <w:r>
        <w:rPr>
          <w:rFonts w:hint="eastAsia" w:ascii="仿宋_GB2312" w:hAnsi="仿宋_GB2312" w:eastAsia="仿宋_GB2312" w:cs="仿宋_GB2312"/>
          <w:color w:val="000000" w:themeColor="text1"/>
          <w:sz w:val="32"/>
          <w:szCs w:val="32"/>
          <w:lang w:val="en"/>
          <w14:textFill>
            <w14:solidFill>
              <w14:schemeClr w14:val="tx1"/>
            </w14:solidFill>
          </w14:textFill>
        </w:rPr>
        <w:t>）。</w:t>
      </w:r>
    </w:p>
    <w:p w14:paraId="657BA120">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60" w:lineRule="exact"/>
        <w:ind w:left="0" w:right="0" w:rightChars="0" w:firstLine="640" w:firstLineChars="200"/>
        <w:jc w:val="both"/>
        <w:textAlignment w:val="bottom"/>
        <w:outlineLvl w:val="9"/>
        <w:rPr>
          <w:rFonts w:hint="eastAsia" w:ascii="仿宋_GB2312" w:hAnsi="仿宋_GB2312" w:eastAsia="仿宋_GB2312" w:cs="仿宋_GB2312"/>
          <w:color w:val="000000" w:themeColor="text1"/>
          <w:sz w:val="32"/>
          <w:szCs w:val="32"/>
          <w:lang w:val="en"/>
          <w14:textFill>
            <w14:solidFill>
              <w14:schemeClr w14:val="tx1"/>
            </w14:solidFill>
          </w14:textFill>
        </w:rPr>
      </w:pPr>
      <w:r>
        <w:rPr>
          <w:rFonts w:hint="eastAsia" w:ascii="仿宋_GB2312" w:hAnsi="仿宋_GB2312" w:eastAsia="仿宋_GB2312" w:cs="仿宋_GB2312"/>
          <w:color w:val="000000" w:themeColor="text1"/>
          <w:sz w:val="32"/>
          <w:szCs w:val="32"/>
          <w:lang w:val="en"/>
          <w14:textFill>
            <w14:solidFill>
              <w14:schemeClr w14:val="tx1"/>
            </w14:solidFill>
          </w14:textFill>
        </w:rPr>
        <w:t>证明</w:t>
      </w:r>
      <w:r>
        <w:rPr>
          <w:rFonts w:hint="eastAsia" w:ascii="仿宋_GB2312" w:hAnsi="仿宋_GB2312" w:eastAsia="仿宋_GB2312" w:cs="仿宋_GB2312"/>
          <w:color w:val="000000" w:themeColor="text1"/>
          <w:sz w:val="32"/>
          <w:szCs w:val="32"/>
          <w:lang w:val="en" w:eastAsia="zh-CN"/>
          <w14:textFill>
            <w14:solidFill>
              <w14:schemeClr w14:val="tx1"/>
            </w14:solidFill>
          </w14:textFill>
        </w:rPr>
        <w:t>：你公司</w:t>
      </w:r>
      <w:r>
        <w:rPr>
          <w:rFonts w:hint="eastAsia" w:ascii="仿宋_GB2312" w:hAnsi="仿宋_GB2312" w:eastAsia="仿宋_GB2312" w:cs="仿宋_GB2312"/>
          <w:color w:val="000000" w:themeColor="text1"/>
          <w:sz w:val="32"/>
          <w:szCs w:val="32"/>
          <w:lang w:val="en"/>
          <w14:textFill>
            <w14:solidFill>
              <w14:schemeClr w14:val="tx1"/>
            </w14:solidFill>
          </w14:textFill>
        </w:rPr>
        <w:t>建设项目依法通过项目审批，生产工艺</w:t>
      </w:r>
      <w:r>
        <w:rPr>
          <w:rFonts w:hint="eastAsia" w:ascii="仿宋_GB2312" w:hAnsi="仿宋_GB2312" w:eastAsia="仿宋_GB2312" w:cs="仿宋_GB2312"/>
          <w:color w:val="000000" w:themeColor="text1"/>
          <w:sz w:val="32"/>
          <w:szCs w:val="32"/>
          <w:lang w:val="en" w:eastAsia="zh-CN"/>
          <w14:textFill>
            <w14:solidFill>
              <w14:schemeClr w14:val="tx1"/>
            </w14:solidFill>
          </w14:textFill>
        </w:rPr>
        <w:t>中各产污环节</w:t>
      </w:r>
      <w:r>
        <w:rPr>
          <w:rFonts w:hint="eastAsia" w:ascii="仿宋_GB2312" w:hAnsi="仿宋_GB2312" w:eastAsia="仿宋_GB2312" w:cs="仿宋_GB2312"/>
          <w:color w:val="000000" w:themeColor="text1"/>
          <w:sz w:val="32"/>
          <w:szCs w:val="32"/>
          <w:lang w:val="en"/>
          <w14:textFill>
            <w14:solidFill>
              <w14:schemeClr w14:val="tx1"/>
            </w14:solidFill>
          </w14:textFill>
        </w:rPr>
        <w:t>，以及相关处理要求。</w:t>
      </w:r>
    </w:p>
    <w:p w14:paraId="3361D40A">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60" w:lineRule="exact"/>
        <w:ind w:left="0" w:right="0" w:rightChars="0" w:firstLine="640" w:firstLineChars="200"/>
        <w:jc w:val="both"/>
        <w:textAlignment w:val="bottom"/>
        <w:outlineLvl w:val="9"/>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8.其他证据</w:t>
      </w:r>
      <w:r>
        <w:rPr>
          <w:rFonts w:hint="eastAsia" w:ascii="仿宋_GB2312" w:hAnsi="仿宋_GB2312" w:eastAsia="仿宋_GB2312" w:cs="仿宋_GB2312"/>
          <w:color w:val="000000" w:themeColor="text1"/>
          <w:sz w:val="32"/>
          <w:szCs w:val="32"/>
          <w:u w:val="none"/>
          <w14:textFill>
            <w14:solidFill>
              <w14:schemeClr w14:val="tx1"/>
            </w14:solidFill>
          </w14:textFill>
        </w:rPr>
        <w:t>。</w:t>
      </w:r>
    </w:p>
    <w:p w14:paraId="652F3BBD">
      <w:pPr>
        <w:keepNext w:val="0"/>
        <w:keepLines w:val="0"/>
        <w:pageBreakBefore w:val="0"/>
        <w:widowControl w:val="0"/>
        <w:kinsoku/>
        <w:wordWrap/>
        <w:overflowPunct/>
        <w:topLinePunct w:val="0"/>
        <w:autoSpaceDE/>
        <w:autoSpaceDN/>
        <w:bidi w:val="0"/>
        <w:adjustRightInd/>
        <w:snapToGrid/>
        <w:spacing w:before="0" w:beforeLines="0" w:beforeAutospacing="0" w:line="560" w:lineRule="exact"/>
        <w:ind w:left="0" w:leftChars="0" w:firstLine="640" w:firstLineChars="200"/>
        <w:jc w:val="both"/>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r>
        <w:rPr>
          <w:rFonts w:hint="eastAsia" w:ascii="仿宋_GB2312" w:hAnsi="仿宋_GB2312" w:cs="仿宋_GB2312"/>
          <w:color w:val="000000" w:themeColor="text1"/>
          <w:sz w:val="32"/>
          <w:szCs w:val="32"/>
          <w:lang w:val="en-US" w:eastAsia="zh-CN"/>
          <w14:textFill>
            <w14:solidFill>
              <w14:schemeClr w14:val="tx1"/>
            </w14:solidFill>
          </w14:textFill>
        </w:rPr>
        <w:t>我局于20</w:t>
      </w:r>
      <w:r>
        <w:rPr>
          <w:rFonts w:hint="eastAsia" w:ascii="仿宋_GB2312" w:hAnsi="仿宋_GB2312" w:cs="仿宋_GB2312"/>
          <w:color w:val="000000" w:themeColor="text1"/>
          <w:sz w:val="32"/>
          <w:szCs w:val="32"/>
          <w:lang w:val="en-US" w:eastAsia="zh"/>
          <w14:textFill>
            <w14:solidFill>
              <w14:schemeClr w14:val="tx1"/>
            </w14:solidFill>
          </w14:textFill>
        </w:rPr>
        <w:t>2</w:t>
      </w:r>
      <w:r>
        <w:rPr>
          <w:rFonts w:hint="eastAsia" w:ascii="仿宋_GB2312" w:hAnsi="仿宋_GB2312" w:cs="仿宋_GB2312"/>
          <w:color w:val="000000" w:themeColor="text1"/>
          <w:sz w:val="32"/>
          <w:szCs w:val="32"/>
          <w:lang w:val="en-US" w:eastAsia="zh-CN"/>
          <w14:textFill>
            <w14:solidFill>
              <w14:schemeClr w14:val="tx1"/>
            </w14:solidFill>
          </w14:textFill>
        </w:rPr>
        <w:t>6年5月29日向你公司送达《焦作市生态环境局行政处罚事先（听证）告知书》(焦温环先告〔2026〕16号)，</w:t>
      </w:r>
      <w:r>
        <w:rPr>
          <w:rFonts w:hint="eastAsia" w:ascii="FangSong_GB2312" w:hAnsi="FangSong_GB2312" w:eastAsia="FangSong_GB2312" w:cs="FangSong_GB2312"/>
          <w:color w:val="000000" w:themeColor="text1"/>
          <w:sz w:val="32"/>
          <w:szCs w:val="32"/>
          <w:u w:val="none"/>
          <w14:textFill>
            <w14:solidFill>
              <w14:schemeClr w14:val="tx1"/>
            </w14:solidFill>
          </w14:textFill>
        </w:rPr>
        <w:t>告知书</w:t>
      </w:r>
      <w:r>
        <w:rPr>
          <w:rFonts w:hint="eastAsia" w:ascii="FangSong_GB2312" w:hAnsi="FangSong_GB2312" w:eastAsia="FangSong_GB2312" w:cs="FangSong_GB2312"/>
          <w:color w:val="000000" w:themeColor="text1"/>
          <w:sz w:val="32"/>
          <w:szCs w:val="32"/>
          <w14:textFill>
            <w14:solidFill>
              <w14:schemeClr w14:val="tx1"/>
            </w14:solidFill>
          </w14:textFill>
        </w:rPr>
        <w:t>告知你</w:t>
      </w:r>
      <w:r>
        <w:rPr>
          <w:rFonts w:hint="eastAsia" w:ascii="仿宋_GB2312" w:hAnsi="仿宋_GB2312" w:cs="仿宋_GB2312"/>
          <w:color w:val="000000" w:themeColor="text1"/>
          <w:sz w:val="32"/>
          <w:szCs w:val="32"/>
          <w:lang w:val="en-US" w:eastAsia="zh-CN"/>
          <w14:textFill>
            <w14:solidFill>
              <w14:schemeClr w14:val="tx1"/>
            </w14:solidFill>
          </w14:textFill>
        </w:rPr>
        <w:t>公司</w:t>
      </w:r>
      <w:r>
        <w:rPr>
          <w:rFonts w:hint="eastAsia" w:ascii="FangSong_GB2312" w:hAnsi="FangSong_GB2312" w:eastAsia="FangSong_GB2312" w:cs="FangSong_GB2312"/>
          <w:color w:val="000000" w:themeColor="text1"/>
          <w:sz w:val="32"/>
          <w:szCs w:val="32"/>
          <w14:textFill>
            <w14:solidFill>
              <w14:schemeClr w14:val="tx1"/>
            </w14:solidFill>
          </w14:textFill>
        </w:rPr>
        <w:t>陈述申辩权。</w:t>
      </w:r>
      <w:r>
        <w:rPr>
          <w:rFonts w:hint="eastAsia" w:ascii="FangSong_GB2312" w:hAnsi="FangSong_GB2312" w:eastAsia="FangSong_GB2312" w:cs="FangSong_GB2312"/>
          <w:color w:val="000000" w:themeColor="text1"/>
          <w:sz w:val="32"/>
          <w:szCs w:val="32"/>
          <w:lang w:eastAsia="zh-CN"/>
          <w14:textFill>
            <w14:solidFill>
              <w14:schemeClr w14:val="tx1"/>
            </w14:solidFill>
          </w14:textFill>
        </w:rPr>
        <w:t>你</w:t>
      </w:r>
      <w:r>
        <w:rPr>
          <w:rFonts w:hint="eastAsia" w:ascii="仿宋_GB2312" w:hAnsi="仿宋_GB2312" w:cs="仿宋_GB2312"/>
          <w:color w:val="000000" w:themeColor="text1"/>
          <w:sz w:val="32"/>
          <w:szCs w:val="32"/>
          <w:lang w:val="en-US" w:eastAsia="zh-CN"/>
          <w14:textFill>
            <w14:solidFill>
              <w14:schemeClr w14:val="tx1"/>
            </w14:solidFill>
          </w14:textFill>
        </w:rPr>
        <w:t>公司</w:t>
      </w:r>
      <w:r>
        <w:rPr>
          <w:rFonts w:hint="eastAsia" w:ascii="FangSong_GB2312" w:hAnsi="FangSong_GB2312" w:eastAsia="FangSong_GB2312" w:cs="FangSong_GB2312"/>
          <w:color w:val="000000" w:themeColor="text1"/>
          <w:sz w:val="32"/>
          <w:szCs w:val="32"/>
          <w:lang w:eastAsia="zh-CN"/>
          <w14:textFill>
            <w14:solidFill>
              <w14:schemeClr w14:val="tx1"/>
            </w14:solidFill>
          </w14:textFill>
        </w:rPr>
        <w:t>在规定的时间的未进行</w:t>
      </w:r>
      <w:r>
        <w:rPr>
          <w:rFonts w:hint="eastAsia" w:ascii="FangSong_GB2312" w:hAnsi="FangSong_GB2312" w:eastAsia="FangSong_GB2312" w:cs="FangSong_GB2312"/>
          <w:color w:val="000000" w:themeColor="text1"/>
          <w:sz w:val="32"/>
          <w:szCs w:val="32"/>
          <w14:textFill>
            <w14:solidFill>
              <w14:schemeClr w14:val="tx1"/>
            </w14:solidFill>
          </w14:textFill>
        </w:rPr>
        <w:t>陈述申辩</w:t>
      </w:r>
      <w:r>
        <w:rPr>
          <w:rFonts w:hint="eastAsia" w:ascii="FangSong_GB2312" w:hAnsi="FangSong_GB2312" w:eastAsia="FangSong_GB2312" w:cs="FangSong_GB2312"/>
          <w:color w:val="000000" w:themeColor="text1"/>
          <w:sz w:val="32"/>
          <w:szCs w:val="32"/>
          <w:lang w:eastAsia="zh-CN"/>
          <w14:textFill>
            <w14:solidFill>
              <w14:schemeClr w14:val="tx1"/>
            </w14:solidFill>
          </w14:textFill>
        </w:rPr>
        <w:t>。</w:t>
      </w:r>
    </w:p>
    <w:p w14:paraId="01F75B5A">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line="560" w:lineRule="exact"/>
        <w:ind w:left="0" w:leftChars="0" w:right="0" w:rightChars="0" w:firstLine="640" w:firstLineChars="200"/>
        <w:rPr>
          <w:rFonts w:hint="eastAsia" w:ascii="黑体" w:hAnsi="黑体" w:eastAsia="黑体" w:cs="黑体"/>
          <w:b w:val="0"/>
          <w:bCs w:val="0"/>
          <w:color w:val="000000" w:themeColor="text1"/>
          <w:lang w:val="en-US" w:eastAsia="zh-CN"/>
          <w14:textFill>
            <w14:solidFill>
              <w14:schemeClr w14:val="tx1"/>
            </w14:solidFill>
          </w14:textFill>
        </w:rPr>
      </w:pPr>
      <w:r>
        <w:rPr>
          <w:rFonts w:hint="eastAsia" w:ascii="黑体" w:hAnsi="黑体" w:eastAsia="黑体" w:cs="黑体"/>
          <w:b w:val="0"/>
          <w:bCs w:val="0"/>
          <w:color w:val="000000" w:themeColor="text1"/>
          <w:sz w:val="32"/>
          <w:szCs w:val="32"/>
          <w:lang w:val="en-US" w:eastAsia="zh-CN"/>
          <w14:textFill>
            <w14:solidFill>
              <w14:schemeClr w14:val="tx1"/>
            </w14:solidFill>
          </w14:textFill>
        </w:rPr>
        <w:t>二、行政处罚的依据、种类</w:t>
      </w:r>
    </w:p>
    <w:p w14:paraId="4B8E3301">
      <w:pPr>
        <w:pStyle w:val="3"/>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textAlignment w:val="auto"/>
        <w:rPr>
          <w:rFonts w:hint="eastAsia"/>
          <w:lang w:val="en-US" w:eastAsia="zh-CN"/>
        </w:rPr>
      </w:pP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依据《中华人民共和国行政处罚法》第二十八条第一款</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行政机关实施行政处罚时，应当责令当事人改正或者限期改正违法行为</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和《中华人民共和国大气污染防治法》</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第一百零八条第（一）项：“违反本法规定，有下列行为之一的，由县级以上人民政府生态环境主管部门责令改正，处二万元以上二十万元以下的罚款；拒不改正的，责令停产整治:（一）产生含挥发性有机物废气的生产和服务活动，未在密闭空间或者设备中进行，未按照规定安装、使用污染防治设施，或者未采取减少废气排放措施的。”</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的规定</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w:t>
      </w:r>
    </w:p>
    <w:p w14:paraId="5CFF89AE">
      <w:pPr>
        <w:keepNext w:val="0"/>
        <w:keepLines w:val="0"/>
        <w:pageBreakBefore w:val="0"/>
        <w:widowControl w:val="0"/>
        <w:numPr>
          <w:ilvl w:val="0"/>
          <w:numId w:val="0"/>
        </w:numPr>
        <w:kinsoku/>
        <w:wordWrap/>
        <w:overflowPunct/>
        <w:topLinePunct w:val="0"/>
        <w:autoSpaceDE/>
        <w:autoSpaceDN/>
        <w:bidi w:val="0"/>
        <w:adjustRightInd w:val="0"/>
        <w:snapToGrid w:val="0"/>
        <w:spacing w:line="570" w:lineRule="exact"/>
        <w:ind w:left="0" w:firstLine="640" w:firstLineChars="200"/>
        <w:jc w:val="both"/>
        <w:textAlignment w:val="auto"/>
        <w:outlineLvl w:val="9"/>
        <w:rPr>
          <w:rFonts w:hint="eastAsia" w:ascii="仿宋_GB2312" w:hAnsi="仿宋_GB2312" w:eastAsia="仿宋_GB2312" w:cs="仿宋_GB2312"/>
          <w:color w:val="000000" w:themeColor="text1"/>
          <w:sz w:val="32"/>
          <w:szCs w:val="32"/>
          <w:u w:val="single" w:color="FFFFFF" w:themeColor="background1"/>
          <w14:textFill>
            <w14:solidFill>
              <w14:schemeClr w14:val="tx1"/>
            </w14:solidFill>
          </w14:textFill>
        </w:rPr>
      </w:pPr>
      <w:r>
        <w:rPr>
          <w:rFonts w:hint="eastAsia" w:ascii="仿宋_GB2312" w:hAnsi="仿宋_GB2312" w:eastAsia="仿宋_GB2312" w:cs="仿宋_GB2312"/>
          <w:color w:val="000000" w:themeColor="text1"/>
          <w:sz w:val="32"/>
          <w:szCs w:val="32"/>
          <w:u w:val="single" w:color="FFFFFF" w:themeColor="background1"/>
          <w14:textFill>
            <w14:solidFill>
              <w14:schemeClr w14:val="tx1"/>
            </w14:solidFill>
          </w14:textFill>
        </w:rPr>
        <w:t>根据《河南省生态环境行政处罚裁量基准适用规则（修订）》（豫环办〔2022〕72 号），结合</w:t>
      </w:r>
      <w:r>
        <w:rPr>
          <w:rFonts w:hint="eastAsia" w:ascii="仿宋_GB2312" w:hAnsi="仿宋_GB2312" w:cs="仿宋_GB2312"/>
          <w:color w:val="000000" w:themeColor="text1"/>
          <w:sz w:val="32"/>
          <w:szCs w:val="32"/>
          <w:u w:val="single" w:color="FFFFFF" w:themeColor="background1"/>
          <w:lang w:eastAsia="zh-CN"/>
          <w14:textFill>
            <w14:solidFill>
              <w14:schemeClr w14:val="tx1"/>
            </w14:solidFill>
          </w14:textFill>
        </w:rPr>
        <w:t>你公司</w:t>
      </w:r>
      <w:r>
        <w:rPr>
          <w:rFonts w:hint="eastAsia" w:ascii="仿宋_GB2312" w:hAnsi="仿宋_GB2312" w:eastAsia="仿宋_GB2312" w:cs="仿宋_GB2312"/>
          <w:color w:val="000000" w:themeColor="text1"/>
          <w:sz w:val="32"/>
          <w:szCs w:val="32"/>
          <w:u w:val="single" w:color="FFFFFF" w:themeColor="background1"/>
          <w14:textFill>
            <w14:solidFill>
              <w14:schemeClr w14:val="tx1"/>
            </w14:solidFill>
          </w14:textFill>
        </w:rPr>
        <w:t>违法行为的事实、性质、情节、社会危害程度和相关证据，裁量内容如下：</w:t>
      </w:r>
    </w:p>
    <w:p w14:paraId="18EA5A15">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jc w:val="both"/>
        <w:textAlignment w:val="auto"/>
        <w:rPr>
          <w:rFonts w:hint="eastAsia" w:ascii="仿宋_GB2312" w:hAnsi="仿宋_GB2312" w:eastAsia="仿宋_GB2312" w:cs="仿宋_GB2312"/>
          <w:color w:val="000000" w:themeColor="text1"/>
          <w:sz w:val="32"/>
          <w:szCs w:val="32"/>
          <w:u w:val="none" w:color="auto"/>
          <w14:textFill>
            <w14:solidFill>
              <w14:schemeClr w14:val="tx1"/>
            </w14:solidFill>
          </w14:textFill>
        </w:rPr>
      </w:pPr>
      <w:r>
        <w:rPr>
          <w:rFonts w:hint="eastAsia" w:ascii="仿宋_GB2312" w:hAnsi="仿宋_GB2312" w:eastAsia="仿宋_GB2312" w:cs="仿宋_GB2312"/>
          <w:color w:val="000000" w:themeColor="text1"/>
          <w:sz w:val="32"/>
          <w:szCs w:val="32"/>
          <w:u w:val="none" w:color="auto"/>
          <w14:textFill>
            <w14:solidFill>
              <w14:schemeClr w14:val="tx1"/>
            </w14:solidFill>
          </w14:textFill>
        </w:rPr>
        <w:t xml:space="preserve">A.★违法事实判定标准：未按要求密闭/未规范使用污染防治设施，裁量等级为1； </w:t>
      </w:r>
    </w:p>
    <w:p w14:paraId="3FCA1C10">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jc w:val="both"/>
        <w:textAlignment w:val="auto"/>
        <w:rPr>
          <w:rFonts w:hint="eastAsia" w:ascii="仿宋_GB2312" w:hAnsi="仿宋_GB2312" w:eastAsia="仿宋_GB2312" w:cs="仿宋_GB2312"/>
          <w:color w:val="000000" w:themeColor="text1"/>
          <w:sz w:val="32"/>
          <w:szCs w:val="32"/>
          <w:u w:val="none" w:color="auto"/>
          <w14:textFill>
            <w14:solidFill>
              <w14:schemeClr w14:val="tx1"/>
            </w14:solidFill>
          </w14:textFill>
        </w:rPr>
      </w:pPr>
      <w:r>
        <w:rPr>
          <w:rFonts w:hint="eastAsia" w:ascii="仿宋_GB2312" w:hAnsi="仿宋_GB2312" w:eastAsia="仿宋_GB2312" w:cs="仿宋_GB2312"/>
          <w:color w:val="000000" w:themeColor="text1"/>
          <w:sz w:val="32"/>
          <w:szCs w:val="32"/>
          <w:u w:val="none" w:color="auto"/>
          <w14:textFill>
            <w14:solidFill>
              <w14:schemeClr w14:val="tx1"/>
            </w14:solidFill>
          </w14:textFill>
        </w:rPr>
        <w:t>B1.涉及行业判定标准：涂装、印刷、包装、粘合等含挥发性有机物的产品使用，基础化学原料制造、化学药品原料药制造等含挥发性有机物的产品生产，裁量等级为2；</w:t>
      </w:r>
    </w:p>
    <w:p w14:paraId="5914567E">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jc w:val="both"/>
        <w:textAlignment w:val="auto"/>
        <w:rPr>
          <w:rFonts w:hint="eastAsia" w:ascii="仿宋_GB2312" w:hAnsi="仿宋_GB2312" w:eastAsia="仿宋_GB2312" w:cs="仿宋_GB2312"/>
          <w:color w:val="000000" w:themeColor="text1"/>
          <w:sz w:val="32"/>
          <w:szCs w:val="32"/>
          <w:u w:val="none" w:color="auto"/>
          <w14:textFill>
            <w14:solidFill>
              <w14:schemeClr w14:val="tx1"/>
            </w14:solidFill>
          </w14:textFill>
        </w:rPr>
      </w:pPr>
      <w:r>
        <w:rPr>
          <w:rFonts w:hint="eastAsia" w:ascii="仿宋_GB2312" w:hAnsi="仿宋_GB2312" w:eastAsia="仿宋_GB2312" w:cs="仿宋_GB2312"/>
          <w:color w:val="000000" w:themeColor="text1"/>
          <w:sz w:val="32"/>
          <w:szCs w:val="32"/>
          <w:u w:val="none" w:color="auto"/>
          <w14:textFill>
            <w14:solidFill>
              <w14:schemeClr w14:val="tx1"/>
            </w14:solidFill>
          </w14:textFill>
        </w:rPr>
        <w:t xml:space="preserve">B2.生产和服务活动地点：符合环境功能区划，裁量等级为 1； </w:t>
      </w:r>
    </w:p>
    <w:p w14:paraId="68CF9AA1">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jc w:val="both"/>
        <w:textAlignment w:val="auto"/>
        <w:rPr>
          <w:rFonts w:hint="eastAsia" w:ascii="仿宋_GB2312" w:hAnsi="仿宋_GB2312" w:eastAsia="仿宋_GB2312" w:cs="仿宋_GB2312"/>
          <w:color w:val="000000" w:themeColor="text1"/>
          <w:sz w:val="32"/>
          <w:szCs w:val="32"/>
          <w:u w:val="none" w:color="auto"/>
          <w14:textFill>
            <w14:solidFill>
              <w14:schemeClr w14:val="tx1"/>
            </w14:solidFill>
          </w14:textFill>
        </w:rPr>
      </w:pPr>
      <w:r>
        <w:rPr>
          <w:rFonts w:hint="eastAsia" w:ascii="仿宋_GB2312" w:hAnsi="仿宋_GB2312" w:eastAsia="仿宋_GB2312" w:cs="仿宋_GB2312"/>
          <w:color w:val="000000" w:themeColor="text1"/>
          <w:sz w:val="32"/>
          <w:szCs w:val="32"/>
          <w:u w:val="none" w:color="auto"/>
          <w14:textFill>
            <w14:solidFill>
              <w14:schemeClr w14:val="tx1"/>
            </w14:solidFill>
          </w14:textFill>
        </w:rPr>
        <w:t>B3.企业规模判定标准：</w:t>
      </w:r>
      <w:r>
        <w:rPr>
          <w:rFonts w:hint="eastAsia" w:ascii="仿宋_GB2312" w:hAnsi="仿宋_GB2312" w:eastAsia="仿宋_GB2312" w:cs="仿宋_GB2312"/>
          <w:color w:val="000000" w:themeColor="text1"/>
          <w:sz w:val="32"/>
          <w:szCs w:val="32"/>
          <w:u w:val="none" w:color="auto"/>
          <w:lang w:eastAsia="zh-CN"/>
          <w14:textFill>
            <w14:solidFill>
              <w14:schemeClr w14:val="tx1"/>
            </w14:solidFill>
          </w14:textFill>
        </w:rPr>
        <w:t>小</w:t>
      </w:r>
      <w:r>
        <w:rPr>
          <w:rFonts w:hint="eastAsia" w:ascii="仿宋_GB2312" w:hAnsi="仿宋_GB2312" w:eastAsia="仿宋_GB2312" w:cs="仿宋_GB2312"/>
          <w:color w:val="000000" w:themeColor="text1"/>
          <w:sz w:val="32"/>
          <w:szCs w:val="32"/>
          <w:u w:val="none" w:color="auto"/>
          <w14:textFill>
            <w14:solidFill>
              <w14:schemeClr w14:val="tx1"/>
            </w14:solidFill>
          </w14:textFill>
        </w:rPr>
        <w:t>型企业，裁量等级为</w:t>
      </w:r>
      <w:r>
        <w:rPr>
          <w:rFonts w:hint="eastAsia" w:ascii="仿宋_GB2312" w:hAnsi="仿宋_GB2312" w:eastAsia="仿宋_GB2312" w:cs="仿宋_GB2312"/>
          <w:color w:val="000000" w:themeColor="text1"/>
          <w:sz w:val="32"/>
          <w:szCs w:val="32"/>
          <w:u w:val="none" w:color="auto"/>
          <w:lang w:val="en-US" w:eastAsia="zh-CN"/>
          <w14:textFill>
            <w14:solidFill>
              <w14:schemeClr w14:val="tx1"/>
            </w14:solidFill>
          </w14:textFill>
        </w:rPr>
        <w:t>2</w:t>
      </w:r>
      <w:r>
        <w:rPr>
          <w:rFonts w:hint="eastAsia" w:ascii="仿宋_GB2312" w:hAnsi="仿宋_GB2312" w:eastAsia="仿宋_GB2312" w:cs="仿宋_GB2312"/>
          <w:color w:val="000000" w:themeColor="text1"/>
          <w:sz w:val="32"/>
          <w:szCs w:val="32"/>
          <w:u w:val="none" w:color="auto"/>
          <w14:textFill>
            <w14:solidFill>
              <w14:schemeClr w14:val="tx1"/>
            </w14:solidFill>
          </w14:textFill>
        </w:rPr>
        <w:t xml:space="preserve">； </w:t>
      </w:r>
    </w:p>
    <w:p w14:paraId="6C3BE1D6">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jc w:val="both"/>
        <w:textAlignment w:val="auto"/>
        <w:rPr>
          <w:rFonts w:hint="eastAsia" w:ascii="仿宋_GB2312" w:hAnsi="仿宋_GB2312" w:eastAsia="仿宋_GB2312" w:cs="仿宋_GB2312"/>
          <w:color w:val="000000" w:themeColor="text1"/>
          <w:sz w:val="32"/>
          <w:szCs w:val="32"/>
          <w:u w:val="none" w:color="auto"/>
          <w14:textFill>
            <w14:solidFill>
              <w14:schemeClr w14:val="tx1"/>
            </w14:solidFill>
          </w14:textFill>
        </w:rPr>
      </w:pPr>
      <w:r>
        <w:rPr>
          <w:rFonts w:hint="eastAsia" w:ascii="仿宋_GB2312" w:hAnsi="仿宋_GB2312" w:eastAsia="仿宋_GB2312" w:cs="仿宋_GB2312"/>
          <w:color w:val="000000" w:themeColor="text1"/>
          <w:sz w:val="32"/>
          <w:szCs w:val="32"/>
          <w:u w:val="none" w:color="auto"/>
          <w14:textFill>
            <w14:solidFill>
              <w14:schemeClr w14:val="tx1"/>
            </w14:solidFill>
          </w14:textFill>
        </w:rPr>
        <w:t>B4.管理类别判定标准：</w:t>
      </w:r>
      <w:r>
        <w:rPr>
          <w:rFonts w:hint="eastAsia" w:ascii="仿宋_GB2312" w:hAnsi="仿宋_GB2312" w:eastAsia="仿宋_GB2312" w:cs="仿宋_GB2312"/>
          <w:color w:val="000000" w:themeColor="text1"/>
          <w:sz w:val="32"/>
          <w:szCs w:val="32"/>
          <w:u w:val="none" w:color="auto"/>
          <w:lang w:eastAsia="zh-CN"/>
          <w14:textFill>
            <w14:solidFill>
              <w14:schemeClr w14:val="tx1"/>
            </w14:solidFill>
          </w14:textFill>
        </w:rPr>
        <w:t>重点</w:t>
      </w:r>
      <w:r>
        <w:rPr>
          <w:rFonts w:hint="eastAsia" w:ascii="仿宋_GB2312" w:hAnsi="仿宋_GB2312" w:eastAsia="仿宋_GB2312" w:cs="仿宋_GB2312"/>
          <w:color w:val="000000" w:themeColor="text1"/>
          <w:sz w:val="32"/>
          <w:szCs w:val="32"/>
          <w:u w:val="none" w:color="auto"/>
          <w14:textFill>
            <w14:solidFill>
              <w14:schemeClr w14:val="tx1"/>
            </w14:solidFill>
          </w14:textFill>
        </w:rPr>
        <w:t>管理，裁量等级为</w:t>
      </w:r>
      <w:r>
        <w:rPr>
          <w:rFonts w:hint="eastAsia" w:ascii="仿宋_GB2312" w:hAnsi="仿宋_GB2312" w:eastAsia="仿宋_GB2312" w:cs="仿宋_GB2312"/>
          <w:color w:val="000000" w:themeColor="text1"/>
          <w:sz w:val="32"/>
          <w:szCs w:val="32"/>
          <w:u w:val="none" w:color="auto"/>
          <w:lang w:val="en-US" w:eastAsia="zh-CN"/>
          <w14:textFill>
            <w14:solidFill>
              <w14:schemeClr w14:val="tx1"/>
            </w14:solidFill>
          </w14:textFill>
        </w:rPr>
        <w:t>3</w:t>
      </w:r>
      <w:r>
        <w:rPr>
          <w:rFonts w:hint="eastAsia" w:ascii="仿宋_GB2312" w:hAnsi="仿宋_GB2312" w:eastAsia="仿宋_GB2312" w:cs="仿宋_GB2312"/>
          <w:color w:val="000000" w:themeColor="text1"/>
          <w:sz w:val="32"/>
          <w:szCs w:val="32"/>
          <w:u w:val="none" w:color="auto"/>
          <w14:textFill>
            <w14:solidFill>
              <w14:schemeClr w14:val="tx1"/>
            </w14:solidFill>
          </w14:textFill>
        </w:rPr>
        <w:t xml:space="preserve">； </w:t>
      </w:r>
    </w:p>
    <w:p w14:paraId="1980BCEF">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jc w:val="both"/>
        <w:textAlignment w:val="auto"/>
        <w:rPr>
          <w:rFonts w:hint="eastAsia" w:ascii="仿宋_GB2312" w:hAnsi="仿宋_GB2312" w:eastAsia="仿宋_GB2312" w:cs="仿宋_GB2312"/>
          <w:color w:val="000000" w:themeColor="text1"/>
          <w:sz w:val="32"/>
          <w:szCs w:val="32"/>
          <w:u w:val="none" w:color="auto"/>
          <w14:textFill>
            <w14:solidFill>
              <w14:schemeClr w14:val="tx1"/>
            </w14:solidFill>
          </w14:textFill>
        </w:rPr>
      </w:pPr>
      <w:r>
        <w:rPr>
          <w:rFonts w:hint="eastAsia" w:ascii="仿宋_GB2312" w:hAnsi="仿宋_GB2312" w:eastAsia="仿宋_GB2312" w:cs="仿宋_GB2312"/>
          <w:color w:val="000000" w:themeColor="text1"/>
          <w:sz w:val="32"/>
          <w:szCs w:val="32"/>
          <w:u w:val="none" w:color="auto"/>
          <w14:textFill>
            <w14:solidFill>
              <w14:schemeClr w14:val="tx1"/>
            </w14:solidFill>
          </w14:textFill>
        </w:rPr>
        <w:t xml:space="preserve">B5.违法行为持续时间判定标准：1个月以下，裁量等级为 1； </w:t>
      </w:r>
    </w:p>
    <w:p w14:paraId="12E059F7">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jc w:val="both"/>
        <w:textAlignment w:val="auto"/>
        <w:rPr>
          <w:rFonts w:hint="eastAsia" w:ascii="仿宋_GB2312" w:hAnsi="仿宋_GB2312" w:eastAsia="仿宋_GB2312" w:cs="仿宋_GB2312"/>
          <w:color w:val="000000" w:themeColor="text1"/>
          <w:sz w:val="32"/>
          <w:szCs w:val="32"/>
          <w:u w:val="none" w:color="auto"/>
          <w14:textFill>
            <w14:solidFill>
              <w14:schemeClr w14:val="tx1"/>
            </w14:solidFill>
          </w14:textFill>
        </w:rPr>
      </w:pPr>
      <w:r>
        <w:rPr>
          <w:rFonts w:hint="eastAsia" w:ascii="仿宋_GB2312" w:hAnsi="仿宋_GB2312" w:eastAsia="仿宋_GB2312" w:cs="仿宋_GB2312"/>
          <w:color w:val="000000" w:themeColor="text1"/>
          <w:sz w:val="32"/>
          <w:szCs w:val="32"/>
          <w:u w:val="none" w:color="auto"/>
          <w14:textFill>
            <w14:solidFill>
              <w14:schemeClr w14:val="tx1"/>
            </w14:solidFill>
          </w14:textFill>
        </w:rPr>
        <w:t xml:space="preserve">B6.超过限期改正时间判定标准：限期改正，裁量等级为 1； </w:t>
      </w:r>
    </w:p>
    <w:p w14:paraId="286F3786">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jc w:val="both"/>
        <w:textAlignment w:val="auto"/>
        <w:rPr>
          <w:rFonts w:hint="eastAsia" w:ascii="仿宋_GB2312" w:hAnsi="仿宋_GB2312" w:eastAsia="仿宋_GB2312" w:cs="仿宋_GB2312"/>
          <w:color w:val="000000" w:themeColor="text1"/>
          <w:sz w:val="32"/>
          <w:szCs w:val="32"/>
          <w:u w:val="none" w:color="auto"/>
          <w14:textFill>
            <w14:solidFill>
              <w14:schemeClr w14:val="tx1"/>
            </w14:solidFill>
          </w14:textFill>
        </w:rPr>
      </w:pPr>
      <w:r>
        <w:rPr>
          <w:rFonts w:hint="eastAsia" w:ascii="仿宋_GB2312" w:hAnsi="仿宋_GB2312" w:eastAsia="仿宋_GB2312" w:cs="仿宋_GB2312"/>
          <w:color w:val="000000" w:themeColor="text1"/>
          <w:sz w:val="32"/>
          <w:szCs w:val="32"/>
          <w:u w:val="none" w:color="auto"/>
          <w14:textFill>
            <w14:solidFill>
              <w14:schemeClr w14:val="tx1"/>
            </w14:solidFill>
          </w14:textFill>
        </w:rPr>
        <w:t>B7.受处罚次数判定标准：</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两年内</w:t>
      </w:r>
      <w:r>
        <w:rPr>
          <w:rFonts w:hint="eastAsia" w:ascii="仿宋_GB2312" w:hAnsi="仿宋_GB2312" w:eastAsia="仿宋_GB2312" w:cs="仿宋_GB2312"/>
          <w:color w:val="000000" w:themeColor="text1"/>
          <w:sz w:val="32"/>
          <w:szCs w:val="32"/>
          <w:shd w:val="clear" w:color="auto" w:fill="auto"/>
          <w:lang w:eastAsia="zh-CN"/>
          <w14:textFill>
            <w14:solidFill>
              <w14:schemeClr w14:val="tx1"/>
            </w14:solidFill>
          </w14:textFill>
        </w:rPr>
        <w:t>未</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受到同类处罚</w:t>
      </w:r>
      <w:r>
        <w:rPr>
          <w:rFonts w:hint="eastAsia" w:ascii="仿宋_GB2312" w:hAnsi="仿宋_GB2312" w:eastAsia="仿宋_GB2312" w:cs="仿宋_GB2312"/>
          <w:color w:val="000000" w:themeColor="text1"/>
          <w:sz w:val="32"/>
          <w:szCs w:val="32"/>
          <w:u w:val="none" w:color="auto"/>
          <w14:textFill>
            <w14:solidFill>
              <w14:schemeClr w14:val="tx1"/>
            </w14:solidFill>
          </w14:textFill>
        </w:rPr>
        <w:t>，裁量等级为</w:t>
      </w:r>
      <w:r>
        <w:rPr>
          <w:rFonts w:hint="eastAsia" w:ascii="仿宋_GB2312" w:hAnsi="仿宋_GB2312" w:eastAsia="仿宋_GB2312" w:cs="仿宋_GB2312"/>
          <w:color w:val="000000" w:themeColor="text1"/>
          <w:sz w:val="32"/>
          <w:szCs w:val="32"/>
          <w:u w:val="none" w:color="auto"/>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u w:val="none" w:color="auto"/>
          <w14:textFill>
            <w14:solidFill>
              <w14:schemeClr w14:val="tx1"/>
            </w14:solidFill>
          </w14:textFill>
        </w:rPr>
        <w:t xml:space="preserve">； </w:t>
      </w:r>
    </w:p>
    <w:p w14:paraId="0698A12D">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jc w:val="both"/>
        <w:textAlignment w:val="auto"/>
        <w:rPr>
          <w:rFonts w:hint="eastAsia" w:ascii="仿宋_GB2312" w:hAnsi="仿宋_GB2312" w:eastAsia="仿宋_GB2312" w:cs="仿宋_GB2312"/>
          <w:color w:val="000000" w:themeColor="text1"/>
          <w:sz w:val="32"/>
          <w:szCs w:val="32"/>
          <w:u w:val="none" w:color="auto"/>
          <w14:textFill>
            <w14:solidFill>
              <w14:schemeClr w14:val="tx1"/>
            </w14:solidFill>
          </w14:textFill>
        </w:rPr>
      </w:pPr>
      <w:r>
        <w:rPr>
          <w:rFonts w:hint="eastAsia" w:ascii="仿宋_GB2312" w:hAnsi="仿宋_GB2312" w:eastAsia="仿宋_GB2312" w:cs="仿宋_GB2312"/>
          <w:color w:val="000000" w:themeColor="text1"/>
          <w:sz w:val="32"/>
          <w:szCs w:val="32"/>
          <w:u w:val="none" w:color="auto"/>
          <w14:textFill>
            <w14:solidFill>
              <w14:schemeClr w14:val="tx1"/>
            </w14:solidFill>
          </w14:textFill>
        </w:rPr>
        <w:t xml:space="preserve">B8.是否配合执法检查：配合调查，裁量等级为1。 </w:t>
      </w:r>
    </w:p>
    <w:p w14:paraId="08969802">
      <w:pPr>
        <w:keepNext w:val="0"/>
        <w:keepLines w:val="0"/>
        <w:pageBreakBefore w:val="0"/>
        <w:widowControl w:val="0"/>
        <w:kinsoku/>
        <w:wordWrap/>
        <w:overflowPunct/>
        <w:topLinePunct w:val="0"/>
        <w:autoSpaceDE/>
        <w:autoSpaceDN/>
        <w:bidi w:val="0"/>
        <w:spacing w:line="520" w:lineRule="exact"/>
        <w:ind w:firstLine="640" w:firstLineChars="200"/>
        <w:rPr>
          <w:rFonts w:hint="eastAsia"/>
          <w:color w:val="000000" w:themeColor="text1"/>
          <w:lang w:eastAsia="zh-CN"/>
          <w14:textFill>
            <w14:solidFill>
              <w14:schemeClr w14:val="tx1"/>
            </w14:solidFill>
          </w14:textFill>
        </w:rPr>
      </w:pPr>
      <w:r>
        <w:rPr>
          <w:rFonts w:hint="eastAsia" w:ascii="仿宋_GB2312" w:hAnsi="仿宋_GB2312" w:eastAsia="仿宋_GB2312" w:cs="仿宋_GB2312"/>
          <w:color w:val="000000" w:themeColor="text1"/>
          <w:sz w:val="32"/>
          <w:szCs w:val="32"/>
          <w:u w:val="none" w:color="auto"/>
          <w14:textFill>
            <w14:solidFill>
              <w14:schemeClr w14:val="tx1"/>
            </w14:solidFill>
          </w14:textFill>
        </w:rPr>
        <w:t>结合本案案情，将各项裁量因素等级套入公式中进行计算得</w:t>
      </w:r>
      <w:r>
        <w:rPr>
          <w:rFonts w:hint="eastAsia" w:ascii="仿宋_GB2312" w:hAnsi="仿宋_GB2312" w:eastAsia="仿宋_GB2312" w:cs="仿宋_GB2312"/>
          <w:color w:val="000000" w:themeColor="text1"/>
          <w:sz w:val="32"/>
          <w:szCs w:val="32"/>
          <w:u w:val="none" w:color="auto"/>
          <w:lang w:eastAsia="zh-CN"/>
          <w14:textFill>
            <w14:solidFill>
              <w14:schemeClr w14:val="tx1"/>
            </w14:solidFill>
          </w14:textFill>
        </w:rPr>
        <w:t>：</w:t>
      </w:r>
    </w:p>
    <w:tbl>
      <w:tblPr>
        <w:tblStyle w:val="7"/>
        <w:tblpPr w:leftFromText="180" w:rightFromText="180" w:vertAnchor="text" w:horzAnchor="page" w:tblpX="2250" w:tblpY="286"/>
        <w:tblOverlap w:val="never"/>
        <w:tblW w:w="79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687"/>
        <w:gridCol w:w="759"/>
        <w:gridCol w:w="426"/>
        <w:gridCol w:w="555"/>
        <w:gridCol w:w="555"/>
        <w:gridCol w:w="585"/>
        <w:gridCol w:w="555"/>
        <w:gridCol w:w="600"/>
        <w:gridCol w:w="570"/>
        <w:gridCol w:w="600"/>
        <w:gridCol w:w="570"/>
        <w:gridCol w:w="570"/>
      </w:tblGrid>
      <w:tr w14:paraId="1AC16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956" w:type="dxa"/>
            <w:noWrap w:val="0"/>
            <w:vAlign w:val="top"/>
          </w:tcPr>
          <w:p w14:paraId="5489F635">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20" w:lineRule="exact"/>
              <w:ind w:left="0" w:leftChars="0" w:firstLine="0" w:firstLineChars="0"/>
              <w:jc w:val="both"/>
              <w:textAlignment w:val="auto"/>
              <w:rPr>
                <w:rFonts w:hint="eastAsia" w:ascii="仿宋_GB2312" w:hAnsi="仿宋_GB2312" w:cs="仿宋_GB2312"/>
                <w:color w:val="000000" w:themeColor="text1"/>
                <w:kern w:val="0"/>
                <w:sz w:val="32"/>
                <w:szCs w:val="32"/>
                <w:u w:val="none" w:color="auto"/>
                <w:shd w:val="clear" w:color="auto" w:fill="FFFFFF"/>
                <w:lang w:val="en-US" w:eastAsia="zh-CN"/>
                <w14:textFill>
                  <w14:solidFill>
                    <w14:schemeClr w14:val="tx1"/>
                  </w14:solidFill>
                </w14:textFill>
              </w:rPr>
            </w:pPr>
            <w:r>
              <w:rPr>
                <w:rFonts w:hint="eastAsia" w:ascii="仿宋_GB2312" w:hAnsi="仿宋_GB2312" w:cs="仿宋_GB2312"/>
                <w:color w:val="000000" w:themeColor="text1"/>
                <w:kern w:val="0"/>
                <w:sz w:val="32"/>
                <w:szCs w:val="32"/>
                <w:u w:val="none" w:color="auto"/>
                <w:shd w:val="clear" w:color="auto" w:fill="FFFFFF"/>
                <w:lang w:val="en-US" w:eastAsia="zh-CN"/>
                <w14:textFill>
                  <w14:solidFill>
                    <w14:schemeClr w14:val="tx1"/>
                  </w14:solidFill>
                </w14:textFill>
              </w:rPr>
              <w:t>参数</w:t>
            </w:r>
          </w:p>
        </w:tc>
        <w:tc>
          <w:tcPr>
            <w:tcW w:w="687" w:type="dxa"/>
            <w:noWrap w:val="0"/>
            <w:vAlign w:val="top"/>
          </w:tcPr>
          <w:p w14:paraId="466407F6">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20" w:lineRule="exact"/>
              <w:ind w:left="0" w:leftChars="0" w:firstLine="0" w:firstLineChars="0"/>
              <w:jc w:val="both"/>
              <w:textAlignment w:val="auto"/>
              <w:rPr>
                <w:rFonts w:hint="eastAsia" w:ascii="仿宋_GB2312" w:hAnsi="仿宋_GB2312" w:cs="仿宋_GB2312"/>
                <w:color w:val="000000" w:themeColor="text1"/>
                <w:kern w:val="0"/>
                <w:sz w:val="32"/>
                <w:szCs w:val="32"/>
                <w:u w:val="none" w:color="auto"/>
                <w:shd w:val="clear" w:color="auto" w:fill="FFFFFF"/>
                <w:lang w:val="en-US" w:eastAsia="zh-CN"/>
                <w14:textFill>
                  <w14:solidFill>
                    <w14:schemeClr w14:val="tx1"/>
                  </w14:solidFill>
                </w14:textFill>
              </w:rPr>
            </w:pPr>
            <w:r>
              <w:rPr>
                <w:rFonts w:hint="eastAsia" w:ascii="仿宋_GB2312" w:hAnsi="仿宋_GB2312" w:cs="仿宋_GB2312"/>
                <w:color w:val="000000" w:themeColor="text1"/>
                <w:kern w:val="0"/>
                <w:sz w:val="32"/>
                <w:szCs w:val="32"/>
                <w:u w:val="none" w:color="auto"/>
                <w:shd w:val="clear" w:color="auto" w:fill="FFFFFF"/>
                <w:lang w:val="en-US" w:eastAsia="zh-CN"/>
                <w14:textFill>
                  <w14:solidFill>
                    <w14:schemeClr w14:val="tx1"/>
                  </w14:solidFill>
                </w14:textFill>
              </w:rPr>
              <w:t>N</w:t>
            </w:r>
          </w:p>
        </w:tc>
        <w:tc>
          <w:tcPr>
            <w:tcW w:w="759" w:type="dxa"/>
            <w:noWrap w:val="0"/>
            <w:vAlign w:val="top"/>
          </w:tcPr>
          <w:p w14:paraId="0D5E8BF9">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20" w:lineRule="exact"/>
              <w:ind w:left="0" w:leftChars="0" w:firstLine="0" w:firstLineChars="0"/>
              <w:jc w:val="both"/>
              <w:textAlignment w:val="auto"/>
              <w:rPr>
                <w:rFonts w:hint="eastAsia" w:ascii="仿宋_GB2312" w:hAnsi="仿宋_GB2312" w:cs="仿宋_GB2312"/>
                <w:color w:val="000000" w:themeColor="text1"/>
                <w:kern w:val="0"/>
                <w:sz w:val="32"/>
                <w:szCs w:val="32"/>
                <w:u w:val="none" w:color="auto"/>
                <w:shd w:val="clear" w:color="auto" w:fill="FFFFFF"/>
                <w:lang w:val="en-US" w:eastAsia="zh-CN"/>
                <w14:textFill>
                  <w14:solidFill>
                    <w14:schemeClr w14:val="tx1"/>
                  </w14:solidFill>
                </w14:textFill>
              </w:rPr>
            </w:pPr>
            <w:r>
              <w:rPr>
                <w:rFonts w:hint="eastAsia" w:ascii="仿宋_GB2312" w:hAnsi="仿宋_GB2312" w:cs="仿宋_GB2312"/>
                <w:color w:val="000000" w:themeColor="text1"/>
                <w:kern w:val="0"/>
                <w:sz w:val="32"/>
                <w:szCs w:val="32"/>
                <w:u w:val="none" w:color="auto"/>
                <w:shd w:val="clear" w:color="auto" w:fill="FFFFFF"/>
                <w:lang w:val="en-US" w:eastAsia="zh-CN"/>
                <w14:textFill>
                  <w14:solidFill>
                    <w14:schemeClr w14:val="tx1"/>
                  </w14:solidFill>
                </w14:textFill>
              </w:rPr>
              <w:t>M</w:t>
            </w:r>
          </w:p>
        </w:tc>
        <w:tc>
          <w:tcPr>
            <w:tcW w:w="426" w:type="dxa"/>
            <w:noWrap w:val="0"/>
            <w:vAlign w:val="top"/>
          </w:tcPr>
          <w:p w14:paraId="1E19BB2B">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20" w:lineRule="exact"/>
              <w:ind w:left="0" w:leftChars="0" w:firstLine="0" w:firstLineChars="0"/>
              <w:jc w:val="both"/>
              <w:textAlignment w:val="auto"/>
              <w:rPr>
                <w:rFonts w:hint="eastAsia" w:ascii="仿宋_GB2312" w:hAnsi="仿宋_GB2312" w:cs="仿宋_GB2312"/>
                <w:color w:val="000000" w:themeColor="text1"/>
                <w:kern w:val="0"/>
                <w:sz w:val="32"/>
                <w:szCs w:val="32"/>
                <w:u w:val="none" w:color="auto"/>
                <w:shd w:val="clear" w:color="auto" w:fill="FFFFFF"/>
                <w:lang w:val="en-US" w:eastAsia="zh-CN"/>
                <w14:textFill>
                  <w14:solidFill>
                    <w14:schemeClr w14:val="tx1"/>
                  </w14:solidFill>
                </w14:textFill>
              </w:rPr>
            </w:pPr>
            <w:r>
              <w:rPr>
                <w:rFonts w:hint="eastAsia" w:ascii="仿宋_GB2312" w:hAnsi="仿宋_GB2312" w:cs="仿宋_GB2312"/>
                <w:color w:val="000000" w:themeColor="text1"/>
                <w:kern w:val="0"/>
                <w:sz w:val="32"/>
                <w:szCs w:val="32"/>
                <w:u w:val="none" w:color="auto"/>
                <w:shd w:val="clear" w:color="auto" w:fill="FFFFFF"/>
                <w:lang w:val="en-US" w:eastAsia="zh-CN"/>
                <w14:textFill>
                  <w14:solidFill>
                    <w14:schemeClr w14:val="tx1"/>
                  </w14:solidFill>
                </w14:textFill>
              </w:rPr>
              <w:t>A</w:t>
            </w:r>
          </w:p>
        </w:tc>
        <w:tc>
          <w:tcPr>
            <w:tcW w:w="555" w:type="dxa"/>
            <w:noWrap w:val="0"/>
            <w:vAlign w:val="top"/>
          </w:tcPr>
          <w:p w14:paraId="7BE05408">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20" w:lineRule="exact"/>
              <w:ind w:left="0" w:leftChars="0" w:firstLine="0" w:firstLineChars="0"/>
              <w:jc w:val="both"/>
              <w:textAlignment w:val="auto"/>
              <w:rPr>
                <w:rFonts w:hint="eastAsia" w:ascii="仿宋_GB2312" w:hAnsi="仿宋_GB2312" w:cs="仿宋_GB2312"/>
                <w:color w:val="000000" w:themeColor="text1"/>
                <w:kern w:val="0"/>
                <w:sz w:val="32"/>
                <w:szCs w:val="32"/>
                <w:u w:val="none" w:color="auto"/>
                <w:shd w:val="clear" w:color="auto" w:fill="FFFFFF"/>
                <w:lang w:val="en-US" w:eastAsia="zh-CN"/>
                <w14:textFill>
                  <w14:solidFill>
                    <w14:schemeClr w14:val="tx1"/>
                  </w14:solidFill>
                </w14:textFill>
              </w:rPr>
            </w:pPr>
            <w:r>
              <w:rPr>
                <w:rFonts w:hint="eastAsia" w:ascii="仿宋_GB2312" w:hAnsi="仿宋_GB2312" w:cs="仿宋_GB2312"/>
                <w:color w:val="000000" w:themeColor="text1"/>
                <w:kern w:val="0"/>
                <w:sz w:val="32"/>
                <w:szCs w:val="32"/>
                <w:u w:val="none" w:color="auto"/>
                <w:shd w:val="clear" w:color="auto" w:fill="FFFFFF"/>
                <w:lang w:val="en-US" w:eastAsia="zh-CN"/>
                <w14:textFill>
                  <w14:solidFill>
                    <w14:schemeClr w14:val="tx1"/>
                  </w14:solidFill>
                </w14:textFill>
              </w:rPr>
              <w:t>n</w:t>
            </w:r>
          </w:p>
        </w:tc>
        <w:tc>
          <w:tcPr>
            <w:tcW w:w="555" w:type="dxa"/>
            <w:noWrap w:val="0"/>
            <w:vAlign w:val="top"/>
          </w:tcPr>
          <w:p w14:paraId="23436424">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20" w:lineRule="exact"/>
              <w:ind w:left="0" w:leftChars="0" w:firstLine="0" w:firstLineChars="0"/>
              <w:jc w:val="both"/>
              <w:textAlignment w:val="auto"/>
              <w:rPr>
                <w:rFonts w:hint="eastAsia" w:ascii="仿宋_GB2312" w:hAnsi="仿宋_GB2312" w:cs="仿宋_GB2312"/>
                <w:color w:val="000000" w:themeColor="text1"/>
                <w:kern w:val="0"/>
                <w:sz w:val="32"/>
                <w:szCs w:val="32"/>
                <w:u w:val="none" w:color="auto"/>
                <w:shd w:val="clear" w:color="auto" w:fill="FFFFFF"/>
                <w:lang w:val="en-US" w:eastAsia="zh-CN"/>
                <w14:textFill>
                  <w14:solidFill>
                    <w14:schemeClr w14:val="tx1"/>
                  </w14:solidFill>
                </w14:textFill>
              </w:rPr>
            </w:pPr>
            <w:r>
              <w:rPr>
                <w:rFonts w:hint="eastAsia" w:ascii="仿宋_GB2312" w:hAnsi="仿宋_GB2312" w:cs="仿宋_GB2312"/>
                <w:color w:val="000000" w:themeColor="text1"/>
                <w:kern w:val="0"/>
                <w:sz w:val="32"/>
                <w:szCs w:val="32"/>
                <w:u w:val="none" w:color="auto"/>
                <w:shd w:val="clear" w:color="auto" w:fill="FFFFFF"/>
                <w:lang w:val="en-US" w:eastAsia="zh-CN"/>
                <w14:textFill>
                  <w14:solidFill>
                    <w14:schemeClr w14:val="tx1"/>
                  </w14:solidFill>
                </w14:textFill>
              </w:rPr>
              <w:t>B1</w:t>
            </w:r>
          </w:p>
        </w:tc>
        <w:tc>
          <w:tcPr>
            <w:tcW w:w="585" w:type="dxa"/>
            <w:noWrap w:val="0"/>
            <w:vAlign w:val="top"/>
          </w:tcPr>
          <w:p w14:paraId="2E29902A">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20" w:lineRule="exact"/>
              <w:ind w:left="0" w:leftChars="0" w:firstLine="0" w:firstLineChars="0"/>
              <w:jc w:val="both"/>
              <w:textAlignment w:val="auto"/>
              <w:rPr>
                <w:rFonts w:hint="eastAsia" w:ascii="仿宋_GB2312" w:hAnsi="仿宋_GB2312" w:cs="仿宋_GB2312"/>
                <w:color w:val="000000" w:themeColor="text1"/>
                <w:kern w:val="0"/>
                <w:sz w:val="32"/>
                <w:szCs w:val="32"/>
                <w:u w:val="none" w:color="auto"/>
                <w:shd w:val="clear" w:color="auto" w:fill="FFFFFF"/>
                <w:lang w:val="en-US" w:eastAsia="zh-CN"/>
                <w14:textFill>
                  <w14:solidFill>
                    <w14:schemeClr w14:val="tx1"/>
                  </w14:solidFill>
                </w14:textFill>
              </w:rPr>
            </w:pPr>
            <w:r>
              <w:rPr>
                <w:rFonts w:hint="eastAsia" w:ascii="仿宋_GB2312" w:hAnsi="仿宋_GB2312" w:cs="仿宋_GB2312"/>
                <w:color w:val="000000" w:themeColor="text1"/>
                <w:kern w:val="0"/>
                <w:sz w:val="32"/>
                <w:szCs w:val="32"/>
                <w:u w:val="none" w:color="auto"/>
                <w:shd w:val="clear" w:color="auto" w:fill="FFFFFF"/>
                <w:lang w:val="en-US" w:eastAsia="zh-CN"/>
                <w14:textFill>
                  <w14:solidFill>
                    <w14:schemeClr w14:val="tx1"/>
                  </w14:solidFill>
                </w14:textFill>
              </w:rPr>
              <w:t>B2</w:t>
            </w:r>
          </w:p>
        </w:tc>
        <w:tc>
          <w:tcPr>
            <w:tcW w:w="555" w:type="dxa"/>
            <w:noWrap w:val="0"/>
            <w:vAlign w:val="top"/>
          </w:tcPr>
          <w:p w14:paraId="417E4A59">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20" w:lineRule="exact"/>
              <w:ind w:left="0" w:leftChars="0" w:firstLine="0" w:firstLineChars="0"/>
              <w:jc w:val="both"/>
              <w:textAlignment w:val="auto"/>
              <w:rPr>
                <w:rFonts w:hint="eastAsia" w:ascii="仿宋_GB2312" w:hAnsi="仿宋_GB2312" w:cs="仿宋_GB2312"/>
                <w:color w:val="000000" w:themeColor="text1"/>
                <w:kern w:val="0"/>
                <w:sz w:val="32"/>
                <w:szCs w:val="32"/>
                <w:u w:val="none" w:color="auto"/>
                <w:shd w:val="clear" w:color="auto" w:fill="FFFFFF"/>
                <w:lang w:val="en-US" w:eastAsia="zh-CN"/>
                <w14:textFill>
                  <w14:solidFill>
                    <w14:schemeClr w14:val="tx1"/>
                  </w14:solidFill>
                </w14:textFill>
              </w:rPr>
            </w:pPr>
            <w:r>
              <w:rPr>
                <w:rFonts w:hint="eastAsia" w:ascii="仿宋_GB2312" w:hAnsi="仿宋_GB2312" w:cs="仿宋_GB2312"/>
                <w:color w:val="000000" w:themeColor="text1"/>
                <w:kern w:val="0"/>
                <w:sz w:val="32"/>
                <w:szCs w:val="32"/>
                <w:u w:val="none" w:color="auto"/>
                <w:shd w:val="clear" w:color="auto" w:fill="FFFFFF"/>
                <w:lang w:val="en-US" w:eastAsia="zh-CN"/>
                <w14:textFill>
                  <w14:solidFill>
                    <w14:schemeClr w14:val="tx1"/>
                  </w14:solidFill>
                </w14:textFill>
              </w:rPr>
              <w:t>B3</w:t>
            </w:r>
          </w:p>
        </w:tc>
        <w:tc>
          <w:tcPr>
            <w:tcW w:w="600" w:type="dxa"/>
            <w:noWrap w:val="0"/>
            <w:vAlign w:val="top"/>
          </w:tcPr>
          <w:p w14:paraId="4A134722">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20" w:lineRule="exact"/>
              <w:ind w:left="0" w:leftChars="0" w:firstLine="0" w:firstLineChars="0"/>
              <w:jc w:val="both"/>
              <w:textAlignment w:val="auto"/>
              <w:rPr>
                <w:rFonts w:hint="eastAsia" w:ascii="仿宋_GB2312" w:hAnsi="仿宋_GB2312" w:cs="仿宋_GB2312"/>
                <w:color w:val="000000" w:themeColor="text1"/>
                <w:kern w:val="0"/>
                <w:sz w:val="32"/>
                <w:szCs w:val="32"/>
                <w:u w:val="none" w:color="auto"/>
                <w:shd w:val="clear" w:color="auto" w:fill="FFFFFF"/>
                <w:lang w:val="en-US" w:eastAsia="zh-CN"/>
                <w14:textFill>
                  <w14:solidFill>
                    <w14:schemeClr w14:val="tx1"/>
                  </w14:solidFill>
                </w14:textFill>
              </w:rPr>
            </w:pPr>
            <w:r>
              <w:rPr>
                <w:rFonts w:hint="eastAsia" w:ascii="仿宋_GB2312" w:hAnsi="仿宋_GB2312" w:cs="仿宋_GB2312"/>
                <w:color w:val="000000" w:themeColor="text1"/>
                <w:kern w:val="0"/>
                <w:sz w:val="32"/>
                <w:szCs w:val="32"/>
                <w:u w:val="none" w:color="auto"/>
                <w:shd w:val="clear" w:color="auto" w:fill="FFFFFF"/>
                <w:lang w:val="en-US" w:eastAsia="zh-CN"/>
                <w14:textFill>
                  <w14:solidFill>
                    <w14:schemeClr w14:val="tx1"/>
                  </w14:solidFill>
                </w14:textFill>
              </w:rPr>
              <w:t>B4</w:t>
            </w:r>
          </w:p>
        </w:tc>
        <w:tc>
          <w:tcPr>
            <w:tcW w:w="570" w:type="dxa"/>
            <w:noWrap w:val="0"/>
            <w:vAlign w:val="top"/>
          </w:tcPr>
          <w:p w14:paraId="6E538E80">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20" w:lineRule="exact"/>
              <w:ind w:left="0" w:leftChars="0" w:firstLine="0" w:firstLineChars="0"/>
              <w:jc w:val="both"/>
              <w:textAlignment w:val="auto"/>
              <w:rPr>
                <w:rFonts w:hint="eastAsia" w:ascii="仿宋_GB2312" w:hAnsi="仿宋_GB2312" w:cs="仿宋_GB2312"/>
                <w:color w:val="000000" w:themeColor="text1"/>
                <w:kern w:val="0"/>
                <w:sz w:val="32"/>
                <w:szCs w:val="32"/>
                <w:u w:val="none" w:color="auto"/>
                <w:shd w:val="clear" w:color="auto" w:fill="FFFFFF"/>
                <w:lang w:val="en-US" w:eastAsia="zh-CN"/>
                <w14:textFill>
                  <w14:solidFill>
                    <w14:schemeClr w14:val="tx1"/>
                  </w14:solidFill>
                </w14:textFill>
              </w:rPr>
            </w:pPr>
            <w:r>
              <w:rPr>
                <w:rFonts w:hint="eastAsia" w:ascii="仿宋_GB2312" w:hAnsi="仿宋_GB2312" w:cs="仿宋_GB2312"/>
                <w:color w:val="000000" w:themeColor="text1"/>
                <w:kern w:val="0"/>
                <w:sz w:val="32"/>
                <w:szCs w:val="32"/>
                <w:u w:val="none" w:color="auto"/>
                <w:shd w:val="clear" w:color="auto" w:fill="FFFFFF"/>
                <w:lang w:val="en-US" w:eastAsia="zh-CN"/>
                <w14:textFill>
                  <w14:solidFill>
                    <w14:schemeClr w14:val="tx1"/>
                  </w14:solidFill>
                </w14:textFill>
              </w:rPr>
              <w:t>B5</w:t>
            </w:r>
          </w:p>
        </w:tc>
        <w:tc>
          <w:tcPr>
            <w:tcW w:w="600" w:type="dxa"/>
            <w:noWrap w:val="0"/>
            <w:vAlign w:val="top"/>
          </w:tcPr>
          <w:p w14:paraId="740CAD06">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20" w:lineRule="exact"/>
              <w:ind w:left="0" w:leftChars="0" w:firstLine="0" w:firstLineChars="0"/>
              <w:jc w:val="both"/>
              <w:textAlignment w:val="auto"/>
              <w:rPr>
                <w:rFonts w:hint="default" w:ascii="仿宋_GB2312" w:hAnsi="仿宋_GB2312" w:cs="仿宋_GB2312"/>
                <w:color w:val="000000" w:themeColor="text1"/>
                <w:kern w:val="0"/>
                <w:sz w:val="32"/>
                <w:szCs w:val="32"/>
                <w:u w:val="none" w:color="auto"/>
                <w:shd w:val="clear" w:color="auto" w:fill="FFFFFF"/>
                <w:lang w:val="en-US" w:eastAsia="zh-CN"/>
                <w14:textFill>
                  <w14:solidFill>
                    <w14:schemeClr w14:val="tx1"/>
                  </w14:solidFill>
                </w14:textFill>
              </w:rPr>
            </w:pPr>
            <w:r>
              <w:rPr>
                <w:rFonts w:hint="eastAsia" w:ascii="仿宋_GB2312" w:hAnsi="仿宋_GB2312" w:cs="仿宋_GB2312"/>
                <w:color w:val="000000" w:themeColor="text1"/>
                <w:kern w:val="0"/>
                <w:sz w:val="32"/>
                <w:szCs w:val="32"/>
                <w:u w:val="none" w:color="auto"/>
                <w:shd w:val="clear" w:color="auto" w:fill="FFFFFF"/>
                <w:lang w:val="en-US" w:eastAsia="zh-CN"/>
                <w14:textFill>
                  <w14:solidFill>
                    <w14:schemeClr w14:val="tx1"/>
                  </w14:solidFill>
                </w14:textFill>
              </w:rPr>
              <w:t>B6</w:t>
            </w:r>
          </w:p>
        </w:tc>
        <w:tc>
          <w:tcPr>
            <w:tcW w:w="570" w:type="dxa"/>
            <w:noWrap w:val="0"/>
            <w:vAlign w:val="top"/>
          </w:tcPr>
          <w:p w14:paraId="6A6EFAB2">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20" w:lineRule="exact"/>
              <w:ind w:left="0" w:leftChars="0" w:firstLine="0" w:firstLineChars="0"/>
              <w:jc w:val="both"/>
              <w:textAlignment w:val="auto"/>
              <w:rPr>
                <w:rFonts w:hint="default" w:ascii="仿宋_GB2312" w:hAnsi="仿宋_GB2312" w:cs="仿宋_GB2312"/>
                <w:color w:val="000000" w:themeColor="text1"/>
                <w:kern w:val="0"/>
                <w:sz w:val="32"/>
                <w:szCs w:val="32"/>
                <w:u w:val="none" w:color="auto"/>
                <w:shd w:val="clear" w:color="auto" w:fill="FFFFFF"/>
                <w:lang w:val="en-US" w:eastAsia="zh-CN"/>
                <w14:textFill>
                  <w14:solidFill>
                    <w14:schemeClr w14:val="tx1"/>
                  </w14:solidFill>
                </w14:textFill>
              </w:rPr>
            </w:pPr>
            <w:r>
              <w:rPr>
                <w:rFonts w:hint="eastAsia" w:ascii="仿宋_GB2312" w:hAnsi="仿宋_GB2312" w:cs="仿宋_GB2312"/>
                <w:color w:val="000000" w:themeColor="text1"/>
                <w:kern w:val="0"/>
                <w:sz w:val="32"/>
                <w:szCs w:val="32"/>
                <w:u w:val="none" w:color="auto"/>
                <w:shd w:val="clear" w:color="auto" w:fill="FFFFFF"/>
                <w:lang w:val="en-US" w:eastAsia="zh-CN"/>
                <w14:textFill>
                  <w14:solidFill>
                    <w14:schemeClr w14:val="tx1"/>
                  </w14:solidFill>
                </w14:textFill>
              </w:rPr>
              <w:t>B7</w:t>
            </w:r>
          </w:p>
        </w:tc>
        <w:tc>
          <w:tcPr>
            <w:tcW w:w="570" w:type="dxa"/>
            <w:noWrap w:val="0"/>
            <w:vAlign w:val="top"/>
          </w:tcPr>
          <w:p w14:paraId="1F4F4FCA">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20" w:lineRule="exact"/>
              <w:ind w:left="0" w:leftChars="0" w:firstLine="0" w:firstLineChars="0"/>
              <w:jc w:val="both"/>
              <w:textAlignment w:val="auto"/>
              <w:rPr>
                <w:rFonts w:hint="default" w:ascii="仿宋_GB2312" w:hAnsi="仿宋_GB2312" w:cs="仿宋_GB2312"/>
                <w:color w:val="000000" w:themeColor="text1"/>
                <w:kern w:val="0"/>
                <w:sz w:val="32"/>
                <w:szCs w:val="32"/>
                <w:u w:val="none" w:color="auto"/>
                <w:shd w:val="clear" w:color="auto" w:fill="FFFFFF"/>
                <w:lang w:val="en-US" w:eastAsia="zh-CN"/>
                <w14:textFill>
                  <w14:solidFill>
                    <w14:schemeClr w14:val="tx1"/>
                  </w14:solidFill>
                </w14:textFill>
              </w:rPr>
            </w:pPr>
            <w:r>
              <w:rPr>
                <w:rFonts w:hint="eastAsia" w:ascii="仿宋_GB2312" w:hAnsi="仿宋_GB2312" w:cs="仿宋_GB2312"/>
                <w:color w:val="000000" w:themeColor="text1"/>
                <w:kern w:val="0"/>
                <w:sz w:val="32"/>
                <w:szCs w:val="32"/>
                <w:u w:val="none" w:color="auto"/>
                <w:shd w:val="clear" w:color="auto" w:fill="FFFFFF"/>
                <w:lang w:val="en-US" w:eastAsia="zh-CN"/>
                <w14:textFill>
                  <w14:solidFill>
                    <w14:schemeClr w14:val="tx1"/>
                  </w14:solidFill>
                </w14:textFill>
              </w:rPr>
              <w:t>B8</w:t>
            </w:r>
          </w:p>
        </w:tc>
      </w:tr>
      <w:tr w14:paraId="20C8F5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956" w:type="dxa"/>
            <w:noWrap w:val="0"/>
            <w:vAlign w:val="top"/>
          </w:tcPr>
          <w:p w14:paraId="65CB0745">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20" w:lineRule="exact"/>
              <w:ind w:left="0" w:leftChars="0" w:firstLine="0" w:firstLineChars="0"/>
              <w:jc w:val="both"/>
              <w:textAlignment w:val="auto"/>
              <w:rPr>
                <w:rFonts w:hint="eastAsia" w:ascii="仿宋_GB2312" w:hAnsi="仿宋_GB2312" w:eastAsia="仿宋_GB2312" w:cs="仿宋_GB2312"/>
                <w:color w:val="000000" w:themeColor="text1"/>
                <w:kern w:val="0"/>
                <w:sz w:val="32"/>
                <w:szCs w:val="32"/>
                <w:u w:val="none" w:color="auto"/>
                <w:shd w:val="clear" w:color="auto" w:fill="FFFFFF"/>
                <w:lang w:val="en-US" w:eastAsia="zh-CN"/>
                <w14:textFill>
                  <w14:solidFill>
                    <w14:schemeClr w14:val="tx1"/>
                  </w14:solidFill>
                </w14:textFill>
              </w:rPr>
            </w:pPr>
            <w:r>
              <w:rPr>
                <w:rFonts w:hint="eastAsia" w:ascii="仿宋_GB2312" w:hAnsi="仿宋_GB2312" w:eastAsia="仿宋_GB2312" w:cs="仿宋_GB2312"/>
                <w:color w:val="000000" w:themeColor="text1"/>
                <w:kern w:val="0"/>
                <w:sz w:val="32"/>
                <w:szCs w:val="32"/>
                <w:u w:val="none" w:color="auto"/>
                <w:shd w:val="clear" w:color="auto" w:fill="FFFFFF"/>
                <w:lang w:val="en-US" w:eastAsia="zh-CN"/>
                <w14:textFill>
                  <w14:solidFill>
                    <w14:schemeClr w14:val="tx1"/>
                  </w14:solidFill>
                </w14:textFill>
              </w:rPr>
              <w:t>取值</w:t>
            </w:r>
          </w:p>
        </w:tc>
        <w:tc>
          <w:tcPr>
            <w:tcW w:w="687" w:type="dxa"/>
            <w:noWrap w:val="0"/>
            <w:vAlign w:val="top"/>
          </w:tcPr>
          <w:p w14:paraId="2643834E">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20" w:lineRule="exact"/>
              <w:ind w:left="0" w:leftChars="0" w:firstLine="0" w:firstLineChars="0"/>
              <w:jc w:val="both"/>
              <w:textAlignment w:val="auto"/>
              <w:rPr>
                <w:rFonts w:hint="default" w:ascii="仿宋_GB2312" w:hAnsi="仿宋_GB2312" w:eastAsia="仿宋_GB2312" w:cs="仿宋_GB2312"/>
                <w:color w:val="000000" w:themeColor="text1"/>
                <w:kern w:val="0"/>
                <w:sz w:val="32"/>
                <w:szCs w:val="32"/>
                <w:u w:val="none" w:color="auto"/>
                <w:shd w:val="clear" w:color="auto" w:fill="FFFFFF"/>
                <w:lang w:val="en-US" w:eastAsia="zh-CN"/>
                <w14:textFill>
                  <w14:solidFill>
                    <w14:schemeClr w14:val="tx1"/>
                  </w14:solidFill>
                </w14:textFill>
              </w:rPr>
            </w:pPr>
            <w:r>
              <w:rPr>
                <w:rFonts w:hint="eastAsia" w:ascii="仿宋_GB2312" w:hAnsi="仿宋_GB2312" w:eastAsia="仿宋_GB2312" w:cs="仿宋_GB2312"/>
                <w:color w:val="000000" w:themeColor="text1"/>
                <w:kern w:val="0"/>
                <w:sz w:val="32"/>
                <w:szCs w:val="32"/>
                <w:u w:val="none" w:color="auto"/>
                <w:shd w:val="clear" w:color="auto" w:fill="FFFFFF"/>
                <w:lang w:val="en-US" w:eastAsia="zh-CN"/>
                <w14:textFill>
                  <w14:solidFill>
                    <w14:schemeClr w14:val="tx1"/>
                  </w14:solidFill>
                </w14:textFill>
              </w:rPr>
              <w:t>2</w:t>
            </w:r>
          </w:p>
        </w:tc>
        <w:tc>
          <w:tcPr>
            <w:tcW w:w="759" w:type="dxa"/>
            <w:noWrap w:val="0"/>
            <w:vAlign w:val="top"/>
          </w:tcPr>
          <w:p w14:paraId="6EFC1BEB">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20" w:lineRule="exact"/>
              <w:ind w:left="0" w:leftChars="0" w:firstLine="0" w:firstLineChars="0"/>
              <w:jc w:val="both"/>
              <w:textAlignment w:val="auto"/>
              <w:rPr>
                <w:rFonts w:hint="default" w:ascii="仿宋_GB2312" w:hAnsi="仿宋_GB2312" w:eastAsia="仿宋_GB2312" w:cs="仿宋_GB2312"/>
                <w:color w:val="000000" w:themeColor="text1"/>
                <w:kern w:val="0"/>
                <w:sz w:val="32"/>
                <w:szCs w:val="32"/>
                <w:u w:val="none" w:color="auto"/>
                <w:shd w:val="clear" w:color="auto" w:fill="FFFFFF"/>
                <w:lang w:val="en-US" w:eastAsia="zh-CN"/>
                <w14:textFill>
                  <w14:solidFill>
                    <w14:schemeClr w14:val="tx1"/>
                  </w14:solidFill>
                </w14:textFill>
              </w:rPr>
            </w:pPr>
            <w:r>
              <w:rPr>
                <w:rFonts w:hint="eastAsia" w:ascii="仿宋_GB2312" w:hAnsi="仿宋_GB2312" w:cs="仿宋_GB2312"/>
                <w:color w:val="000000" w:themeColor="text1"/>
                <w:kern w:val="0"/>
                <w:sz w:val="32"/>
                <w:szCs w:val="32"/>
                <w:u w:val="none" w:color="auto"/>
                <w:shd w:val="clear" w:color="auto" w:fill="FFFFFF"/>
                <w:lang w:val="en-US" w:eastAsia="zh-CN"/>
                <w14:textFill>
                  <w14:solidFill>
                    <w14:schemeClr w14:val="tx1"/>
                  </w14:solidFill>
                </w14:textFill>
              </w:rPr>
              <w:t>20</w:t>
            </w:r>
          </w:p>
        </w:tc>
        <w:tc>
          <w:tcPr>
            <w:tcW w:w="426" w:type="dxa"/>
            <w:noWrap w:val="0"/>
            <w:vAlign w:val="top"/>
          </w:tcPr>
          <w:p w14:paraId="7B093417">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20" w:lineRule="exact"/>
              <w:ind w:left="0" w:leftChars="0" w:firstLine="0" w:firstLineChars="0"/>
              <w:jc w:val="both"/>
              <w:textAlignment w:val="auto"/>
              <w:rPr>
                <w:rFonts w:hint="default" w:ascii="仿宋_GB2312" w:hAnsi="仿宋_GB2312" w:eastAsia="仿宋_GB2312" w:cs="仿宋_GB2312"/>
                <w:color w:val="000000" w:themeColor="text1"/>
                <w:kern w:val="0"/>
                <w:sz w:val="32"/>
                <w:szCs w:val="32"/>
                <w:u w:val="none" w:color="auto"/>
                <w:shd w:val="clear" w:color="auto" w:fill="FFFFFF"/>
                <w:lang w:val="en-US" w:eastAsia="zh-CN"/>
                <w14:textFill>
                  <w14:solidFill>
                    <w14:schemeClr w14:val="tx1"/>
                  </w14:solidFill>
                </w14:textFill>
              </w:rPr>
            </w:pPr>
            <w:r>
              <w:rPr>
                <w:rFonts w:hint="eastAsia" w:ascii="仿宋_GB2312" w:hAnsi="仿宋_GB2312" w:eastAsia="仿宋_GB2312" w:cs="仿宋_GB2312"/>
                <w:color w:val="000000" w:themeColor="text1"/>
                <w:kern w:val="0"/>
                <w:sz w:val="32"/>
                <w:szCs w:val="32"/>
                <w:u w:val="none" w:color="auto"/>
                <w:shd w:val="clear" w:color="auto" w:fill="FFFFFF"/>
                <w:lang w:val="en-US" w:eastAsia="zh-CN"/>
                <w14:textFill>
                  <w14:solidFill>
                    <w14:schemeClr w14:val="tx1"/>
                  </w14:solidFill>
                </w14:textFill>
              </w:rPr>
              <w:t>1</w:t>
            </w:r>
          </w:p>
        </w:tc>
        <w:tc>
          <w:tcPr>
            <w:tcW w:w="555" w:type="dxa"/>
            <w:noWrap w:val="0"/>
            <w:vAlign w:val="top"/>
          </w:tcPr>
          <w:p w14:paraId="0FD386F5">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20" w:lineRule="exact"/>
              <w:ind w:left="0" w:leftChars="0" w:firstLine="0" w:firstLineChars="0"/>
              <w:jc w:val="both"/>
              <w:textAlignment w:val="auto"/>
              <w:rPr>
                <w:rFonts w:hint="eastAsia" w:ascii="仿宋_GB2312" w:hAnsi="仿宋_GB2312" w:eastAsia="仿宋_GB2312" w:cs="仿宋_GB2312"/>
                <w:color w:val="000000" w:themeColor="text1"/>
                <w:kern w:val="0"/>
                <w:sz w:val="32"/>
                <w:szCs w:val="32"/>
                <w:u w:val="none" w:color="auto"/>
                <w:shd w:val="clear" w:color="auto" w:fill="FFFFFF"/>
                <w:lang w:val="en-US" w:eastAsia="zh-CN"/>
                <w14:textFill>
                  <w14:solidFill>
                    <w14:schemeClr w14:val="tx1"/>
                  </w14:solidFill>
                </w14:textFill>
              </w:rPr>
            </w:pPr>
            <w:r>
              <w:rPr>
                <w:rFonts w:hint="eastAsia" w:ascii="仿宋_GB2312" w:hAnsi="仿宋_GB2312" w:cs="仿宋_GB2312"/>
                <w:color w:val="000000" w:themeColor="text1"/>
                <w:kern w:val="0"/>
                <w:sz w:val="32"/>
                <w:szCs w:val="32"/>
                <w:u w:val="none" w:color="auto"/>
                <w:shd w:val="clear" w:color="auto" w:fill="FFFFFF"/>
                <w:lang w:val="en-US" w:eastAsia="zh-CN"/>
                <w14:textFill>
                  <w14:solidFill>
                    <w14:schemeClr w14:val="tx1"/>
                  </w14:solidFill>
                </w14:textFill>
              </w:rPr>
              <w:t>8</w:t>
            </w:r>
          </w:p>
        </w:tc>
        <w:tc>
          <w:tcPr>
            <w:tcW w:w="555" w:type="dxa"/>
            <w:noWrap w:val="0"/>
            <w:vAlign w:val="top"/>
          </w:tcPr>
          <w:p w14:paraId="4B9DB104">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20" w:lineRule="exact"/>
              <w:ind w:left="0" w:leftChars="0" w:firstLine="0" w:firstLineChars="0"/>
              <w:jc w:val="both"/>
              <w:textAlignment w:val="auto"/>
              <w:rPr>
                <w:rFonts w:hint="eastAsia" w:ascii="仿宋_GB2312" w:hAnsi="仿宋_GB2312" w:eastAsia="仿宋_GB2312" w:cs="仿宋_GB2312"/>
                <w:color w:val="000000" w:themeColor="text1"/>
                <w:kern w:val="0"/>
                <w:sz w:val="32"/>
                <w:szCs w:val="32"/>
                <w:u w:val="none" w:color="auto"/>
                <w:shd w:val="clear" w:color="auto" w:fill="FFFFFF"/>
                <w:lang w:val="en-US" w:eastAsia="zh-CN"/>
                <w14:textFill>
                  <w14:solidFill>
                    <w14:schemeClr w14:val="tx1"/>
                  </w14:solidFill>
                </w14:textFill>
              </w:rPr>
            </w:pPr>
            <w:r>
              <w:rPr>
                <w:rFonts w:hint="eastAsia" w:ascii="仿宋_GB2312" w:hAnsi="仿宋_GB2312" w:cs="仿宋_GB2312"/>
                <w:color w:val="000000" w:themeColor="text1"/>
                <w:kern w:val="0"/>
                <w:sz w:val="32"/>
                <w:szCs w:val="32"/>
                <w:u w:val="none" w:color="auto"/>
                <w:shd w:val="clear" w:color="auto" w:fill="FFFFFF"/>
                <w:lang w:val="en-US" w:eastAsia="zh-CN"/>
                <w14:textFill>
                  <w14:solidFill>
                    <w14:schemeClr w14:val="tx1"/>
                  </w14:solidFill>
                </w14:textFill>
              </w:rPr>
              <w:t>2</w:t>
            </w:r>
          </w:p>
        </w:tc>
        <w:tc>
          <w:tcPr>
            <w:tcW w:w="585" w:type="dxa"/>
            <w:noWrap w:val="0"/>
            <w:vAlign w:val="top"/>
          </w:tcPr>
          <w:p w14:paraId="5E37E7E7">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20" w:lineRule="exact"/>
              <w:ind w:left="0" w:leftChars="0" w:firstLine="0" w:firstLineChars="0"/>
              <w:jc w:val="both"/>
              <w:textAlignment w:val="auto"/>
              <w:rPr>
                <w:rFonts w:hint="eastAsia" w:ascii="仿宋_GB2312" w:hAnsi="仿宋_GB2312" w:eastAsia="仿宋_GB2312" w:cs="仿宋_GB2312"/>
                <w:color w:val="000000" w:themeColor="text1"/>
                <w:kern w:val="0"/>
                <w:sz w:val="32"/>
                <w:szCs w:val="32"/>
                <w:u w:val="none" w:color="auto"/>
                <w:shd w:val="clear" w:color="auto" w:fill="FFFFFF"/>
                <w:lang w:val="en-US" w:eastAsia="zh-CN"/>
                <w14:textFill>
                  <w14:solidFill>
                    <w14:schemeClr w14:val="tx1"/>
                  </w14:solidFill>
                </w14:textFill>
              </w:rPr>
            </w:pPr>
            <w:r>
              <w:rPr>
                <w:rFonts w:hint="eastAsia" w:ascii="仿宋_GB2312" w:hAnsi="仿宋_GB2312" w:eastAsia="仿宋_GB2312" w:cs="仿宋_GB2312"/>
                <w:color w:val="000000" w:themeColor="text1"/>
                <w:kern w:val="0"/>
                <w:sz w:val="32"/>
                <w:szCs w:val="32"/>
                <w:u w:val="none" w:color="auto"/>
                <w:shd w:val="clear" w:color="auto" w:fill="FFFFFF"/>
                <w:lang w:val="en-US" w:eastAsia="zh-CN"/>
                <w14:textFill>
                  <w14:solidFill>
                    <w14:schemeClr w14:val="tx1"/>
                  </w14:solidFill>
                </w14:textFill>
              </w:rPr>
              <w:t>1</w:t>
            </w:r>
          </w:p>
        </w:tc>
        <w:tc>
          <w:tcPr>
            <w:tcW w:w="555" w:type="dxa"/>
            <w:noWrap w:val="0"/>
            <w:vAlign w:val="top"/>
          </w:tcPr>
          <w:p w14:paraId="69835B1A">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20" w:lineRule="exact"/>
              <w:ind w:left="0" w:leftChars="0" w:firstLine="0" w:firstLineChars="0"/>
              <w:jc w:val="both"/>
              <w:textAlignment w:val="auto"/>
              <w:rPr>
                <w:rFonts w:hint="eastAsia" w:ascii="仿宋_GB2312" w:hAnsi="仿宋_GB2312" w:eastAsia="仿宋_GB2312" w:cs="仿宋_GB2312"/>
                <w:color w:val="000000" w:themeColor="text1"/>
                <w:kern w:val="0"/>
                <w:sz w:val="32"/>
                <w:szCs w:val="32"/>
                <w:u w:val="none" w:color="auto"/>
                <w:shd w:val="clear" w:color="auto" w:fill="FFFFFF"/>
                <w:lang w:val="en-US" w:eastAsia="zh-CN"/>
                <w14:textFill>
                  <w14:solidFill>
                    <w14:schemeClr w14:val="tx1"/>
                  </w14:solidFill>
                </w14:textFill>
              </w:rPr>
            </w:pPr>
            <w:r>
              <w:rPr>
                <w:rFonts w:hint="eastAsia" w:ascii="仿宋_GB2312" w:hAnsi="仿宋_GB2312" w:cs="仿宋_GB2312"/>
                <w:color w:val="000000" w:themeColor="text1"/>
                <w:kern w:val="0"/>
                <w:sz w:val="32"/>
                <w:szCs w:val="32"/>
                <w:u w:val="none" w:color="auto"/>
                <w:shd w:val="clear" w:color="auto" w:fill="FFFFFF"/>
                <w:lang w:val="en-US" w:eastAsia="zh-CN"/>
                <w14:textFill>
                  <w14:solidFill>
                    <w14:schemeClr w14:val="tx1"/>
                  </w14:solidFill>
                </w14:textFill>
              </w:rPr>
              <w:t>2</w:t>
            </w:r>
          </w:p>
        </w:tc>
        <w:tc>
          <w:tcPr>
            <w:tcW w:w="600" w:type="dxa"/>
            <w:noWrap w:val="0"/>
            <w:vAlign w:val="top"/>
          </w:tcPr>
          <w:p w14:paraId="07E58C0E">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20" w:lineRule="exact"/>
              <w:ind w:left="0" w:leftChars="0" w:firstLine="0" w:firstLineChars="0"/>
              <w:jc w:val="both"/>
              <w:textAlignment w:val="auto"/>
              <w:rPr>
                <w:rFonts w:hint="eastAsia" w:ascii="仿宋_GB2312" w:hAnsi="仿宋_GB2312" w:eastAsia="仿宋_GB2312" w:cs="仿宋_GB2312"/>
                <w:color w:val="000000" w:themeColor="text1"/>
                <w:kern w:val="0"/>
                <w:sz w:val="32"/>
                <w:szCs w:val="32"/>
                <w:u w:val="none" w:color="auto"/>
                <w:shd w:val="clear" w:color="auto" w:fill="FFFFFF"/>
                <w:lang w:val="en-US" w:eastAsia="zh-CN"/>
                <w14:textFill>
                  <w14:solidFill>
                    <w14:schemeClr w14:val="tx1"/>
                  </w14:solidFill>
                </w14:textFill>
              </w:rPr>
            </w:pPr>
            <w:r>
              <w:rPr>
                <w:rFonts w:hint="eastAsia" w:ascii="仿宋_GB2312" w:hAnsi="仿宋_GB2312" w:cs="仿宋_GB2312"/>
                <w:color w:val="000000" w:themeColor="text1"/>
                <w:kern w:val="0"/>
                <w:sz w:val="32"/>
                <w:szCs w:val="32"/>
                <w:u w:val="none" w:color="auto"/>
                <w:shd w:val="clear" w:color="auto" w:fill="FFFFFF"/>
                <w:lang w:val="en-US" w:eastAsia="zh-CN"/>
                <w14:textFill>
                  <w14:solidFill>
                    <w14:schemeClr w14:val="tx1"/>
                  </w14:solidFill>
                </w14:textFill>
              </w:rPr>
              <w:t>3</w:t>
            </w:r>
          </w:p>
        </w:tc>
        <w:tc>
          <w:tcPr>
            <w:tcW w:w="570" w:type="dxa"/>
            <w:noWrap w:val="0"/>
            <w:vAlign w:val="top"/>
          </w:tcPr>
          <w:p w14:paraId="1C55CE5F">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20" w:lineRule="exact"/>
              <w:ind w:left="0" w:leftChars="0" w:firstLine="0" w:firstLineChars="0"/>
              <w:jc w:val="both"/>
              <w:textAlignment w:val="auto"/>
              <w:rPr>
                <w:rFonts w:hint="eastAsia" w:ascii="仿宋_GB2312" w:hAnsi="仿宋_GB2312" w:eastAsia="仿宋_GB2312" w:cs="仿宋_GB2312"/>
                <w:color w:val="000000" w:themeColor="text1"/>
                <w:kern w:val="0"/>
                <w:sz w:val="32"/>
                <w:szCs w:val="32"/>
                <w:u w:val="none" w:color="auto"/>
                <w:shd w:val="clear" w:color="auto" w:fill="FFFFFF"/>
                <w:lang w:val="en-US" w:eastAsia="zh-CN"/>
                <w14:textFill>
                  <w14:solidFill>
                    <w14:schemeClr w14:val="tx1"/>
                  </w14:solidFill>
                </w14:textFill>
              </w:rPr>
            </w:pPr>
            <w:r>
              <w:rPr>
                <w:rFonts w:hint="eastAsia" w:ascii="仿宋_GB2312" w:hAnsi="仿宋_GB2312" w:cs="仿宋_GB2312"/>
                <w:color w:val="000000" w:themeColor="text1"/>
                <w:kern w:val="0"/>
                <w:sz w:val="32"/>
                <w:szCs w:val="32"/>
                <w:u w:val="none" w:color="auto"/>
                <w:shd w:val="clear" w:color="auto" w:fill="FFFFFF"/>
                <w:lang w:val="en-US" w:eastAsia="zh-CN"/>
                <w14:textFill>
                  <w14:solidFill>
                    <w14:schemeClr w14:val="tx1"/>
                  </w14:solidFill>
                </w14:textFill>
              </w:rPr>
              <w:t>1</w:t>
            </w:r>
          </w:p>
        </w:tc>
        <w:tc>
          <w:tcPr>
            <w:tcW w:w="600" w:type="dxa"/>
            <w:noWrap w:val="0"/>
            <w:vAlign w:val="top"/>
          </w:tcPr>
          <w:p w14:paraId="21C20DE6">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20" w:lineRule="exact"/>
              <w:ind w:left="0" w:leftChars="0" w:firstLine="0" w:firstLineChars="0"/>
              <w:jc w:val="both"/>
              <w:textAlignment w:val="auto"/>
              <w:rPr>
                <w:rFonts w:hint="default" w:ascii="仿宋_GB2312" w:hAnsi="仿宋_GB2312" w:eastAsia="仿宋_GB2312" w:cs="仿宋_GB2312"/>
                <w:color w:val="000000" w:themeColor="text1"/>
                <w:kern w:val="0"/>
                <w:sz w:val="32"/>
                <w:szCs w:val="32"/>
                <w:u w:val="none" w:color="auto"/>
                <w:shd w:val="clear" w:color="auto" w:fill="FFFFFF"/>
                <w:lang w:val="en-US" w:eastAsia="zh-CN"/>
                <w14:textFill>
                  <w14:solidFill>
                    <w14:schemeClr w14:val="tx1"/>
                  </w14:solidFill>
                </w14:textFill>
              </w:rPr>
            </w:pPr>
            <w:r>
              <w:rPr>
                <w:rFonts w:hint="eastAsia" w:ascii="仿宋_GB2312" w:hAnsi="仿宋_GB2312" w:cs="仿宋_GB2312"/>
                <w:color w:val="000000" w:themeColor="text1"/>
                <w:kern w:val="0"/>
                <w:sz w:val="32"/>
                <w:szCs w:val="32"/>
                <w:u w:val="none" w:color="auto"/>
                <w:shd w:val="clear" w:color="auto" w:fill="FFFFFF"/>
                <w:lang w:val="en-US" w:eastAsia="zh-CN"/>
                <w14:textFill>
                  <w14:solidFill>
                    <w14:schemeClr w14:val="tx1"/>
                  </w14:solidFill>
                </w14:textFill>
              </w:rPr>
              <w:t>1</w:t>
            </w:r>
          </w:p>
        </w:tc>
        <w:tc>
          <w:tcPr>
            <w:tcW w:w="570" w:type="dxa"/>
            <w:noWrap w:val="0"/>
            <w:vAlign w:val="top"/>
          </w:tcPr>
          <w:p w14:paraId="63C62A12">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20" w:lineRule="exact"/>
              <w:ind w:left="0" w:leftChars="0" w:firstLine="0" w:firstLineChars="0"/>
              <w:jc w:val="both"/>
              <w:textAlignment w:val="auto"/>
              <w:rPr>
                <w:rFonts w:hint="default" w:ascii="仿宋_GB2312" w:hAnsi="仿宋_GB2312" w:eastAsia="仿宋_GB2312" w:cs="仿宋_GB2312"/>
                <w:color w:val="000000" w:themeColor="text1"/>
                <w:kern w:val="0"/>
                <w:sz w:val="32"/>
                <w:szCs w:val="32"/>
                <w:u w:val="none" w:color="auto"/>
                <w:shd w:val="clear" w:color="auto" w:fill="FFFFFF"/>
                <w:lang w:val="en-US" w:eastAsia="zh-CN"/>
                <w14:textFill>
                  <w14:solidFill>
                    <w14:schemeClr w14:val="tx1"/>
                  </w14:solidFill>
                </w14:textFill>
              </w:rPr>
            </w:pPr>
            <w:r>
              <w:rPr>
                <w:rFonts w:hint="eastAsia" w:ascii="仿宋_GB2312" w:hAnsi="仿宋_GB2312" w:cs="仿宋_GB2312"/>
                <w:color w:val="000000" w:themeColor="text1"/>
                <w:kern w:val="0"/>
                <w:sz w:val="32"/>
                <w:szCs w:val="32"/>
                <w:u w:val="none" w:color="auto"/>
                <w:shd w:val="clear" w:color="auto" w:fill="FFFFFF"/>
                <w:lang w:val="en-US" w:eastAsia="zh-CN"/>
                <w14:textFill>
                  <w14:solidFill>
                    <w14:schemeClr w14:val="tx1"/>
                  </w14:solidFill>
                </w14:textFill>
              </w:rPr>
              <w:t>1</w:t>
            </w:r>
          </w:p>
        </w:tc>
        <w:tc>
          <w:tcPr>
            <w:tcW w:w="570" w:type="dxa"/>
            <w:noWrap w:val="0"/>
            <w:vAlign w:val="top"/>
          </w:tcPr>
          <w:p w14:paraId="1523C488">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20" w:lineRule="exact"/>
              <w:ind w:left="0" w:leftChars="0" w:firstLine="0" w:firstLineChars="0"/>
              <w:jc w:val="both"/>
              <w:textAlignment w:val="auto"/>
              <w:rPr>
                <w:rFonts w:hint="default" w:ascii="仿宋_GB2312" w:hAnsi="仿宋_GB2312" w:cs="仿宋_GB2312"/>
                <w:color w:val="000000" w:themeColor="text1"/>
                <w:kern w:val="0"/>
                <w:sz w:val="32"/>
                <w:szCs w:val="32"/>
                <w:u w:val="none" w:color="auto"/>
                <w:shd w:val="clear" w:color="auto" w:fill="FFFFFF"/>
                <w:lang w:val="en-US" w:eastAsia="zh-CN"/>
                <w14:textFill>
                  <w14:solidFill>
                    <w14:schemeClr w14:val="tx1"/>
                  </w14:solidFill>
                </w14:textFill>
              </w:rPr>
            </w:pPr>
            <w:r>
              <w:rPr>
                <w:rFonts w:hint="eastAsia" w:ascii="仿宋_GB2312" w:hAnsi="仿宋_GB2312" w:cs="仿宋_GB2312"/>
                <w:color w:val="000000" w:themeColor="text1"/>
                <w:kern w:val="0"/>
                <w:sz w:val="32"/>
                <w:szCs w:val="32"/>
                <w:u w:val="none" w:color="auto"/>
                <w:shd w:val="clear" w:color="auto" w:fill="FFFFFF"/>
                <w:lang w:val="en-US" w:eastAsia="zh-CN"/>
                <w14:textFill>
                  <w14:solidFill>
                    <w14:schemeClr w14:val="tx1"/>
                  </w14:solidFill>
                </w14:textFill>
              </w:rPr>
              <w:t>1</w:t>
            </w:r>
          </w:p>
        </w:tc>
      </w:tr>
    </w:tbl>
    <w:p w14:paraId="029EAD4B">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000000" w:themeColor="text1"/>
          <w:sz w:val="32"/>
          <w:szCs w:val="32"/>
          <w:u w:val="none" w:color="auto"/>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u w:val="none" w:color="auto"/>
          <w:lang w:val="en-US" w:eastAsia="zh-CN"/>
          <w14:textFill>
            <w14:solidFill>
              <w14:schemeClr w14:val="tx1"/>
            </w14:solidFill>
          </w14:textFill>
        </w:rPr>
        <w:t>X</w:t>
      </w:r>
    </w:p>
    <w:p w14:paraId="4E05544C">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000000" w:themeColor="text1"/>
          <w:sz w:val="32"/>
          <w:szCs w:val="32"/>
          <w:u w:val="none" w:color="auto"/>
          <w:lang w:val="en-US" w:eastAsia="zh-CN"/>
          <w14:textFill>
            <w14:solidFill>
              <w14:schemeClr w14:val="tx1"/>
            </w14:solidFill>
          </w14:textFill>
        </w:rPr>
      </w:pPr>
    </w:p>
    <w:p w14:paraId="14A374B8">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000000" w:themeColor="text1"/>
          <w:sz w:val="32"/>
          <w:szCs w:val="32"/>
          <w:u w:val="none" w:color="auto"/>
          <w:lang w:val="en-US" w:eastAsia="zh-CN"/>
          <w14:textFill>
            <w14:solidFill>
              <w14:schemeClr w14:val="tx1"/>
            </w14:solidFill>
          </w14:textFill>
        </w:rPr>
      </w:pPr>
    </w:p>
    <w:p w14:paraId="6512D4B2">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eastAsia="仿宋_GB2312"/>
          <w:color w:val="000000" w:themeColor="text1"/>
          <w:u w:val="none" w:color="auto"/>
          <w:lang w:eastAsia="zh-CN"/>
          <w14:textFill>
            <w14:solidFill>
              <w14:schemeClr w14:val="tx1"/>
            </w14:solidFill>
          </w14:textFill>
        </w:rPr>
      </w:pPr>
      <w:r>
        <w:rPr>
          <w:rFonts w:hint="eastAsia" w:ascii="仿宋_GB2312" w:hAnsi="仿宋_GB2312" w:eastAsia="仿宋_GB2312" w:cs="仿宋_GB2312"/>
          <w:color w:val="000000" w:themeColor="text1"/>
          <w:sz w:val="32"/>
          <w:szCs w:val="32"/>
          <w:u w:val="none" w:color="auto"/>
          <w14:textFill>
            <w14:solidFill>
              <w14:schemeClr w14:val="tx1"/>
            </w14:solidFill>
          </w14:textFill>
        </w:rPr>
        <w:t>=</w:t>
      </w:r>
      <w:r>
        <w:rPr>
          <w:rFonts w:hint="eastAsia" w:ascii="仿宋_GB2312" w:hAnsi="仿宋_GB2312" w:eastAsia="仿宋_GB2312" w:cs="仿宋_GB2312"/>
          <w:color w:val="000000" w:themeColor="text1"/>
          <w:sz w:val="32"/>
          <w:szCs w:val="32"/>
          <w:u w:val="none" w:color="auto"/>
          <w:lang w:val="en-US" w:eastAsia="zh-CN"/>
          <w14:textFill>
            <w14:solidFill>
              <w14:schemeClr w14:val="tx1"/>
            </w14:solidFill>
          </w14:textFill>
        </w:rPr>
        <w:t>2</w:t>
      </w:r>
      <w:r>
        <w:rPr>
          <w:rFonts w:hint="eastAsia" w:ascii="仿宋_GB2312" w:hAnsi="仿宋_GB2312" w:eastAsia="仿宋_GB2312" w:cs="仿宋_GB2312"/>
          <w:color w:val="000000" w:themeColor="text1"/>
          <w:sz w:val="32"/>
          <w:szCs w:val="32"/>
          <w:u w:val="none" w:color="auto"/>
          <w14:textFill>
            <w14:solidFill>
              <w14:schemeClr w14:val="tx1"/>
            </w14:solidFill>
          </w14:textFill>
        </w:rPr>
        <w:t>+（</w:t>
      </w:r>
      <w:r>
        <w:rPr>
          <w:rFonts w:hint="eastAsia" w:ascii="仿宋_GB2312" w:hAnsi="仿宋_GB2312" w:eastAsia="仿宋_GB2312" w:cs="仿宋_GB2312"/>
          <w:color w:val="000000" w:themeColor="text1"/>
          <w:sz w:val="32"/>
          <w:szCs w:val="32"/>
          <w:u w:val="none" w:color="auto"/>
          <w:lang w:val="en-US" w:eastAsia="zh-CN"/>
          <w14:textFill>
            <w14:solidFill>
              <w14:schemeClr w14:val="tx1"/>
            </w14:solidFill>
          </w14:textFill>
        </w:rPr>
        <w:t>20</w:t>
      </w:r>
      <w:r>
        <w:rPr>
          <w:rFonts w:hint="eastAsia" w:ascii="仿宋_GB2312" w:hAnsi="仿宋_GB2312" w:eastAsia="仿宋_GB2312" w:cs="仿宋_GB2312"/>
          <w:color w:val="000000" w:themeColor="text1"/>
          <w:sz w:val="32"/>
          <w:szCs w:val="32"/>
          <w:u w:val="none" w:color="auto"/>
          <w14:textFill>
            <w14:solidFill>
              <w14:schemeClr w14:val="tx1"/>
            </w14:solidFill>
          </w14:textFill>
        </w:rPr>
        <w:t>-</w:t>
      </w:r>
      <w:r>
        <w:rPr>
          <w:rFonts w:hint="eastAsia" w:ascii="仿宋_GB2312" w:hAnsi="仿宋_GB2312" w:eastAsia="仿宋_GB2312" w:cs="仿宋_GB2312"/>
          <w:color w:val="000000" w:themeColor="text1"/>
          <w:sz w:val="32"/>
          <w:szCs w:val="32"/>
          <w:u w:val="none" w:color="auto"/>
          <w:lang w:val="en-US" w:eastAsia="zh-CN"/>
          <w14:textFill>
            <w14:solidFill>
              <w14:schemeClr w14:val="tx1"/>
            </w14:solidFill>
          </w14:textFill>
        </w:rPr>
        <w:t>2</w:t>
      </w:r>
      <w:r>
        <w:rPr>
          <w:rFonts w:hint="eastAsia" w:ascii="仿宋_GB2312" w:hAnsi="仿宋_GB2312" w:eastAsia="仿宋_GB2312" w:cs="仿宋_GB2312"/>
          <w:color w:val="000000" w:themeColor="text1"/>
          <w:sz w:val="32"/>
          <w:szCs w:val="32"/>
          <w:u w:val="none" w:color="auto"/>
          <w14:textFill>
            <w14:solidFill>
              <w14:schemeClr w14:val="tx1"/>
            </w14:solidFill>
          </w14:textFill>
        </w:rPr>
        <w:t>）×[（</w:t>
      </w:r>
      <w:r>
        <w:rPr>
          <w:rFonts w:hint="eastAsia" w:ascii="仿宋_GB2312" w:hAnsi="仿宋_GB2312" w:eastAsia="仿宋_GB2312" w:cs="仿宋_GB2312"/>
          <w:color w:val="000000" w:themeColor="text1"/>
          <w:sz w:val="32"/>
          <w:szCs w:val="32"/>
          <w:u w:val="none" w:color="auto"/>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u w:val="none" w:color="auto"/>
          <w14:textFill>
            <w14:solidFill>
              <w14:schemeClr w14:val="tx1"/>
            </w14:solidFill>
          </w14:textFill>
        </w:rPr>
        <w:t>/5）²+（</w:t>
      </w:r>
      <w:r>
        <w:rPr>
          <w:rFonts w:hint="eastAsia" w:ascii="仿宋_GB2312" w:hAnsi="仿宋_GB2312" w:eastAsia="仿宋_GB2312" w:cs="仿宋_GB2312"/>
          <w:color w:val="000000" w:themeColor="text1"/>
          <w:sz w:val="32"/>
          <w:szCs w:val="32"/>
          <w:u w:val="none" w:color="auto"/>
          <w:lang w:val="en-US" w:eastAsia="zh-CN"/>
          <w14:textFill>
            <w14:solidFill>
              <w14:schemeClr w14:val="tx1"/>
            </w14:solidFill>
          </w14:textFill>
        </w:rPr>
        <w:t>2</w:t>
      </w:r>
      <w:r>
        <w:rPr>
          <w:rFonts w:hint="eastAsia" w:ascii="仿宋_GB2312" w:hAnsi="仿宋_GB2312" w:eastAsia="仿宋_GB2312" w:cs="仿宋_GB2312"/>
          <w:color w:val="000000" w:themeColor="text1"/>
          <w:sz w:val="32"/>
          <w:szCs w:val="32"/>
          <w:u w:val="none" w:color="auto"/>
          <w14:textFill>
            <w14:solidFill>
              <w14:schemeClr w14:val="tx1"/>
            </w14:solidFill>
          </w14:textFill>
        </w:rPr>
        <w:t>²+</w:t>
      </w:r>
      <w:r>
        <w:rPr>
          <w:rFonts w:hint="eastAsia" w:ascii="仿宋_GB2312" w:hAnsi="仿宋_GB2312" w:eastAsia="仿宋_GB2312" w:cs="仿宋_GB2312"/>
          <w:color w:val="000000" w:themeColor="text1"/>
          <w:sz w:val="32"/>
          <w:szCs w:val="32"/>
          <w:u w:val="none" w:color="auto"/>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u w:val="none" w:color="auto"/>
          <w14:textFill>
            <w14:solidFill>
              <w14:schemeClr w14:val="tx1"/>
            </w14:solidFill>
          </w14:textFill>
        </w:rPr>
        <w:t>²+</w:t>
      </w:r>
      <w:r>
        <w:rPr>
          <w:rFonts w:hint="eastAsia" w:ascii="仿宋_GB2312" w:hAnsi="仿宋_GB2312" w:eastAsia="仿宋_GB2312" w:cs="仿宋_GB2312"/>
          <w:color w:val="000000" w:themeColor="text1"/>
          <w:sz w:val="32"/>
          <w:szCs w:val="32"/>
          <w:u w:val="none" w:color="auto"/>
          <w:lang w:val="en-US" w:eastAsia="zh-CN"/>
          <w14:textFill>
            <w14:solidFill>
              <w14:schemeClr w14:val="tx1"/>
            </w14:solidFill>
          </w14:textFill>
        </w:rPr>
        <w:t>2</w:t>
      </w:r>
      <w:r>
        <w:rPr>
          <w:rFonts w:hint="eastAsia" w:ascii="仿宋_GB2312" w:hAnsi="仿宋_GB2312" w:eastAsia="仿宋_GB2312" w:cs="仿宋_GB2312"/>
          <w:color w:val="000000" w:themeColor="text1"/>
          <w:sz w:val="32"/>
          <w:szCs w:val="32"/>
          <w:u w:val="none" w:color="auto"/>
          <w14:textFill>
            <w14:solidFill>
              <w14:schemeClr w14:val="tx1"/>
            </w14:solidFill>
          </w14:textFill>
        </w:rPr>
        <w:t>²+</w:t>
      </w:r>
      <w:r>
        <w:rPr>
          <w:rFonts w:hint="eastAsia" w:ascii="仿宋_GB2312" w:hAnsi="仿宋_GB2312" w:eastAsia="仿宋_GB2312" w:cs="仿宋_GB2312"/>
          <w:color w:val="000000" w:themeColor="text1"/>
          <w:sz w:val="32"/>
          <w:szCs w:val="32"/>
          <w:u w:val="none" w:color="auto"/>
          <w:lang w:val="en-US" w:eastAsia="zh-CN"/>
          <w14:textFill>
            <w14:solidFill>
              <w14:schemeClr w14:val="tx1"/>
            </w14:solidFill>
          </w14:textFill>
        </w:rPr>
        <w:t>3</w:t>
      </w:r>
      <w:r>
        <w:rPr>
          <w:rFonts w:hint="eastAsia" w:ascii="仿宋_GB2312" w:hAnsi="仿宋_GB2312" w:eastAsia="仿宋_GB2312" w:cs="仿宋_GB2312"/>
          <w:color w:val="000000" w:themeColor="text1"/>
          <w:sz w:val="32"/>
          <w:szCs w:val="32"/>
          <w:u w:val="none" w:color="auto"/>
          <w14:textFill>
            <w14:solidFill>
              <w14:schemeClr w14:val="tx1"/>
            </w14:solidFill>
          </w14:textFill>
        </w:rPr>
        <w:t>²+</w:t>
      </w:r>
      <w:r>
        <w:rPr>
          <w:rFonts w:hint="eastAsia" w:ascii="仿宋_GB2312" w:hAnsi="仿宋_GB2312" w:eastAsia="仿宋_GB2312" w:cs="仿宋_GB2312"/>
          <w:color w:val="000000" w:themeColor="text1"/>
          <w:sz w:val="32"/>
          <w:szCs w:val="32"/>
          <w:u w:val="none" w:color="auto"/>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u w:val="none" w:color="auto"/>
          <w14:textFill>
            <w14:solidFill>
              <w14:schemeClr w14:val="tx1"/>
            </w14:solidFill>
          </w14:textFill>
        </w:rPr>
        <w:t>²</w:t>
      </w:r>
      <w:r>
        <w:rPr>
          <w:rFonts w:hint="eastAsia" w:ascii="仿宋_GB2312" w:hAnsi="仿宋_GB2312" w:eastAsia="仿宋_GB2312" w:cs="仿宋_GB2312"/>
          <w:color w:val="000000" w:themeColor="text1"/>
          <w:sz w:val="32"/>
          <w:szCs w:val="32"/>
          <w:u w:val="none" w:color="auto"/>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u w:val="none" w:color="auto"/>
          <w14:textFill>
            <w14:solidFill>
              <w14:schemeClr w14:val="tx1"/>
            </w14:solidFill>
          </w14:textFill>
        </w:rPr>
        <w:t>²+</w:t>
      </w:r>
      <w:r>
        <w:rPr>
          <w:rFonts w:hint="eastAsia" w:ascii="仿宋_GB2312" w:hAnsi="仿宋_GB2312" w:eastAsia="仿宋_GB2312" w:cs="仿宋_GB2312"/>
          <w:color w:val="000000" w:themeColor="text1"/>
          <w:sz w:val="32"/>
          <w:szCs w:val="32"/>
          <w:u w:val="none" w:color="auto"/>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u w:val="none" w:color="auto"/>
          <w14:textFill>
            <w14:solidFill>
              <w14:schemeClr w14:val="tx1"/>
            </w14:solidFill>
          </w14:textFill>
        </w:rPr>
        <w:t>²+</w:t>
      </w:r>
      <w:r>
        <w:rPr>
          <w:rFonts w:hint="eastAsia" w:ascii="仿宋_GB2312" w:hAnsi="仿宋_GB2312" w:eastAsia="仿宋_GB2312" w:cs="仿宋_GB2312"/>
          <w:color w:val="000000" w:themeColor="text1"/>
          <w:sz w:val="32"/>
          <w:szCs w:val="32"/>
          <w:u w:val="none" w:color="auto"/>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u w:val="none" w:color="auto"/>
          <w14:textFill>
            <w14:solidFill>
              <w14:schemeClr w14:val="tx1"/>
            </w14:solidFill>
          </w14:textFill>
        </w:rPr>
        <w:t>²）/（5²×</w:t>
      </w:r>
      <w:r>
        <w:rPr>
          <w:rFonts w:hint="eastAsia" w:ascii="仿宋_GB2312" w:hAnsi="仿宋_GB2312" w:eastAsia="仿宋_GB2312" w:cs="仿宋_GB2312"/>
          <w:color w:val="000000" w:themeColor="text1"/>
          <w:sz w:val="32"/>
          <w:szCs w:val="32"/>
          <w:u w:val="none" w:color="auto"/>
          <w:lang w:val="en-US" w:eastAsia="zh-CN"/>
          <w14:textFill>
            <w14:solidFill>
              <w14:schemeClr w14:val="tx1"/>
            </w14:solidFill>
          </w14:textFill>
        </w:rPr>
        <w:t>8</w:t>
      </w:r>
      <w:r>
        <w:rPr>
          <w:rFonts w:hint="eastAsia" w:ascii="仿宋_GB2312" w:hAnsi="仿宋_GB2312" w:eastAsia="仿宋_GB2312" w:cs="仿宋_GB2312"/>
          <w:color w:val="000000" w:themeColor="text1"/>
          <w:sz w:val="32"/>
          <w:szCs w:val="32"/>
          <w:u w:val="none" w:color="auto"/>
          <w14:textFill>
            <w14:solidFill>
              <w14:schemeClr w14:val="tx1"/>
            </w14:solidFill>
          </w14:textFill>
        </w:rPr>
        <w:t>）]×50%</w:t>
      </w:r>
      <w:r>
        <w:rPr>
          <w:rFonts w:hint="eastAsia" w:ascii="仿宋_GB2312" w:hAnsi="仿宋_GB2312" w:eastAsia="仿宋_GB2312" w:cs="仿宋_GB2312"/>
          <w:color w:val="000000" w:themeColor="text1"/>
          <w:sz w:val="32"/>
          <w:szCs w:val="32"/>
          <w:u w:val="none" w:color="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u w:val="none" w:color="auto"/>
          <w14:textFill>
            <w14:solidFill>
              <w14:schemeClr w14:val="tx1"/>
            </w14:solidFill>
          </w14:textFill>
        </w:rPr>
        <w:t>=</w:t>
      </w:r>
      <w:r>
        <w:rPr>
          <w:rFonts w:hint="eastAsia" w:ascii="仿宋_GB2312" w:hAnsi="仿宋_GB2312" w:eastAsia="仿宋_GB2312" w:cs="仿宋_GB2312"/>
          <w:color w:val="000000" w:themeColor="text1"/>
          <w:sz w:val="32"/>
          <w:szCs w:val="32"/>
          <w:u w:val="none" w:color="auto"/>
          <w:lang w:val="en-US" w:eastAsia="zh-CN"/>
          <w14:textFill>
            <w14:solidFill>
              <w14:schemeClr w14:val="tx1"/>
            </w14:solidFill>
          </w14:textFill>
        </w:rPr>
        <w:t>3.35</w:t>
      </w:r>
      <w:r>
        <w:rPr>
          <w:rFonts w:hint="eastAsia" w:ascii="仿宋_GB2312" w:hAnsi="仿宋_GB2312" w:eastAsia="仿宋_GB2312" w:cs="仿宋_GB2312"/>
          <w:color w:val="000000" w:themeColor="text1"/>
          <w:sz w:val="32"/>
          <w:szCs w:val="32"/>
          <w:u w:val="none" w:color="auto"/>
          <w14:textFill>
            <w14:solidFill>
              <w14:schemeClr w14:val="tx1"/>
            </w14:solidFill>
          </w14:textFill>
        </w:rPr>
        <w:t>万元</w:t>
      </w:r>
      <w:r>
        <w:rPr>
          <w:rFonts w:hint="eastAsia" w:ascii="仿宋_GB2312" w:hAnsi="仿宋_GB2312" w:eastAsia="仿宋_GB2312" w:cs="仿宋_GB2312"/>
          <w:color w:val="000000" w:themeColor="text1"/>
          <w:sz w:val="32"/>
          <w:szCs w:val="32"/>
          <w:u w:val="none" w:color="auto"/>
          <w:lang w:eastAsia="zh-CN"/>
          <w14:textFill>
            <w14:solidFill>
              <w14:schemeClr w14:val="tx1"/>
            </w14:solidFill>
          </w14:textFill>
        </w:rPr>
        <w:t>。</w:t>
      </w:r>
    </w:p>
    <w:p w14:paraId="233A7E02">
      <w:pPr>
        <w:keepNext w:val="0"/>
        <w:keepLines w:val="0"/>
        <w:pageBreakBefore w:val="0"/>
        <w:widowControl w:val="0"/>
        <w:kinsoku/>
        <w:wordWrap/>
        <w:overflowPunct/>
        <w:topLinePunct w:val="0"/>
        <w:autoSpaceDE/>
        <w:autoSpaceDN/>
        <w:bidi w:val="0"/>
        <w:adjustRightInd/>
        <w:snapToGrid/>
        <w:spacing w:before="0" w:beforeLines="0" w:beforeAutospacing="0" w:after="0" w:line="560" w:lineRule="exact"/>
        <w:ind w:left="0" w:firstLine="640" w:firstLineChars="200"/>
        <w:jc w:val="both"/>
        <w:textAlignment w:val="auto"/>
        <w:outlineLvl w:val="9"/>
        <w:rPr>
          <w:rFonts w:hint="eastAsia" w:ascii="仿宋_GB2312" w:hAnsi="仿宋_GB2312" w:eastAsia="仿宋_GB2312" w:cs="仿宋_GB2312"/>
          <w:color w:val="000000" w:themeColor="text1"/>
          <w:sz w:val="32"/>
          <w:szCs w:val="32"/>
          <w:u w:val="none" w:color="auto"/>
          <w:lang w:val="en-US" w:eastAsia="zh-CN"/>
          <w14:textFill>
            <w14:solidFill>
              <w14:schemeClr w14:val="tx1"/>
            </w14:solidFill>
          </w14:textFill>
        </w:rPr>
      </w:pPr>
      <w:r>
        <w:rPr>
          <w:rFonts w:hint="eastAsia" w:ascii="仿宋_GB2312" w:hAnsi="宋体" w:eastAsia="仿宋_GB2312" w:cs="Times New Roman"/>
          <w:color w:val="000000" w:themeColor="text1"/>
          <w:sz w:val="32"/>
          <w:szCs w:val="32"/>
          <w:lang w:val="en-US" w:eastAsia="zh-CN"/>
          <w14:textFill>
            <w14:solidFill>
              <w14:schemeClr w14:val="tx1"/>
            </w14:solidFill>
          </w14:textFill>
        </w:rPr>
        <w:t>经裁量计算及讨论研究，我局决定对你</w:t>
      </w:r>
      <w:r>
        <w:rPr>
          <w:rFonts w:hint="eastAsia" w:ascii="仿宋_GB2312" w:hAnsi="仿宋_GB2312" w:cs="仿宋_GB2312"/>
          <w:color w:val="000000" w:themeColor="text1"/>
          <w:sz w:val="32"/>
          <w:szCs w:val="32"/>
          <w:u w:val="none"/>
          <w:lang w:val="en-US" w:eastAsia="zh-CN"/>
          <w14:textFill>
            <w14:solidFill>
              <w14:schemeClr w14:val="tx1"/>
            </w14:solidFill>
          </w14:textFill>
        </w:rPr>
        <w:t>公司</w:t>
      </w:r>
      <w:r>
        <w:rPr>
          <w:rFonts w:hint="eastAsia" w:ascii="仿宋_GB2312" w:hAnsi="宋体" w:eastAsia="仿宋_GB2312" w:cs="Times New Roman"/>
          <w:color w:val="000000" w:themeColor="text1"/>
          <w:sz w:val="32"/>
          <w:szCs w:val="32"/>
          <w:lang w:val="en-US" w:eastAsia="zh-CN"/>
          <w14:textFill>
            <w14:solidFill>
              <w14:schemeClr w14:val="tx1"/>
            </w14:solidFill>
          </w14:textFill>
        </w:rPr>
        <w:t>作出以下处理决定：</w:t>
      </w:r>
      <w:r>
        <w:rPr>
          <w:rFonts w:hint="eastAsia" w:ascii="仿宋_GB2312" w:hAnsi="仿宋_GB2312" w:eastAsia="仿宋_GB2312" w:cs="仿宋_GB2312"/>
          <w:color w:val="000000" w:themeColor="text1"/>
          <w:sz w:val="32"/>
          <w:szCs w:val="32"/>
          <w:u w:val="none" w:color="auto"/>
          <w:lang w:val="en-US" w:eastAsia="zh-CN"/>
          <w14:textFill>
            <w14:solidFill>
              <w14:schemeClr w14:val="tx1"/>
            </w14:solidFill>
          </w14:textFill>
        </w:rPr>
        <w:t>处叁万叁仟伍佰元罚款（3.35万元）。</w:t>
      </w:r>
    </w:p>
    <w:p w14:paraId="67B8E949">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line="560" w:lineRule="exact"/>
        <w:ind w:leftChars="200" w:right="0" w:rightChars="0"/>
        <w:rPr>
          <w:rFonts w:hint="eastAsia" w:ascii="黑体" w:hAnsi="黑体" w:eastAsia="黑体" w:cs="黑体"/>
          <w:b w:val="0"/>
          <w:bCs w:val="0"/>
          <w:color w:val="000000" w:themeColor="text1"/>
          <w:sz w:val="32"/>
          <w:szCs w:val="32"/>
          <w:lang w:eastAsia="zh-CN"/>
          <w14:textFill>
            <w14:solidFill>
              <w14:schemeClr w14:val="tx1"/>
            </w14:solidFill>
          </w14:textFill>
        </w:rPr>
      </w:pPr>
      <w:r>
        <w:rPr>
          <w:rFonts w:hint="eastAsia" w:ascii="黑体" w:hAnsi="黑体" w:eastAsia="黑体" w:cs="黑体"/>
          <w:b w:val="0"/>
          <w:bCs w:val="0"/>
          <w:color w:val="000000" w:themeColor="text1"/>
          <w:sz w:val="32"/>
          <w:szCs w:val="32"/>
          <w:lang w:eastAsia="zh-CN"/>
          <w14:textFill>
            <w14:solidFill>
              <w14:schemeClr w14:val="tx1"/>
            </w14:solidFill>
          </w14:textFill>
        </w:rPr>
        <w:t>三、行政处罚决定的履行方式和期限</w:t>
      </w:r>
    </w:p>
    <w:p w14:paraId="0E0B52CB">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line="560" w:lineRule="exact"/>
        <w:ind w:right="0" w:rightChars="0" w:firstLine="640" w:firstLineChars="200"/>
        <w:rPr>
          <w:rFonts w:hint="eastAsia" w:ascii="微软雅黑" w:hAnsi="微软雅黑" w:eastAsia="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t>根据《中华人民共和国行政处罚法》和《罚款决定与罚款收缴分离实施办法》的规定，你单位应当自收到本决定书之日起 15 日内将罚款缴至指定银行和账号</w:t>
      </w:r>
      <w:r>
        <w:rPr>
          <w:rFonts w:hint="eastAsia" w:ascii="仿宋_GB2312" w:hAnsi="Times New Roman" w:eastAsia="仿宋_GB2312"/>
          <w:color w:val="000000" w:themeColor="text1"/>
          <w:sz w:val="32"/>
          <w:szCs w:val="32"/>
          <w14:textFill>
            <w14:solidFill>
              <w14:schemeClr w14:val="tx1"/>
            </w14:solidFill>
          </w14:textFill>
        </w:rPr>
        <w:t>：</w:t>
      </w:r>
      <w:r>
        <w:rPr>
          <w:rFonts w:hint="eastAsia" w:ascii="微软雅黑" w:hAnsi="微软雅黑" w:eastAsia="仿宋_GB2312"/>
          <w:color w:val="000000" w:themeColor="text1"/>
          <w:sz w:val="32"/>
          <w:szCs w:val="32"/>
          <w:shd w:val="clear" w:color="auto" w:fill="FFFFFF"/>
          <w14:textFill>
            <w14:solidFill>
              <w14:schemeClr w14:val="tx1"/>
            </w14:solidFill>
          </w14:textFill>
        </w:rPr>
        <w:t> </w:t>
      </w:r>
    </w:p>
    <w:p w14:paraId="299B7719">
      <w:pPr>
        <w:keepNext w:val="0"/>
        <w:keepLines w:val="0"/>
        <w:pageBreakBefore w:val="0"/>
        <w:kinsoku/>
        <w:wordWrap/>
        <w:overflowPunct/>
        <w:topLinePunct w:val="0"/>
        <w:autoSpaceDE/>
        <w:autoSpaceDN/>
        <w:bidi w:val="0"/>
        <w:spacing w:before="0" w:beforeLines="0" w:after="0" w:afterLines="0" w:line="560" w:lineRule="exact"/>
        <w:ind w:left="0" w:leftChars="0" w:right="0" w:rightChars="0" w:firstLine="640" w:firstLineChars="200"/>
        <w:textAlignment w:val="auto"/>
        <w:outlineLvl w:val="9"/>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户  名：焦作市财政局非税收入财政专户。</w:t>
      </w:r>
    </w:p>
    <w:p w14:paraId="5380B607">
      <w:pPr>
        <w:keepNext w:val="0"/>
        <w:keepLines w:val="0"/>
        <w:pageBreakBefore w:val="0"/>
        <w:kinsoku/>
        <w:wordWrap/>
        <w:overflowPunct/>
        <w:topLinePunct w:val="0"/>
        <w:autoSpaceDE/>
        <w:autoSpaceDN/>
        <w:bidi w:val="0"/>
        <w:spacing w:before="0" w:beforeLines="0" w:after="0" w:afterLines="0" w:line="560" w:lineRule="exact"/>
        <w:ind w:left="0" w:leftChars="0" w:right="0" w:rightChars="0" w:firstLine="640" w:firstLineChars="200"/>
        <w:textAlignment w:val="auto"/>
        <w:outlineLvl w:val="9"/>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开户行：邮政储蓄银行民主南路支行；</w:t>
      </w:r>
    </w:p>
    <w:p w14:paraId="32E6580A">
      <w:pPr>
        <w:keepNext w:val="0"/>
        <w:keepLines w:val="0"/>
        <w:pageBreakBefore w:val="0"/>
        <w:kinsoku/>
        <w:wordWrap/>
        <w:overflowPunct/>
        <w:topLinePunct w:val="0"/>
        <w:autoSpaceDE/>
        <w:autoSpaceDN/>
        <w:bidi w:val="0"/>
        <w:spacing w:before="0" w:beforeLines="0" w:after="0" w:afterLines="0" w:line="560" w:lineRule="exact"/>
        <w:ind w:left="0" w:leftChars="0" w:right="0" w:rightChars="0" w:firstLine="640" w:firstLineChars="200"/>
        <w:textAlignment w:val="auto"/>
        <w:outlineLvl w:val="9"/>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银行账号：100195545980010001</w:t>
      </w:r>
    </w:p>
    <w:p w14:paraId="313FF1B6">
      <w:pPr>
        <w:keepNext w:val="0"/>
        <w:keepLines w:val="0"/>
        <w:pageBreakBefore w:val="0"/>
        <w:kinsoku/>
        <w:wordWrap/>
        <w:overflowPunct/>
        <w:topLinePunct w:val="0"/>
        <w:autoSpaceDE/>
        <w:autoSpaceDN/>
        <w:bidi w:val="0"/>
        <w:spacing w:before="0" w:beforeLines="0" w:after="0" w:afterLines="0" w:line="560" w:lineRule="exact"/>
        <w:ind w:left="0" w:leftChars="0" w:right="0" w:rightChars="0" w:firstLine="640" w:firstLineChars="200"/>
        <w:textAlignment w:val="auto"/>
        <w:outlineLvl w:val="9"/>
        <w:rPr>
          <w:rFonts w:hint="eastAsia" w:ascii="仿宋_GB2312" w:hAnsi="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缴款时，当事人需在缴款备注栏注明“生态环境行政处罚款”及具体的处罚决定书编号等信息，以便准确核对缴款记录。</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缴纳罚款后，应将缴款凭据报送我局备案。</w:t>
      </w:r>
    </w:p>
    <w:p w14:paraId="53C9DAFC">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line="560" w:lineRule="exact"/>
        <w:ind w:left="0" w:leftChars="0" w:right="0" w:rightChars="0" w:firstLine="640" w:firstLineChars="200"/>
        <w:textAlignment w:val="bottom"/>
        <w:rPr>
          <w:rFonts w:hint="default" w:ascii="黑体" w:hAnsi="黑体" w:eastAsia="黑体" w:cs="黑体"/>
          <w:b w:val="0"/>
          <w:bCs w:val="0"/>
          <w:color w:val="000000" w:themeColor="text1"/>
          <w:sz w:val="32"/>
          <w:szCs w:val="32"/>
          <w:lang w:val="en-US" w:eastAsia="zh-CN"/>
          <w14:textFill>
            <w14:solidFill>
              <w14:schemeClr w14:val="tx1"/>
            </w14:solidFill>
          </w14:textFill>
        </w:rPr>
      </w:pPr>
      <w:r>
        <w:rPr>
          <w:rFonts w:hint="default" w:ascii="黑体" w:hAnsi="黑体" w:eastAsia="黑体" w:cs="黑体"/>
          <w:b w:val="0"/>
          <w:bCs w:val="0"/>
          <w:color w:val="000000" w:themeColor="text1"/>
          <w:sz w:val="32"/>
          <w:szCs w:val="32"/>
          <w:lang w:val="en-US" w:eastAsia="zh-CN"/>
          <w14:textFill>
            <w14:solidFill>
              <w14:schemeClr w14:val="tx1"/>
            </w14:solidFill>
          </w14:textFill>
        </w:rPr>
        <w:t>四、申请行政复议或提起行政诉讼的途径和期限</w:t>
      </w:r>
    </w:p>
    <w:p w14:paraId="77BECD49">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line="560" w:lineRule="exact"/>
        <w:ind w:left="0" w:leftChars="0" w:right="0" w:rightChars="0" w:firstLine="640" w:firstLineChars="200"/>
        <w:textAlignment w:val="bottom"/>
        <w:rPr>
          <w:rFonts w:hint="default" w:ascii="仿宋_GB2312" w:hAnsi="仿宋_GB2312" w:cs="仿宋_GB2312"/>
          <w:color w:val="000000" w:themeColor="text1"/>
          <w:sz w:val="32"/>
          <w:szCs w:val="32"/>
          <w:lang w:val="en-US" w:eastAsia="zh-CN"/>
          <w14:textFill>
            <w14:solidFill>
              <w14:schemeClr w14:val="tx1"/>
            </w14:solidFill>
          </w14:textFill>
        </w:rPr>
      </w:pPr>
      <w:r>
        <w:rPr>
          <w:rFonts w:hint="default" w:ascii="仿宋_GB2312" w:hAnsi="仿宋_GB2312" w:cs="仿宋_GB2312"/>
          <w:color w:val="000000" w:themeColor="text1"/>
          <w:sz w:val="32"/>
          <w:szCs w:val="32"/>
          <w:lang w:val="en-US" w:eastAsia="zh-CN"/>
          <w14:textFill>
            <w14:solidFill>
              <w14:schemeClr w14:val="tx1"/>
            </w14:solidFill>
          </w14:textFill>
        </w:rPr>
        <w:t>你</w:t>
      </w:r>
      <w:r>
        <w:rPr>
          <w:rFonts w:hint="eastAsia" w:ascii="仿宋_GB2312" w:hAnsi="仿宋_GB2312" w:cs="仿宋_GB2312"/>
          <w:color w:val="000000" w:themeColor="text1"/>
          <w:sz w:val="32"/>
          <w:szCs w:val="32"/>
          <w:lang w:val="en-US" w:eastAsia="zh-CN"/>
          <w14:textFill>
            <w14:solidFill>
              <w14:schemeClr w14:val="tx1"/>
            </w14:solidFill>
          </w14:textFill>
        </w:rPr>
        <w:t>单位</w:t>
      </w:r>
      <w:r>
        <w:rPr>
          <w:rFonts w:hint="default" w:ascii="仿宋_GB2312" w:hAnsi="仿宋_GB2312" w:cs="仿宋_GB2312"/>
          <w:color w:val="000000" w:themeColor="text1"/>
          <w:sz w:val="32"/>
          <w:szCs w:val="32"/>
          <w:lang w:val="en-US" w:eastAsia="zh-CN"/>
          <w14:textFill>
            <w14:solidFill>
              <w14:schemeClr w14:val="tx1"/>
            </w14:solidFill>
          </w14:textFill>
        </w:rPr>
        <w:t>如不服本决定，可以自收到本决定书之日起六十日内向焦作市人民政府申请行政复议；也可以在接到本决定书之日起6个月内向郑州铁路运输法院提起行政诉讼。申请行政复议或者提起行政诉讼，不停止行政处罚决定的执行。</w:t>
      </w:r>
    </w:p>
    <w:p w14:paraId="31645F48">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line="560" w:lineRule="exact"/>
        <w:ind w:left="0" w:leftChars="0" w:right="0" w:rightChars="0" w:firstLine="640" w:firstLineChars="200"/>
        <w:textAlignment w:val="bottom"/>
        <w:rPr>
          <w:rFonts w:hint="default" w:ascii="仿宋_GB2312" w:hAnsi="仿宋_GB2312" w:cs="仿宋_GB2312"/>
          <w:color w:val="000000" w:themeColor="text1"/>
          <w:sz w:val="32"/>
          <w:szCs w:val="32"/>
          <w:lang w:val="en-US" w:eastAsia="zh-CN"/>
          <w14:textFill>
            <w14:solidFill>
              <w14:schemeClr w14:val="tx1"/>
            </w14:solidFill>
          </w14:textFill>
        </w:rPr>
      </w:pPr>
      <w:r>
        <w:rPr>
          <w:rFonts w:hint="default" w:ascii="仿宋_GB2312" w:hAnsi="仿宋_GB2312" w:cs="仿宋_GB2312"/>
          <w:color w:val="000000" w:themeColor="text1"/>
          <w:sz w:val="32"/>
          <w:szCs w:val="32"/>
          <w:lang w:val="en-US" w:eastAsia="zh-CN"/>
          <w14:textFill>
            <w14:solidFill>
              <w14:schemeClr w14:val="tx1"/>
            </w14:solidFill>
          </w14:textFill>
        </w:rPr>
        <w:t>到期不缴纳罚款的，我局可以根据《中华人民共和国行政处罚法》第七十二条第一款第一项规定，每日按罚款数额的3%加处罚款。逾期不申请行政复议，不提起行政诉讼，又不履行本处罚决定的，我局将依法申请人民法院强制执行。</w:t>
      </w:r>
    </w:p>
    <w:p w14:paraId="22E4D0E9">
      <w:pPr>
        <w:pStyle w:val="5"/>
        <w:keepNext w:val="0"/>
        <w:keepLines w:val="0"/>
        <w:pageBreakBefore w:val="0"/>
        <w:widowControl w:val="0"/>
        <w:numPr>
          <w:ilvl w:val="0"/>
          <w:numId w:val="0"/>
        </w:numPr>
        <w:kinsoku/>
        <w:wordWrap/>
        <w:overflowPunct/>
        <w:topLinePunct w:val="0"/>
        <w:autoSpaceDE/>
        <w:autoSpaceDN/>
        <w:bidi w:val="0"/>
        <w:spacing w:before="0" w:beforeLines="0" w:beforeAutospacing="0" w:line="560" w:lineRule="exact"/>
        <w:ind w:left="0" w:leftChars="0" w:right="0" w:rightChars="0" w:firstLine="640" w:firstLineChars="200"/>
        <w:rPr>
          <w:rFonts w:hint="default" w:ascii="仿宋_GB2312" w:hAnsi="仿宋_GB2312" w:cs="仿宋_GB2312"/>
          <w:color w:val="000000" w:themeColor="text1"/>
          <w:sz w:val="32"/>
          <w:szCs w:val="32"/>
          <w:lang w:val="en-US" w:eastAsia="zh-CN"/>
          <w14:textFill>
            <w14:solidFill>
              <w14:schemeClr w14:val="tx1"/>
            </w14:solidFill>
          </w14:textFill>
        </w:rPr>
      </w:pPr>
    </w:p>
    <w:p w14:paraId="1605AF99">
      <w:pPr>
        <w:pStyle w:val="5"/>
        <w:keepNext w:val="0"/>
        <w:keepLines w:val="0"/>
        <w:pageBreakBefore w:val="0"/>
        <w:widowControl w:val="0"/>
        <w:numPr>
          <w:ilvl w:val="0"/>
          <w:numId w:val="0"/>
        </w:numPr>
        <w:kinsoku/>
        <w:wordWrap/>
        <w:overflowPunct/>
        <w:topLinePunct w:val="0"/>
        <w:autoSpaceDE/>
        <w:autoSpaceDN/>
        <w:bidi w:val="0"/>
        <w:spacing w:before="0" w:beforeLines="0" w:beforeAutospacing="0" w:line="560" w:lineRule="exact"/>
        <w:ind w:left="0" w:leftChars="0" w:right="0" w:rightChars="0" w:firstLine="640" w:firstLineChars="200"/>
        <w:rPr>
          <w:rFonts w:hint="default" w:ascii="仿宋_GB2312" w:hAnsi="仿宋_GB2312" w:cs="仿宋_GB2312"/>
          <w:color w:val="000000" w:themeColor="text1"/>
          <w:sz w:val="32"/>
          <w:szCs w:val="32"/>
          <w:lang w:val="en-US" w:eastAsia="zh-CN"/>
          <w14:textFill>
            <w14:solidFill>
              <w14:schemeClr w14:val="tx1"/>
            </w14:solidFill>
          </w14:textFill>
        </w:rPr>
      </w:pPr>
      <w:r>
        <w:rPr>
          <w:rFonts w:hint="eastAsia" w:ascii="仿宋_GB2312" w:hAnsi="仿宋_GB2312" w:cs="仿宋_GB2312"/>
          <w:color w:val="000000" w:themeColor="text1"/>
          <w:sz w:val="32"/>
          <w:szCs w:val="32"/>
          <w:lang w:val="en-US" w:eastAsia="zh-CN"/>
          <w14:textFill>
            <w14:solidFill>
              <w14:schemeClr w14:val="tx1"/>
            </w14:solidFill>
          </w14:textFill>
        </w:rPr>
        <w:t xml:space="preserve">                                           </w:t>
      </w:r>
    </w:p>
    <w:p w14:paraId="5D9A2777">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line="560" w:lineRule="exact"/>
        <w:ind w:left="0" w:leftChars="0" w:right="0" w:rightChars="0" w:firstLine="4800" w:firstLineChars="1500"/>
        <w:rPr>
          <w:rFonts w:hint="eastAsia" w:ascii="仿宋_GB2312" w:hAnsi="仿宋_GB2312" w:cs="仿宋_GB2312"/>
          <w:color w:val="000000" w:themeColor="text1"/>
          <w:sz w:val="32"/>
          <w:szCs w:val="32"/>
          <w:lang w:val="en-US" w:eastAsia="zh-CN"/>
          <w14:textFill>
            <w14:solidFill>
              <w14:schemeClr w14:val="tx1"/>
            </w14:solidFill>
          </w14:textFill>
        </w:rPr>
      </w:pPr>
      <w:r>
        <w:rPr>
          <w:rFonts w:hint="eastAsia" w:ascii="仿宋_GB2312" w:hAnsi="仿宋_GB2312" w:cs="仿宋_GB2312"/>
          <w:color w:val="000000" w:themeColor="text1"/>
          <w:sz w:val="32"/>
          <w:szCs w:val="32"/>
          <w:lang w:val="en-US" w:eastAsia="zh-CN"/>
          <w14:textFill>
            <w14:solidFill>
              <w14:schemeClr w14:val="tx1"/>
            </w14:solidFill>
          </w14:textFill>
        </w:rPr>
        <w:t>焦作市生态环境局</w:t>
      </w:r>
    </w:p>
    <w:p w14:paraId="547B56CF">
      <w:pPr>
        <w:pStyle w:val="5"/>
        <w:keepNext w:val="0"/>
        <w:keepLines w:val="0"/>
        <w:pageBreakBefore w:val="0"/>
        <w:widowControl w:val="0"/>
        <w:numPr>
          <w:ilvl w:val="0"/>
          <w:numId w:val="0"/>
        </w:numPr>
        <w:kinsoku/>
        <w:wordWrap/>
        <w:overflowPunct/>
        <w:topLinePunct w:val="0"/>
        <w:autoSpaceDE/>
        <w:autoSpaceDN/>
        <w:bidi w:val="0"/>
        <w:spacing w:before="0" w:beforeLines="0" w:beforeAutospacing="0" w:line="560" w:lineRule="exact"/>
        <w:ind w:left="0" w:leftChars="0" w:right="0" w:rightChars="0" w:firstLine="4800" w:firstLineChars="1500"/>
        <w:rPr>
          <w:color w:val="000000" w:themeColor="text1"/>
          <w14:textFill>
            <w14:solidFill>
              <w14:schemeClr w14:val="tx1"/>
            </w14:solidFill>
          </w14:textFill>
        </w:rPr>
      </w:pPr>
      <w:r>
        <w:rPr>
          <w:rFonts w:hint="eastAsia" w:ascii="仿宋_GB2312" w:hAnsi="仿宋_GB2312" w:cs="仿宋_GB2312"/>
          <w:color w:val="000000" w:themeColor="text1"/>
          <w:sz w:val="32"/>
          <w:szCs w:val="32"/>
          <w:lang w:val="en-US" w:eastAsia="zh-CN"/>
          <w14:textFill>
            <w14:solidFill>
              <w14:schemeClr w14:val="tx1"/>
            </w14:solidFill>
          </w14:textFill>
        </w:rPr>
        <w:t>2026年6月11日</w:t>
      </w:r>
    </w:p>
    <w:sectPr>
      <w:headerReference r:id="rId5" w:type="default"/>
      <w:footerReference r:id="rId7" w:type="default"/>
      <w:headerReference r:id="rId6" w:type="even"/>
      <w:footerReference r:id="rId8" w:type="even"/>
      <w:footnotePr>
        <w:numFmt w:val="decimalHalfWidth"/>
      </w:footnotePr>
      <w:endnotePr>
        <w:numFmt w:val="chineseCounting"/>
      </w:endnotePr>
      <w:pgSz w:w="11905" w:h="16837"/>
      <w:pgMar w:top="2098" w:right="1361" w:bottom="1361" w:left="1361" w:header="566" w:footer="1474" w:gutter="0"/>
      <w:pgNumType w:start="1"/>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FangSong_GB2312">
    <w:altName w:val="仿宋_GB2312"/>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_GBK">
    <w:altName w:val="DejaVu Math TeX Gyre"/>
    <w:panose1 w:val="00000000000000000000"/>
    <w:charset w:val="00"/>
    <w:family w:val="auto"/>
    <w:pitch w:val="default"/>
    <w:sig w:usb0="00000000" w:usb1="00000000" w:usb2="00000000" w:usb3="00000000" w:csb0="00000001" w:csb1="00000000"/>
  </w:font>
  <w:font w:name="DejaVu Math TeX Gyre">
    <w:panose1 w:val="02000503000000000000"/>
    <w:charset w:val="00"/>
    <w:family w:val="auto"/>
    <w:pitch w:val="default"/>
    <w:sig w:usb0="A10000EF" w:usb1="4201F9EE" w:usb2="02000000" w:usb3="00000000" w:csb0="60000193" w:csb1="0DD4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0A076D">
    <w:pPr>
      <w:spacing w:line="1" w:lineRule="atLeast"/>
    </w:pPr>
    <w:r>
      <w:rPr>
        <w:sz w:val="32"/>
      </w:rPr>
      <mc:AlternateContent>
        <mc:Choice Requires="wps">
          <w:drawing>
            <wp:anchor distT="0" distB="0" distL="114300" distR="114300" simplePos="0" relativeHeight="251664384" behindDoc="0" locked="0" layoutInCell="1" allowOverlap="1">
              <wp:simplePos x="0" y="0"/>
              <wp:positionH relativeFrom="margin">
                <wp:posOffset>2594610</wp:posOffset>
              </wp:positionH>
              <wp:positionV relativeFrom="paragraph">
                <wp:posOffset>-10160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757AFFC">
                          <w:pPr>
                            <w:pStyle w:val="4"/>
                            <w:rPr>
                              <w:rFonts w:hint="eastAsia" w:asciiTheme="minorEastAsia" w:hAnsiTheme="minorEastAsia" w:eastAsiaTheme="minorEastAsia" w:cstheme="minorEastAsia"/>
                              <w:sz w:val="28"/>
                              <w:szCs w:val="28"/>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04.3pt;margin-top:-0.8pt;height:144pt;width:144pt;mso-position-horizontal-relative:margin;mso-wrap-style:none;z-index:251664384;mso-width-relative:page;mso-height-relative:page;" filled="f" stroked="f" coordsize="21600,21600" o:gfxdata="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7473d1wAAAAoBAAAPAAAAAAAAAAEAIAAAACIAAABkcnMvZG93bnJldi54bWxQ&#10;SwECFAAUAAAACACHTuJAa4X5+zECAABhBAAADgAAAAAAAAABACAAAAAmAQAAZHJzL2Uyb0RvYy54&#10;bWxQSwUGAAAAAAYABgBZAQAAyQUAAAAA&#10;">
              <v:fill on="f" focussize="0,0"/>
              <v:stroke on="f" weight="0.5pt"/>
              <v:imagedata o:title=""/>
              <o:lock v:ext="edit" aspectratio="f"/>
              <v:textbox inset="0mm,0mm,0mm,0mm" style="mso-fit-shape-to-text:t;">
                <w:txbxContent>
                  <w:p w14:paraId="7757AFFC">
                    <w:pPr>
                      <w:pStyle w:val="4"/>
                      <w:rPr>
                        <w:rFonts w:hint="eastAsia" w:asciiTheme="minorEastAsia" w:hAnsiTheme="minorEastAsia" w:eastAsiaTheme="minorEastAsia" w:cstheme="minorEastAsia"/>
                        <w:sz w:val="28"/>
                        <w:szCs w:val="28"/>
                      </w:rPr>
                    </w:pPr>
                  </w:p>
                </w:txbxContent>
              </v:textbox>
            </v:shape>
          </w:pict>
        </mc:Fallback>
      </mc:AlternateContent>
    </w:r>
    <w:r>
      <mc:AlternateContent>
        <mc:Choice Requires="wps">
          <w:drawing>
            <wp:anchor distT="0" distB="0" distL="114300" distR="114300" simplePos="0" relativeHeight="251663360" behindDoc="0" locked="1" layoutInCell="1" allowOverlap="1">
              <wp:simplePos x="0" y="0"/>
              <wp:positionH relativeFrom="column">
                <wp:posOffset>0</wp:posOffset>
              </wp:positionH>
              <wp:positionV relativeFrom="paragraph">
                <wp:posOffset>0</wp:posOffset>
              </wp:positionV>
              <wp:extent cx="5471795" cy="251460"/>
              <wp:effectExtent l="0" t="0" r="0" b="0"/>
              <wp:wrapNone/>
              <wp:docPr id="3" name="文本框 3"/>
              <wp:cNvGraphicFramePr/>
              <a:graphic xmlns:a="http://schemas.openxmlformats.org/drawingml/2006/main">
                <a:graphicData uri="http://schemas.microsoft.com/office/word/2010/wordprocessingShape">
                  <wps:wsp>
                    <wps:cNvSpPr txBox="1"/>
                    <wps:spPr>
                      <a:xfrm>
                        <a:off x="0" y="0"/>
                        <a:ext cx="5471795" cy="251460"/>
                      </a:xfrm>
                      <a:prstGeom prst="rect">
                        <a:avLst/>
                      </a:prstGeom>
                      <a:noFill/>
                      <a:ln w="7200">
                        <a:noFill/>
                      </a:ln>
                    </wps:spPr>
                    <wps:txbx>
                      <w:txbxContent>
                        <w:p w14:paraId="555E1ABF">
                          <w:pPr>
                            <w:widowControl w:val="0"/>
                            <w:spacing w:line="439" w:lineRule="atLeast"/>
                            <w:jc w:val="right"/>
                            <w:rPr>
                              <w:rFonts w:hint="eastAsia"/>
                              <w:sz w:val="28"/>
                            </w:rPr>
                          </w:pPr>
                        </w:p>
                      </w:txbxContent>
                    </wps:txbx>
                    <wps:bodyPr lIns="0" tIns="0" rIns="0" bIns="0" upright="1"/>
                  </wps:wsp>
                </a:graphicData>
              </a:graphic>
            </wp:anchor>
          </w:drawing>
        </mc:Choice>
        <mc:Fallback>
          <w:pict>
            <v:shape id="_x0000_s1026" o:spid="_x0000_s1026" o:spt="202" type="#_x0000_t202" style="position:absolute;left:0pt;margin-left:0pt;margin-top:0pt;height:19.8pt;width:430.85pt;z-index:251663360;mso-width-relative:page;mso-height-relative:page;" filled="f" stroked="f" coordsize="21600,21600" o:gfxdata="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OUI+SnWAAAABAEAAA8AAAAAAAAAAQAgAAAAIgAAAGRycy9kb3ducmV2&#10;LnhtbFBLAQIUABQAAAAIAIdO4kAFhM7NxQEAAHsDAAAOAAAAAAAAAAEAIAAAACUBAABkcnMvZTJv&#10;RG9jLnhtbFBLBQYAAAAABgAGAFkBAABcBQAAAAA=&#10;">
              <v:fill on="f" focussize="0,0"/>
              <v:stroke on="f" weight="0.566929133858268pt"/>
              <v:imagedata o:title=""/>
              <o:lock v:ext="edit" aspectratio="f"/>
              <v:textbox inset="0mm,0mm,0mm,0mm">
                <w:txbxContent>
                  <w:p w14:paraId="555E1ABF">
                    <w:pPr>
                      <w:widowControl w:val="0"/>
                      <w:spacing w:line="439" w:lineRule="atLeast"/>
                      <w:jc w:val="right"/>
                      <w:rPr>
                        <w:rFonts w:hint="eastAsia"/>
                        <w:sz w:val="28"/>
                      </w:rPr>
                    </w:pPr>
                  </w:p>
                </w:txbxContent>
              </v:textbox>
              <w10:anchorlock/>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9F029C">
    <w:pPr>
      <w:spacing w:line="1" w:lineRule="atLeast"/>
    </w:pPr>
    <w:r>
      <mc:AlternateContent>
        <mc:Choice Requires="wps">
          <w:drawing>
            <wp:anchor distT="0" distB="0" distL="114300" distR="114300" simplePos="0" relativeHeight="251662336" behindDoc="0" locked="1" layoutInCell="1" allowOverlap="1">
              <wp:simplePos x="0" y="0"/>
              <wp:positionH relativeFrom="column">
                <wp:posOffset>0</wp:posOffset>
              </wp:positionH>
              <wp:positionV relativeFrom="paragraph">
                <wp:posOffset>0</wp:posOffset>
              </wp:positionV>
              <wp:extent cx="5471795" cy="251460"/>
              <wp:effectExtent l="0" t="0" r="0" b="0"/>
              <wp:wrapNone/>
              <wp:docPr id="7" name="文本框 7"/>
              <wp:cNvGraphicFramePr/>
              <a:graphic xmlns:a="http://schemas.openxmlformats.org/drawingml/2006/main">
                <a:graphicData uri="http://schemas.microsoft.com/office/word/2010/wordprocessingShape">
                  <wps:wsp>
                    <wps:cNvSpPr txBox="1"/>
                    <wps:spPr>
                      <a:xfrm>
                        <a:off x="0" y="0"/>
                        <a:ext cx="5471795" cy="251460"/>
                      </a:xfrm>
                      <a:prstGeom prst="rect">
                        <a:avLst/>
                      </a:prstGeom>
                      <a:noFill/>
                      <a:ln w="7200">
                        <a:noFill/>
                      </a:ln>
                    </wps:spPr>
                    <wps:txbx>
                      <w:txbxContent>
                        <w:p w14:paraId="1FDDBE7E">
                          <w:pPr>
                            <w:widowControl w:val="0"/>
                            <w:spacing w:line="439" w:lineRule="atLeast"/>
                            <w:ind w:firstLine="0" w:firstLineChars="0"/>
                            <w:rPr>
                              <w:rFonts w:hint="eastAsia"/>
                              <w:sz w:val="28"/>
                            </w:rPr>
                          </w:pPr>
                          <w:r>
                            <w:rPr>
                              <w:rFonts w:hint="eastAsia"/>
                              <w:sz w:val="28"/>
                            </w:rPr>
                            <w:t>　</w:t>
                          </w:r>
                        </w:p>
                      </w:txbxContent>
                    </wps:txbx>
                    <wps:bodyPr lIns="0" tIns="0" rIns="0" bIns="0" upright="1"/>
                  </wps:wsp>
                </a:graphicData>
              </a:graphic>
            </wp:anchor>
          </w:drawing>
        </mc:Choice>
        <mc:Fallback>
          <w:pict>
            <v:shape id="_x0000_s1026" o:spid="_x0000_s1026" o:spt="202" type="#_x0000_t202" style="position:absolute;left:0pt;margin-left:0pt;margin-top:0pt;height:19.8pt;width:430.85pt;z-index:251662336;mso-width-relative:page;mso-height-relative:page;" filled="f" stroked="f" coordsize="21600,21600" o:gfxdata="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lCPkp1gAAAAQBAAAPAAAAAAAAAAEAIAAAACIAAABkcnMvZG93bnJldi54&#10;bWxQSwECFAAUAAAACACHTuJArwpk5cMBAAB7AwAADgAAAAAAAAABACAAAAAlAQAAZHJzL2Uyb0Rv&#10;Yy54bWxQSwUGAAAAAAYABgBZAQAAWgUAAAAA&#10;">
              <v:fill on="f" focussize="0,0"/>
              <v:stroke on="f" weight="0.566929133858268pt"/>
              <v:imagedata o:title=""/>
              <o:lock v:ext="edit" aspectratio="f"/>
              <v:textbox inset="0mm,0mm,0mm,0mm">
                <w:txbxContent>
                  <w:p w14:paraId="1FDDBE7E">
                    <w:pPr>
                      <w:widowControl w:val="0"/>
                      <w:spacing w:line="439" w:lineRule="atLeast"/>
                      <w:ind w:firstLine="0" w:firstLineChars="0"/>
                      <w:rPr>
                        <w:rFonts w:hint="eastAsia"/>
                        <w:sz w:val="28"/>
                      </w:rPr>
                    </w:pPr>
                    <w:r>
                      <w:rPr>
                        <w:rFonts w:hint="eastAsia"/>
                        <w:sz w:val="28"/>
                      </w:rPr>
                      <w:t>　</w:t>
                    </w:r>
                  </w:p>
                </w:txbxContent>
              </v:textbox>
              <w10:anchorlock/>
            </v:shape>
          </w:pict>
        </mc:Fallback>
      </mc:AlternateContent>
    </w:r>
    <w:r>
      <mc:AlternateContent>
        <mc:Choice Requires="wps">
          <w:drawing>
            <wp:inline distT="0" distB="0" distL="114300" distR="114300">
              <wp:extent cx="5471795" cy="251460"/>
              <wp:effectExtent l="0" t="0" r="0" b="0"/>
              <wp:docPr id="8" name="矩形 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251460"/>
                      </a:xfrm>
                      <a:prstGeom prst="rect">
                        <a:avLst/>
                      </a:prstGeom>
                      <a:noFill/>
                      <a:ln>
                        <a:noFill/>
                      </a:ln>
                    </wps:spPr>
                    <wps:bodyPr upright="1"/>
                  </wps:wsp>
                </a:graphicData>
              </a:graphic>
            </wp:inline>
          </w:drawing>
        </mc:Choice>
        <mc:Fallback>
          <w:pict>
            <v:rect id="_x0000_s1026" o:spid="_x0000_s1026" o:spt="1" style="height:19.8pt;width:430.85pt;" filled="f" stroked="f" coordsize="21600,21600" o:gfxdata="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G&#10;CFAz1wAAAAQBAAAPAAAAAAAAAAEAIAAAACIAAABkcnMvZG93bnJldi54bWxQSwECFAAUAAAACACH&#10;TuJAUPMBhLMBAABiAwAADgAAAAAAAAABACAAAAAmAQAAZHJzL2Uyb0RvYy54bWxQSwUGAAAAAAYA&#10;BgBZAQAASwUAAAAA&#10;">
              <v:fill on="f" focussize="0,0"/>
              <v:stroke on="f"/>
              <v:imagedata o:title=""/>
              <o:lock v:ext="edit" aspectratio="t"/>
              <w10:wrap type="none"/>
              <w10:anchorlock/>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46" w:lineRule="auto"/>
      </w:pPr>
      <w:r>
        <w:separator/>
      </w:r>
    </w:p>
  </w:footnote>
  <w:footnote w:type="continuationSeparator" w:id="1">
    <w:p>
      <w:pPr>
        <w:spacing w:before="0" w:after="0" w:line="34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E32DCF">
    <w:pPr>
      <w:spacing w:line="1" w:lineRule="atLeast"/>
    </w:pPr>
    <w:r>
      <mc:AlternateContent>
        <mc:Choice Requires="wps">
          <w:drawing>
            <wp:anchor distT="0" distB="0" distL="114300" distR="114300" simplePos="0" relativeHeight="251661312" behindDoc="0" locked="1" layoutInCell="1" allowOverlap="1">
              <wp:simplePos x="0" y="0"/>
              <wp:positionH relativeFrom="column">
                <wp:posOffset>-38100</wp:posOffset>
              </wp:positionH>
              <wp:positionV relativeFrom="paragraph">
                <wp:posOffset>-542925</wp:posOffset>
              </wp:positionV>
              <wp:extent cx="5471795" cy="615315"/>
              <wp:effectExtent l="0" t="0" r="0" b="0"/>
              <wp:wrapNone/>
              <wp:docPr id="2" name="文本框 2"/>
              <wp:cNvGraphicFramePr/>
              <a:graphic xmlns:a="http://schemas.openxmlformats.org/drawingml/2006/main">
                <a:graphicData uri="http://schemas.microsoft.com/office/word/2010/wordprocessingShape">
                  <wps:wsp>
                    <wps:cNvSpPr txBox="1"/>
                    <wps:spPr>
                      <a:xfrm>
                        <a:off x="0" y="0"/>
                        <a:ext cx="5471795" cy="615315"/>
                      </a:xfrm>
                      <a:prstGeom prst="rect">
                        <a:avLst/>
                      </a:prstGeom>
                      <a:noFill/>
                      <a:ln w="7200">
                        <a:noFill/>
                      </a:ln>
                    </wps:spPr>
                    <wps:txbx>
                      <w:txbxContent>
                        <w:p w14:paraId="6EB395C5">
                          <w:pPr>
                            <w:widowControl w:val="0"/>
                            <w:spacing w:line="272" w:lineRule="atLeast"/>
                            <w:rPr>
                              <w:rFonts w:hint="eastAsia"/>
                            </w:rPr>
                          </w:pPr>
                        </w:p>
                      </w:txbxContent>
                    </wps:txbx>
                    <wps:bodyPr lIns="0" tIns="0" rIns="0" bIns="0" upright="1"/>
                  </wps:wsp>
                </a:graphicData>
              </a:graphic>
            </wp:anchor>
          </w:drawing>
        </mc:Choice>
        <mc:Fallback>
          <w:pict>
            <v:shape id="_x0000_s1026" o:spid="_x0000_s1026" o:spt="202" type="#_x0000_t202" style="position:absolute;left:0pt;margin-left:-3pt;margin-top:-42.75pt;height:48.45pt;width:430.85pt;z-index:251661312;mso-width-relative:page;mso-height-relative:page;" filled="f" stroked="f" coordsize="21600,21600" o:gfxdata="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ptzUx9gAAAAJAQAADwAAAAAAAAABACAAAAAiAAAAZHJzL2Rvd25yZXYu&#10;eG1sUEsBAhQAFAAAAAgAh07iQFzwf23CAQAAewMAAA4AAAAAAAAAAQAgAAAAJwEAAGRycy9lMm9E&#10;b2MueG1sUEsFBgAAAAAGAAYAWQEAAFsFAAAAAA==&#10;">
              <v:fill on="f" focussize="0,0"/>
              <v:stroke on="f" weight="0.566929133858268pt"/>
              <v:imagedata o:title=""/>
              <o:lock v:ext="edit" aspectratio="f"/>
              <v:textbox inset="0mm,0mm,0mm,0mm">
                <w:txbxContent>
                  <w:p w14:paraId="6EB395C5">
                    <w:pPr>
                      <w:widowControl w:val="0"/>
                      <w:spacing w:line="272" w:lineRule="atLeast"/>
                      <w:rPr>
                        <w:rFonts w:hint="eastAsia"/>
                      </w:rPr>
                    </w:pPr>
                  </w:p>
                </w:txbxContent>
              </v:textbox>
              <w10:anchorlock/>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1AA33F">
    <w:pPr>
      <w:spacing w:line="1" w:lineRule="atLeast"/>
    </w:pPr>
    <w:r>
      <mc:AlternateContent>
        <mc:Choice Requires="wps">
          <w:drawing>
            <wp:anchor distT="0" distB="0" distL="114300" distR="114300" simplePos="0" relativeHeight="251660288" behindDoc="0" locked="1" layoutInCell="1" allowOverlap="1">
              <wp:simplePos x="0" y="0"/>
              <wp:positionH relativeFrom="column">
                <wp:posOffset>0</wp:posOffset>
              </wp:positionH>
              <wp:positionV relativeFrom="paragraph">
                <wp:posOffset>0</wp:posOffset>
              </wp:positionV>
              <wp:extent cx="5471795" cy="1043940"/>
              <wp:effectExtent l="0" t="0" r="0" b="0"/>
              <wp:wrapNone/>
              <wp:docPr id="5" name="文本框 5"/>
              <wp:cNvGraphicFramePr/>
              <a:graphic xmlns:a="http://schemas.openxmlformats.org/drawingml/2006/main">
                <a:graphicData uri="http://schemas.microsoft.com/office/word/2010/wordprocessingShape">
                  <wps:wsp>
                    <wps:cNvSpPr txBox="1"/>
                    <wps:spPr>
                      <a:xfrm>
                        <a:off x="0" y="0"/>
                        <a:ext cx="5471795" cy="1043940"/>
                      </a:xfrm>
                      <a:prstGeom prst="rect">
                        <a:avLst/>
                      </a:prstGeom>
                      <a:noFill/>
                      <a:ln w="7200">
                        <a:noFill/>
                      </a:ln>
                    </wps:spPr>
                    <wps:txbx>
                      <w:txbxContent>
                        <w:p w14:paraId="0B639749">
                          <w:pPr>
                            <w:widowControl w:val="0"/>
                            <w:spacing w:line="272" w:lineRule="atLeast"/>
                            <w:rPr>
                              <w:rFonts w:hint="eastAsia"/>
                            </w:rPr>
                          </w:pPr>
                        </w:p>
                      </w:txbxContent>
                    </wps:txbx>
                    <wps:bodyPr lIns="0" tIns="0" rIns="0" bIns="0" upright="1"/>
                  </wps:wsp>
                </a:graphicData>
              </a:graphic>
            </wp:anchor>
          </w:drawing>
        </mc:Choice>
        <mc:Fallback>
          <w:pict>
            <v:shape id="_x0000_s1026" o:spid="_x0000_s1026" o:spt="202" type="#_x0000_t202" style="position:absolute;left:0pt;margin-left:0pt;margin-top:0pt;height:82.2pt;width:430.85pt;z-index:251660288;mso-width-relative:page;mso-height-relative:page;" filled="f" stroked="f" coordsize="21600,21600" o:gfxdata="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L0g9YnWAAAABQEAAA8AAAAAAAAAAQAgAAAAIgAAAGRycy9kb3ducmV2&#10;LnhtbFBLAQIUABQAAAAIAIdO4kAxXpcMxQEAAHwDAAAOAAAAAAAAAAEAIAAAACUBAABkcnMvZTJv&#10;RG9jLnhtbFBLBQYAAAAABgAGAFkBAABcBQAAAAA=&#10;">
              <v:fill on="f" focussize="0,0"/>
              <v:stroke on="f" weight="0.566929133858268pt"/>
              <v:imagedata o:title=""/>
              <o:lock v:ext="edit" aspectratio="f"/>
              <v:textbox inset="0mm,0mm,0mm,0mm">
                <w:txbxContent>
                  <w:p w14:paraId="0B639749">
                    <w:pPr>
                      <w:widowControl w:val="0"/>
                      <w:spacing w:line="272" w:lineRule="atLeast"/>
                      <w:rPr>
                        <w:rFonts w:hint="eastAsia"/>
                      </w:rPr>
                    </w:pPr>
                  </w:p>
                </w:txbxContent>
              </v:textbox>
              <w10:anchorlock/>
            </v:shape>
          </w:pict>
        </mc:Fallback>
      </mc:AlternateContent>
    </w:r>
    <w:r>
      <mc:AlternateContent>
        <mc:Choice Requires="wps">
          <w:drawing>
            <wp:inline distT="0" distB="0" distL="114300" distR="114300">
              <wp:extent cx="5471795" cy="1043940"/>
              <wp:effectExtent l="0" t="0" r="0" b="0"/>
              <wp:docPr id="6" name="矩形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1043940"/>
                      </a:xfrm>
                      <a:prstGeom prst="rect">
                        <a:avLst/>
                      </a:prstGeom>
                      <a:noFill/>
                      <a:ln>
                        <a:noFill/>
                      </a:ln>
                    </wps:spPr>
                    <wps:bodyPr upright="1"/>
                  </wps:wsp>
                </a:graphicData>
              </a:graphic>
            </wp:inline>
          </w:drawing>
        </mc:Choice>
        <mc:Fallback>
          <w:pict>
            <v:rect id="_x0000_s1026" o:spid="_x0000_s1026" o:spt="1" style="height:82.2pt;width:430.85pt;" filled="f" stroked="f" coordsize="21600,21600" o:gfxdata="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O97MMbXAAAABQEAAA8AAAAAAAAAAQAgAAAAIgAAAGRycy9kb3ducmV2LnhtbFBLAQIUABQAAAAI&#10;AIdO4kAdOaeAtQEAAGMDAAAOAAAAAAAAAAEAIAAAACYBAABkcnMvZTJvRG9jLnhtbFBLBQYAAAAA&#10;BgAGAFkBAABNBQAAAAA=&#10;">
              <v:fill on="f" focussize="0,0"/>
              <v:stroke on="f"/>
              <v:imagedata o:title=""/>
              <o:lock v:ext="edit" aspectratio="t"/>
              <w10:wrap type="none"/>
              <w10:anchorlock/>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3E5871"/>
    <w:multiLevelType w:val="singleLevel"/>
    <w:tmpl w:val="B73E5871"/>
    <w:lvl w:ilvl="0" w:tentative="0">
      <w:start w:val="3"/>
      <w:numFmt w:val="decimal"/>
      <w:suff w:val="nothing"/>
      <w:lvlText w:val="%1、"/>
      <w:lvlJc w:val="left"/>
    </w:lvl>
  </w:abstractNum>
  <w:abstractNum w:abstractNumId="1">
    <w:nsid w:val="F5EB4E08"/>
    <w:multiLevelType w:val="singleLevel"/>
    <w:tmpl w:val="F5EB4E08"/>
    <w:lvl w:ilvl="0" w:tentative="0">
      <w:start w:val="1"/>
      <w:numFmt w:val="chineseCounting"/>
      <w:suff w:val="nothing"/>
      <w:lvlText w:val="%1、"/>
      <w:lvlJc w:val="left"/>
      <w:rPr>
        <w:rFonts w:hint="eastAsia"/>
      </w:rPr>
    </w:lvl>
  </w:abstractNum>
  <w:abstractNum w:abstractNumId="2">
    <w:nsid w:val="607BE3AE"/>
    <w:multiLevelType w:val="multilevel"/>
    <w:tmpl w:val="607BE3AE"/>
    <w:lvl w:ilvl="0" w:tentative="0">
      <w:start w:val="1"/>
      <w:numFmt w:val="chineseCountingThousand"/>
      <w:pStyle w:val="5"/>
      <w:lvlText w:val="第%1章　"/>
      <w:lvlJc w:val="left"/>
      <w:pPr>
        <w:tabs>
          <w:tab w:val="left" w:pos="1440"/>
        </w:tabs>
        <w:ind w:left="8754" w:hanging="720"/>
      </w:pPr>
      <w:rPr>
        <w:rFonts w:hint="eastAsia"/>
        <w:sz w:val="32"/>
      </w:rPr>
    </w:lvl>
    <w:lvl w:ilvl="1" w:tentative="0">
      <w:start w:val="1"/>
      <w:numFmt w:val="lowerRoman"/>
      <w:lvlText w:val="(%2)"/>
      <w:lvlJc w:val="left"/>
      <w:pPr>
        <w:tabs>
          <w:tab w:val="left" w:pos="861"/>
        </w:tabs>
        <w:ind w:left="2385" w:hanging="720"/>
      </w:pPr>
      <w:rPr>
        <w:rFonts w:hint="eastAsia"/>
      </w:rPr>
    </w:lvl>
    <w:lvl w:ilvl="2" w:tentative="0">
      <w:start w:val="1"/>
      <w:numFmt w:val="lowerLetter"/>
      <w:lvlText w:val="(%3)"/>
      <w:lvlJc w:val="left"/>
      <w:pPr>
        <w:tabs>
          <w:tab w:val="left" w:pos="1335"/>
        </w:tabs>
        <w:ind w:left="2859" w:hanging="495"/>
      </w:pPr>
      <w:rPr>
        <w:rFonts w:hint="eastAsia"/>
      </w:rPr>
    </w:lvl>
    <w:lvl w:ilvl="3" w:tentative="0">
      <w:start w:val="1"/>
      <w:numFmt w:val="decimal"/>
      <w:lvlText w:val="%4."/>
      <w:lvlJc w:val="left"/>
      <w:pPr>
        <w:tabs>
          <w:tab w:val="left" w:pos="1680"/>
        </w:tabs>
        <w:ind w:left="3204" w:hanging="420"/>
      </w:pPr>
    </w:lvl>
    <w:lvl w:ilvl="4" w:tentative="0">
      <w:start w:val="1"/>
      <w:numFmt w:val="lowerLetter"/>
      <w:lvlText w:val="%5)"/>
      <w:lvlJc w:val="left"/>
      <w:pPr>
        <w:tabs>
          <w:tab w:val="left" w:pos="2100"/>
        </w:tabs>
        <w:ind w:left="3624" w:hanging="420"/>
      </w:pPr>
    </w:lvl>
    <w:lvl w:ilvl="5" w:tentative="0">
      <w:start w:val="1"/>
      <w:numFmt w:val="lowerRoman"/>
      <w:lvlText w:val="%6."/>
      <w:lvlJc w:val="right"/>
      <w:pPr>
        <w:tabs>
          <w:tab w:val="left" w:pos="2520"/>
        </w:tabs>
        <w:ind w:left="4044" w:hanging="420"/>
      </w:pPr>
    </w:lvl>
    <w:lvl w:ilvl="6" w:tentative="0">
      <w:start w:val="1"/>
      <w:numFmt w:val="decimal"/>
      <w:lvlText w:val="%7."/>
      <w:lvlJc w:val="left"/>
      <w:pPr>
        <w:tabs>
          <w:tab w:val="left" w:pos="2940"/>
        </w:tabs>
        <w:ind w:left="4464" w:hanging="420"/>
      </w:pPr>
    </w:lvl>
    <w:lvl w:ilvl="7" w:tentative="0">
      <w:start w:val="1"/>
      <w:numFmt w:val="lowerLetter"/>
      <w:lvlText w:val="%8)"/>
      <w:lvlJc w:val="left"/>
      <w:pPr>
        <w:tabs>
          <w:tab w:val="left" w:pos="3360"/>
        </w:tabs>
        <w:ind w:left="4884" w:hanging="420"/>
      </w:pPr>
    </w:lvl>
    <w:lvl w:ilvl="8" w:tentative="0">
      <w:start w:val="1"/>
      <w:numFmt w:val="lowerRoman"/>
      <w:lvlText w:val="%9."/>
      <w:lvlJc w:val="right"/>
      <w:pPr>
        <w:tabs>
          <w:tab w:val="left" w:pos="3780"/>
        </w:tabs>
        <w:ind w:left="5304"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footnotePr>
    <w:numFmt w:val="decimalHalfWidth"/>
    <w:footnote w:id="0"/>
    <w:footnote w:id="1"/>
  </w:footnotePr>
  <w:endnotePr>
    <w:numFmt w:val="chineseCounting"/>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VlOWQ0NWUyNjNmYWExZjliZGVlNzE1MzI4YmRlMjgifQ=="/>
    <w:docVar w:name="KSO_WPS_MARK_KEY" w:val="9dee9a19-ff29-4c73-8f12-6e9ff17e4eac"/>
  </w:docVars>
  <w:rsids>
    <w:rsidRoot w:val="7DC5315A"/>
    <w:rsid w:val="005D4603"/>
    <w:rsid w:val="00D9637F"/>
    <w:rsid w:val="00FE4338"/>
    <w:rsid w:val="027A666A"/>
    <w:rsid w:val="02B26E88"/>
    <w:rsid w:val="057A3B2F"/>
    <w:rsid w:val="06135E8F"/>
    <w:rsid w:val="07A33243"/>
    <w:rsid w:val="07DD1DB1"/>
    <w:rsid w:val="08AB6F60"/>
    <w:rsid w:val="09242B63"/>
    <w:rsid w:val="0B79041E"/>
    <w:rsid w:val="0BB51E86"/>
    <w:rsid w:val="0BFA364D"/>
    <w:rsid w:val="0C813921"/>
    <w:rsid w:val="0D64615A"/>
    <w:rsid w:val="0D8A22A8"/>
    <w:rsid w:val="0D906017"/>
    <w:rsid w:val="0E195ADB"/>
    <w:rsid w:val="0F5F0397"/>
    <w:rsid w:val="108F3402"/>
    <w:rsid w:val="10CA7A92"/>
    <w:rsid w:val="11784367"/>
    <w:rsid w:val="12015736"/>
    <w:rsid w:val="12DB7D35"/>
    <w:rsid w:val="134D2F31"/>
    <w:rsid w:val="13531FC1"/>
    <w:rsid w:val="13FD3CDB"/>
    <w:rsid w:val="14427189"/>
    <w:rsid w:val="15213D69"/>
    <w:rsid w:val="15A40959"/>
    <w:rsid w:val="172F7E9F"/>
    <w:rsid w:val="17EC7A44"/>
    <w:rsid w:val="18647C7D"/>
    <w:rsid w:val="19A075E2"/>
    <w:rsid w:val="1AC7CB04"/>
    <w:rsid w:val="1B1F6DEE"/>
    <w:rsid w:val="1B4D3B04"/>
    <w:rsid w:val="1BA83CBF"/>
    <w:rsid w:val="1CAB69CA"/>
    <w:rsid w:val="1D2A377E"/>
    <w:rsid w:val="1D7126C9"/>
    <w:rsid w:val="1E564C4E"/>
    <w:rsid w:val="1E7E1EBC"/>
    <w:rsid w:val="1F2FF017"/>
    <w:rsid w:val="1F578693"/>
    <w:rsid w:val="1F5A5839"/>
    <w:rsid w:val="1FBF0319"/>
    <w:rsid w:val="1FDE1689"/>
    <w:rsid w:val="20FB72B3"/>
    <w:rsid w:val="20FF1092"/>
    <w:rsid w:val="224A458F"/>
    <w:rsid w:val="227F3D22"/>
    <w:rsid w:val="23002C86"/>
    <w:rsid w:val="2367400B"/>
    <w:rsid w:val="252217F3"/>
    <w:rsid w:val="253416D6"/>
    <w:rsid w:val="253D8A0F"/>
    <w:rsid w:val="25FBA943"/>
    <w:rsid w:val="268A0303"/>
    <w:rsid w:val="274C6FFB"/>
    <w:rsid w:val="275B2D9A"/>
    <w:rsid w:val="27F3419F"/>
    <w:rsid w:val="28724840"/>
    <w:rsid w:val="28A349F9"/>
    <w:rsid w:val="28B41057"/>
    <w:rsid w:val="2922287F"/>
    <w:rsid w:val="294FB27F"/>
    <w:rsid w:val="296F6FD1"/>
    <w:rsid w:val="2A244EDE"/>
    <w:rsid w:val="2A666797"/>
    <w:rsid w:val="2A783C63"/>
    <w:rsid w:val="2B041349"/>
    <w:rsid w:val="2B162E29"/>
    <w:rsid w:val="2BFF15E0"/>
    <w:rsid w:val="2C416438"/>
    <w:rsid w:val="2C935267"/>
    <w:rsid w:val="2CD535EF"/>
    <w:rsid w:val="2DBE0B43"/>
    <w:rsid w:val="2DDCB953"/>
    <w:rsid w:val="2ED43FD4"/>
    <w:rsid w:val="2F9B28CE"/>
    <w:rsid w:val="2FFFC9A7"/>
    <w:rsid w:val="306C7DC6"/>
    <w:rsid w:val="327C4DBB"/>
    <w:rsid w:val="33FB514C"/>
    <w:rsid w:val="340920F5"/>
    <w:rsid w:val="34403D92"/>
    <w:rsid w:val="34F51D13"/>
    <w:rsid w:val="371422F1"/>
    <w:rsid w:val="37367E1B"/>
    <w:rsid w:val="38DB3D3B"/>
    <w:rsid w:val="38FA2AE8"/>
    <w:rsid w:val="390D66F3"/>
    <w:rsid w:val="395D0899"/>
    <w:rsid w:val="39DA600C"/>
    <w:rsid w:val="3A44036E"/>
    <w:rsid w:val="3B5B1ACD"/>
    <w:rsid w:val="3BC60A9D"/>
    <w:rsid w:val="3C1A7270"/>
    <w:rsid w:val="3C8F2D11"/>
    <w:rsid w:val="3CD6EEC9"/>
    <w:rsid w:val="3D375BF2"/>
    <w:rsid w:val="3DDD0B33"/>
    <w:rsid w:val="3E47FB1D"/>
    <w:rsid w:val="3E990920"/>
    <w:rsid w:val="3EB30AAA"/>
    <w:rsid w:val="3EB5188C"/>
    <w:rsid w:val="3F1A7BAE"/>
    <w:rsid w:val="3F237562"/>
    <w:rsid w:val="3F8E34A5"/>
    <w:rsid w:val="3FDE2B12"/>
    <w:rsid w:val="3FEB17F6"/>
    <w:rsid w:val="3FF53436"/>
    <w:rsid w:val="402A5650"/>
    <w:rsid w:val="42440BA3"/>
    <w:rsid w:val="429F792A"/>
    <w:rsid w:val="43754386"/>
    <w:rsid w:val="449A0075"/>
    <w:rsid w:val="44BF705C"/>
    <w:rsid w:val="44FD82B5"/>
    <w:rsid w:val="4588524B"/>
    <w:rsid w:val="47435FCA"/>
    <w:rsid w:val="476E14BB"/>
    <w:rsid w:val="47CA0235"/>
    <w:rsid w:val="47F5EBD9"/>
    <w:rsid w:val="485B747D"/>
    <w:rsid w:val="49311E92"/>
    <w:rsid w:val="493E1CA1"/>
    <w:rsid w:val="493E586F"/>
    <w:rsid w:val="49706E83"/>
    <w:rsid w:val="4AE20311"/>
    <w:rsid w:val="4BE3142D"/>
    <w:rsid w:val="4BF6D037"/>
    <w:rsid w:val="4BF76A89"/>
    <w:rsid w:val="4C0D20F5"/>
    <w:rsid w:val="4D1347BD"/>
    <w:rsid w:val="4EAD4F8A"/>
    <w:rsid w:val="4F2F9A41"/>
    <w:rsid w:val="4F634A24"/>
    <w:rsid w:val="4FA15887"/>
    <w:rsid w:val="4FCFE5B0"/>
    <w:rsid w:val="4FDDF5EE"/>
    <w:rsid w:val="4FFB2E20"/>
    <w:rsid w:val="4FFBE0F3"/>
    <w:rsid w:val="51DC4954"/>
    <w:rsid w:val="524353A3"/>
    <w:rsid w:val="526359BE"/>
    <w:rsid w:val="52DD0729"/>
    <w:rsid w:val="539C4FEA"/>
    <w:rsid w:val="53CE651E"/>
    <w:rsid w:val="53FB18C1"/>
    <w:rsid w:val="54502B4E"/>
    <w:rsid w:val="55F840E4"/>
    <w:rsid w:val="565F3E59"/>
    <w:rsid w:val="569F41A2"/>
    <w:rsid w:val="56E75176"/>
    <w:rsid w:val="56FE009F"/>
    <w:rsid w:val="573963A5"/>
    <w:rsid w:val="57EC3417"/>
    <w:rsid w:val="57FDD9BA"/>
    <w:rsid w:val="585B62F1"/>
    <w:rsid w:val="5ABF613D"/>
    <w:rsid w:val="5C5A1297"/>
    <w:rsid w:val="5CDFC78A"/>
    <w:rsid w:val="5DFB65D6"/>
    <w:rsid w:val="5F2E07B9"/>
    <w:rsid w:val="5F5F21FF"/>
    <w:rsid w:val="5F77BD67"/>
    <w:rsid w:val="5F7D704B"/>
    <w:rsid w:val="5FB3CDE1"/>
    <w:rsid w:val="5FE30CBD"/>
    <w:rsid w:val="601B0D3D"/>
    <w:rsid w:val="623256AA"/>
    <w:rsid w:val="62BC0916"/>
    <w:rsid w:val="639B7BD6"/>
    <w:rsid w:val="63D71080"/>
    <w:rsid w:val="647E1E99"/>
    <w:rsid w:val="651B533C"/>
    <w:rsid w:val="665B420E"/>
    <w:rsid w:val="6674153C"/>
    <w:rsid w:val="677C7366"/>
    <w:rsid w:val="677F7E04"/>
    <w:rsid w:val="67FD2463"/>
    <w:rsid w:val="68FF0E6F"/>
    <w:rsid w:val="6A687275"/>
    <w:rsid w:val="6AFA5023"/>
    <w:rsid w:val="6B6F26A1"/>
    <w:rsid w:val="6BEE3329"/>
    <w:rsid w:val="6BFDF7D8"/>
    <w:rsid w:val="6C025952"/>
    <w:rsid w:val="6CEF0BB5"/>
    <w:rsid w:val="6D26144E"/>
    <w:rsid w:val="6D96418D"/>
    <w:rsid w:val="6DEFF66C"/>
    <w:rsid w:val="6EA16E48"/>
    <w:rsid w:val="6EF8049C"/>
    <w:rsid w:val="6F9FCCA2"/>
    <w:rsid w:val="6FBFB198"/>
    <w:rsid w:val="6FBFCF44"/>
    <w:rsid w:val="6FD37122"/>
    <w:rsid w:val="703F1B10"/>
    <w:rsid w:val="71035A94"/>
    <w:rsid w:val="72F83160"/>
    <w:rsid w:val="733E0B1C"/>
    <w:rsid w:val="73FB8F7A"/>
    <w:rsid w:val="74962C31"/>
    <w:rsid w:val="757FF35B"/>
    <w:rsid w:val="758B689E"/>
    <w:rsid w:val="761402B1"/>
    <w:rsid w:val="76226B94"/>
    <w:rsid w:val="76BC6698"/>
    <w:rsid w:val="773F8DC5"/>
    <w:rsid w:val="777244FC"/>
    <w:rsid w:val="777FEEDD"/>
    <w:rsid w:val="77947590"/>
    <w:rsid w:val="779F93BF"/>
    <w:rsid w:val="77BFB2DF"/>
    <w:rsid w:val="77D62445"/>
    <w:rsid w:val="77EF50EB"/>
    <w:rsid w:val="77F740C6"/>
    <w:rsid w:val="791D56CF"/>
    <w:rsid w:val="79754E9F"/>
    <w:rsid w:val="79E74E84"/>
    <w:rsid w:val="7A8B0BA1"/>
    <w:rsid w:val="7A9F42A7"/>
    <w:rsid w:val="7AF20495"/>
    <w:rsid w:val="7B31E931"/>
    <w:rsid w:val="7B7DA536"/>
    <w:rsid w:val="7BF28304"/>
    <w:rsid w:val="7BFBD578"/>
    <w:rsid w:val="7BFD6D3F"/>
    <w:rsid w:val="7D5F78C1"/>
    <w:rsid w:val="7D634AB7"/>
    <w:rsid w:val="7D7E12DA"/>
    <w:rsid w:val="7D983576"/>
    <w:rsid w:val="7DBBDB1D"/>
    <w:rsid w:val="7DC5315A"/>
    <w:rsid w:val="7DEC0221"/>
    <w:rsid w:val="7DF78C5C"/>
    <w:rsid w:val="7DFDBF70"/>
    <w:rsid w:val="7E6F240E"/>
    <w:rsid w:val="7ECF788C"/>
    <w:rsid w:val="7EE8E827"/>
    <w:rsid w:val="7EED55A5"/>
    <w:rsid w:val="7EEEE334"/>
    <w:rsid w:val="7EF7085B"/>
    <w:rsid w:val="7F3BD060"/>
    <w:rsid w:val="7F6BA90E"/>
    <w:rsid w:val="7F7D297D"/>
    <w:rsid w:val="7F7D4B43"/>
    <w:rsid w:val="7FAB95C0"/>
    <w:rsid w:val="7FAEB9F6"/>
    <w:rsid w:val="7FBF3861"/>
    <w:rsid w:val="7FBF96FE"/>
    <w:rsid w:val="7FC9A0F3"/>
    <w:rsid w:val="7FDF19E5"/>
    <w:rsid w:val="7FDF8641"/>
    <w:rsid w:val="7FEFAA2B"/>
    <w:rsid w:val="7FF7D1B2"/>
    <w:rsid w:val="7FF86792"/>
    <w:rsid w:val="7FFB66CA"/>
    <w:rsid w:val="7FFD30B5"/>
    <w:rsid w:val="7FFF28E3"/>
    <w:rsid w:val="7FFF309E"/>
    <w:rsid w:val="7FFFAB99"/>
    <w:rsid w:val="7FFFD837"/>
    <w:rsid w:val="897B4B3D"/>
    <w:rsid w:val="8FBDB79B"/>
    <w:rsid w:val="93FF24CE"/>
    <w:rsid w:val="9A4848C3"/>
    <w:rsid w:val="9C3F5738"/>
    <w:rsid w:val="9DF12117"/>
    <w:rsid w:val="A5F7A9AE"/>
    <w:rsid w:val="ABEE5341"/>
    <w:rsid w:val="ABFFF7D5"/>
    <w:rsid w:val="AC3FA2BA"/>
    <w:rsid w:val="ADFFE666"/>
    <w:rsid w:val="AF0DE260"/>
    <w:rsid w:val="AF1F7F6E"/>
    <w:rsid w:val="AF3F0D63"/>
    <w:rsid w:val="B2FF9F0F"/>
    <w:rsid w:val="B6FFB5B0"/>
    <w:rsid w:val="B7FD3370"/>
    <w:rsid w:val="BB9F8DE4"/>
    <w:rsid w:val="BBBE4E94"/>
    <w:rsid w:val="BC9F4B72"/>
    <w:rsid w:val="BDFE6AB4"/>
    <w:rsid w:val="BF4C3C8D"/>
    <w:rsid w:val="BF7E25C2"/>
    <w:rsid w:val="BFB66ED3"/>
    <w:rsid w:val="BFDD503A"/>
    <w:rsid w:val="BFFDCB4F"/>
    <w:rsid w:val="C56C77CB"/>
    <w:rsid w:val="C5F2F9BE"/>
    <w:rsid w:val="C6FC4CD0"/>
    <w:rsid w:val="C6FDB2D1"/>
    <w:rsid w:val="C77B31C3"/>
    <w:rsid w:val="CB5736E5"/>
    <w:rsid w:val="CBF35ACF"/>
    <w:rsid w:val="CDF786C6"/>
    <w:rsid w:val="D3AB412E"/>
    <w:rsid w:val="D3FB8036"/>
    <w:rsid w:val="D53B4355"/>
    <w:rsid w:val="D7FF2EE5"/>
    <w:rsid w:val="DABEE28D"/>
    <w:rsid w:val="DBB7EC3C"/>
    <w:rsid w:val="DBDEA60F"/>
    <w:rsid w:val="DBFF7843"/>
    <w:rsid w:val="DDFF5532"/>
    <w:rsid w:val="DEBF4056"/>
    <w:rsid w:val="DEF6D8F4"/>
    <w:rsid w:val="DF7797A7"/>
    <w:rsid w:val="DF7BB42C"/>
    <w:rsid w:val="DF8F2448"/>
    <w:rsid w:val="DFEF4B05"/>
    <w:rsid w:val="DFFAA832"/>
    <w:rsid w:val="E1BD40EC"/>
    <w:rsid w:val="E76EE975"/>
    <w:rsid w:val="E77FB84E"/>
    <w:rsid w:val="E7B6D9B0"/>
    <w:rsid w:val="E7F3FB23"/>
    <w:rsid w:val="E9E780C0"/>
    <w:rsid w:val="EB331DEC"/>
    <w:rsid w:val="EBBB5C8B"/>
    <w:rsid w:val="EBDBC23C"/>
    <w:rsid w:val="EC6FFCE4"/>
    <w:rsid w:val="EDDF40AD"/>
    <w:rsid w:val="EEEF4FD2"/>
    <w:rsid w:val="EEFEA47F"/>
    <w:rsid w:val="EF57D666"/>
    <w:rsid w:val="EF6A62D1"/>
    <w:rsid w:val="EFE74D85"/>
    <w:rsid w:val="EFFA6C98"/>
    <w:rsid w:val="EFFBF659"/>
    <w:rsid w:val="F1B66B73"/>
    <w:rsid w:val="F27BB2DE"/>
    <w:rsid w:val="F2F6F815"/>
    <w:rsid w:val="F3FBBC3D"/>
    <w:rsid w:val="F77B0189"/>
    <w:rsid w:val="F77FDEC8"/>
    <w:rsid w:val="F79F4DF5"/>
    <w:rsid w:val="F7FC78B6"/>
    <w:rsid w:val="F7FF8A6F"/>
    <w:rsid w:val="F9B7A365"/>
    <w:rsid w:val="F9FDA610"/>
    <w:rsid w:val="FAE6E79D"/>
    <w:rsid w:val="FAFD258F"/>
    <w:rsid w:val="FB774621"/>
    <w:rsid w:val="FBBD7C70"/>
    <w:rsid w:val="FBDFDCD8"/>
    <w:rsid w:val="FBED9DB9"/>
    <w:rsid w:val="FBFD176F"/>
    <w:rsid w:val="FD77F19D"/>
    <w:rsid w:val="FD7D0B2C"/>
    <w:rsid w:val="FDBFAAEB"/>
    <w:rsid w:val="FDFACCB6"/>
    <w:rsid w:val="FDFFB57B"/>
    <w:rsid w:val="FDFFE89B"/>
    <w:rsid w:val="FE3E1D92"/>
    <w:rsid w:val="FE7ECFD2"/>
    <w:rsid w:val="FEBB9681"/>
    <w:rsid w:val="FEEB37BD"/>
    <w:rsid w:val="FEEFF743"/>
    <w:rsid w:val="FEF5A2DC"/>
    <w:rsid w:val="FEFE4C8E"/>
    <w:rsid w:val="FEFFE419"/>
    <w:rsid w:val="FF593415"/>
    <w:rsid w:val="FF5F2649"/>
    <w:rsid w:val="FF77193D"/>
    <w:rsid w:val="FF77C7F0"/>
    <w:rsid w:val="FF7E4B8A"/>
    <w:rsid w:val="FF7FB7F5"/>
    <w:rsid w:val="FFBAAAE0"/>
    <w:rsid w:val="FFBB529F"/>
    <w:rsid w:val="FFBFB584"/>
    <w:rsid w:val="FFCF6008"/>
    <w:rsid w:val="FFCFAF0B"/>
    <w:rsid w:val="FFD77A67"/>
    <w:rsid w:val="FFE7140D"/>
    <w:rsid w:val="FFFBA578"/>
    <w:rsid w:val="FFFF7781"/>
    <w:rsid w:val="FFFFB1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before="0" w:beforeLines="0" w:after="0" w:afterLines="0" w:line="346" w:lineRule="auto"/>
      <w:ind w:left="1" w:right="0" w:firstLine="419" w:firstLineChars="0"/>
      <w:jc w:val="both"/>
      <w:textAlignment w:val="bottom"/>
    </w:pPr>
    <w:rPr>
      <w:rFonts w:ascii="Times New Roman" w:hAnsi="Times New Roman" w:eastAsia="仿宋_GB2312" w:cs="Times New Roman"/>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_Style 1"/>
    <w:basedOn w:val="1"/>
    <w:qFormat/>
    <w:uiPriority w:val="0"/>
    <w:pPr>
      <w:spacing w:line="481" w:lineRule="atLeast"/>
      <w:ind w:firstLine="623"/>
      <w:textAlignment w:val="baseline"/>
    </w:pPr>
    <w:rPr>
      <w:rFonts w:ascii="Calibri" w:hAnsi="Calibri" w:eastAsia="FangSong_GB2312" w:cs="Times New Roman"/>
      <w:color w:val="000000"/>
      <w:sz w:val="31"/>
    </w:rPr>
  </w:style>
  <w:style w:type="paragraph" w:styleId="3">
    <w:name w:val="Body Text"/>
    <w:basedOn w:val="1"/>
    <w:next w:val="1"/>
    <w:qFormat/>
    <w:uiPriority w:val="0"/>
    <w:pPr>
      <w:spacing w:after="120"/>
    </w:pPr>
    <w:rPr>
      <w:szCs w:val="21"/>
    </w:rPr>
  </w:style>
  <w:style w:type="paragraph" w:styleId="4">
    <w:name w:val="footer"/>
    <w:basedOn w:val="1"/>
    <w:qFormat/>
    <w:uiPriority w:val="0"/>
    <w:pPr>
      <w:tabs>
        <w:tab w:val="center" w:pos="4153"/>
        <w:tab w:val="right" w:pos="8306"/>
      </w:tabs>
      <w:snapToGrid w:val="0"/>
      <w:jc w:val="left"/>
    </w:pPr>
    <w:rPr>
      <w:sz w:val="18"/>
    </w:rPr>
  </w:style>
  <w:style w:type="paragraph" w:styleId="5">
    <w:name w:val="Body Text 2"/>
    <w:basedOn w:val="1"/>
    <w:qFormat/>
    <w:uiPriority w:val="0"/>
    <w:pPr>
      <w:numPr>
        <w:ilvl w:val="0"/>
        <w:numId w:val="1"/>
      </w:numPr>
      <w:spacing w:before="156" w:beforeLines="50" w:line="336" w:lineRule="auto"/>
      <w:ind w:left="0" w:firstLine="0"/>
    </w:pPr>
    <w:rPr>
      <w:rFonts w:ascii="Times New Roman" w:hAnsi="Times New Roman" w:eastAsia="仿宋_GB2312" w:cs="仿宋"/>
      <w:szCs w:val="20"/>
      <w:lang w:eastAsia="en-US"/>
    </w:rPr>
  </w:style>
  <w:style w:type="paragraph" w:styleId="6">
    <w:name w:val="Normal (Web)"/>
    <w:basedOn w:val="1"/>
    <w:qFormat/>
    <w:uiPriority w:val="0"/>
    <w:rPr>
      <w:sz w:val="24"/>
    </w:rPr>
  </w:style>
  <w:style w:type="paragraph" w:customStyle="1" w:styleId="9">
    <w:name w:val="p0"/>
    <w:basedOn w:val="1"/>
    <w:qFormat/>
    <w:uiPriority w:val="99"/>
    <w:pPr>
      <w:widowControl/>
    </w:pPr>
    <w:rPr>
      <w:rFonts w:cs="宋体"/>
      <w:kern w:val="0"/>
      <w:szCs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2145</Words>
  <Characters>2326</Characters>
  <Lines>1</Lines>
  <Paragraphs>1</Paragraphs>
  <TotalTime>12</TotalTime>
  <ScaleCrop>false</ScaleCrop>
  <LinksUpToDate>false</LinksUpToDate>
  <CharactersWithSpaces>2341</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2023-03-08T17:58:00Z</dcterms:created>
  <dc:creator>冯春有</dc:creator>
  <cp:lastModifiedBy>小可爱1999。</cp:lastModifiedBy>
  <cp:lastPrinted>2026-06-11T04:58:00Z</cp:lastPrinted>
  <dcterms:modified xsi:type="dcterms:W3CDTF">2026-06-12T00:12:33Z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2052-12.1.0.26895</vt:lpwstr>
  </property>
  <property fmtid="{D5CDD505-2E9C-101B-9397-08002B2CF9AE}" pid="3" name="ICV">
    <vt:lpwstr>0082B729189A4A0398EFB2D023BC8A12</vt:lpwstr>
  </property>
  <property fmtid="{D5CDD505-2E9C-101B-9397-08002B2CF9AE}" pid="4" name="KSOTemplateDocerSaveRecord">
    <vt:lpwstr>eyJoZGlkIjoiZTQyN2M1M2U3YjFhNzg3ZTlhZGQwMGM5ODcyZDJlZWIiLCJ1c2VySWQiOiI0MTgxMzM4MDgifQ==</vt:lpwstr>
  </property>
</Properties>
</file>