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22F54B">
      <w:pPr>
        <w:keepNext w:val="0"/>
        <w:keepLines w:val="0"/>
        <w:pageBreakBefore w:val="0"/>
        <w:widowControl w:val="0"/>
        <w:shd w:val="clear" w:color="auto" w:fill="FFFFFF"/>
        <w:kinsoku/>
        <w:wordWrap/>
        <w:overflowPunct/>
        <w:topLinePunct w:val="0"/>
        <w:autoSpaceDE/>
        <w:autoSpaceDN/>
        <w:bidi w:val="0"/>
        <w:adjustRightInd w:val="0"/>
        <w:snapToGrid/>
        <w:spacing w:beforeAutospacing="0" w:afterAutospacing="0" w:line="540" w:lineRule="exact"/>
        <w:jc w:val="both"/>
        <w:textAlignment w:val="auto"/>
        <w:rPr>
          <w:rFonts w:hint="eastAsia" w:ascii="CESI仿宋-GB2312" w:hAnsi="CESI仿宋-GB2312" w:eastAsia="CESI仿宋-GB2312" w:cs="CESI仿宋-GB2312"/>
          <w:b w:val="0"/>
          <w:bCs/>
          <w:color w:val="FF0000"/>
          <w:kern w:val="0"/>
          <w:sz w:val="32"/>
          <w:szCs w:val="32"/>
          <w:shd w:val="clear" w:color="auto" w:fill="FFFFFF"/>
          <w:lang w:val="en-US" w:eastAsia="zh-CN" w:bidi="ar-SA"/>
        </w:rPr>
      </w:pPr>
    </w:p>
    <w:p w14:paraId="42AC12E5">
      <w:pPr>
        <w:keepNext w:val="0"/>
        <w:keepLines w:val="0"/>
        <w:pageBreakBefore w:val="0"/>
        <w:widowControl w:val="0"/>
        <w:shd w:val="clear" w:color="auto" w:fill="FFFFFF"/>
        <w:kinsoku/>
        <w:wordWrap/>
        <w:overflowPunct/>
        <w:topLinePunct w:val="0"/>
        <w:autoSpaceDE/>
        <w:autoSpaceDN/>
        <w:bidi w:val="0"/>
        <w:adjustRightInd w:val="0"/>
        <w:snapToGrid/>
        <w:spacing w:beforeAutospacing="0" w:afterAutospacing="0" w:line="540" w:lineRule="exact"/>
        <w:jc w:val="center"/>
        <w:textAlignment w:val="auto"/>
        <w:rPr>
          <w:rFonts w:hint="eastAsia" w:ascii="CESI仿宋-GB2312" w:hAnsi="CESI仿宋-GB2312" w:eastAsia="CESI仿宋-GB2312" w:cs="CESI仿宋-GB2312"/>
          <w:b w:val="0"/>
          <w:bCs/>
          <w:color w:val="auto"/>
          <w:kern w:val="0"/>
          <w:sz w:val="32"/>
          <w:szCs w:val="32"/>
          <w:shd w:val="clear" w:color="auto" w:fill="FFFFFF"/>
          <w:lang w:val="en-US" w:eastAsia="zh-CN" w:bidi="ar-SA"/>
        </w:rPr>
      </w:pPr>
    </w:p>
    <w:p w14:paraId="1211C51C">
      <w:pPr>
        <w:keepNext w:val="0"/>
        <w:keepLines w:val="0"/>
        <w:pageBreakBefore w:val="0"/>
        <w:widowControl w:val="0"/>
        <w:shd w:val="clear" w:color="auto" w:fill="FFFFFF"/>
        <w:kinsoku/>
        <w:wordWrap/>
        <w:overflowPunct/>
        <w:topLinePunct w:val="0"/>
        <w:autoSpaceDE/>
        <w:autoSpaceDN/>
        <w:bidi w:val="0"/>
        <w:adjustRightInd w:val="0"/>
        <w:snapToGrid/>
        <w:spacing w:beforeAutospacing="0" w:afterAutospacing="0" w:line="540" w:lineRule="exact"/>
        <w:jc w:val="center"/>
        <w:textAlignment w:val="auto"/>
        <w:rPr>
          <w:rFonts w:hint="eastAsia" w:ascii="方正小标宋简体" w:hAnsi="方正小标宋简体" w:eastAsia="方正小标宋简体" w:cs="方正小标宋简体"/>
          <w:b w:val="0"/>
          <w:bCs/>
          <w:color w:val="auto"/>
          <w:kern w:val="0"/>
          <w:sz w:val="44"/>
          <w:szCs w:val="44"/>
          <w:shd w:val="clear" w:color="auto" w:fill="FFFFFF"/>
          <w:lang w:val="en-US" w:eastAsia="zh-CN" w:bidi="ar-SA"/>
        </w:rPr>
      </w:pPr>
      <w:r>
        <w:rPr>
          <w:rFonts w:hint="eastAsia" w:ascii="方正小标宋简体" w:hAnsi="方正小标宋简体" w:eastAsia="方正小标宋简体" w:cs="方正小标宋简体"/>
          <w:b w:val="0"/>
          <w:bCs/>
          <w:color w:val="auto"/>
          <w:kern w:val="0"/>
          <w:sz w:val="44"/>
          <w:szCs w:val="44"/>
          <w:shd w:val="clear" w:color="auto" w:fill="FFFFFF"/>
          <w:lang w:val="en-US" w:eastAsia="zh-CN" w:bidi="ar-SA"/>
        </w:rPr>
        <w:t>焦作市生态环境局</w:t>
      </w:r>
    </w:p>
    <w:p w14:paraId="1DA77E2B">
      <w:pPr>
        <w:pStyle w:val="4"/>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40" w:lineRule="exact"/>
        <w:jc w:val="center"/>
        <w:textAlignment w:val="auto"/>
        <w:rPr>
          <w:rFonts w:hint="eastAsia" w:ascii="方正小标宋简体" w:hAnsi="方正小标宋简体" w:eastAsia="方正小标宋简体" w:cs="方正小标宋简体"/>
          <w:b w:val="0"/>
          <w:bCs/>
          <w:color w:val="auto"/>
          <w:kern w:val="0"/>
          <w:sz w:val="44"/>
          <w:szCs w:val="44"/>
          <w:shd w:val="clear" w:color="auto" w:fill="FFFFFF"/>
          <w:lang w:val="en-US" w:eastAsia="zh-CN" w:bidi="ar-SA"/>
        </w:rPr>
      </w:pPr>
      <w:r>
        <w:rPr>
          <w:rFonts w:hint="eastAsia" w:ascii="方正小标宋简体" w:hAnsi="方正小标宋简体" w:eastAsia="方正小标宋简体" w:cs="方正小标宋简体"/>
          <w:b w:val="0"/>
          <w:bCs/>
          <w:color w:val="auto"/>
          <w:kern w:val="0"/>
          <w:sz w:val="44"/>
          <w:szCs w:val="44"/>
          <w:shd w:val="clear" w:color="auto" w:fill="FFFFFF"/>
          <w:lang w:val="en-US" w:eastAsia="zh-CN" w:bidi="ar-SA"/>
        </w:rPr>
        <w:t>行政处罚决定书</w:t>
      </w:r>
    </w:p>
    <w:p w14:paraId="62FB8FB6">
      <w:pPr>
        <w:pStyle w:val="4"/>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40" w:lineRule="exact"/>
        <w:jc w:val="center"/>
        <w:textAlignment w:val="auto"/>
        <w:rPr>
          <w:rFonts w:hint="eastAsia" w:ascii="CESI仿宋-GB2312" w:hAnsi="CESI仿宋-GB2312" w:eastAsia="CESI仿宋-GB2312" w:cs="CESI仿宋-GB2312"/>
          <w:color w:val="auto"/>
          <w:kern w:val="2"/>
          <w:sz w:val="32"/>
          <w:szCs w:val="32"/>
          <w:lang w:val="en-US" w:eastAsia="zh-CN" w:bidi="ar-SA"/>
        </w:rPr>
      </w:pPr>
      <w:r>
        <w:rPr>
          <w:rFonts w:hint="eastAsia" w:ascii="CESI仿宋-GB2312" w:hAnsi="CESI仿宋-GB2312" w:eastAsia="CESI仿宋-GB2312" w:cs="CESI仿宋-GB2312"/>
          <w:color w:val="auto"/>
          <w:kern w:val="2"/>
          <w:sz w:val="32"/>
          <w:szCs w:val="32"/>
          <w:lang w:val="en-US" w:eastAsia="zh-CN" w:bidi="ar-SA"/>
        </w:rPr>
        <w:t>焦环罚〔2026〕193</w:t>
      </w:r>
      <w:bookmarkStart w:id="0" w:name="_GoBack"/>
      <w:bookmarkEnd w:id="0"/>
      <w:r>
        <w:rPr>
          <w:rFonts w:hint="eastAsia" w:ascii="CESI仿宋-GB2312" w:hAnsi="CESI仿宋-GB2312" w:eastAsia="CESI仿宋-GB2312" w:cs="CESI仿宋-GB2312"/>
          <w:color w:val="auto"/>
          <w:kern w:val="2"/>
          <w:sz w:val="32"/>
          <w:szCs w:val="32"/>
          <w:lang w:val="en-US" w:eastAsia="zh-CN" w:bidi="ar-SA"/>
        </w:rPr>
        <w:t>号</w:t>
      </w:r>
    </w:p>
    <w:p w14:paraId="484ECBC4">
      <w:pPr>
        <w:pStyle w:val="4"/>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40" w:lineRule="exact"/>
        <w:textAlignment w:val="auto"/>
        <w:rPr>
          <w:rFonts w:hint="eastAsia" w:ascii="CESI仿宋-GB2312" w:hAnsi="CESI仿宋-GB2312" w:eastAsia="CESI仿宋-GB2312" w:cs="CESI仿宋-GB2312"/>
          <w:color w:val="auto"/>
          <w:sz w:val="32"/>
          <w:szCs w:val="32"/>
          <w:lang w:eastAsia="zh-CN"/>
        </w:rPr>
      </w:pPr>
    </w:p>
    <w:p w14:paraId="26104713">
      <w:pPr>
        <w:pStyle w:val="4"/>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40" w:lineRule="exact"/>
        <w:textAlignment w:val="auto"/>
        <w:rPr>
          <w:rFonts w:hint="eastAsia" w:ascii="CESI仿宋-GB2312" w:hAnsi="CESI仿宋-GB2312" w:eastAsia="CESI仿宋-GB2312" w:cs="CESI仿宋-GB2312"/>
          <w:color w:val="auto"/>
          <w:sz w:val="32"/>
          <w:szCs w:val="32"/>
          <w:lang w:eastAsia="zh-CN"/>
        </w:rPr>
      </w:pPr>
      <w:r>
        <w:rPr>
          <w:rFonts w:hint="eastAsia" w:ascii="CESI仿宋-GB2312" w:hAnsi="CESI仿宋-GB2312" w:eastAsia="CESI仿宋-GB2312" w:cs="CESI仿宋-GB2312"/>
          <w:color w:val="auto"/>
          <w:sz w:val="32"/>
          <w:szCs w:val="32"/>
          <w:lang w:val="en-US" w:eastAsia="zh-CN"/>
        </w:rPr>
        <w:t>沁阳市天行健运输有限公司</w:t>
      </w:r>
      <w:r>
        <w:rPr>
          <w:rFonts w:hint="eastAsia" w:ascii="CESI仿宋-GB2312" w:hAnsi="CESI仿宋-GB2312" w:eastAsia="CESI仿宋-GB2312" w:cs="CESI仿宋-GB2312"/>
          <w:color w:val="auto"/>
          <w:sz w:val="32"/>
          <w:szCs w:val="32"/>
          <w:lang w:eastAsia="zh-CN"/>
        </w:rPr>
        <w:t>：</w:t>
      </w:r>
    </w:p>
    <w:p w14:paraId="36BFD2E1">
      <w:pPr>
        <w:pStyle w:val="4"/>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40" w:lineRule="exact"/>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rPr>
        <w:t>统一社会信用代码：</w:t>
      </w:r>
      <w:r>
        <w:rPr>
          <w:rFonts w:hint="eastAsia" w:ascii="CESI仿宋-GB2312" w:hAnsi="CESI仿宋-GB2312" w:eastAsia="CESI仿宋-GB2312" w:cs="CESI仿宋-GB2312"/>
          <w:color w:val="000000"/>
          <w:sz w:val="32"/>
          <w:szCs w:val="32"/>
          <w:lang w:val="en-US" w:eastAsia="zh-CN"/>
        </w:rPr>
        <w:t>91410882MA9GFQK75W</w:t>
      </w:r>
    </w:p>
    <w:p w14:paraId="6BFEAA91">
      <w:pPr>
        <w:pStyle w:val="4"/>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40" w:lineRule="exact"/>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rPr>
        <w:t>地址：</w:t>
      </w:r>
      <w:r>
        <w:rPr>
          <w:rFonts w:hint="eastAsia" w:ascii="CESI仿宋-GB2312" w:hAnsi="CESI仿宋-GB2312" w:eastAsia="CESI仿宋-GB2312" w:cs="CESI仿宋-GB2312"/>
          <w:color w:val="auto"/>
          <w:sz w:val="32"/>
          <w:szCs w:val="32"/>
          <w:lang w:val="en-US" w:eastAsia="zh-CN"/>
        </w:rPr>
        <w:t>沁阳市沁园街道覃怀路与西环路交叉口</w:t>
      </w:r>
    </w:p>
    <w:p w14:paraId="3D1BED04">
      <w:pPr>
        <w:pStyle w:val="4"/>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40" w:lineRule="exact"/>
        <w:textAlignment w:val="auto"/>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lang w:val="en-US" w:eastAsia="zh-CN"/>
        </w:rPr>
        <w:t>法定代表人（负责人）：张二兵</w:t>
      </w:r>
    </w:p>
    <w:p w14:paraId="5A19B11E">
      <w:pPr>
        <w:keepNext w:val="0"/>
        <w:keepLines w:val="0"/>
        <w:pageBreakBefore w:val="0"/>
        <w:widowControl w:val="0"/>
        <w:kinsoku/>
        <w:wordWrap/>
        <w:overflowPunct/>
        <w:topLinePunct w:val="0"/>
        <w:autoSpaceDE/>
        <w:autoSpaceDN/>
        <w:bidi w:val="0"/>
        <w:adjustRightInd w:val="0"/>
        <w:snapToGrid/>
        <w:spacing w:line="540" w:lineRule="exact"/>
        <w:ind w:firstLine="640" w:firstLineChars="200"/>
        <w:textAlignment w:val="auto"/>
        <w:rPr>
          <w:rFonts w:hint="eastAsia" w:ascii="CESI黑体-GB2312" w:hAnsi="CESI黑体-GB2312" w:eastAsia="CESI黑体-GB2312" w:cs="CESI黑体-GB2312"/>
          <w:color w:val="auto"/>
          <w:sz w:val="32"/>
          <w:szCs w:val="32"/>
          <w:lang w:val="en-US" w:eastAsia="zh-CN"/>
        </w:rPr>
      </w:pPr>
      <w:r>
        <w:rPr>
          <w:rFonts w:hint="eastAsia" w:ascii="CESI黑体-GB2312" w:hAnsi="CESI黑体-GB2312" w:eastAsia="CESI黑体-GB2312" w:cs="CESI黑体-GB2312"/>
          <w:color w:val="auto"/>
          <w:sz w:val="32"/>
          <w:szCs w:val="32"/>
          <w:lang w:val="en-US" w:eastAsia="zh-CN"/>
        </w:rPr>
        <w:t>一、环境违法事实和证据</w:t>
      </w:r>
    </w:p>
    <w:p w14:paraId="6FAB9B2D">
      <w:pPr>
        <w:pStyle w:val="4"/>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40" w:lineRule="exact"/>
        <w:ind w:firstLine="640" w:firstLineChars="200"/>
        <w:jc w:val="both"/>
        <w:textAlignment w:val="auto"/>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lang w:val="en-US" w:eastAsia="zh-CN"/>
        </w:rPr>
        <w:t>2026年3月31日焦作市生态环境局在沁阳市宋寨超限检查站路检路查发现重型货车豫HV7759车辆的车载排放系统温度传感器处于拔出状态，尾气处理装置未正常运行。2026年5月18日焦作市生态环境局执法人员根据相关线索，通知重型货车豫HV7759车辆所在的沁阳市天行健运输有限公司配合调查，沁阳市天行健运输有限公司委托车辆经营人刘刚配合调查询问，执法人员现场向车辆经营人刘刚出示2026年3月31日重型货车豫HV7759车辆存在车载排放系统温度传感器处于拔出状态，尾气处理装置未正常运行的证据材料，刘刚对出示的证据表示认可</w:t>
      </w:r>
      <w:r>
        <w:rPr>
          <w:rFonts w:hint="eastAsia" w:ascii="CESI仿宋-GB2312" w:hAnsi="CESI仿宋-GB2312" w:eastAsia="CESI仿宋-GB2312" w:cs="CESI仿宋-GB2312"/>
          <w:color w:val="auto"/>
          <w:sz w:val="32"/>
          <w:szCs w:val="32"/>
        </w:rPr>
        <w:t>。</w:t>
      </w:r>
    </w:p>
    <w:p w14:paraId="1D647427">
      <w:pPr>
        <w:pStyle w:val="4"/>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40" w:lineRule="exact"/>
        <w:ind w:firstLine="640" w:firstLineChars="200"/>
        <w:jc w:val="both"/>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你单位上述行为违反了</w:t>
      </w:r>
      <w:r>
        <w:rPr>
          <w:rFonts w:hint="eastAsia" w:ascii="CESI仿宋-GB2312" w:hAnsi="CESI仿宋-GB2312" w:eastAsia="CESI仿宋-GB2312" w:cs="CESI仿宋-GB2312"/>
          <w:color w:val="auto"/>
          <w:sz w:val="32"/>
          <w:szCs w:val="32"/>
          <w:lang w:eastAsia="zh-CN"/>
        </w:rPr>
        <w:t>《中华人民共和国大气污染防治法》第五十五条第三款：“禁止机动车所有人以临时更换机动车污染控制装置等弄虚作假的方式通过机动车排放检验。禁止机动车维修单位提供该类维修服务。禁止破坏机动车车载排放诊断系统。”</w:t>
      </w:r>
      <w:r>
        <w:rPr>
          <w:rFonts w:hint="eastAsia" w:ascii="CESI仿宋-GB2312" w:hAnsi="CESI仿宋-GB2312" w:eastAsia="CESI仿宋-GB2312" w:cs="CESI仿宋-GB2312"/>
          <w:color w:val="000000"/>
          <w:sz w:val="32"/>
          <w:szCs w:val="32"/>
          <w:lang w:val="en-US" w:eastAsia="zh-CN"/>
        </w:rPr>
        <w:t>的规定。</w:t>
      </w:r>
    </w:p>
    <w:p w14:paraId="3FF23E0C">
      <w:pPr>
        <w:pStyle w:val="4"/>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40" w:lineRule="exact"/>
        <w:ind w:firstLine="640" w:firstLineChars="200"/>
        <w:textAlignment w:val="auto"/>
        <w:rPr>
          <w:rFonts w:hint="eastAsia" w:ascii="CESI仿宋-GB2312" w:hAnsi="CESI仿宋-GB2312" w:eastAsia="CESI仿宋-GB2312" w:cs="CESI仿宋-GB2312"/>
          <w:color w:val="auto"/>
          <w:sz w:val="32"/>
          <w:szCs w:val="32"/>
          <w:lang w:eastAsia="zh-CN"/>
        </w:rPr>
      </w:pPr>
      <w:r>
        <w:rPr>
          <w:rFonts w:hint="eastAsia" w:ascii="CESI仿宋-GB2312" w:hAnsi="CESI仿宋-GB2312" w:eastAsia="CESI仿宋-GB2312" w:cs="CESI仿宋-GB2312"/>
          <w:color w:val="auto"/>
          <w:sz w:val="32"/>
          <w:szCs w:val="32"/>
        </w:rPr>
        <w:t>以上事实，</w:t>
      </w:r>
      <w:r>
        <w:rPr>
          <w:rFonts w:hint="eastAsia" w:ascii="CESI仿宋-GB2312" w:hAnsi="CESI仿宋-GB2312" w:eastAsia="CESI仿宋-GB2312" w:cs="CESI仿宋-GB2312"/>
          <w:color w:val="auto"/>
          <w:sz w:val="32"/>
          <w:szCs w:val="32"/>
          <w:lang w:eastAsia="zh-CN"/>
        </w:rPr>
        <w:t>主要有以下证据证明：</w:t>
      </w:r>
    </w:p>
    <w:p w14:paraId="30225094">
      <w:pPr>
        <w:pStyle w:val="4"/>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40" w:lineRule="exact"/>
        <w:ind w:firstLine="640" w:firstLineChars="200"/>
        <w:jc w:val="both"/>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1.</w:t>
      </w:r>
      <w:r>
        <w:rPr>
          <w:rFonts w:hint="eastAsia" w:ascii="CESI仿宋-GB2312" w:hAnsi="CESI仿宋-GB2312" w:eastAsia="CESI仿宋-GB2312" w:cs="CESI仿宋-GB2312"/>
          <w:color w:val="000000"/>
          <w:sz w:val="32"/>
          <w:szCs w:val="32"/>
        </w:rPr>
        <w:t>现场检查（勘察）笔录</w:t>
      </w:r>
      <w:r>
        <w:rPr>
          <w:rFonts w:hint="eastAsia" w:ascii="CESI仿宋-GB2312" w:hAnsi="CESI仿宋-GB2312" w:eastAsia="CESI仿宋-GB2312" w:cs="CESI仿宋-GB2312"/>
          <w:color w:val="000000"/>
          <w:sz w:val="32"/>
          <w:szCs w:val="32"/>
          <w:lang w:eastAsia="zh-CN"/>
        </w:rPr>
        <w:t>及现场检查照片（</w:t>
      </w:r>
      <w:r>
        <w:rPr>
          <w:rFonts w:hint="eastAsia" w:ascii="CESI仿宋-GB2312" w:hAnsi="CESI仿宋-GB2312" w:eastAsia="CESI仿宋-GB2312" w:cs="CESI仿宋-GB2312"/>
          <w:color w:val="000000"/>
          <w:sz w:val="32"/>
          <w:szCs w:val="32"/>
          <w:lang w:val="en-US" w:eastAsia="zh-CN"/>
        </w:rPr>
        <w:t>2026年3月31日、2026年5月18日</w:t>
      </w:r>
      <w:r>
        <w:rPr>
          <w:rFonts w:hint="eastAsia" w:ascii="CESI仿宋-GB2312" w:hAnsi="CESI仿宋-GB2312" w:eastAsia="CESI仿宋-GB2312" w:cs="CESI仿宋-GB2312"/>
          <w:color w:val="000000"/>
          <w:sz w:val="32"/>
          <w:szCs w:val="32"/>
          <w:lang w:eastAsia="zh-CN"/>
        </w:rPr>
        <w:t>），证明执法人员调查你单位</w:t>
      </w:r>
      <w:r>
        <w:rPr>
          <w:rFonts w:hint="eastAsia" w:ascii="CESI仿宋-GB2312" w:hAnsi="CESI仿宋-GB2312" w:eastAsia="CESI仿宋-GB2312" w:cs="CESI仿宋-GB2312"/>
          <w:color w:val="000000"/>
          <w:sz w:val="32"/>
          <w:szCs w:val="32"/>
          <w:lang w:val="en-US" w:eastAsia="zh-CN"/>
        </w:rPr>
        <w:t>车牌号为豫HV7759（黄牌）的重型半挂牵引柴油车存在</w:t>
      </w:r>
      <w:r>
        <w:rPr>
          <w:rFonts w:hint="eastAsia" w:ascii="CESI仿宋-GB2312" w:hAnsi="CESI仿宋-GB2312" w:eastAsia="CESI仿宋-GB2312" w:cs="CESI仿宋-GB2312"/>
          <w:color w:val="auto"/>
          <w:sz w:val="32"/>
          <w:szCs w:val="32"/>
          <w:lang w:val="en-US" w:eastAsia="zh-CN"/>
        </w:rPr>
        <w:t>车载排放</w:t>
      </w:r>
      <w:r>
        <w:rPr>
          <w:rFonts w:hint="eastAsia" w:ascii="CESI仿宋-GB2312" w:hAnsi="CESI仿宋-GB2312" w:eastAsia="CESI仿宋-GB2312" w:cs="CESI仿宋-GB2312"/>
          <w:color w:val="000000"/>
          <w:sz w:val="32"/>
          <w:szCs w:val="32"/>
          <w:lang w:val="en-US" w:eastAsia="zh-CN"/>
        </w:rPr>
        <w:t>系统温度传感器处于拔出状态，尾气处理装置未正常运行的事实；</w:t>
      </w:r>
    </w:p>
    <w:p w14:paraId="01AAE341">
      <w:pPr>
        <w:pStyle w:val="4"/>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540" w:lineRule="exact"/>
        <w:ind w:right="0" w:rightChars="0" w:firstLine="640" w:firstLineChars="200"/>
        <w:jc w:val="both"/>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u w:val="none"/>
          <w:lang w:val="en-US" w:eastAsia="zh-CN"/>
        </w:rPr>
        <w:t>2.</w:t>
      </w:r>
      <w:r>
        <w:rPr>
          <w:rFonts w:hint="eastAsia" w:ascii="CESI仿宋-GB2312" w:hAnsi="CESI仿宋-GB2312" w:eastAsia="CESI仿宋-GB2312" w:cs="CESI仿宋-GB2312"/>
          <w:color w:val="000000"/>
          <w:sz w:val="32"/>
          <w:szCs w:val="32"/>
          <w:u w:val="none"/>
        </w:rPr>
        <w:t>调查询问笔录</w:t>
      </w:r>
      <w:r>
        <w:rPr>
          <w:rFonts w:hint="eastAsia" w:ascii="CESI仿宋-GB2312" w:hAnsi="CESI仿宋-GB2312" w:eastAsia="CESI仿宋-GB2312" w:cs="CESI仿宋-GB2312"/>
          <w:color w:val="000000"/>
          <w:sz w:val="32"/>
          <w:szCs w:val="32"/>
          <w:u w:val="none"/>
          <w:lang w:eastAsia="zh-CN"/>
        </w:rPr>
        <w:t>（</w:t>
      </w:r>
      <w:r>
        <w:rPr>
          <w:rFonts w:hint="eastAsia" w:ascii="CESI仿宋-GB2312" w:hAnsi="CESI仿宋-GB2312" w:eastAsia="CESI仿宋-GB2312" w:cs="CESI仿宋-GB2312"/>
          <w:color w:val="000000"/>
          <w:sz w:val="32"/>
          <w:szCs w:val="32"/>
          <w:u w:val="none"/>
          <w:lang w:val="en-US" w:eastAsia="zh-CN"/>
        </w:rPr>
        <w:t>2026年5月18日</w:t>
      </w:r>
      <w:r>
        <w:rPr>
          <w:rFonts w:hint="eastAsia" w:ascii="CESI仿宋-GB2312" w:hAnsi="CESI仿宋-GB2312" w:eastAsia="CESI仿宋-GB2312" w:cs="CESI仿宋-GB2312"/>
          <w:color w:val="000000"/>
          <w:sz w:val="32"/>
          <w:szCs w:val="32"/>
          <w:u w:val="none"/>
          <w:lang w:eastAsia="zh-CN"/>
        </w:rPr>
        <w:t>），证明你单位认可</w:t>
      </w:r>
      <w:r>
        <w:rPr>
          <w:rFonts w:hint="eastAsia" w:ascii="CESI仿宋-GB2312" w:hAnsi="CESI仿宋-GB2312" w:eastAsia="CESI仿宋-GB2312" w:cs="CESI仿宋-GB2312"/>
          <w:color w:val="000000"/>
          <w:sz w:val="32"/>
          <w:szCs w:val="32"/>
          <w:lang w:val="en-US" w:eastAsia="zh-CN"/>
        </w:rPr>
        <w:t>车牌号为豫HV7759（黄牌）的重型半挂牵引柴油车存在</w:t>
      </w:r>
      <w:r>
        <w:rPr>
          <w:rFonts w:hint="eastAsia" w:ascii="CESI仿宋-GB2312" w:hAnsi="CESI仿宋-GB2312" w:eastAsia="CESI仿宋-GB2312" w:cs="CESI仿宋-GB2312"/>
          <w:color w:val="auto"/>
          <w:sz w:val="32"/>
          <w:szCs w:val="32"/>
          <w:lang w:val="en-US" w:eastAsia="zh-CN"/>
        </w:rPr>
        <w:t>车载排放</w:t>
      </w:r>
      <w:r>
        <w:rPr>
          <w:rFonts w:hint="eastAsia" w:ascii="CESI仿宋-GB2312" w:hAnsi="CESI仿宋-GB2312" w:eastAsia="CESI仿宋-GB2312" w:cs="CESI仿宋-GB2312"/>
          <w:color w:val="000000"/>
          <w:sz w:val="32"/>
          <w:szCs w:val="32"/>
          <w:lang w:val="en-US" w:eastAsia="zh-CN"/>
        </w:rPr>
        <w:t>系统温度传感器处于拔出状态，尾气处理装置未正常运行的事实；</w:t>
      </w:r>
    </w:p>
    <w:p w14:paraId="0EAA5D6B">
      <w:pPr>
        <w:pStyle w:val="4"/>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540" w:lineRule="exact"/>
        <w:ind w:right="0" w:rightChars="0" w:firstLine="640" w:firstLineChars="200"/>
        <w:jc w:val="both"/>
        <w:textAlignment w:val="auto"/>
        <w:rPr>
          <w:rFonts w:hint="eastAsia" w:ascii="CESI仿宋-GB2312" w:hAnsi="CESI仿宋-GB2312" w:eastAsia="CESI仿宋-GB2312" w:cs="CESI仿宋-GB2312"/>
          <w:color w:val="000000"/>
          <w:sz w:val="32"/>
          <w:szCs w:val="32"/>
          <w:u w:val="none"/>
          <w:lang w:eastAsia="zh-CN"/>
        </w:rPr>
      </w:pPr>
      <w:r>
        <w:rPr>
          <w:rFonts w:hint="eastAsia" w:ascii="CESI仿宋-GB2312" w:hAnsi="CESI仿宋-GB2312" w:eastAsia="CESI仿宋-GB2312" w:cs="CESI仿宋-GB2312"/>
          <w:color w:val="000000"/>
          <w:sz w:val="32"/>
          <w:szCs w:val="32"/>
          <w:u w:val="none"/>
          <w:lang w:val="en-US" w:eastAsia="zh-CN"/>
        </w:rPr>
        <w:t>3.</w:t>
      </w:r>
      <w:r>
        <w:rPr>
          <w:rFonts w:hint="eastAsia" w:ascii="CESI仿宋-GB2312" w:hAnsi="CESI仿宋-GB2312" w:eastAsia="CESI仿宋-GB2312" w:cs="CESI仿宋-GB2312"/>
          <w:color w:val="000000"/>
          <w:sz w:val="32"/>
          <w:szCs w:val="32"/>
          <w:u w:val="none"/>
        </w:rPr>
        <w:t>营业执照</w:t>
      </w:r>
      <w:r>
        <w:rPr>
          <w:rFonts w:hint="eastAsia" w:ascii="CESI仿宋-GB2312" w:hAnsi="CESI仿宋-GB2312" w:eastAsia="CESI仿宋-GB2312" w:cs="CESI仿宋-GB2312"/>
          <w:color w:val="000000"/>
          <w:sz w:val="32"/>
          <w:szCs w:val="32"/>
          <w:u w:val="none"/>
          <w:lang w:eastAsia="zh-CN"/>
        </w:rPr>
        <w:t>复印件证明你单位法人主体资格；</w:t>
      </w:r>
    </w:p>
    <w:p w14:paraId="3902C589">
      <w:pPr>
        <w:pStyle w:val="4"/>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540" w:lineRule="exact"/>
        <w:ind w:right="0" w:rightChars="0" w:firstLine="640" w:firstLineChars="200"/>
        <w:jc w:val="both"/>
        <w:textAlignment w:val="auto"/>
        <w:rPr>
          <w:rFonts w:hint="eastAsia" w:ascii="CESI仿宋-GB2312" w:hAnsi="CESI仿宋-GB2312" w:eastAsia="CESI仿宋-GB2312" w:cs="CESI仿宋-GB2312"/>
          <w:color w:val="000000"/>
          <w:sz w:val="32"/>
          <w:szCs w:val="32"/>
          <w:lang w:val="en-US"/>
        </w:rPr>
      </w:pPr>
      <w:r>
        <w:rPr>
          <w:rFonts w:hint="eastAsia" w:ascii="CESI仿宋-GB2312" w:hAnsi="CESI仿宋-GB2312" w:eastAsia="CESI仿宋-GB2312" w:cs="CESI仿宋-GB2312"/>
          <w:color w:val="000000"/>
          <w:sz w:val="32"/>
          <w:szCs w:val="32"/>
          <w:u w:val="none"/>
          <w:lang w:val="en-US" w:eastAsia="zh-CN"/>
        </w:rPr>
        <w:t>4.</w:t>
      </w:r>
      <w:r>
        <w:rPr>
          <w:rFonts w:hint="eastAsia" w:ascii="CESI仿宋-GB2312" w:hAnsi="CESI仿宋-GB2312" w:eastAsia="CESI仿宋-GB2312" w:cs="CESI仿宋-GB2312"/>
          <w:color w:val="000000"/>
          <w:sz w:val="32"/>
          <w:szCs w:val="32"/>
          <w:u w:val="none"/>
          <w:lang w:eastAsia="zh-CN"/>
        </w:rPr>
        <w:t>授权委托书、</w:t>
      </w:r>
      <w:r>
        <w:rPr>
          <w:rFonts w:hint="eastAsia" w:ascii="CESI仿宋-GB2312" w:hAnsi="CESI仿宋-GB2312" w:eastAsia="CESI仿宋-GB2312" w:cs="CESI仿宋-GB2312"/>
          <w:color w:val="000000"/>
          <w:sz w:val="32"/>
          <w:szCs w:val="32"/>
          <w:u w:val="none"/>
        </w:rPr>
        <w:t>被授权人身份证</w:t>
      </w:r>
      <w:r>
        <w:rPr>
          <w:rFonts w:hint="eastAsia" w:ascii="CESI仿宋-GB2312" w:hAnsi="CESI仿宋-GB2312" w:eastAsia="CESI仿宋-GB2312" w:cs="CESI仿宋-GB2312"/>
          <w:color w:val="000000"/>
          <w:sz w:val="32"/>
          <w:szCs w:val="32"/>
          <w:u w:val="none"/>
          <w:lang w:eastAsia="zh-CN"/>
        </w:rPr>
        <w:t>复印件、机动车行驶证和道路运输证复印件，证明</w:t>
      </w:r>
      <w:r>
        <w:rPr>
          <w:rFonts w:hint="eastAsia" w:ascii="CESI仿宋-GB2312" w:hAnsi="CESI仿宋-GB2312" w:eastAsia="CESI仿宋-GB2312" w:cs="CESI仿宋-GB2312"/>
          <w:color w:val="000000"/>
          <w:sz w:val="32"/>
          <w:szCs w:val="32"/>
          <w:lang w:val="en-US" w:eastAsia="zh-CN"/>
        </w:rPr>
        <w:t>车牌号为豫HV7759（黄牌）的重型半挂牵引柴油车的所有人是你单位并从事道路普通货物运输；</w:t>
      </w:r>
    </w:p>
    <w:p w14:paraId="39D0F40F">
      <w:pPr>
        <w:pStyle w:val="4"/>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540" w:lineRule="exact"/>
        <w:ind w:right="0" w:rightChars="0" w:firstLine="640" w:firstLineChars="200"/>
        <w:jc w:val="both"/>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5.中华人民共和国道路运输经营许可证复印件证明你单位具备合法从事道路运输经营活动的资质与资格；</w:t>
      </w:r>
    </w:p>
    <w:p w14:paraId="3BAC9CBC">
      <w:pPr>
        <w:pStyle w:val="4"/>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40" w:lineRule="exact"/>
        <w:ind w:firstLine="640" w:firstLineChars="200"/>
        <w:textAlignment w:val="auto"/>
        <w:rPr>
          <w:rFonts w:hint="eastAsia" w:ascii="CESI仿宋-GB2312" w:hAnsi="CESI仿宋-GB2312" w:eastAsia="CESI仿宋-GB2312" w:cs="CESI仿宋-GB2312"/>
          <w:color w:val="FF0000"/>
          <w:sz w:val="32"/>
          <w:szCs w:val="32"/>
          <w:lang w:eastAsia="zh-CN"/>
        </w:rPr>
      </w:pPr>
      <w:r>
        <w:rPr>
          <w:rFonts w:hint="eastAsia" w:ascii="CESI仿宋-GB2312" w:hAnsi="CESI仿宋-GB2312" w:eastAsia="CESI仿宋-GB2312" w:cs="CESI仿宋-GB2312"/>
          <w:color w:val="000000"/>
          <w:sz w:val="32"/>
          <w:szCs w:val="32"/>
          <w:lang w:val="en-US" w:eastAsia="zh-CN"/>
        </w:rPr>
        <w:t>6.其他证据等。</w:t>
      </w:r>
    </w:p>
    <w:p w14:paraId="4594D088">
      <w:pPr>
        <w:pStyle w:val="4"/>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540" w:lineRule="exact"/>
        <w:ind w:right="0" w:rightChars="0" w:firstLine="640" w:firstLineChars="200"/>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en-US"/>
        </w:rPr>
        <w:t>我局于202</w:t>
      </w:r>
      <w:r>
        <w:rPr>
          <w:rFonts w:hint="eastAsia" w:ascii="CESI仿宋-GB2312" w:hAnsi="CESI仿宋-GB2312" w:eastAsia="CESI仿宋-GB2312" w:cs="CESI仿宋-GB2312"/>
          <w:color w:val="auto"/>
          <w:sz w:val="32"/>
          <w:szCs w:val="32"/>
          <w:lang w:val="en-US" w:eastAsia="zh-CN"/>
        </w:rPr>
        <w:t>6</w:t>
      </w:r>
      <w:r>
        <w:rPr>
          <w:rFonts w:hint="eastAsia" w:ascii="CESI仿宋-GB2312" w:hAnsi="CESI仿宋-GB2312" w:eastAsia="CESI仿宋-GB2312" w:cs="CESI仿宋-GB2312"/>
          <w:color w:val="auto"/>
          <w:sz w:val="32"/>
          <w:szCs w:val="32"/>
          <w:lang w:val="en-US" w:eastAsia="en-US"/>
        </w:rPr>
        <w:t>年</w:t>
      </w:r>
      <w:r>
        <w:rPr>
          <w:rFonts w:hint="eastAsia" w:ascii="CESI仿宋-GB2312" w:hAnsi="CESI仿宋-GB2312" w:eastAsia="CESI仿宋-GB2312" w:cs="CESI仿宋-GB2312"/>
          <w:color w:val="auto"/>
          <w:sz w:val="32"/>
          <w:szCs w:val="32"/>
          <w:lang w:val="en-US" w:eastAsia="zh-CN"/>
        </w:rPr>
        <w:t>6</w:t>
      </w:r>
      <w:r>
        <w:rPr>
          <w:rFonts w:hint="eastAsia" w:ascii="CESI仿宋-GB2312" w:hAnsi="CESI仿宋-GB2312" w:eastAsia="CESI仿宋-GB2312" w:cs="CESI仿宋-GB2312"/>
          <w:color w:val="auto"/>
          <w:sz w:val="32"/>
          <w:szCs w:val="32"/>
          <w:lang w:val="en-US" w:eastAsia="en-US"/>
        </w:rPr>
        <w:t>月</w:t>
      </w:r>
      <w:r>
        <w:rPr>
          <w:rFonts w:hint="eastAsia" w:ascii="CESI仿宋-GB2312" w:hAnsi="CESI仿宋-GB2312" w:eastAsia="CESI仿宋-GB2312" w:cs="CESI仿宋-GB2312"/>
          <w:color w:val="auto"/>
          <w:sz w:val="32"/>
          <w:szCs w:val="32"/>
          <w:lang w:val="en-US" w:eastAsia="zh-CN"/>
        </w:rPr>
        <w:t>10</w:t>
      </w:r>
      <w:r>
        <w:rPr>
          <w:rFonts w:hint="eastAsia" w:ascii="CESI仿宋-GB2312" w:hAnsi="CESI仿宋-GB2312" w:eastAsia="CESI仿宋-GB2312" w:cs="CESI仿宋-GB2312"/>
          <w:color w:val="auto"/>
          <w:sz w:val="32"/>
          <w:szCs w:val="32"/>
          <w:lang w:val="en-US" w:eastAsia="en-US"/>
        </w:rPr>
        <w:t>日送达《行政处罚事先</w:t>
      </w:r>
      <w:r>
        <w:rPr>
          <w:rFonts w:hint="eastAsia" w:ascii="CESI仿宋-GB2312" w:hAnsi="CESI仿宋-GB2312" w:eastAsia="CESI仿宋-GB2312" w:cs="CESI仿宋-GB2312"/>
          <w:color w:val="auto"/>
          <w:sz w:val="32"/>
          <w:szCs w:val="32"/>
          <w:lang w:val="en-US" w:eastAsia="zh-CN"/>
        </w:rPr>
        <w:t>（听证）</w:t>
      </w:r>
      <w:r>
        <w:rPr>
          <w:rFonts w:hint="eastAsia" w:ascii="CESI仿宋-GB2312" w:hAnsi="CESI仿宋-GB2312" w:eastAsia="CESI仿宋-GB2312" w:cs="CESI仿宋-GB2312"/>
          <w:color w:val="auto"/>
          <w:sz w:val="32"/>
          <w:szCs w:val="32"/>
          <w:lang w:val="en-US" w:eastAsia="en-US"/>
        </w:rPr>
        <w:t>告知</w:t>
      </w:r>
      <w:r>
        <w:rPr>
          <w:rFonts w:hint="eastAsia" w:ascii="CESI仿宋-GB2312" w:hAnsi="CESI仿宋-GB2312" w:eastAsia="CESI仿宋-GB2312" w:cs="CESI仿宋-GB2312"/>
          <w:color w:val="auto"/>
          <w:sz w:val="32"/>
          <w:szCs w:val="32"/>
          <w:lang w:val="en-US" w:eastAsia="zh-CN"/>
        </w:rPr>
        <w:t>书</w:t>
      </w:r>
      <w:r>
        <w:rPr>
          <w:rFonts w:hint="eastAsia" w:ascii="CESI仿宋-GB2312" w:hAnsi="CESI仿宋-GB2312" w:eastAsia="CESI仿宋-GB2312" w:cs="CESI仿宋-GB2312"/>
          <w:color w:val="auto"/>
          <w:sz w:val="32"/>
          <w:szCs w:val="32"/>
          <w:lang w:val="en-US" w:eastAsia="en-US"/>
        </w:rPr>
        <w:t>》（焦</w:t>
      </w:r>
      <w:r>
        <w:rPr>
          <w:rFonts w:hint="eastAsia" w:ascii="CESI仿宋-GB2312" w:hAnsi="CESI仿宋-GB2312" w:eastAsia="CESI仿宋-GB2312" w:cs="CESI仿宋-GB2312"/>
          <w:color w:val="auto"/>
          <w:sz w:val="32"/>
          <w:szCs w:val="32"/>
          <w:lang w:val="en-US" w:eastAsia="zh-CN"/>
        </w:rPr>
        <w:t>沁环先</w:t>
      </w:r>
      <w:r>
        <w:rPr>
          <w:rFonts w:hint="eastAsia" w:ascii="CESI仿宋-GB2312" w:hAnsi="CESI仿宋-GB2312" w:eastAsia="CESI仿宋-GB2312" w:cs="CESI仿宋-GB2312"/>
          <w:color w:val="auto"/>
          <w:sz w:val="32"/>
          <w:szCs w:val="32"/>
          <w:lang w:val="en-US" w:eastAsia="en-US"/>
        </w:rPr>
        <w:t>告</w:t>
      </w:r>
      <w:r>
        <w:rPr>
          <w:rFonts w:hint="eastAsia" w:ascii="CESI仿宋-GB2312" w:hAnsi="CESI仿宋-GB2312" w:eastAsia="CESI仿宋-GB2312" w:cs="CESI仿宋-GB2312"/>
          <w:color w:val="auto"/>
          <w:sz w:val="32"/>
          <w:szCs w:val="32"/>
          <w:lang w:val="en-US" w:eastAsia="zh-CN"/>
        </w:rPr>
        <w:t>字</w:t>
      </w:r>
      <w:r>
        <w:rPr>
          <w:rFonts w:hint="eastAsia" w:ascii="CESI仿宋-GB2312" w:hAnsi="CESI仿宋-GB2312" w:eastAsia="CESI仿宋-GB2312" w:cs="CESI仿宋-GB2312"/>
          <w:color w:val="auto"/>
          <w:sz w:val="32"/>
          <w:szCs w:val="32"/>
          <w:lang w:val="en-US" w:eastAsia="en-US"/>
        </w:rPr>
        <w:t>〔20</w:t>
      </w:r>
      <w:r>
        <w:rPr>
          <w:rFonts w:hint="eastAsia" w:ascii="CESI仿宋-GB2312" w:hAnsi="CESI仿宋-GB2312" w:eastAsia="CESI仿宋-GB2312" w:cs="CESI仿宋-GB2312"/>
          <w:color w:val="auto"/>
          <w:sz w:val="32"/>
          <w:szCs w:val="32"/>
          <w:lang w:val="en-US" w:eastAsia="zh-CN"/>
        </w:rPr>
        <w:t>26</w:t>
      </w:r>
      <w:r>
        <w:rPr>
          <w:rFonts w:hint="eastAsia" w:ascii="CESI仿宋-GB2312" w:hAnsi="CESI仿宋-GB2312" w:eastAsia="CESI仿宋-GB2312" w:cs="CESI仿宋-GB2312"/>
          <w:color w:val="auto"/>
          <w:sz w:val="32"/>
          <w:szCs w:val="32"/>
          <w:lang w:val="en-US" w:eastAsia="en-US"/>
        </w:rPr>
        <w:t>〕</w:t>
      </w:r>
      <w:r>
        <w:rPr>
          <w:rFonts w:hint="eastAsia" w:ascii="CESI仿宋-GB2312" w:hAnsi="CESI仿宋-GB2312" w:eastAsia="CESI仿宋-GB2312" w:cs="CESI仿宋-GB2312"/>
          <w:color w:val="auto"/>
          <w:sz w:val="32"/>
          <w:szCs w:val="32"/>
          <w:lang w:val="en-US" w:eastAsia="zh-CN"/>
        </w:rPr>
        <w:t>52</w:t>
      </w:r>
      <w:r>
        <w:rPr>
          <w:rFonts w:hint="eastAsia" w:ascii="CESI仿宋-GB2312" w:hAnsi="CESI仿宋-GB2312" w:eastAsia="CESI仿宋-GB2312" w:cs="CESI仿宋-GB2312"/>
          <w:color w:val="auto"/>
          <w:sz w:val="32"/>
          <w:szCs w:val="32"/>
          <w:lang w:val="en-US" w:eastAsia="en-US"/>
        </w:rPr>
        <w:t>号），</w:t>
      </w:r>
      <w:r>
        <w:rPr>
          <w:rFonts w:hint="eastAsia" w:ascii="CESI仿宋-GB2312" w:hAnsi="CESI仿宋-GB2312" w:eastAsia="CESI仿宋-GB2312" w:cs="CESI仿宋-GB2312"/>
          <w:color w:val="auto"/>
          <w:sz w:val="32"/>
          <w:szCs w:val="32"/>
          <w:lang w:val="en-US" w:eastAsia="zh-CN"/>
        </w:rPr>
        <w:t>告知书告知你单位陈述申辩权</w:t>
      </w:r>
      <w:r>
        <w:rPr>
          <w:rFonts w:hint="eastAsia" w:ascii="CESI仿宋-GB2312" w:hAnsi="CESI仿宋-GB2312" w:eastAsia="CESI仿宋-GB2312" w:cs="CESI仿宋-GB2312"/>
          <w:color w:val="auto"/>
          <w:sz w:val="32"/>
          <w:szCs w:val="32"/>
          <w:lang w:val="en-US" w:eastAsia="en-US"/>
        </w:rPr>
        <w:t>。你单位在法定期限内未提出陈述申辩，视为你单位放弃陈述申辩权利。</w:t>
      </w:r>
    </w:p>
    <w:p w14:paraId="55BFD01F">
      <w:pPr>
        <w:keepNext w:val="0"/>
        <w:keepLines w:val="0"/>
        <w:pageBreakBefore w:val="0"/>
        <w:widowControl w:val="0"/>
        <w:kinsoku/>
        <w:wordWrap/>
        <w:overflowPunct/>
        <w:topLinePunct w:val="0"/>
        <w:autoSpaceDE/>
        <w:autoSpaceDN/>
        <w:bidi w:val="0"/>
        <w:adjustRightInd w:val="0"/>
        <w:snapToGrid/>
        <w:spacing w:line="540" w:lineRule="exact"/>
        <w:ind w:firstLine="640" w:firstLineChars="200"/>
        <w:textAlignment w:val="baseline"/>
        <w:rPr>
          <w:rFonts w:hint="eastAsia" w:ascii="CESI黑体-GB2312" w:hAnsi="CESI黑体-GB2312" w:eastAsia="CESI黑体-GB2312" w:cs="CESI黑体-GB2312"/>
          <w:b w:val="0"/>
          <w:bCs w:val="0"/>
          <w:snapToGrid w:val="0"/>
          <w:color w:val="auto"/>
          <w:kern w:val="0"/>
          <w:sz w:val="32"/>
          <w:szCs w:val="32"/>
          <w:lang w:val="en-US" w:eastAsia="en-US" w:bidi="ar"/>
        </w:rPr>
      </w:pPr>
      <w:r>
        <w:rPr>
          <w:rFonts w:hint="eastAsia" w:ascii="CESI黑体-GB2312" w:hAnsi="CESI黑体-GB2312" w:eastAsia="CESI黑体-GB2312" w:cs="CESI黑体-GB2312"/>
          <w:b w:val="0"/>
          <w:bCs w:val="0"/>
          <w:snapToGrid w:val="0"/>
          <w:color w:val="auto"/>
          <w:kern w:val="0"/>
          <w:sz w:val="32"/>
          <w:szCs w:val="32"/>
          <w:lang w:val="en-US" w:eastAsia="en-US" w:bidi="ar"/>
        </w:rPr>
        <w:t>二、行政处罚的依据、种类</w:t>
      </w:r>
    </w:p>
    <w:p w14:paraId="255A2909">
      <w:pPr>
        <w:pStyle w:val="4"/>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40" w:lineRule="exact"/>
        <w:ind w:firstLine="640" w:firstLineChars="200"/>
        <w:jc w:val="both"/>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根据你单位违法行为的事实、性质、情节、社会危害程度和相关证据，依据</w:t>
      </w:r>
      <w:r>
        <w:rPr>
          <w:rFonts w:hint="eastAsia" w:ascii="CESI仿宋-GB2312" w:hAnsi="CESI仿宋-GB2312" w:eastAsia="CESI仿宋-GB2312" w:cs="CESI仿宋-GB2312"/>
          <w:color w:val="auto"/>
          <w:sz w:val="32"/>
          <w:szCs w:val="32"/>
          <w:lang w:eastAsia="zh-CN"/>
        </w:rPr>
        <w:t>《中华人民共和国大气污染防治法》第一百一十二条第三款：“违反本法规定，以临时更换机动车污染控制装置等弄虚作假的方式通过机动车排放检验或者破坏机动车车载排放诊断系统的，由县级以上人民政府生态环境主管部门责令改正，对机动车所有人处五千元的罚款；对机动车维修单位处每辆机动车五千元的罚款。”</w:t>
      </w:r>
      <w:r>
        <w:rPr>
          <w:rFonts w:hint="eastAsia" w:ascii="CESI仿宋-GB2312" w:hAnsi="CESI仿宋-GB2312" w:eastAsia="CESI仿宋-GB2312" w:cs="CESI仿宋-GB2312"/>
          <w:color w:val="000000"/>
          <w:sz w:val="32"/>
          <w:szCs w:val="32"/>
          <w:lang w:val="en-US" w:eastAsia="zh-CN"/>
        </w:rPr>
        <w:t>的规定，我局对你单位</w:t>
      </w:r>
      <w:r>
        <w:rPr>
          <w:rFonts w:hint="eastAsia" w:ascii="CESI仿宋-GB2312" w:hAnsi="CESI仿宋-GB2312" w:eastAsia="CESI仿宋-GB2312" w:cs="CESI仿宋-GB2312"/>
          <w:color w:val="auto"/>
          <w:sz w:val="32"/>
          <w:szCs w:val="32"/>
          <w:lang w:eastAsia="zh-CN"/>
        </w:rPr>
        <w:t>豫</w:t>
      </w:r>
      <w:r>
        <w:rPr>
          <w:rFonts w:hint="eastAsia" w:ascii="CESI仿宋-GB2312" w:hAnsi="CESI仿宋-GB2312" w:eastAsia="CESI仿宋-GB2312" w:cs="CESI仿宋-GB2312"/>
          <w:color w:val="auto"/>
          <w:sz w:val="32"/>
          <w:szCs w:val="32"/>
          <w:lang w:val="en-US" w:eastAsia="zh-CN"/>
        </w:rPr>
        <w:t>HV7759重型货车</w:t>
      </w:r>
      <w:r>
        <w:rPr>
          <w:rFonts w:hint="eastAsia" w:ascii="CESI仿宋-GB2312" w:hAnsi="CESI仿宋-GB2312" w:eastAsia="CESI仿宋-GB2312" w:cs="CESI仿宋-GB2312"/>
          <w:color w:val="auto"/>
          <w:sz w:val="32"/>
          <w:szCs w:val="32"/>
          <w:lang w:eastAsia="zh-CN"/>
        </w:rPr>
        <w:t>存在</w:t>
      </w:r>
      <w:r>
        <w:rPr>
          <w:rFonts w:hint="eastAsia" w:ascii="CESI仿宋-GB2312" w:hAnsi="CESI仿宋-GB2312" w:eastAsia="CESI仿宋-GB2312" w:cs="CESI仿宋-GB2312"/>
          <w:color w:val="auto"/>
          <w:sz w:val="32"/>
          <w:szCs w:val="32"/>
          <w:lang w:val="en-US" w:eastAsia="zh-CN"/>
        </w:rPr>
        <w:t>车载排放系统温度传感器拔出</w:t>
      </w:r>
      <w:r>
        <w:rPr>
          <w:rFonts w:hint="eastAsia" w:ascii="CESI仿宋-GB2312" w:hAnsi="CESI仿宋-GB2312" w:eastAsia="CESI仿宋-GB2312" w:cs="CESI仿宋-GB2312"/>
          <w:color w:val="000000"/>
          <w:sz w:val="32"/>
          <w:szCs w:val="32"/>
          <w:lang w:val="en-US" w:eastAsia="zh-CN"/>
        </w:rPr>
        <w:t>的违法行为作出以下处理决定：</w:t>
      </w:r>
    </w:p>
    <w:p w14:paraId="54D83D4B">
      <w:pPr>
        <w:pStyle w:val="4"/>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40" w:lineRule="exact"/>
        <w:ind w:firstLine="640" w:firstLineChars="200"/>
        <w:jc w:val="both"/>
        <w:textAlignment w:val="auto"/>
        <w:rPr>
          <w:rFonts w:hint="eastAsia" w:ascii="CESI仿宋-GB2312" w:hAnsi="CESI仿宋-GB2312" w:eastAsia="CESI仿宋-GB2312" w:cs="CESI仿宋-GB2312"/>
          <w:b w:val="0"/>
          <w:color w:val="auto"/>
          <w:sz w:val="32"/>
          <w:szCs w:val="32"/>
          <w:lang w:val="en-US" w:eastAsia="zh-CN"/>
        </w:rPr>
      </w:pPr>
      <w:r>
        <w:rPr>
          <w:rFonts w:hint="eastAsia" w:ascii="CESI仿宋-GB2312" w:hAnsi="CESI仿宋-GB2312" w:eastAsia="CESI仿宋-GB2312" w:cs="CESI仿宋-GB2312"/>
          <w:color w:val="000000"/>
          <w:sz w:val="32"/>
          <w:szCs w:val="32"/>
          <w:lang w:val="en-US" w:eastAsia="zh-CN"/>
        </w:rPr>
        <w:t>给予罚款伍仟元（5000元）的行政处罚。</w:t>
      </w:r>
    </w:p>
    <w:p w14:paraId="37AB07B6">
      <w:pPr>
        <w:keepNext w:val="0"/>
        <w:keepLines w:val="0"/>
        <w:pageBreakBefore w:val="0"/>
        <w:widowControl w:val="0"/>
        <w:kinsoku/>
        <w:wordWrap/>
        <w:overflowPunct/>
        <w:topLinePunct w:val="0"/>
        <w:autoSpaceDE/>
        <w:autoSpaceDN/>
        <w:bidi w:val="0"/>
        <w:adjustRightInd w:val="0"/>
        <w:snapToGrid/>
        <w:spacing w:line="540" w:lineRule="exact"/>
        <w:ind w:firstLine="640" w:firstLineChars="200"/>
        <w:textAlignment w:val="auto"/>
        <w:rPr>
          <w:rFonts w:hint="eastAsia" w:ascii="CESI黑体-GB2312" w:hAnsi="CESI黑体-GB2312" w:eastAsia="CESI黑体-GB2312" w:cs="CESI黑体-GB2312"/>
          <w:b w:val="0"/>
          <w:color w:val="auto"/>
          <w:sz w:val="32"/>
          <w:szCs w:val="32"/>
          <w:lang w:val="en-US" w:eastAsia="zh-CN"/>
        </w:rPr>
      </w:pPr>
      <w:r>
        <w:rPr>
          <w:rFonts w:hint="eastAsia" w:ascii="CESI黑体-GB2312" w:hAnsi="CESI黑体-GB2312" w:eastAsia="CESI黑体-GB2312" w:cs="CESI黑体-GB2312"/>
          <w:b w:val="0"/>
          <w:color w:val="auto"/>
          <w:sz w:val="32"/>
          <w:szCs w:val="32"/>
          <w:lang w:val="en-US" w:eastAsia="zh-CN"/>
        </w:rPr>
        <w:t>三、行政处罚决定的履行方式和期限</w:t>
      </w:r>
    </w:p>
    <w:p w14:paraId="0055BAEF">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firstLine="616" w:firstLineChars="200"/>
        <w:jc w:val="both"/>
        <w:textAlignment w:val="auto"/>
        <w:outlineLvl w:val="9"/>
        <w:rPr>
          <w:rFonts w:hint="eastAsia" w:ascii="CESI仿宋-GB2312" w:hAnsi="CESI仿宋-GB2312" w:eastAsia="CESI仿宋-GB2312" w:cs="CESI仿宋-GB2312"/>
          <w:snapToGrid w:val="0"/>
          <w:color w:val="auto"/>
          <w:spacing w:val="-6"/>
          <w:kern w:val="0"/>
          <w:sz w:val="32"/>
          <w:szCs w:val="32"/>
          <w:lang w:val="en-US" w:eastAsia="zh-CN"/>
        </w:rPr>
      </w:pPr>
      <w:r>
        <w:rPr>
          <w:rFonts w:hint="eastAsia" w:ascii="CESI仿宋-GB2312" w:hAnsi="CESI仿宋-GB2312" w:eastAsia="CESI仿宋-GB2312" w:cs="CESI仿宋-GB2312"/>
          <w:snapToGrid w:val="0"/>
          <w:color w:val="auto"/>
          <w:spacing w:val="-6"/>
          <w:kern w:val="0"/>
          <w:sz w:val="32"/>
          <w:szCs w:val="32"/>
          <w:lang w:val="en-US" w:eastAsia="zh-CN"/>
        </w:rPr>
        <w:t>根据《中华人民共和国行政处罚法》和《罚款决定与罚款收缴分离实施办法》的规定，你单位应当自收到本处罚决定书之日起15日内将罚款缴至焦作市财政局非税收入财政专户(开户行:邮政储蓄银行民主南路支行;银行账号:100195545980010001)。缴款时，需在缴款备注栏注明“生态环境行政处罚款”及具体的处罚决定书编号等信息，以便准确核对缴款记录。</w:t>
      </w:r>
    </w:p>
    <w:p w14:paraId="162E55D5">
      <w:pPr>
        <w:keepNext w:val="0"/>
        <w:keepLines w:val="0"/>
        <w:pageBreakBefore w:val="0"/>
        <w:widowControl w:val="0"/>
        <w:kinsoku/>
        <w:wordWrap/>
        <w:overflowPunct/>
        <w:topLinePunct w:val="0"/>
        <w:autoSpaceDE/>
        <w:autoSpaceDN/>
        <w:bidi w:val="0"/>
        <w:adjustRightInd w:val="0"/>
        <w:snapToGrid/>
        <w:spacing w:line="540" w:lineRule="exact"/>
        <w:ind w:firstLine="640" w:firstLineChars="200"/>
        <w:textAlignment w:val="auto"/>
        <w:rPr>
          <w:rFonts w:hint="eastAsia" w:ascii="CESI黑体-GB2312" w:hAnsi="CESI黑体-GB2312" w:eastAsia="CESI黑体-GB2312" w:cs="CESI黑体-GB2312"/>
          <w:b w:val="0"/>
          <w:color w:val="auto"/>
          <w:sz w:val="32"/>
          <w:szCs w:val="32"/>
          <w:lang w:val="en-US" w:eastAsia="zh-CN"/>
        </w:rPr>
      </w:pPr>
      <w:r>
        <w:rPr>
          <w:rFonts w:hint="eastAsia" w:ascii="CESI黑体-GB2312" w:hAnsi="CESI黑体-GB2312" w:eastAsia="CESI黑体-GB2312" w:cs="CESI黑体-GB2312"/>
          <w:b w:val="0"/>
          <w:color w:val="auto"/>
          <w:sz w:val="32"/>
          <w:szCs w:val="32"/>
          <w:lang w:val="en-US" w:eastAsia="zh-CN"/>
        </w:rPr>
        <w:t>四、申请行政复议或提起行政诉讼的途径和期限</w:t>
      </w:r>
    </w:p>
    <w:p w14:paraId="3DB48352">
      <w:pPr>
        <w:keepNext w:val="0"/>
        <w:keepLines w:val="0"/>
        <w:pageBreakBefore w:val="0"/>
        <w:widowControl w:val="0"/>
        <w:kinsoku/>
        <w:wordWrap/>
        <w:overflowPunct/>
        <w:topLinePunct w:val="0"/>
        <w:autoSpaceDE/>
        <w:autoSpaceDN/>
        <w:bidi w:val="0"/>
        <w:adjustRightInd w:val="0"/>
        <w:snapToGrid/>
        <w:spacing w:line="540" w:lineRule="exact"/>
        <w:ind w:firstLine="640" w:firstLineChars="200"/>
        <w:jc w:val="both"/>
        <w:textAlignment w:val="auto"/>
        <w:rPr>
          <w:rFonts w:hint="eastAsia" w:ascii="CESI仿宋-GB2312" w:hAnsi="CESI仿宋-GB2312" w:eastAsia="CESI仿宋-GB2312" w:cs="CESI仿宋-GB2312"/>
          <w:snapToGrid w:val="0"/>
          <w:color w:val="000000"/>
          <w:kern w:val="0"/>
          <w:sz w:val="32"/>
          <w:szCs w:val="32"/>
          <w:lang w:val="en-US" w:eastAsia="zh-CN" w:bidi="ar"/>
        </w:rPr>
      </w:pPr>
      <w:r>
        <w:rPr>
          <w:rFonts w:hint="eastAsia" w:ascii="CESI仿宋-GB2312" w:hAnsi="CESI仿宋-GB2312" w:eastAsia="CESI仿宋-GB2312" w:cs="CESI仿宋-GB2312"/>
          <w:snapToGrid w:val="0"/>
          <w:color w:val="000000"/>
          <w:kern w:val="0"/>
          <w:sz w:val="32"/>
          <w:szCs w:val="32"/>
          <w:lang w:val="en-US" w:eastAsia="zh-CN" w:bidi="ar"/>
        </w:rPr>
        <w:t>你单位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14:paraId="2E213611">
      <w:pPr>
        <w:keepNext w:val="0"/>
        <w:keepLines w:val="0"/>
        <w:pageBreakBefore w:val="0"/>
        <w:widowControl w:val="0"/>
        <w:kinsoku/>
        <w:wordWrap/>
        <w:overflowPunct/>
        <w:topLinePunct w:val="0"/>
        <w:autoSpaceDE/>
        <w:autoSpaceDN/>
        <w:bidi w:val="0"/>
        <w:adjustRightInd w:val="0"/>
        <w:snapToGrid/>
        <w:spacing w:line="540" w:lineRule="exact"/>
        <w:ind w:firstLine="640" w:firstLineChars="200"/>
        <w:jc w:val="both"/>
        <w:textAlignment w:val="auto"/>
        <w:rPr>
          <w:rFonts w:hint="eastAsia" w:ascii="CESI仿宋-GB2312" w:hAnsi="CESI仿宋-GB2312" w:eastAsia="CESI仿宋-GB2312" w:cs="CESI仿宋-GB2312"/>
          <w:snapToGrid w:val="0"/>
          <w:color w:val="000000"/>
          <w:kern w:val="0"/>
          <w:sz w:val="32"/>
          <w:szCs w:val="32"/>
          <w:lang w:val="en-US" w:eastAsia="zh-CN" w:bidi="ar"/>
        </w:rPr>
      </w:pPr>
    </w:p>
    <w:p w14:paraId="7698E62D">
      <w:pPr>
        <w:keepNext w:val="0"/>
        <w:keepLines w:val="0"/>
        <w:pageBreakBefore w:val="0"/>
        <w:widowControl w:val="0"/>
        <w:kinsoku/>
        <w:wordWrap/>
        <w:overflowPunct/>
        <w:topLinePunct w:val="0"/>
        <w:autoSpaceDE/>
        <w:autoSpaceDN/>
        <w:bidi w:val="0"/>
        <w:adjustRightInd w:val="0"/>
        <w:snapToGrid/>
        <w:spacing w:line="540" w:lineRule="exact"/>
        <w:ind w:firstLine="640" w:firstLineChars="200"/>
        <w:jc w:val="both"/>
        <w:textAlignment w:val="auto"/>
        <w:rPr>
          <w:rFonts w:hint="eastAsia" w:ascii="CESI仿宋-GB2312" w:hAnsi="CESI仿宋-GB2312" w:eastAsia="CESI仿宋-GB2312" w:cs="CESI仿宋-GB2312"/>
          <w:snapToGrid w:val="0"/>
          <w:color w:val="000000"/>
          <w:kern w:val="0"/>
          <w:sz w:val="32"/>
          <w:szCs w:val="32"/>
          <w:lang w:val="en-US" w:eastAsia="zh-CN" w:bidi="ar"/>
        </w:rPr>
      </w:pPr>
    </w:p>
    <w:p w14:paraId="29159E0C">
      <w:pPr>
        <w:pStyle w:val="2"/>
        <w:rPr>
          <w:rFonts w:hint="eastAsia"/>
          <w:lang w:val="en-US" w:eastAsia="zh-CN"/>
        </w:rPr>
      </w:pPr>
    </w:p>
    <w:p w14:paraId="21698C12">
      <w:pPr>
        <w:keepNext w:val="0"/>
        <w:keepLines w:val="0"/>
        <w:pageBreakBefore w:val="0"/>
        <w:widowControl w:val="0"/>
        <w:kinsoku/>
        <w:wordWrap/>
        <w:overflowPunct/>
        <w:topLinePunct w:val="0"/>
        <w:autoSpaceDE/>
        <w:autoSpaceDN/>
        <w:bidi w:val="0"/>
        <w:adjustRightInd w:val="0"/>
        <w:snapToGrid/>
        <w:spacing w:line="540" w:lineRule="exact"/>
        <w:ind w:firstLine="640" w:firstLineChars="200"/>
        <w:jc w:val="both"/>
        <w:textAlignment w:val="auto"/>
        <w:rPr>
          <w:rFonts w:hint="eastAsia" w:ascii="CESI仿宋-GB2312" w:hAnsi="CESI仿宋-GB2312" w:eastAsia="CESI仿宋-GB2312" w:cs="CESI仿宋-GB2312"/>
          <w:snapToGrid w:val="0"/>
          <w:color w:val="000000"/>
          <w:kern w:val="0"/>
          <w:sz w:val="32"/>
          <w:szCs w:val="32"/>
          <w:lang w:val="en-US" w:eastAsia="en-US" w:bidi="ar"/>
        </w:rPr>
      </w:pPr>
      <w:r>
        <w:rPr>
          <w:rFonts w:hint="eastAsia" w:ascii="CESI仿宋-GB2312" w:hAnsi="CESI仿宋-GB2312" w:eastAsia="CESI仿宋-GB2312" w:cs="CESI仿宋-GB2312"/>
          <w:snapToGrid w:val="0"/>
          <w:color w:val="000000"/>
          <w:kern w:val="0"/>
          <w:sz w:val="32"/>
          <w:szCs w:val="32"/>
          <w:lang w:val="en-US" w:eastAsia="zh-CN" w:bidi="ar"/>
        </w:rPr>
        <w:t xml:space="preserve">                            2026年6月30日</w:t>
      </w:r>
    </w:p>
    <w:sectPr>
      <w:footerReference r:id="rId5" w:type="default"/>
      <w:pgSz w:w="11900" w:h="16840"/>
      <w:pgMar w:top="1814" w:right="1474" w:bottom="1474" w:left="1587" w:header="0" w:footer="0" w:gutter="0"/>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CESI仿宋-GB2312">
    <w:altName w:val="仿宋"/>
    <w:panose1 w:val="02000500000000000000"/>
    <w:charset w:val="86"/>
    <w:family w:val="auto"/>
    <w:pitch w:val="default"/>
    <w:sig w:usb0="00000000" w:usb1="00000000" w:usb2="00000010" w:usb3="00000000" w:csb0="0004000F" w:csb1="00000000"/>
    <w:embedRegular r:id="rId1" w:fontKey="{1F5DD31F-A99B-46FD-A761-B7A9CE8E07E5}"/>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script"/>
    <w:pitch w:val="default"/>
    <w:sig w:usb0="00000001" w:usb1="08000000" w:usb2="00000000" w:usb3="00000000" w:csb0="00040000" w:csb1="00000000"/>
    <w:embedRegular r:id="rId2" w:fontKey="{879822A4-DB39-45FC-B687-FC45C99784CF}"/>
  </w:font>
  <w:font w:name="CESI黑体-GB2312">
    <w:altName w:val="黑体"/>
    <w:panose1 w:val="02000500000000000000"/>
    <w:charset w:val="86"/>
    <w:family w:val="auto"/>
    <w:pitch w:val="default"/>
    <w:sig w:usb0="00000000" w:usb1="00000000" w:usb2="00000012" w:usb3="00000000" w:csb0="0004000F" w:csb1="00000000"/>
    <w:embedRegular r:id="rId3" w:fontKey="{1FE13172-C18C-4C61-AF81-B0891B0A7834}"/>
  </w:font>
  <w:font w:name="KSOF557087D0">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E58732">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jRlMjYzYjY0NDc3YWQ3MmM5M2UxZWVhYzAzYmFjZDQifQ=="/>
  </w:docVars>
  <w:rsids>
    <w:rsidRoot w:val="00000000"/>
    <w:rsid w:val="012E0EA9"/>
    <w:rsid w:val="01857B1A"/>
    <w:rsid w:val="02482C72"/>
    <w:rsid w:val="03433F84"/>
    <w:rsid w:val="03467F5D"/>
    <w:rsid w:val="04197765"/>
    <w:rsid w:val="042518DB"/>
    <w:rsid w:val="044879E7"/>
    <w:rsid w:val="04642D7C"/>
    <w:rsid w:val="04FE63B4"/>
    <w:rsid w:val="05232B7D"/>
    <w:rsid w:val="059E36F3"/>
    <w:rsid w:val="066E4650"/>
    <w:rsid w:val="07677766"/>
    <w:rsid w:val="079C3C62"/>
    <w:rsid w:val="07D44B6B"/>
    <w:rsid w:val="08166449"/>
    <w:rsid w:val="08826B46"/>
    <w:rsid w:val="08BB1EDD"/>
    <w:rsid w:val="0932487E"/>
    <w:rsid w:val="09D75426"/>
    <w:rsid w:val="0D5A3D8E"/>
    <w:rsid w:val="0DE083B1"/>
    <w:rsid w:val="0E097B78"/>
    <w:rsid w:val="0E411E43"/>
    <w:rsid w:val="0F6D3508"/>
    <w:rsid w:val="0FDE0F59"/>
    <w:rsid w:val="0FFF9AD7"/>
    <w:rsid w:val="12413CE6"/>
    <w:rsid w:val="12E77CE9"/>
    <w:rsid w:val="130504C6"/>
    <w:rsid w:val="13E26EA1"/>
    <w:rsid w:val="143516C6"/>
    <w:rsid w:val="15284D87"/>
    <w:rsid w:val="15DB1900"/>
    <w:rsid w:val="16F7F3FD"/>
    <w:rsid w:val="176E561B"/>
    <w:rsid w:val="178F1270"/>
    <w:rsid w:val="17A15CAE"/>
    <w:rsid w:val="17DD317C"/>
    <w:rsid w:val="180D5FC2"/>
    <w:rsid w:val="181D494B"/>
    <w:rsid w:val="18D529C2"/>
    <w:rsid w:val="193A152D"/>
    <w:rsid w:val="19725038"/>
    <w:rsid w:val="197A658F"/>
    <w:rsid w:val="1AC06BD2"/>
    <w:rsid w:val="1B1F09DB"/>
    <w:rsid w:val="1C974401"/>
    <w:rsid w:val="1C9E69A3"/>
    <w:rsid w:val="1D3A2E5B"/>
    <w:rsid w:val="1E486A08"/>
    <w:rsid w:val="1E67585C"/>
    <w:rsid w:val="1E916580"/>
    <w:rsid w:val="1F19091A"/>
    <w:rsid w:val="1F3716A2"/>
    <w:rsid w:val="1F5DF701"/>
    <w:rsid w:val="1F9E6C5D"/>
    <w:rsid w:val="1FF5E7FA"/>
    <w:rsid w:val="20103B63"/>
    <w:rsid w:val="20C01175"/>
    <w:rsid w:val="20CF2129"/>
    <w:rsid w:val="20D83107"/>
    <w:rsid w:val="212B1874"/>
    <w:rsid w:val="25314214"/>
    <w:rsid w:val="25AF4EDF"/>
    <w:rsid w:val="25E72BBD"/>
    <w:rsid w:val="2694227D"/>
    <w:rsid w:val="28125B4F"/>
    <w:rsid w:val="297939AC"/>
    <w:rsid w:val="298858E9"/>
    <w:rsid w:val="29910CF5"/>
    <w:rsid w:val="29BC7F5B"/>
    <w:rsid w:val="2A0A1EDB"/>
    <w:rsid w:val="2B3E4EAD"/>
    <w:rsid w:val="2CAD5E46"/>
    <w:rsid w:val="2CCF094B"/>
    <w:rsid w:val="2D9D160B"/>
    <w:rsid w:val="2DA35B7D"/>
    <w:rsid w:val="2E741332"/>
    <w:rsid w:val="2F264155"/>
    <w:rsid w:val="2FDD4C94"/>
    <w:rsid w:val="308B6B7E"/>
    <w:rsid w:val="314174A5"/>
    <w:rsid w:val="31880F61"/>
    <w:rsid w:val="325E01D9"/>
    <w:rsid w:val="32690A61"/>
    <w:rsid w:val="32A77261"/>
    <w:rsid w:val="32C84C59"/>
    <w:rsid w:val="32E00C80"/>
    <w:rsid w:val="338E0291"/>
    <w:rsid w:val="34125129"/>
    <w:rsid w:val="342866FA"/>
    <w:rsid w:val="342E34AA"/>
    <w:rsid w:val="368C7761"/>
    <w:rsid w:val="36B349A1"/>
    <w:rsid w:val="37076A9B"/>
    <w:rsid w:val="3712639B"/>
    <w:rsid w:val="3777691B"/>
    <w:rsid w:val="37AE7EAD"/>
    <w:rsid w:val="37ED6F14"/>
    <w:rsid w:val="37FB536F"/>
    <w:rsid w:val="37FFE358"/>
    <w:rsid w:val="38B844F1"/>
    <w:rsid w:val="39007190"/>
    <w:rsid w:val="39581830"/>
    <w:rsid w:val="39824EBC"/>
    <w:rsid w:val="39BB0EB7"/>
    <w:rsid w:val="39CB2F02"/>
    <w:rsid w:val="3A4D0C68"/>
    <w:rsid w:val="3AB363CC"/>
    <w:rsid w:val="3AD2116E"/>
    <w:rsid w:val="3B7643D3"/>
    <w:rsid w:val="3B953279"/>
    <w:rsid w:val="3C5A35AD"/>
    <w:rsid w:val="3CAD0CD0"/>
    <w:rsid w:val="3CD45671"/>
    <w:rsid w:val="3D1D551F"/>
    <w:rsid w:val="3DD258AC"/>
    <w:rsid w:val="3DDD4D8D"/>
    <w:rsid w:val="3EAF54F0"/>
    <w:rsid w:val="3EDA02EF"/>
    <w:rsid w:val="3F0B3135"/>
    <w:rsid w:val="3F166F7B"/>
    <w:rsid w:val="3F374400"/>
    <w:rsid w:val="3F49393B"/>
    <w:rsid w:val="3F77FBAD"/>
    <w:rsid w:val="3F8B0ACA"/>
    <w:rsid w:val="3F994477"/>
    <w:rsid w:val="3FFFC220"/>
    <w:rsid w:val="413E43D2"/>
    <w:rsid w:val="41F47CDB"/>
    <w:rsid w:val="42A21725"/>
    <w:rsid w:val="43C26223"/>
    <w:rsid w:val="44DE5964"/>
    <w:rsid w:val="451C0E3E"/>
    <w:rsid w:val="45995D94"/>
    <w:rsid w:val="460C421E"/>
    <w:rsid w:val="46DD3374"/>
    <w:rsid w:val="47C90515"/>
    <w:rsid w:val="47DFAF1C"/>
    <w:rsid w:val="47E60972"/>
    <w:rsid w:val="4849049D"/>
    <w:rsid w:val="48561B85"/>
    <w:rsid w:val="48DD1D3C"/>
    <w:rsid w:val="497E4185"/>
    <w:rsid w:val="49D05F68"/>
    <w:rsid w:val="4A0408AA"/>
    <w:rsid w:val="4A7B712C"/>
    <w:rsid w:val="4AB730DD"/>
    <w:rsid w:val="4CC331D0"/>
    <w:rsid w:val="4CE54840"/>
    <w:rsid w:val="4E0262D2"/>
    <w:rsid w:val="4E042F7D"/>
    <w:rsid w:val="4E472728"/>
    <w:rsid w:val="4EED594C"/>
    <w:rsid w:val="4F1D43F5"/>
    <w:rsid w:val="4FFB0D27"/>
    <w:rsid w:val="50093EFE"/>
    <w:rsid w:val="501C4F0D"/>
    <w:rsid w:val="53091808"/>
    <w:rsid w:val="542B110D"/>
    <w:rsid w:val="55F33313"/>
    <w:rsid w:val="567B66B3"/>
    <w:rsid w:val="58254B7B"/>
    <w:rsid w:val="597C2192"/>
    <w:rsid w:val="59EF5441"/>
    <w:rsid w:val="5AE96334"/>
    <w:rsid w:val="5AFCC44E"/>
    <w:rsid w:val="5BBD75FB"/>
    <w:rsid w:val="5D546FAC"/>
    <w:rsid w:val="5D640D4D"/>
    <w:rsid w:val="5DDF8127"/>
    <w:rsid w:val="5DEB5175"/>
    <w:rsid w:val="5DFC3833"/>
    <w:rsid w:val="5E581806"/>
    <w:rsid w:val="5E7B72A3"/>
    <w:rsid w:val="5EED3B4F"/>
    <w:rsid w:val="5EF930D5"/>
    <w:rsid w:val="5F4C5C01"/>
    <w:rsid w:val="5F7332A9"/>
    <w:rsid w:val="5FF3C214"/>
    <w:rsid w:val="5FFED0BB"/>
    <w:rsid w:val="5FFF99CD"/>
    <w:rsid w:val="63CB2A7A"/>
    <w:rsid w:val="648010F2"/>
    <w:rsid w:val="64E319AA"/>
    <w:rsid w:val="651545F5"/>
    <w:rsid w:val="65BDE487"/>
    <w:rsid w:val="66644C16"/>
    <w:rsid w:val="66B37717"/>
    <w:rsid w:val="67A05FCC"/>
    <w:rsid w:val="67AB7B8B"/>
    <w:rsid w:val="687B19BA"/>
    <w:rsid w:val="689C403A"/>
    <w:rsid w:val="68D43FF7"/>
    <w:rsid w:val="68FD1BBF"/>
    <w:rsid w:val="6902426E"/>
    <w:rsid w:val="695E7EED"/>
    <w:rsid w:val="6A2870F3"/>
    <w:rsid w:val="6A4D0534"/>
    <w:rsid w:val="6AEE1CFF"/>
    <w:rsid w:val="6B0764F0"/>
    <w:rsid w:val="6C702BA4"/>
    <w:rsid w:val="6C9527DF"/>
    <w:rsid w:val="6D380097"/>
    <w:rsid w:val="6DCF2230"/>
    <w:rsid w:val="6EB7554B"/>
    <w:rsid w:val="6F6F4373"/>
    <w:rsid w:val="6FA9384D"/>
    <w:rsid w:val="6FBC0716"/>
    <w:rsid w:val="6FCBAC74"/>
    <w:rsid w:val="6FF3C84D"/>
    <w:rsid w:val="6FF77ECE"/>
    <w:rsid w:val="6FFE3083"/>
    <w:rsid w:val="6FFFA16E"/>
    <w:rsid w:val="7005347B"/>
    <w:rsid w:val="701E2184"/>
    <w:rsid w:val="7058142B"/>
    <w:rsid w:val="70684833"/>
    <w:rsid w:val="70F603C0"/>
    <w:rsid w:val="70FC6DDB"/>
    <w:rsid w:val="71813AE6"/>
    <w:rsid w:val="71E122C7"/>
    <w:rsid w:val="726F0A11"/>
    <w:rsid w:val="72EA45E1"/>
    <w:rsid w:val="745853DE"/>
    <w:rsid w:val="745F3F95"/>
    <w:rsid w:val="748018F3"/>
    <w:rsid w:val="750A7C9E"/>
    <w:rsid w:val="752B15CB"/>
    <w:rsid w:val="76112A92"/>
    <w:rsid w:val="762B2520"/>
    <w:rsid w:val="769E4F9A"/>
    <w:rsid w:val="76C74A3D"/>
    <w:rsid w:val="76EF1E3D"/>
    <w:rsid w:val="76F1C405"/>
    <w:rsid w:val="7734E1B9"/>
    <w:rsid w:val="775FE2F6"/>
    <w:rsid w:val="77784870"/>
    <w:rsid w:val="77EE1456"/>
    <w:rsid w:val="77F4E4A6"/>
    <w:rsid w:val="795C704D"/>
    <w:rsid w:val="797C7BC3"/>
    <w:rsid w:val="799818D1"/>
    <w:rsid w:val="79AE12FF"/>
    <w:rsid w:val="7A5039A2"/>
    <w:rsid w:val="7A6FCEBC"/>
    <w:rsid w:val="7AAE07DE"/>
    <w:rsid w:val="7AB14320"/>
    <w:rsid w:val="7AED01A5"/>
    <w:rsid w:val="7B5D0004"/>
    <w:rsid w:val="7BCDCB08"/>
    <w:rsid w:val="7BDE10E2"/>
    <w:rsid w:val="7CF4756F"/>
    <w:rsid w:val="7D1A0892"/>
    <w:rsid w:val="7D2B1608"/>
    <w:rsid w:val="7D2D4DD3"/>
    <w:rsid w:val="7D2F0C5F"/>
    <w:rsid w:val="7D7C834F"/>
    <w:rsid w:val="7DFF66A4"/>
    <w:rsid w:val="7E7B7FBF"/>
    <w:rsid w:val="7EBFF8E8"/>
    <w:rsid w:val="7EEB0B91"/>
    <w:rsid w:val="7EED2094"/>
    <w:rsid w:val="7EFD7E2C"/>
    <w:rsid w:val="7F2551E8"/>
    <w:rsid w:val="7F956BCE"/>
    <w:rsid w:val="7FA405F7"/>
    <w:rsid w:val="7FE7CC23"/>
    <w:rsid w:val="7FF7AB6D"/>
    <w:rsid w:val="9BDD9506"/>
    <w:rsid w:val="9FEB00BC"/>
    <w:rsid w:val="B1DD075C"/>
    <w:rsid w:val="B7BF0A57"/>
    <w:rsid w:val="BAF5A28F"/>
    <w:rsid w:val="BDFF847A"/>
    <w:rsid w:val="CCBD2671"/>
    <w:rsid w:val="CCFD1EBE"/>
    <w:rsid w:val="CE3B70A4"/>
    <w:rsid w:val="CFFB88F4"/>
    <w:rsid w:val="D6FFB7F4"/>
    <w:rsid w:val="D9FB258E"/>
    <w:rsid w:val="DBDE7302"/>
    <w:rsid w:val="DD9E1EA8"/>
    <w:rsid w:val="DDFFD6A1"/>
    <w:rsid w:val="DE7794C4"/>
    <w:rsid w:val="DFEE0721"/>
    <w:rsid w:val="DFF695C4"/>
    <w:rsid w:val="E6FFF205"/>
    <w:rsid w:val="E93F82D7"/>
    <w:rsid w:val="EA68E5FC"/>
    <w:rsid w:val="EE786628"/>
    <w:rsid w:val="EE9FEED4"/>
    <w:rsid w:val="EFADD422"/>
    <w:rsid w:val="EFFE6DBD"/>
    <w:rsid w:val="EFFF323C"/>
    <w:rsid w:val="EFFFEF00"/>
    <w:rsid w:val="F4A681CC"/>
    <w:rsid w:val="F4DF44D9"/>
    <w:rsid w:val="F6F9B0A8"/>
    <w:rsid w:val="F7CDBAA2"/>
    <w:rsid w:val="F7DF5AAB"/>
    <w:rsid w:val="F7E20029"/>
    <w:rsid w:val="F7E6F5A7"/>
    <w:rsid w:val="F7EF3794"/>
    <w:rsid w:val="F7F7C5AB"/>
    <w:rsid w:val="F7FE78BB"/>
    <w:rsid w:val="FADFE8B3"/>
    <w:rsid w:val="FBA60FAF"/>
    <w:rsid w:val="FBA6D2EF"/>
    <w:rsid w:val="FBF17CEF"/>
    <w:rsid w:val="FBF8BD03"/>
    <w:rsid w:val="FCBC8FA8"/>
    <w:rsid w:val="FD595D0B"/>
    <w:rsid w:val="FD6FA80A"/>
    <w:rsid w:val="FE5DE8F8"/>
    <w:rsid w:val="FE6B4C2E"/>
    <w:rsid w:val="FE778A75"/>
    <w:rsid w:val="FE7FB488"/>
    <w:rsid w:val="FED763C0"/>
    <w:rsid w:val="FEDFF80B"/>
    <w:rsid w:val="FEFFB5B7"/>
    <w:rsid w:val="FF6F4292"/>
    <w:rsid w:val="FF9F11D9"/>
    <w:rsid w:val="FFBF8EA2"/>
    <w:rsid w:val="FFD55CC3"/>
    <w:rsid w:val="FFDF37BC"/>
    <w:rsid w:val="FFE1C46F"/>
    <w:rsid w:val="FFE80810"/>
    <w:rsid w:val="FFEB2897"/>
    <w:rsid w:val="FFEBF567"/>
    <w:rsid w:val="FFEEE65C"/>
    <w:rsid w:val="FFF6545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微软雅黑" w:hAnsi="微软雅黑" w:eastAsia="微软雅黑" w:cs="微软雅黑"/>
      <w:sz w:val="32"/>
      <w:szCs w:val="32"/>
      <w:lang w:val="en-US" w:eastAsia="en-US" w:bidi="ar-SA"/>
    </w:rPr>
  </w:style>
  <w:style w:type="paragraph" w:styleId="3">
    <w:name w:val="Body Text Indent"/>
    <w:basedOn w:val="1"/>
    <w:qFormat/>
    <w:uiPriority w:val="99"/>
    <w:pPr>
      <w:spacing w:after="120"/>
      <w:ind w:left="420" w:leftChars="200"/>
    </w:p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5">
    <w:name w:val="Body Text First Indent 2"/>
    <w:basedOn w:val="3"/>
    <w:qFormat/>
    <w:uiPriority w:val="99"/>
    <w:pPr>
      <w:ind w:firstLine="420" w:firstLineChars="200"/>
    </w:pPr>
  </w:style>
  <w:style w:type="character" w:styleId="8">
    <w:name w:val="Emphasis"/>
    <w:basedOn w:val="7"/>
    <w:qFormat/>
    <w:uiPriority w:val="0"/>
    <w:rPr>
      <w:i/>
    </w:rPr>
  </w:style>
  <w:style w:type="table" w:customStyle="1" w:styleId="9">
    <w:name w:val="Table Normal"/>
    <w:semiHidden/>
    <w:unhideWhenUsed/>
    <w:qFormat/>
    <w:uiPriority w:val="0"/>
    <w:tblPr>
      <w:tblCellMar>
        <w:top w:w="0" w:type="dxa"/>
        <w:left w:w="0" w:type="dxa"/>
        <w:bottom w:w="0" w:type="dxa"/>
        <w:right w:w="0" w:type="dxa"/>
      </w:tblCellMar>
    </w:tblPr>
  </w:style>
  <w:style w:type="paragraph" w:customStyle="1" w:styleId="10">
    <w:name w:val="Table Text"/>
    <w:basedOn w:val="1"/>
    <w:semiHidden/>
    <w:qFormat/>
    <w:uiPriority w:val="0"/>
    <w:rPr>
      <w:rFonts w:ascii="微软雅黑" w:hAnsi="微软雅黑" w:eastAsia="微软雅黑" w:cs="微软雅黑"/>
      <w:sz w:val="32"/>
      <w:szCs w:val="32"/>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1462</Words>
  <Characters>1584</Characters>
  <TotalTime>2</TotalTime>
  <ScaleCrop>false</ScaleCrop>
  <LinksUpToDate>false</LinksUpToDate>
  <CharactersWithSpaces>1612</CharactersWithSpaces>
  <Application>WPS Office_12.1.0.26375_F1E327BC-269C-435d-A152-05C5408002CA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2022-12-19T10:45:00Z</dcterms:created>
  <dc:creator>梦亮 牛</dc:creator>
  <cp:lastModifiedBy>吴嘉嘉</cp:lastModifiedBy>
  <cp:lastPrinted>2026-06-30T02:22:00Z</cp:lastPrinted>
  <dcterms:modified xsi:type="dcterms:W3CDTF">2026-06-30T09:30:15Z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2023-07-13T16:00:32Z</vt:filetime>
  </property>
  <property fmtid="{D5CDD505-2E9C-101B-9397-08002B2CF9AE}" pid="4" name="UsrData">
    <vt:lpwstr>64afaf1335bfd9001fa15a4f</vt:lpwstr>
  </property>
  <property fmtid="{D5CDD505-2E9C-101B-9397-08002B2CF9AE}" pid="5" name="KSOProductBuildVer">
    <vt:lpwstr>2052-12.1.0.26375</vt:lpwstr>
  </property>
  <property fmtid="{D5CDD505-2E9C-101B-9397-08002B2CF9AE}" pid="6" name="ICV">
    <vt:lpwstr>A21374288A714188B74AEEC8A5F5D829_12</vt:lpwstr>
  </property>
  <property fmtid="{D5CDD505-2E9C-101B-9397-08002B2CF9AE}" pid="7" name="KSOTemplateDocerSaveRecord">
    <vt:lpwstr>eyJoZGlkIjoiYmViMDNiNDM1M2UzNTJmYjI0MDE2NWRjMWI5MTc1YmMiLCJ1c2VySWQiOiI0MjYwNTU1MDYifQ==</vt:lpwstr>
  </property>
</Properties>
</file>